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9A487C5">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3A75D527">
      <w:pPr>
        <w:pStyle w:val="145"/>
        <w:widowControl w:val="0"/>
        <w:snapToGrid w:val="0"/>
        <w:spacing w:line="470" w:lineRule="atLeast"/>
        <w:ind w:firstLine="0"/>
        <w:jc w:val="center"/>
        <w:rPr>
          <w:rFonts w:ascii="黑体" w:hAnsi="宋体" w:eastAsia="黑体"/>
          <w:b w:val="0"/>
          <w:color w:val="auto"/>
          <w:sz w:val="32"/>
        </w:rPr>
      </w:pPr>
    </w:p>
    <w:p w14:paraId="34FD17C6">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61D1F8CD">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信息化及软硬件维保服务项目</w:t>
      </w:r>
    </w:p>
    <w:p w14:paraId="4A1695F9">
      <w:pPr>
        <w:pStyle w:val="145"/>
        <w:widowControl w:val="0"/>
        <w:snapToGrid w:val="0"/>
        <w:spacing w:line="470" w:lineRule="atLeast"/>
        <w:ind w:firstLine="0"/>
        <w:jc w:val="center"/>
        <w:rPr>
          <w:rFonts w:ascii="黑体" w:eastAsia="黑体"/>
          <w:b w:val="0"/>
          <w:color w:val="auto"/>
          <w:sz w:val="36"/>
          <w:szCs w:val="36"/>
        </w:rPr>
      </w:pPr>
    </w:p>
    <w:p w14:paraId="750D3B8E">
      <w:pPr>
        <w:pStyle w:val="145"/>
        <w:widowControl w:val="0"/>
        <w:snapToGrid w:val="0"/>
        <w:spacing w:line="470" w:lineRule="atLeast"/>
        <w:ind w:firstLine="0"/>
        <w:jc w:val="center"/>
        <w:rPr>
          <w:rFonts w:ascii="黑体" w:eastAsia="黑体"/>
          <w:b w:val="0"/>
          <w:color w:val="auto"/>
          <w:sz w:val="36"/>
        </w:rPr>
      </w:pPr>
    </w:p>
    <w:p w14:paraId="3DA84B44">
      <w:pPr>
        <w:pStyle w:val="145"/>
        <w:widowControl w:val="0"/>
        <w:snapToGrid w:val="0"/>
        <w:spacing w:line="470" w:lineRule="atLeast"/>
        <w:ind w:firstLine="0"/>
        <w:jc w:val="center"/>
        <w:rPr>
          <w:rFonts w:ascii="黑体" w:eastAsia="黑体"/>
          <w:b w:val="0"/>
          <w:color w:val="auto"/>
          <w:sz w:val="36"/>
        </w:rPr>
      </w:pPr>
    </w:p>
    <w:p w14:paraId="1DB4BE95">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4F3C1746">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3E98F23">
      <w:pPr>
        <w:pStyle w:val="145"/>
        <w:widowControl w:val="0"/>
        <w:snapToGrid w:val="0"/>
        <w:spacing w:line="360" w:lineRule="auto"/>
        <w:ind w:firstLine="2400" w:firstLineChars="750"/>
        <w:rPr>
          <w:rFonts w:ascii="黑体" w:hAnsi="宋体" w:eastAsia="黑体"/>
          <w:b w:val="0"/>
          <w:color w:val="auto"/>
          <w:sz w:val="32"/>
        </w:rPr>
      </w:pPr>
    </w:p>
    <w:p w14:paraId="16A1B043">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项目编号：2024-JH-CS10</w:t>
      </w:r>
    </w:p>
    <w:p w14:paraId="2CDD9D0C">
      <w:pPr>
        <w:pStyle w:val="145"/>
        <w:widowControl w:val="0"/>
        <w:snapToGrid w:val="0"/>
        <w:spacing w:line="470" w:lineRule="atLeast"/>
        <w:ind w:firstLine="0"/>
        <w:jc w:val="center"/>
        <w:rPr>
          <w:color w:val="auto"/>
        </w:rPr>
      </w:pPr>
    </w:p>
    <w:p w14:paraId="64617EAD">
      <w:pPr>
        <w:pStyle w:val="145"/>
        <w:widowControl w:val="0"/>
        <w:snapToGrid w:val="0"/>
        <w:spacing w:line="470" w:lineRule="atLeast"/>
        <w:ind w:firstLine="0"/>
        <w:jc w:val="center"/>
        <w:rPr>
          <w:color w:val="auto"/>
        </w:rPr>
      </w:pPr>
    </w:p>
    <w:p w14:paraId="16F80E34">
      <w:pPr>
        <w:pStyle w:val="145"/>
        <w:widowControl w:val="0"/>
        <w:snapToGrid w:val="0"/>
        <w:spacing w:line="470" w:lineRule="atLeast"/>
        <w:ind w:firstLine="0"/>
        <w:jc w:val="center"/>
        <w:rPr>
          <w:color w:val="auto"/>
        </w:rPr>
      </w:pPr>
    </w:p>
    <w:p w14:paraId="3407610F">
      <w:pPr>
        <w:pStyle w:val="145"/>
        <w:widowControl w:val="0"/>
        <w:snapToGrid w:val="0"/>
        <w:spacing w:line="470" w:lineRule="atLeast"/>
        <w:ind w:firstLine="0"/>
        <w:jc w:val="center"/>
        <w:rPr>
          <w:color w:val="auto"/>
        </w:rPr>
      </w:pPr>
    </w:p>
    <w:p w14:paraId="4A3620DA">
      <w:pPr>
        <w:pStyle w:val="145"/>
        <w:widowControl w:val="0"/>
        <w:snapToGrid w:val="0"/>
        <w:spacing w:line="470" w:lineRule="atLeast"/>
        <w:ind w:firstLine="0"/>
        <w:jc w:val="center"/>
        <w:rPr>
          <w:color w:val="auto"/>
        </w:rPr>
      </w:pPr>
    </w:p>
    <w:p w14:paraId="739A4528">
      <w:pPr>
        <w:pStyle w:val="145"/>
        <w:widowControl w:val="0"/>
        <w:snapToGrid w:val="0"/>
        <w:spacing w:line="470" w:lineRule="atLeast"/>
        <w:ind w:firstLine="0"/>
        <w:jc w:val="center"/>
        <w:rPr>
          <w:color w:val="auto"/>
        </w:rPr>
      </w:pPr>
    </w:p>
    <w:p w14:paraId="6537D98B">
      <w:pPr>
        <w:pStyle w:val="145"/>
        <w:widowControl w:val="0"/>
        <w:snapToGrid w:val="0"/>
        <w:spacing w:line="470" w:lineRule="atLeast"/>
        <w:ind w:firstLine="0"/>
        <w:jc w:val="center"/>
        <w:rPr>
          <w:color w:val="auto"/>
        </w:rPr>
      </w:pPr>
    </w:p>
    <w:p w14:paraId="51F36FBA">
      <w:pPr>
        <w:pStyle w:val="145"/>
        <w:widowControl w:val="0"/>
        <w:snapToGrid w:val="0"/>
        <w:spacing w:line="470" w:lineRule="atLeast"/>
        <w:ind w:firstLine="0"/>
        <w:jc w:val="center"/>
        <w:rPr>
          <w:color w:val="auto"/>
        </w:rPr>
      </w:pPr>
    </w:p>
    <w:p w14:paraId="0B9E34E9">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6B75ACBA">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4</w:t>
      </w:r>
      <w:r>
        <w:rPr>
          <w:rFonts w:hint="eastAsia" w:ascii="黑体" w:eastAsia="黑体"/>
          <w:b w:val="0"/>
          <w:color w:val="auto"/>
          <w:sz w:val="32"/>
          <w:szCs w:val="32"/>
        </w:rPr>
        <w:t>年</w:t>
      </w:r>
      <w:r>
        <w:rPr>
          <w:rFonts w:hint="eastAsia" w:ascii="黑体" w:eastAsia="黑体"/>
          <w:b w:val="0"/>
          <w:color w:val="auto"/>
          <w:sz w:val="32"/>
          <w:szCs w:val="32"/>
          <w:lang w:val="en-US" w:eastAsia="zh-CN"/>
        </w:rPr>
        <w:t>11</w:t>
      </w:r>
      <w:r>
        <w:rPr>
          <w:rFonts w:hint="eastAsia" w:ascii="黑体" w:eastAsia="黑体"/>
          <w:b w:val="0"/>
          <w:color w:val="auto"/>
          <w:sz w:val="32"/>
          <w:szCs w:val="32"/>
        </w:rPr>
        <w:t>月</w:t>
      </w:r>
      <w:r>
        <w:rPr>
          <w:rFonts w:hint="eastAsia" w:ascii="黑体" w:eastAsia="黑体"/>
          <w:b w:val="0"/>
          <w:color w:val="auto"/>
          <w:sz w:val="32"/>
          <w:szCs w:val="32"/>
          <w:lang w:val="en-US" w:eastAsia="zh-CN"/>
        </w:rPr>
        <w:t>26</w:t>
      </w:r>
      <w:r>
        <w:rPr>
          <w:rFonts w:hint="eastAsia" w:ascii="黑体" w:eastAsia="黑体"/>
          <w:b w:val="0"/>
          <w:color w:val="auto"/>
          <w:sz w:val="32"/>
          <w:szCs w:val="32"/>
        </w:rPr>
        <w:t>日</w:t>
      </w:r>
    </w:p>
    <w:p w14:paraId="29CF6B96">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34868892">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1D87A84F">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_Toc10651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_Toc10651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5DBFEA5E">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_Toc12821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_Toc12821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50034C10">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_Toc8376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_Toc8376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FFD4D4E">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_Toc5194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_Toc5194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0768098B">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_Toc13333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_Toc13333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FCBF29D">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_Toc31322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_Toc31322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563F99A7">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_Toc14093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_Toc14093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293AE09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_Toc4387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_Toc4387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1D6B638D">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_Toc22081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_Toc22081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D23C8C4">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_Toc16633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_Toc16633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3433F7BA">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_Toc30217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_Toc30217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001EB4A2">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_Toc19678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_Toc19678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0492E4E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_Toc9542 </w:instrText>
      </w:r>
      <w:r>
        <w:rPr>
          <w:color w:val="auto"/>
          <w:sz w:val="24"/>
          <w:szCs w:val="24"/>
        </w:rPr>
        <w:fldChar w:fldCharType="separate"/>
      </w:r>
      <w:r>
        <w:rPr>
          <w:rFonts w:hint="eastAsia"/>
          <w:color w:val="auto"/>
          <w:sz w:val="24"/>
          <w:szCs w:val="24"/>
        </w:rPr>
        <w:t>二、服务内容和详细要求</w:t>
      </w:r>
      <w:r>
        <w:rPr>
          <w:color w:val="auto"/>
          <w:sz w:val="24"/>
          <w:szCs w:val="24"/>
        </w:rPr>
        <w:tab/>
      </w:r>
      <w:r>
        <w:rPr>
          <w:color w:val="auto"/>
          <w:sz w:val="24"/>
          <w:szCs w:val="24"/>
        </w:rPr>
        <w:fldChar w:fldCharType="begin"/>
      </w:r>
      <w:r>
        <w:rPr>
          <w:color w:val="auto"/>
          <w:sz w:val="24"/>
          <w:szCs w:val="24"/>
        </w:rPr>
        <w:instrText xml:space="preserve"> PAGEREF _Toc9542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7D4732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_Toc2185 </w:instrText>
      </w:r>
      <w:r>
        <w:rPr>
          <w:color w:val="auto"/>
          <w:sz w:val="24"/>
          <w:szCs w:val="24"/>
        </w:rPr>
        <w:fldChar w:fldCharType="separate"/>
      </w:r>
      <w:r>
        <w:rPr>
          <w:rFonts w:hint="eastAsia"/>
          <w:color w:val="auto"/>
          <w:sz w:val="24"/>
          <w:szCs w:val="24"/>
        </w:rPr>
        <w:t>三、商务要求</w:t>
      </w:r>
      <w:r>
        <w:rPr>
          <w:color w:val="auto"/>
          <w:sz w:val="24"/>
          <w:szCs w:val="24"/>
        </w:rPr>
        <w:tab/>
      </w:r>
      <w:r>
        <w:rPr>
          <w:color w:val="auto"/>
          <w:sz w:val="24"/>
          <w:szCs w:val="24"/>
        </w:rPr>
        <w:fldChar w:fldCharType="begin"/>
      </w:r>
      <w:r>
        <w:rPr>
          <w:color w:val="auto"/>
          <w:sz w:val="24"/>
          <w:szCs w:val="24"/>
        </w:rPr>
        <w:instrText xml:space="preserve"> PAGEREF _Toc2185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7AB69B73">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_Toc17361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_Toc17361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62311AC0">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_Toc29811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_Toc29811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639DC81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_Toc15917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_Toc15917 </w:instrText>
      </w:r>
      <w:r>
        <w:rPr>
          <w:color w:val="auto"/>
          <w:sz w:val="24"/>
          <w:szCs w:val="24"/>
        </w:rPr>
        <w:fldChar w:fldCharType="separate"/>
      </w:r>
      <w:r>
        <w:rPr>
          <w:color w:val="auto"/>
          <w:sz w:val="24"/>
          <w:szCs w:val="24"/>
        </w:rPr>
        <w:t>20</w:t>
      </w:r>
      <w:r>
        <w:rPr>
          <w:color w:val="auto"/>
          <w:sz w:val="24"/>
          <w:szCs w:val="24"/>
        </w:rPr>
        <w:fldChar w:fldCharType="end"/>
      </w:r>
      <w:r>
        <w:rPr>
          <w:color w:val="auto"/>
          <w:sz w:val="24"/>
          <w:szCs w:val="24"/>
        </w:rPr>
        <w:fldChar w:fldCharType="end"/>
      </w:r>
    </w:p>
    <w:p w14:paraId="49523A6D">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_Toc1936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_Toc1936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08FBCDBB">
      <w:pPr>
        <w:pStyle w:val="3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_Toc19301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_Toc19301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4EDDCF60">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_Toc9440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_Toc9440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4EF91466">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_Toc23214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_Toc23214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06A8C776">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_Toc7923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_Toc7923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6D768BE0">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_Toc23495 </w:instrText>
      </w:r>
      <w:r>
        <w:rPr>
          <w:color w:val="auto"/>
          <w:sz w:val="24"/>
          <w:szCs w:val="24"/>
        </w:rPr>
        <w:fldChar w:fldCharType="separate"/>
      </w:r>
      <w:r>
        <w:rPr>
          <w:rFonts w:hint="eastAsia"/>
          <w:color w:val="auto"/>
          <w:sz w:val="24"/>
          <w:szCs w:val="24"/>
        </w:rPr>
        <w:t>（3）落实政府采购政策需满足的资格要求：无</w:t>
      </w:r>
      <w:r>
        <w:rPr>
          <w:color w:val="auto"/>
          <w:sz w:val="24"/>
          <w:szCs w:val="24"/>
        </w:rPr>
        <w:tab/>
      </w:r>
      <w:r>
        <w:rPr>
          <w:color w:val="auto"/>
          <w:sz w:val="24"/>
          <w:szCs w:val="24"/>
        </w:rPr>
        <w:fldChar w:fldCharType="begin"/>
      </w:r>
      <w:r>
        <w:rPr>
          <w:color w:val="auto"/>
          <w:sz w:val="24"/>
          <w:szCs w:val="24"/>
        </w:rPr>
        <w:instrText xml:space="preserve"> PAGEREF _Toc23495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53964DD9">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_Toc6226 </w:instrText>
      </w:r>
      <w:r>
        <w:rPr>
          <w:color w:val="auto"/>
          <w:sz w:val="24"/>
          <w:szCs w:val="24"/>
        </w:rPr>
        <w:fldChar w:fldCharType="separate"/>
      </w:r>
      <w:r>
        <w:rPr>
          <w:rFonts w:hint="eastAsia"/>
          <w:color w:val="auto"/>
          <w:sz w:val="24"/>
          <w:szCs w:val="24"/>
        </w:rPr>
        <w:t>（4）本项目的特定资格要求证明材料：无</w:t>
      </w:r>
      <w:r>
        <w:rPr>
          <w:color w:val="auto"/>
          <w:sz w:val="24"/>
          <w:szCs w:val="24"/>
        </w:rPr>
        <w:tab/>
      </w:r>
      <w:r>
        <w:rPr>
          <w:color w:val="auto"/>
          <w:sz w:val="24"/>
          <w:szCs w:val="24"/>
        </w:rPr>
        <w:fldChar w:fldCharType="begin"/>
      </w:r>
      <w:r>
        <w:rPr>
          <w:color w:val="auto"/>
          <w:sz w:val="24"/>
          <w:szCs w:val="24"/>
        </w:rPr>
        <w:instrText xml:space="preserve"> PAGEREF _Toc6226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44FC2117">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_Toc6605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_Toc6605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59BDEEB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_Toc32630 </w:instrText>
      </w:r>
      <w:r>
        <w:rPr>
          <w:color w:val="auto"/>
          <w:sz w:val="24"/>
          <w:szCs w:val="24"/>
        </w:rPr>
        <w:fldChar w:fldCharType="separate"/>
      </w:r>
      <w:r>
        <w:rPr>
          <w:rFonts w:hint="eastAsia"/>
          <w:color w:val="auto"/>
          <w:sz w:val="24"/>
          <w:szCs w:val="24"/>
        </w:rPr>
        <w:t>（1）初次报价一览表、初次报价明细表</w:t>
      </w:r>
      <w:r>
        <w:rPr>
          <w:color w:val="auto"/>
          <w:sz w:val="24"/>
          <w:szCs w:val="24"/>
        </w:rPr>
        <w:tab/>
      </w:r>
      <w:r>
        <w:rPr>
          <w:color w:val="auto"/>
          <w:sz w:val="24"/>
          <w:szCs w:val="24"/>
        </w:rPr>
        <w:fldChar w:fldCharType="begin"/>
      </w:r>
      <w:r>
        <w:rPr>
          <w:color w:val="auto"/>
          <w:sz w:val="24"/>
          <w:szCs w:val="24"/>
        </w:rPr>
        <w:instrText xml:space="preserve"> PAGEREF _Toc32630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670DD04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_Toc19296 </w:instrText>
      </w:r>
      <w:r>
        <w:rPr>
          <w:color w:val="auto"/>
          <w:sz w:val="24"/>
          <w:szCs w:val="24"/>
        </w:rPr>
        <w:fldChar w:fldCharType="separate"/>
      </w:r>
      <w:r>
        <w:rPr>
          <w:rFonts w:hint="eastAsia"/>
          <w:color w:val="auto"/>
          <w:sz w:val="24"/>
          <w:szCs w:val="24"/>
        </w:rPr>
        <w:t>（2）中小企业声明函</w:t>
      </w:r>
      <w:r>
        <w:rPr>
          <w:color w:val="auto"/>
          <w:sz w:val="24"/>
          <w:szCs w:val="24"/>
        </w:rPr>
        <w:tab/>
      </w:r>
      <w:r>
        <w:rPr>
          <w:color w:val="auto"/>
          <w:sz w:val="24"/>
          <w:szCs w:val="24"/>
        </w:rPr>
        <w:fldChar w:fldCharType="begin"/>
      </w:r>
      <w:r>
        <w:rPr>
          <w:color w:val="auto"/>
          <w:sz w:val="24"/>
          <w:szCs w:val="24"/>
        </w:rPr>
        <w:instrText xml:space="preserve"> PAGEREF _Toc19296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6D69420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_Toc15319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_Toc15319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54E528E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_Toc1537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_Toc1537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7B7A2E07">
      <w:pPr>
        <w:pStyle w:val="41"/>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_Toc28040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_Toc28040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4F20C386">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_Toc23252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_Toc23252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3CDCFE0F">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_Toc1401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_Toc1401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38A6640A">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_Toc21338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_Toc21338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0B6F9077">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_Toc20470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_Toc20470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3502114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_Toc30804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_Toc30804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6C2D02A1">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_Toc29142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_Toc29142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14CD1798">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_Toc1518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_Toc1518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7CD931EC">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_Toc4674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_Toc4674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23A6A4C4">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_Toc19159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_Toc19159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1B1F85EB">
      <w:pPr>
        <w:pStyle w:val="27"/>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_Toc16591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_Toc16591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5E0BDC78">
      <w:pPr>
        <w:pStyle w:val="27"/>
        <w:tabs>
          <w:tab w:val="right" w:leader="dot" w:pos="9413"/>
        </w:tabs>
        <w:spacing w:line="240" w:lineRule="auto"/>
        <w:ind w:left="420" w:leftChars="200" w:firstLine="0" w:firstLineChars="0"/>
        <w:rPr>
          <w:color w:val="auto"/>
        </w:rPr>
      </w:pPr>
      <w:r>
        <w:rPr>
          <w:color w:val="auto"/>
          <w:sz w:val="24"/>
          <w:szCs w:val="24"/>
        </w:rPr>
        <w:fldChar w:fldCharType="begin"/>
      </w:r>
      <w:r>
        <w:rPr>
          <w:color w:val="auto"/>
          <w:sz w:val="24"/>
          <w:szCs w:val="24"/>
        </w:rPr>
        <w:instrText xml:space="preserve"> HYPERLINK \l _Toc19825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_Toc19825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r>
        <w:rPr>
          <w:color w:val="auto"/>
          <w:sz w:val="24"/>
          <w:szCs w:val="24"/>
        </w:rPr>
        <w:fldChar w:fldCharType="end"/>
      </w:r>
    </w:p>
    <w:p w14:paraId="188BEC45">
      <w:pPr>
        <w:pStyle w:val="4"/>
        <w:tabs>
          <w:tab w:val="right" w:leader="dot" w:pos="9000"/>
        </w:tabs>
        <w:snapToGrid w:val="0"/>
        <w:spacing w:before="0" w:after="0"/>
        <w:rPr>
          <w:rStyle w:val="56"/>
          <w:b w:val="0"/>
          <w:color w:val="auto"/>
        </w:rPr>
      </w:pPr>
      <w:r>
        <w:rPr>
          <w:color w:val="auto"/>
          <w:sz w:val="24"/>
        </w:rPr>
        <w:br w:type="page"/>
      </w:r>
      <w:bookmarkStart w:id="1" w:name="_Toc118516209"/>
      <w:bookmarkStart w:id="2" w:name="_Toc171394907"/>
      <w:bookmarkStart w:id="3" w:name="_Toc15311"/>
      <w:bookmarkStart w:id="4" w:name="_Toc32496"/>
      <w:bookmarkStart w:id="5" w:name="_Toc27478"/>
      <w:bookmarkStart w:id="6" w:name="_Toc17969"/>
      <w:bookmarkStart w:id="7" w:name="_Toc13062"/>
      <w:bookmarkStart w:id="8" w:name="_Toc24330"/>
      <w:bookmarkStart w:id="9" w:name="_Toc20259"/>
      <w:bookmarkStart w:id="10" w:name="_Toc10690"/>
      <w:bookmarkStart w:id="11" w:name="_Toc32381"/>
      <w:bookmarkStart w:id="12" w:name="_Toc433537961"/>
      <w:bookmarkStart w:id="13" w:name="_Toc23298"/>
      <w:bookmarkStart w:id="14" w:name="_Toc10026"/>
      <w:bookmarkStart w:id="15" w:name="_Toc3034"/>
      <w:bookmarkStart w:id="16" w:name="_Toc7090"/>
      <w:bookmarkStart w:id="17" w:name="_Toc4547"/>
      <w:bookmarkStart w:id="18" w:name="_Toc9769"/>
      <w:bookmarkStart w:id="19" w:name="_Toc9372"/>
      <w:bookmarkStart w:id="20" w:name="_Toc9280"/>
      <w:bookmarkStart w:id="21" w:name="_Toc29438"/>
      <w:bookmarkStart w:id="22" w:name="_Toc29876"/>
      <w:bookmarkStart w:id="23" w:name="_Toc25841"/>
      <w:bookmarkStart w:id="24" w:name="_Toc25143"/>
      <w:bookmarkStart w:id="25" w:name="_Toc440"/>
      <w:bookmarkStart w:id="26" w:name="_Toc12840"/>
      <w:bookmarkStart w:id="27" w:name="_Toc4488"/>
      <w:bookmarkStart w:id="28" w:name="_Toc10391"/>
      <w:bookmarkStart w:id="29" w:name="_Toc3154"/>
      <w:bookmarkStart w:id="30" w:name="_Toc16674"/>
      <w:bookmarkStart w:id="31" w:name="_Toc10651"/>
      <w:bookmarkStart w:id="32" w:name="_Toc12052"/>
      <w:bookmarkStart w:id="33" w:name="_Toc14546"/>
      <w:bookmarkStart w:id="34" w:name="_Toc7321"/>
      <w:bookmarkStart w:id="35" w:name="_Toc6441"/>
      <w:bookmarkStart w:id="36" w:name="_Toc14280"/>
      <w:bookmarkStart w:id="37" w:name="_Toc938"/>
      <w:r>
        <w:rPr>
          <w:rStyle w:val="56"/>
          <w:rFonts w:hint="eastAsia"/>
          <w:b w:val="0"/>
          <w:color w:val="auto"/>
        </w:rPr>
        <w:t>第一部分</w:t>
      </w:r>
      <w:bookmarkEnd w:id="1"/>
      <w:r>
        <w:rPr>
          <w:rStyle w:val="56"/>
          <w:b w:val="0"/>
          <w:color w:val="auto"/>
        </w:rPr>
        <w:t xml:space="preserve">  </w:t>
      </w:r>
      <w:r>
        <w:rPr>
          <w:rStyle w:val="56"/>
          <w:rFonts w:hint="eastAsia"/>
          <w:b w:val="0"/>
          <w:color w:val="auto"/>
        </w:rPr>
        <w:t>竞争性磋商</w:t>
      </w:r>
      <w:bookmarkEnd w:id="2"/>
      <w:r>
        <w:rPr>
          <w:rStyle w:val="56"/>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1AEA8A84">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8" w:name="_Toc171394908"/>
      <w:bookmarkStart w:id="39" w:name="_Toc171394910"/>
      <w:bookmarkStart w:id="40"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信息化及软硬件维保服务项目进行竞争性磋商(简称磋商)采购，欢迎国内合格的供应商前来参加。</w:t>
      </w:r>
    </w:p>
    <w:p w14:paraId="5F2E5F0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1" w:name="_Toc6517"/>
      <w:bookmarkStart w:id="42" w:name="_Toc25225"/>
      <w:bookmarkStart w:id="43" w:name="_Toc12969"/>
      <w:bookmarkStart w:id="44" w:name="_Toc19591"/>
      <w:bookmarkStart w:id="45" w:name="_Toc21083"/>
      <w:bookmarkStart w:id="46" w:name="_Toc28017"/>
      <w:bookmarkStart w:id="47" w:name="_Toc10031"/>
      <w:bookmarkStart w:id="48" w:name="_Toc183786415"/>
      <w:bookmarkStart w:id="49" w:name="_Toc433537963"/>
      <w:r>
        <w:rPr>
          <w:rFonts w:hint="eastAsia" w:asciiTheme="minorEastAsia" w:hAnsiTheme="minorEastAsia" w:eastAsiaTheme="minorEastAsia" w:cstheme="minorEastAsia"/>
          <w:b/>
          <w:bCs/>
          <w:color w:val="auto"/>
          <w:sz w:val="24"/>
          <w:szCs w:val="24"/>
        </w:rPr>
        <w:t>一、</w:t>
      </w:r>
      <w:bookmarkEnd w:id="3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：2024-JH-CS10</w:t>
      </w:r>
    </w:p>
    <w:p w14:paraId="3DF56E95">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81254F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40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800"/>
        <w:gridCol w:w="4530"/>
        <w:gridCol w:w="690"/>
        <w:gridCol w:w="1395"/>
      </w:tblGrid>
      <w:tr w14:paraId="15D2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92" w:type="dxa"/>
            <w:vAlign w:val="center"/>
          </w:tcPr>
          <w:p w14:paraId="2CB71AB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800" w:type="dxa"/>
            <w:tcBorders>
              <w:right w:val="single" w:color="000000" w:sz="4" w:space="0"/>
            </w:tcBorders>
            <w:vAlign w:val="center"/>
          </w:tcPr>
          <w:p w14:paraId="6288089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530" w:type="dxa"/>
            <w:tcBorders>
              <w:right w:val="single" w:color="000000" w:sz="4" w:space="0"/>
            </w:tcBorders>
            <w:vAlign w:val="center"/>
          </w:tcPr>
          <w:p w14:paraId="5197330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690" w:type="dxa"/>
            <w:vAlign w:val="center"/>
          </w:tcPr>
          <w:p w14:paraId="4303C439">
            <w:pPr>
              <w:spacing w:line="400" w:lineRule="exact"/>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服务期限</w:t>
            </w:r>
          </w:p>
        </w:tc>
        <w:tc>
          <w:tcPr>
            <w:tcW w:w="1395" w:type="dxa"/>
            <w:vAlign w:val="center"/>
          </w:tcPr>
          <w:p w14:paraId="0769F0F4">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5C18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992" w:type="dxa"/>
            <w:vAlign w:val="center"/>
          </w:tcPr>
          <w:p w14:paraId="4C419668">
            <w:pPr>
              <w:spacing w:line="420" w:lineRule="exact"/>
              <w:jc w:val="center"/>
              <w:rPr>
                <w:rFonts w:ascii="宋体" w:hAnsi="宋体"/>
                <w:color w:val="auto"/>
                <w:sz w:val="24"/>
                <w:szCs w:val="24"/>
              </w:rPr>
            </w:pPr>
            <w:r>
              <w:rPr>
                <w:rFonts w:hint="eastAsia" w:ascii="宋体" w:hAnsi="宋体"/>
                <w:color w:val="auto"/>
                <w:sz w:val="24"/>
                <w:szCs w:val="24"/>
              </w:rPr>
              <w:t>1</w:t>
            </w:r>
          </w:p>
        </w:tc>
        <w:tc>
          <w:tcPr>
            <w:tcW w:w="1800" w:type="dxa"/>
            <w:tcBorders>
              <w:right w:val="single" w:color="000000" w:sz="4" w:space="0"/>
            </w:tcBorders>
            <w:vAlign w:val="center"/>
          </w:tcPr>
          <w:p w14:paraId="2C97936A">
            <w:pPr>
              <w:spacing w:line="420" w:lineRule="exact"/>
              <w:jc w:val="center"/>
              <w:rPr>
                <w:rFonts w:ascii="宋体" w:hAnsi="宋体"/>
                <w:color w:val="auto"/>
                <w:sz w:val="24"/>
                <w:szCs w:val="24"/>
              </w:rPr>
            </w:pPr>
            <w:r>
              <w:rPr>
                <w:rFonts w:hint="eastAsia" w:ascii="宋体" w:hAnsi="宋体"/>
                <w:color w:val="auto"/>
                <w:sz w:val="24"/>
                <w:szCs w:val="24"/>
              </w:rPr>
              <w:t>信息化及软硬件维保服务</w:t>
            </w:r>
          </w:p>
        </w:tc>
        <w:tc>
          <w:tcPr>
            <w:tcW w:w="4530" w:type="dxa"/>
            <w:tcBorders>
              <w:right w:val="single" w:color="000000" w:sz="4" w:space="0"/>
            </w:tcBorders>
            <w:vAlign w:val="center"/>
          </w:tcPr>
          <w:p w14:paraId="528974D7">
            <w:pPr>
              <w:spacing w:line="420" w:lineRule="exact"/>
              <w:jc w:val="left"/>
              <w:rPr>
                <w:rFonts w:ascii="宋体" w:hAnsi="宋体"/>
                <w:color w:val="auto"/>
                <w:sz w:val="24"/>
                <w:szCs w:val="24"/>
              </w:rPr>
            </w:pPr>
            <w:r>
              <w:rPr>
                <w:rFonts w:hint="eastAsia" w:ascii="宋体" w:hAnsi="宋体" w:cs="宋体"/>
                <w:color w:val="auto"/>
                <w:sz w:val="24"/>
              </w:rPr>
              <w:t>包含服务器、存储、网络及安全设备维保及服务，机房维保及服务，信息系统维保及服务等</w:t>
            </w:r>
          </w:p>
        </w:tc>
        <w:tc>
          <w:tcPr>
            <w:tcW w:w="690" w:type="dxa"/>
            <w:vAlign w:val="center"/>
          </w:tcPr>
          <w:p w14:paraId="6973F9A2">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1年</w:t>
            </w:r>
          </w:p>
        </w:tc>
        <w:tc>
          <w:tcPr>
            <w:tcW w:w="1395" w:type="dxa"/>
            <w:vAlign w:val="center"/>
          </w:tcPr>
          <w:p w14:paraId="0493DF10">
            <w:pPr>
              <w:spacing w:line="420" w:lineRule="exact"/>
              <w:jc w:val="center"/>
              <w:rPr>
                <w:rFonts w:ascii="宋体" w:hAnsi="宋体"/>
                <w:color w:val="auto"/>
                <w:sz w:val="24"/>
                <w:szCs w:val="24"/>
              </w:rPr>
            </w:pPr>
            <w:r>
              <w:rPr>
                <w:rFonts w:hint="eastAsia" w:ascii="宋体" w:hAnsi="宋体" w:cs="宋体"/>
                <w:color w:val="auto"/>
                <w:sz w:val="24"/>
              </w:rPr>
              <w:t>477000</w:t>
            </w:r>
          </w:p>
        </w:tc>
      </w:tr>
    </w:tbl>
    <w:p w14:paraId="3AB08D8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9"/>
      <w:bookmarkEnd w:id="40"/>
    </w:p>
    <w:p w14:paraId="5039C2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62771B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w:t>
      </w:r>
      <w:r>
        <w:rPr>
          <w:rFonts w:hint="eastAsia" w:hAnsi="宋体" w:cs="宋体"/>
          <w:color w:val="auto"/>
          <w:sz w:val="24"/>
        </w:rPr>
        <w:t>本项目整体专门面向中小企业采购。监狱企业、残疾人福利性单位视同小型、微型企业</w:t>
      </w:r>
      <w:r>
        <w:rPr>
          <w:rFonts w:hint="eastAsia" w:ascii="宋体" w:hAnsi="宋体"/>
          <w:color w:val="auto"/>
          <w:sz w:val="24"/>
          <w:szCs w:val="24"/>
        </w:rPr>
        <w:t>。</w:t>
      </w:r>
    </w:p>
    <w:p w14:paraId="2AD87AE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1434874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590BD24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eastAsia" w:ascii="宋体" w:hAnsi="宋体"/>
          <w:color w:val="auto"/>
          <w:sz w:val="24"/>
          <w:szCs w:val="24"/>
          <w:lang w:val="en-US" w:eastAsia="zh-CN"/>
        </w:rPr>
        <w:t>11</w:t>
      </w:r>
      <w:r>
        <w:rPr>
          <w:rFonts w:hint="eastAsia" w:ascii="宋体" w:hAnsi="宋体"/>
          <w:color w:val="auto"/>
          <w:sz w:val="24"/>
          <w:szCs w:val="24"/>
        </w:rPr>
        <w:t>月</w:t>
      </w:r>
      <w:r>
        <w:rPr>
          <w:rFonts w:hint="eastAsia" w:ascii="宋体" w:hAnsi="宋体"/>
          <w:color w:val="auto"/>
          <w:sz w:val="24"/>
          <w:szCs w:val="24"/>
          <w:lang w:val="en-US" w:eastAsia="zh-CN"/>
        </w:rPr>
        <w:t>26</w:t>
      </w:r>
      <w:r>
        <w:rPr>
          <w:rFonts w:hint="eastAsia" w:ascii="宋体" w:hAnsi="宋体"/>
          <w:color w:val="auto"/>
          <w:sz w:val="24"/>
          <w:szCs w:val="24"/>
        </w:rPr>
        <w:t>日至202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eastAsia" w:ascii="宋体" w:hAnsi="宋体"/>
          <w:color w:val="auto"/>
          <w:sz w:val="24"/>
          <w:szCs w:val="24"/>
          <w:lang w:val="en-US" w:eastAsia="zh-CN"/>
        </w:rPr>
        <w:t>12</w:t>
      </w:r>
      <w:r>
        <w:rPr>
          <w:rFonts w:hint="eastAsia" w:ascii="宋体" w:hAnsi="宋体"/>
          <w:color w:val="auto"/>
          <w:sz w:val="24"/>
          <w:szCs w:val="24"/>
        </w:rPr>
        <w:t>月</w:t>
      </w:r>
      <w:r>
        <w:rPr>
          <w:rFonts w:hint="eastAsia" w:ascii="宋体" w:hAnsi="宋体"/>
          <w:color w:val="auto"/>
          <w:sz w:val="24"/>
          <w:szCs w:val="24"/>
          <w:lang w:val="en-US" w:eastAsia="zh-CN"/>
        </w:rPr>
        <w:t>3</w:t>
      </w:r>
      <w:r>
        <w:rPr>
          <w:rFonts w:hint="eastAsia" w:ascii="宋体" w:hAnsi="宋体"/>
          <w:color w:val="auto"/>
          <w:sz w:val="24"/>
          <w:szCs w:val="24"/>
        </w:rPr>
        <w:t>日，上午00:00至12:00，下午12:00至23:59（北京时间，线上获取法定节假日均可，线下获取双休日及法定节假日除外）。</w:t>
      </w:r>
    </w:p>
    <w:p w14:paraId="12587F6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1B22DBA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335145A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4、获取文件联系人：杜老师；联系方式：0571-87713548；邮箱：20230069@hdu.edu.cn。</w:t>
      </w:r>
    </w:p>
    <w:p w14:paraId="74038EE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6DCDF832">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6、已在线上报名的供应商务必在202</w:t>
      </w:r>
      <w:r>
        <w:rPr>
          <w:rFonts w:hint="eastAsia" w:ascii="宋体" w:hAnsi="宋体"/>
          <w:b/>
          <w:bCs/>
          <w:color w:val="auto"/>
          <w:sz w:val="24"/>
          <w:szCs w:val="24"/>
          <w:lang w:val="en-US" w:eastAsia="zh-CN"/>
        </w:rPr>
        <w:t>4</w:t>
      </w:r>
      <w:r>
        <w:rPr>
          <w:rFonts w:hint="eastAsia" w:ascii="宋体" w:hAnsi="宋体"/>
          <w:b/>
          <w:bCs/>
          <w:color w:val="auto"/>
          <w:sz w:val="24"/>
          <w:szCs w:val="24"/>
        </w:rPr>
        <w:t>年</w:t>
      </w:r>
      <w:r>
        <w:rPr>
          <w:rFonts w:hint="eastAsia" w:ascii="宋体" w:hAnsi="宋体"/>
          <w:b/>
          <w:bCs/>
          <w:color w:val="auto"/>
          <w:sz w:val="24"/>
          <w:szCs w:val="24"/>
          <w:lang w:val="en-US" w:eastAsia="zh-CN"/>
        </w:rPr>
        <w:t>12</w:t>
      </w:r>
      <w:r>
        <w:rPr>
          <w:rFonts w:hint="eastAsia" w:ascii="宋体" w:hAnsi="宋体"/>
          <w:b/>
          <w:bCs/>
          <w:color w:val="auto"/>
          <w:sz w:val="24"/>
          <w:szCs w:val="24"/>
        </w:rPr>
        <w:t>月</w:t>
      </w:r>
      <w:r>
        <w:rPr>
          <w:rFonts w:hint="eastAsia" w:ascii="宋体" w:hAnsi="宋体"/>
          <w:b/>
          <w:bCs/>
          <w:color w:val="auto"/>
          <w:sz w:val="24"/>
          <w:szCs w:val="24"/>
          <w:lang w:val="en-US" w:eastAsia="zh-CN"/>
        </w:rPr>
        <w:t>6</w:t>
      </w:r>
      <w:r>
        <w:rPr>
          <w:rFonts w:hint="eastAsia" w:ascii="宋体" w:hAnsi="宋体"/>
          <w:b/>
          <w:bCs/>
          <w:color w:val="auto"/>
          <w:sz w:val="24"/>
          <w:szCs w:val="24"/>
        </w:rPr>
        <w:t>日上午9点前将书面文件以邮件方式</w:t>
      </w:r>
      <w:bookmarkStart w:id="51" w:name="_Hlk180574599"/>
      <w:r>
        <w:rPr>
          <w:rFonts w:hint="eastAsia" w:ascii="宋体" w:hAnsi="宋体"/>
          <w:b/>
          <w:bCs/>
          <w:color w:val="auto"/>
          <w:sz w:val="24"/>
          <w:szCs w:val="24"/>
        </w:rPr>
        <w:t>告</w:t>
      </w:r>
      <w:bookmarkEnd w:id="51"/>
      <w:r>
        <w:rPr>
          <w:rFonts w:hint="eastAsia" w:ascii="宋体" w:hAnsi="宋体"/>
          <w:b/>
          <w:bCs/>
          <w:color w:val="auto"/>
          <w:sz w:val="24"/>
          <w:szCs w:val="24"/>
        </w:rPr>
        <w:t>知采购方（邮箱：20230069@hdu.edu.cn）是否参加本次响应。</w:t>
      </w:r>
    </w:p>
    <w:p w14:paraId="09DFB8C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CA948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20FC83E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4</w:t>
      </w:r>
      <w:r>
        <w:rPr>
          <w:rFonts w:hint="eastAsia" w:ascii="宋体" w:hAnsi="宋体"/>
          <w:b/>
          <w:bCs/>
          <w:color w:val="auto"/>
          <w:sz w:val="24"/>
          <w:szCs w:val="24"/>
        </w:rPr>
        <w:t>年</w:t>
      </w:r>
      <w:r>
        <w:rPr>
          <w:rFonts w:hint="eastAsia" w:ascii="宋体" w:hAnsi="宋体"/>
          <w:b/>
          <w:bCs/>
          <w:color w:val="auto"/>
          <w:sz w:val="24"/>
          <w:szCs w:val="24"/>
          <w:lang w:val="en-US" w:eastAsia="zh-CN"/>
        </w:rPr>
        <w:t>12</w:t>
      </w:r>
      <w:r>
        <w:rPr>
          <w:rFonts w:hint="eastAsia" w:ascii="宋体" w:hAnsi="宋体"/>
          <w:b/>
          <w:bCs/>
          <w:color w:val="auto"/>
          <w:sz w:val="24"/>
          <w:szCs w:val="24"/>
        </w:rPr>
        <w:t>月</w:t>
      </w:r>
      <w:r>
        <w:rPr>
          <w:rFonts w:hint="eastAsia" w:ascii="宋体" w:hAnsi="宋体"/>
          <w:b/>
          <w:bCs/>
          <w:color w:val="auto"/>
          <w:sz w:val="24"/>
          <w:szCs w:val="24"/>
          <w:lang w:val="en-US" w:eastAsia="zh-CN"/>
        </w:rPr>
        <w:t>6</w:t>
      </w:r>
      <w:r>
        <w:rPr>
          <w:rFonts w:hint="eastAsia" w:ascii="宋体" w:hAnsi="宋体"/>
          <w:b/>
          <w:bCs/>
          <w:color w:val="auto"/>
          <w:sz w:val="24"/>
          <w:szCs w:val="24"/>
        </w:rPr>
        <w:t xml:space="preserve">日上午9时整 </w:t>
      </w:r>
    </w:p>
    <w:p w14:paraId="1522B10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FF88BF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4BAC8F6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 xml:space="preserve">2024年12月6日上午9时整 </w:t>
      </w:r>
    </w:p>
    <w:p w14:paraId="51C5BDA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64B9358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7479EF14">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214E5C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67B5273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采购人用户部门：杭州电子科技大学信息技术中心</w:t>
      </w:r>
    </w:p>
    <w:p w14:paraId="05A5305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袁</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13968056201。</w:t>
      </w:r>
    </w:p>
    <w:p w14:paraId="4C51605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0007B36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11EC5195">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rPr>
        <w:t>崔老师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687869</w:t>
      </w:r>
      <w:r>
        <w:rPr>
          <w:rFonts w:ascii="宋体" w:hAnsi="宋体"/>
          <w:color w:val="auto"/>
          <w:sz w:val="24"/>
          <w:szCs w:val="24"/>
          <w:u w:val="single"/>
        </w:rPr>
        <w:t xml:space="preserve">7 </w:t>
      </w:r>
    </w:p>
    <w:p w14:paraId="4D8E375E">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262D4AC0">
      <w:pPr>
        <w:pStyle w:val="2"/>
        <w:rPr>
          <w:color w:val="auto"/>
        </w:rPr>
      </w:pPr>
    </w:p>
    <w:p w14:paraId="57DB82EA">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69BFA88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316231FC">
      <w:pPr>
        <w:pStyle w:val="23"/>
        <w:rPr>
          <w:color w:val="auto"/>
        </w:rPr>
      </w:pPr>
    </w:p>
    <w:p w14:paraId="361628AC">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0C224F4D">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4</w:t>
      </w:r>
      <w:r>
        <w:rPr>
          <w:rFonts w:hint="eastAsia" w:ascii="宋体" w:hAnsi="宋体"/>
          <w:color w:val="auto"/>
          <w:sz w:val="24"/>
          <w:szCs w:val="24"/>
        </w:rPr>
        <w:t>年</w:t>
      </w:r>
      <w:r>
        <w:rPr>
          <w:rFonts w:hint="eastAsia" w:ascii="宋体" w:hAnsi="宋体"/>
          <w:color w:val="auto"/>
          <w:sz w:val="24"/>
          <w:szCs w:val="24"/>
          <w:lang w:val="en-US" w:eastAsia="zh-CN"/>
        </w:rPr>
        <w:t>11</w:t>
      </w:r>
      <w:r>
        <w:rPr>
          <w:rFonts w:hint="eastAsia" w:ascii="宋体" w:hAnsi="宋体"/>
          <w:color w:val="auto"/>
          <w:sz w:val="24"/>
          <w:szCs w:val="24"/>
        </w:rPr>
        <w:t>月</w:t>
      </w:r>
      <w:r>
        <w:rPr>
          <w:rFonts w:hint="eastAsia" w:ascii="宋体" w:hAnsi="宋体"/>
          <w:color w:val="auto"/>
          <w:sz w:val="24"/>
          <w:szCs w:val="24"/>
          <w:lang w:val="en-US" w:eastAsia="zh-CN"/>
        </w:rPr>
        <w:t>26</w:t>
      </w:r>
      <w:r>
        <w:rPr>
          <w:rFonts w:hint="eastAsia" w:ascii="宋体" w:hAnsi="宋体"/>
          <w:color w:val="auto"/>
          <w:sz w:val="24"/>
          <w:szCs w:val="24"/>
        </w:rPr>
        <w:t>日</w:t>
      </w:r>
    </w:p>
    <w:p w14:paraId="58971822">
      <w:pPr>
        <w:wordWrap w:val="0"/>
        <w:adjustRightInd w:val="0"/>
        <w:snapToGrid w:val="0"/>
        <w:spacing w:line="420" w:lineRule="exact"/>
        <w:ind w:left="31" w:right="480" w:hanging="31" w:hangingChars="13"/>
        <w:jc w:val="right"/>
        <w:rPr>
          <w:rFonts w:ascii="宋体"/>
          <w:color w:val="auto"/>
          <w:sz w:val="24"/>
          <w:szCs w:val="24"/>
        </w:rPr>
      </w:pPr>
    </w:p>
    <w:p w14:paraId="4DF00E66">
      <w:pPr>
        <w:adjustRightInd w:val="0"/>
        <w:snapToGrid w:val="0"/>
        <w:spacing w:before="120" w:beforeLines="50" w:after="120" w:afterLines="50" w:line="420" w:lineRule="exact"/>
        <w:ind w:right="480"/>
        <w:jc w:val="center"/>
        <w:rPr>
          <w:rStyle w:val="56"/>
          <w:color w:val="auto"/>
        </w:rPr>
      </w:pPr>
      <w:bookmarkStart w:id="899" w:name="_GoBack"/>
      <w:bookmarkEnd w:id="899"/>
      <w:r>
        <w:rPr>
          <w:rStyle w:val="111"/>
          <w:b w:val="0"/>
          <w:snapToGrid/>
          <w:color w:val="auto"/>
          <w:sz w:val="24"/>
          <w:szCs w:val="24"/>
        </w:rPr>
        <w:br w:type="page"/>
      </w:r>
      <w:bookmarkStart w:id="52" w:name="_Toc18447"/>
      <w:bookmarkStart w:id="53" w:name="_Toc12821"/>
      <w:bookmarkStart w:id="54" w:name="_Toc19935"/>
      <w:bookmarkStart w:id="55" w:name="_Toc24579"/>
      <w:bookmarkStart w:id="56" w:name="_Toc27564"/>
      <w:bookmarkStart w:id="57" w:name="_Toc13359"/>
      <w:bookmarkStart w:id="58" w:name="_Toc8923"/>
      <w:bookmarkStart w:id="59" w:name="_Toc11189"/>
      <w:bookmarkStart w:id="60" w:name="_Toc21096"/>
      <w:bookmarkStart w:id="61" w:name="_Toc25493"/>
      <w:bookmarkStart w:id="62" w:name="_Toc6139"/>
      <w:bookmarkStart w:id="63" w:name="_Toc27007"/>
      <w:bookmarkStart w:id="64" w:name="_Toc5412"/>
      <w:bookmarkStart w:id="65" w:name="_Toc31424"/>
      <w:bookmarkStart w:id="66" w:name="_Toc30864"/>
      <w:bookmarkStart w:id="67" w:name="_Toc28369"/>
      <w:bookmarkStart w:id="68" w:name="_Toc15380"/>
      <w:bookmarkStart w:id="69" w:name="_Toc7205"/>
      <w:bookmarkStart w:id="70" w:name="_Toc31392"/>
      <w:bookmarkStart w:id="71" w:name="_Toc16190"/>
      <w:bookmarkStart w:id="72" w:name="_Toc31607"/>
      <w:bookmarkStart w:id="73" w:name="_Toc8774"/>
      <w:bookmarkStart w:id="74" w:name="_Toc9474"/>
      <w:bookmarkStart w:id="75" w:name="_Toc20151"/>
      <w:bookmarkStart w:id="76" w:name="_Toc14615"/>
      <w:bookmarkStart w:id="77" w:name="_Toc14015"/>
      <w:bookmarkStart w:id="78" w:name="_Toc30939"/>
      <w:bookmarkStart w:id="79" w:name="_Toc13468"/>
      <w:bookmarkStart w:id="80" w:name="_Toc20175"/>
      <w:bookmarkStart w:id="81" w:name="_Toc25903"/>
      <w:bookmarkStart w:id="82" w:name="_Toc30984"/>
      <w:bookmarkStart w:id="83" w:name="_Toc14371"/>
      <w:bookmarkStart w:id="84" w:name="_Toc10682"/>
      <w:bookmarkStart w:id="85" w:name="_Toc8413"/>
      <w:r>
        <w:rPr>
          <w:rStyle w:val="56"/>
          <w:rFonts w:hint="eastAsia"/>
          <w:color w:val="auto"/>
        </w:rPr>
        <w:t>第二部分</w:t>
      </w:r>
      <w:r>
        <w:rPr>
          <w:rStyle w:val="56"/>
          <w:color w:val="auto"/>
        </w:rPr>
        <w:t xml:space="preserve">  </w:t>
      </w:r>
      <w:r>
        <w:rPr>
          <w:rStyle w:val="56"/>
          <w:rFonts w:hint="eastAsia"/>
          <w:color w:val="auto"/>
        </w:rPr>
        <w:t>响应方须知</w:t>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61C61D7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6" w:name="_Toc28079"/>
      <w:bookmarkStart w:id="87" w:name="_Toc1714"/>
      <w:bookmarkStart w:id="88" w:name="_Toc31880"/>
      <w:bookmarkStart w:id="89" w:name="_Toc23420"/>
      <w:bookmarkStart w:id="90" w:name="_Toc6715"/>
      <w:bookmarkStart w:id="91" w:name="_Toc26073"/>
      <w:bookmarkStart w:id="92" w:name="_Toc23359"/>
      <w:bookmarkStart w:id="93" w:name="_Toc23155"/>
      <w:bookmarkStart w:id="94" w:name="_Toc16998"/>
      <w:bookmarkStart w:id="95" w:name="_Toc20573"/>
      <w:bookmarkStart w:id="96" w:name="_Toc32596"/>
      <w:bookmarkStart w:id="97" w:name="_Toc12644"/>
      <w:bookmarkStart w:id="98" w:name="_Toc26853"/>
      <w:bookmarkStart w:id="99" w:name="_Toc20565"/>
      <w:bookmarkStart w:id="100" w:name="_Toc8376"/>
      <w:bookmarkStart w:id="101" w:name="_Toc30159"/>
      <w:bookmarkStart w:id="102" w:name="_Toc29793"/>
      <w:bookmarkStart w:id="103" w:name="_Toc28026"/>
      <w:bookmarkStart w:id="104" w:name="_Toc5119"/>
      <w:bookmarkStart w:id="105" w:name="_Toc10518"/>
      <w:bookmarkStart w:id="106" w:name="_Toc9778"/>
      <w:bookmarkStart w:id="107" w:name="_Toc6421"/>
      <w:bookmarkStart w:id="108" w:name="_Toc1743"/>
      <w:bookmarkStart w:id="109" w:name="_Toc10657"/>
      <w:bookmarkStart w:id="110" w:name="_Toc4505"/>
      <w:bookmarkStart w:id="111" w:name="_Toc9123"/>
      <w:bookmarkStart w:id="112" w:name="_Toc26025"/>
      <w:bookmarkStart w:id="113" w:name="_Toc10414"/>
      <w:bookmarkStart w:id="114" w:name="_Toc3269"/>
      <w:bookmarkStart w:id="115" w:name="_Toc22339"/>
      <w:bookmarkStart w:id="116" w:name="_Toc29458"/>
      <w:bookmarkStart w:id="117" w:name="_Toc17697"/>
      <w:bookmarkStart w:id="118" w:name="_Toc483"/>
      <w:bookmarkStart w:id="119" w:name="_Toc27500"/>
      <w:r>
        <w:rPr>
          <w:rFonts w:hint="eastAsia" w:ascii="楷体" w:hAnsi="楷体" w:eastAsia="楷体" w:cs="楷体"/>
          <w:snapToGrid w:val="0"/>
          <w:color w:val="auto"/>
          <w:kern w:val="44"/>
          <w:sz w:val="32"/>
          <w:szCs w:val="32"/>
        </w:rPr>
        <w:t>前附表</w:t>
      </w:r>
      <w:bookmarkEnd w:id="50"/>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Start w:id="120"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5651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56F3DBC0">
            <w:pPr>
              <w:rPr>
                <w:rFonts w:ascii="宋体"/>
                <w:b/>
                <w:color w:val="auto"/>
                <w:sz w:val="24"/>
                <w:szCs w:val="24"/>
              </w:rPr>
            </w:pPr>
            <w:r>
              <w:rPr>
                <w:rFonts w:hint="eastAsia" w:ascii="宋体" w:hAnsi="宋体"/>
                <w:b/>
                <w:color w:val="auto"/>
                <w:sz w:val="24"/>
                <w:szCs w:val="24"/>
              </w:rPr>
              <w:t>序号</w:t>
            </w:r>
          </w:p>
        </w:tc>
        <w:tc>
          <w:tcPr>
            <w:tcW w:w="2043" w:type="dxa"/>
            <w:vAlign w:val="center"/>
          </w:tcPr>
          <w:p w14:paraId="3F5B7269">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677875E">
            <w:pPr>
              <w:jc w:val="center"/>
              <w:rPr>
                <w:rFonts w:ascii="宋体"/>
                <w:b/>
                <w:color w:val="auto"/>
                <w:sz w:val="24"/>
                <w:szCs w:val="24"/>
              </w:rPr>
            </w:pPr>
            <w:r>
              <w:rPr>
                <w:rFonts w:hint="eastAsia" w:ascii="宋体" w:hAnsi="宋体"/>
                <w:b/>
                <w:color w:val="auto"/>
                <w:sz w:val="24"/>
                <w:szCs w:val="24"/>
              </w:rPr>
              <w:t>内容</w:t>
            </w:r>
          </w:p>
        </w:tc>
      </w:tr>
      <w:tr w14:paraId="4BE9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B16CCBC">
            <w:pPr>
              <w:pStyle w:val="181"/>
              <w:adjustRightInd/>
              <w:spacing w:line="240" w:lineRule="auto"/>
              <w:rPr>
                <w:color w:val="auto"/>
                <w:szCs w:val="24"/>
              </w:rPr>
            </w:pPr>
            <w:r>
              <w:rPr>
                <w:rFonts w:hint="eastAsia"/>
                <w:color w:val="auto"/>
                <w:szCs w:val="24"/>
              </w:rPr>
              <w:t>1</w:t>
            </w:r>
          </w:p>
        </w:tc>
        <w:tc>
          <w:tcPr>
            <w:tcW w:w="2043" w:type="dxa"/>
            <w:vAlign w:val="center"/>
          </w:tcPr>
          <w:p w14:paraId="74434B16">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758B0323">
            <w:pPr>
              <w:rPr>
                <w:rFonts w:ascii="宋体"/>
                <w:color w:val="auto"/>
                <w:sz w:val="24"/>
                <w:szCs w:val="24"/>
              </w:rPr>
            </w:pPr>
            <w:r>
              <w:rPr>
                <w:rFonts w:hint="eastAsia" w:ascii="宋体" w:hAnsi="宋体"/>
                <w:color w:val="auto"/>
                <w:sz w:val="24"/>
                <w:szCs w:val="24"/>
              </w:rPr>
              <w:t>信息化及软硬件维保服务</w:t>
            </w:r>
          </w:p>
        </w:tc>
      </w:tr>
      <w:tr w14:paraId="0E25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0790AC">
            <w:pPr>
              <w:jc w:val="center"/>
              <w:rPr>
                <w:rFonts w:ascii="宋体" w:hAnsi="宋体"/>
                <w:color w:val="auto"/>
                <w:sz w:val="24"/>
                <w:szCs w:val="24"/>
              </w:rPr>
            </w:pPr>
          </w:p>
        </w:tc>
        <w:tc>
          <w:tcPr>
            <w:tcW w:w="2043" w:type="dxa"/>
            <w:vAlign w:val="center"/>
          </w:tcPr>
          <w:p w14:paraId="749B190F">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7150E96">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软件和信息技术服务业。</w:t>
            </w:r>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29F3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EEDD43">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0010CE70">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6952D27">
            <w:pPr>
              <w:rPr>
                <w:rFonts w:ascii="宋体"/>
                <w:color w:val="auto"/>
                <w:sz w:val="24"/>
                <w:szCs w:val="24"/>
              </w:rPr>
            </w:pPr>
            <w:r>
              <w:rPr>
                <w:rFonts w:hint="eastAsia" w:ascii="宋体" w:hAnsi="宋体"/>
                <w:color w:val="auto"/>
                <w:sz w:val="24"/>
                <w:szCs w:val="24"/>
              </w:rPr>
              <w:t>2024-JH-CS10</w:t>
            </w:r>
          </w:p>
        </w:tc>
      </w:tr>
      <w:tr w14:paraId="5C29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E4B0BD">
            <w:pPr>
              <w:jc w:val="center"/>
              <w:rPr>
                <w:rFonts w:ascii="宋体"/>
                <w:color w:val="auto"/>
                <w:sz w:val="24"/>
                <w:szCs w:val="24"/>
              </w:rPr>
            </w:pPr>
          </w:p>
        </w:tc>
        <w:tc>
          <w:tcPr>
            <w:tcW w:w="2043" w:type="dxa"/>
            <w:vAlign w:val="center"/>
          </w:tcPr>
          <w:p w14:paraId="76E5CC97">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30F3AC4E">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06DB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C3EA43B">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492E63F5">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7F8D848D">
            <w:pPr>
              <w:pStyle w:val="30"/>
              <w:ind w:left="0" w:leftChars="0"/>
              <w:rPr>
                <w:color w:val="auto"/>
                <w:szCs w:val="24"/>
              </w:rPr>
            </w:pPr>
            <w:r>
              <w:rPr>
                <w:rFonts w:hint="eastAsia"/>
                <w:color w:val="auto"/>
                <w:szCs w:val="24"/>
              </w:rPr>
              <w:t>杭州电子科技大学</w:t>
            </w:r>
            <w:r>
              <w:rPr>
                <w:rFonts w:hint="eastAsia"/>
                <w:color w:val="auto"/>
                <w:kern w:val="0"/>
                <w:szCs w:val="24"/>
              </w:rPr>
              <w:t>信息技术中心</w:t>
            </w:r>
          </w:p>
        </w:tc>
      </w:tr>
      <w:tr w14:paraId="6EEC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9C61AD2">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456F9485">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9743E33">
            <w:pPr>
              <w:rPr>
                <w:rFonts w:ascii="宋体"/>
                <w:color w:val="auto"/>
                <w:sz w:val="24"/>
                <w:szCs w:val="24"/>
              </w:rPr>
            </w:pPr>
            <w:r>
              <w:rPr>
                <w:rFonts w:hint="eastAsia" w:ascii="宋体" w:hAnsi="宋体"/>
                <w:color w:val="auto"/>
                <w:sz w:val="24"/>
                <w:szCs w:val="24"/>
              </w:rPr>
              <w:t>详见第三部分采购需求</w:t>
            </w:r>
          </w:p>
        </w:tc>
      </w:tr>
      <w:tr w14:paraId="5A07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649FC49">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1D6A1BFC">
            <w:pPr>
              <w:jc w:val="center"/>
              <w:rPr>
                <w:color w:val="auto"/>
                <w:sz w:val="24"/>
              </w:rPr>
            </w:pPr>
            <w:r>
              <w:rPr>
                <w:rFonts w:hint="eastAsia"/>
                <w:color w:val="auto"/>
                <w:sz w:val="24"/>
              </w:rPr>
              <w:t>磋商报价及费用</w:t>
            </w:r>
          </w:p>
        </w:tc>
        <w:tc>
          <w:tcPr>
            <w:tcW w:w="6348" w:type="dxa"/>
            <w:vAlign w:val="center"/>
          </w:tcPr>
          <w:p w14:paraId="7A536744">
            <w:pPr>
              <w:rPr>
                <w:color w:val="auto"/>
                <w:sz w:val="24"/>
              </w:rPr>
            </w:pPr>
            <w:r>
              <w:rPr>
                <w:rFonts w:hint="eastAsia"/>
                <w:color w:val="auto"/>
                <w:sz w:val="24"/>
              </w:rPr>
              <w:t>详见采购文件第二部分第三节第（三）点报价内容。</w:t>
            </w:r>
          </w:p>
        </w:tc>
      </w:tr>
      <w:tr w14:paraId="00FC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13B91BD">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DBD365A">
            <w:pPr>
              <w:jc w:val="center"/>
              <w:rPr>
                <w:rFonts w:ascii="宋体"/>
                <w:color w:val="auto"/>
                <w:sz w:val="24"/>
                <w:szCs w:val="24"/>
              </w:rPr>
            </w:pPr>
            <w:r>
              <w:rPr>
                <w:rFonts w:hint="eastAsia"/>
                <w:color w:val="auto"/>
                <w:sz w:val="24"/>
              </w:rPr>
              <w:t>磋商响应有效期</w:t>
            </w:r>
          </w:p>
        </w:tc>
        <w:tc>
          <w:tcPr>
            <w:tcW w:w="6348" w:type="dxa"/>
            <w:vAlign w:val="center"/>
          </w:tcPr>
          <w:p w14:paraId="3F726E52">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7CAF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0046356">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3A226EFE">
            <w:pPr>
              <w:jc w:val="center"/>
              <w:rPr>
                <w:rFonts w:ascii="宋体"/>
                <w:color w:val="auto"/>
                <w:sz w:val="24"/>
                <w:szCs w:val="24"/>
              </w:rPr>
            </w:pPr>
            <w:r>
              <w:rPr>
                <w:rFonts w:hint="eastAsia"/>
                <w:color w:val="auto"/>
                <w:sz w:val="24"/>
              </w:rPr>
              <w:t>磋商文件答疑</w:t>
            </w:r>
          </w:p>
        </w:tc>
        <w:tc>
          <w:tcPr>
            <w:tcW w:w="6348" w:type="dxa"/>
            <w:vAlign w:val="center"/>
          </w:tcPr>
          <w:p w14:paraId="212681B4">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4</w:t>
            </w:r>
            <w:r>
              <w:rPr>
                <w:rFonts w:hint="eastAsia"/>
                <w:color w:val="auto"/>
                <w:sz w:val="24"/>
                <w:u w:val="single"/>
              </w:rPr>
              <w:t>年</w:t>
            </w:r>
            <w:r>
              <w:rPr>
                <w:rFonts w:hint="eastAsia"/>
                <w:color w:val="auto"/>
                <w:sz w:val="24"/>
                <w:u w:val="single"/>
                <w:lang w:val="en-US" w:eastAsia="zh-CN"/>
              </w:rPr>
              <w:t>12</w:t>
            </w:r>
            <w:r>
              <w:rPr>
                <w:rFonts w:hint="eastAsia"/>
                <w:color w:val="auto"/>
                <w:sz w:val="24"/>
                <w:u w:val="single"/>
              </w:rPr>
              <w:t>月</w:t>
            </w:r>
            <w:r>
              <w:rPr>
                <w:rFonts w:hint="eastAsia"/>
                <w:color w:val="auto"/>
                <w:sz w:val="24"/>
                <w:u w:val="single"/>
                <w:lang w:val="en-US" w:eastAsia="zh-CN"/>
              </w:rPr>
              <w:t>5</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4</w:t>
            </w:r>
            <w:r>
              <w:rPr>
                <w:rFonts w:hint="eastAsia"/>
                <w:color w:val="auto"/>
                <w:sz w:val="24"/>
                <w:u w:val="single"/>
              </w:rPr>
              <w:t>年</w:t>
            </w:r>
            <w:r>
              <w:rPr>
                <w:rFonts w:hint="eastAsia"/>
                <w:color w:val="auto"/>
                <w:sz w:val="24"/>
                <w:u w:val="single"/>
                <w:lang w:val="en-US" w:eastAsia="zh-CN"/>
              </w:rPr>
              <w:t>12</w:t>
            </w:r>
            <w:r>
              <w:rPr>
                <w:rFonts w:hint="eastAsia"/>
                <w:color w:val="auto"/>
                <w:sz w:val="24"/>
                <w:u w:val="single"/>
              </w:rPr>
              <w:t>月</w:t>
            </w:r>
            <w:r>
              <w:rPr>
                <w:rFonts w:hint="eastAsia"/>
                <w:color w:val="auto"/>
                <w:sz w:val="24"/>
                <w:u w:val="single"/>
                <w:lang w:val="en-US" w:eastAsia="zh-CN"/>
              </w:rPr>
              <w:t>5</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497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298581A">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6D344352">
            <w:pPr>
              <w:jc w:val="center"/>
              <w:rPr>
                <w:rFonts w:ascii="宋体"/>
                <w:color w:val="auto"/>
                <w:sz w:val="24"/>
                <w:szCs w:val="24"/>
              </w:rPr>
            </w:pPr>
            <w:r>
              <w:rPr>
                <w:rFonts w:hint="eastAsia"/>
                <w:color w:val="auto"/>
                <w:sz w:val="24"/>
              </w:rPr>
              <w:t>响应文件份数</w:t>
            </w:r>
          </w:p>
        </w:tc>
        <w:tc>
          <w:tcPr>
            <w:tcW w:w="6348" w:type="dxa"/>
            <w:vAlign w:val="center"/>
          </w:tcPr>
          <w:p w14:paraId="12C9F505">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杭州市钱塘区白杨街道2号大街1158号，杭州电子科技大学采购中心杜老师收，电话：0571-87713548</w:t>
            </w:r>
            <w:r>
              <w:rPr>
                <w:rFonts w:hint="eastAsia"/>
                <w:color w:val="auto"/>
                <w:sz w:val="24"/>
              </w:rPr>
              <w:t>。寄出后将快递单号、项目名称、公司名称、联系方式等相关信息发至：20230069@hdu.edu.cn，以便查收）。</w:t>
            </w:r>
          </w:p>
          <w:p w14:paraId="03B62BD0">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4430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899BA3B">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25E1C39">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69AAE2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43A7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295635">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14B27B1E">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6A169D1C">
            <w:pPr>
              <w:jc w:val="left"/>
              <w:rPr>
                <w:rFonts w:ascii="宋体"/>
                <w:color w:val="auto"/>
                <w:sz w:val="24"/>
                <w:szCs w:val="24"/>
              </w:rPr>
            </w:pPr>
            <w:r>
              <w:rPr>
                <w:rFonts w:hint="eastAsia"/>
                <w:color w:val="auto"/>
                <w:sz w:val="24"/>
              </w:rPr>
              <w:t>综合评分法</w:t>
            </w:r>
          </w:p>
        </w:tc>
      </w:tr>
      <w:tr w14:paraId="6B84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E4BBDD9">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3B5DBFFB">
            <w:pPr>
              <w:jc w:val="center"/>
              <w:rPr>
                <w:rFonts w:ascii="宋体"/>
                <w:color w:val="auto"/>
                <w:sz w:val="24"/>
                <w:szCs w:val="24"/>
              </w:rPr>
            </w:pPr>
            <w:r>
              <w:rPr>
                <w:rFonts w:hint="eastAsia"/>
                <w:color w:val="auto"/>
                <w:sz w:val="24"/>
              </w:rPr>
              <w:t>成交结果公示</w:t>
            </w:r>
          </w:p>
        </w:tc>
        <w:tc>
          <w:tcPr>
            <w:tcW w:w="6348" w:type="dxa"/>
            <w:vAlign w:val="center"/>
          </w:tcPr>
          <w:p w14:paraId="5D6D55E4">
            <w:pPr>
              <w:jc w:val="left"/>
              <w:rPr>
                <w:rFonts w:hint="default" w:ascii="宋体" w:eastAsia="宋体"/>
                <w:color w:val="auto"/>
                <w:sz w:val="24"/>
                <w:szCs w:val="24"/>
                <w:lang w:val="en-US" w:eastAsia="zh-CN"/>
              </w:rPr>
            </w:pPr>
            <w:r>
              <w:rPr>
                <w:rFonts w:hint="eastAsia"/>
                <w:color w:val="auto"/>
                <w:sz w:val="24"/>
              </w:rPr>
              <w:t>成交结果公示于</w:t>
            </w:r>
            <w:r>
              <w:rPr>
                <w:rFonts w:hint="eastAsia"/>
                <w:color w:val="auto"/>
                <w:sz w:val="24"/>
                <w:lang w:val="en-US" w:eastAsia="zh-CN"/>
              </w:rPr>
              <w:t>浙江政府采购网https://zfcg.czt.zj.gov.cn/采购公告-非政府采购公告。</w:t>
            </w:r>
          </w:p>
        </w:tc>
      </w:tr>
      <w:tr w14:paraId="4AA0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CEF64F">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F9A32F4">
            <w:pPr>
              <w:jc w:val="center"/>
              <w:rPr>
                <w:rFonts w:ascii="宋体"/>
                <w:color w:val="auto"/>
                <w:sz w:val="24"/>
                <w:szCs w:val="24"/>
              </w:rPr>
            </w:pPr>
            <w:r>
              <w:rPr>
                <w:rFonts w:hint="eastAsia"/>
                <w:color w:val="auto"/>
                <w:sz w:val="24"/>
              </w:rPr>
              <w:t>解释</w:t>
            </w:r>
          </w:p>
        </w:tc>
        <w:tc>
          <w:tcPr>
            <w:tcW w:w="6348" w:type="dxa"/>
            <w:vAlign w:val="center"/>
          </w:tcPr>
          <w:p w14:paraId="38A86E66">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298AACA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0"/>
      <w:bookmarkStart w:id="121" w:name="_Toc15936"/>
      <w:bookmarkStart w:id="122" w:name="_Toc22060"/>
      <w:bookmarkStart w:id="123" w:name="_Toc18556"/>
      <w:bookmarkStart w:id="124" w:name="_Toc1408"/>
      <w:bookmarkStart w:id="125" w:name="_Toc27769"/>
      <w:bookmarkStart w:id="126" w:name="_Toc3209"/>
      <w:bookmarkStart w:id="127" w:name="_Toc9017"/>
      <w:bookmarkStart w:id="128" w:name="_Toc18182"/>
      <w:bookmarkStart w:id="129" w:name="_Toc24686"/>
      <w:bookmarkStart w:id="130" w:name="_Toc7947"/>
      <w:bookmarkStart w:id="131" w:name="_Toc23407"/>
      <w:bookmarkStart w:id="132" w:name="_Toc12127"/>
      <w:bookmarkStart w:id="133" w:name="_Toc2257"/>
      <w:bookmarkStart w:id="134" w:name="_Toc6802"/>
      <w:bookmarkStart w:id="135" w:name="_Toc30371"/>
      <w:bookmarkStart w:id="136" w:name="_Toc10883"/>
      <w:bookmarkStart w:id="137" w:name="_Toc3922"/>
      <w:bookmarkStart w:id="138" w:name="_Toc689"/>
      <w:bookmarkStart w:id="139" w:name="_Toc15091"/>
      <w:bookmarkStart w:id="140" w:name="_Toc1492"/>
      <w:bookmarkStart w:id="141" w:name="_Toc6934"/>
      <w:bookmarkStart w:id="142" w:name="_Toc15369"/>
      <w:bookmarkStart w:id="143" w:name="_Toc19879"/>
      <w:bookmarkStart w:id="144" w:name="_Toc6841"/>
      <w:bookmarkStart w:id="145" w:name="_Toc14022"/>
      <w:bookmarkStart w:id="146" w:name="_Toc20897"/>
      <w:bookmarkStart w:id="147" w:name="_Toc20458"/>
      <w:bookmarkStart w:id="148" w:name="_Toc11583"/>
      <w:bookmarkStart w:id="149" w:name="_Toc19375"/>
      <w:bookmarkStart w:id="150" w:name="_Toc11749"/>
      <w:bookmarkStart w:id="151" w:name="_Toc67"/>
      <w:bookmarkStart w:id="152" w:name="_Toc7875"/>
      <w:bookmarkStart w:id="153" w:name="_Toc5194"/>
      <w:bookmarkStart w:id="154" w:name="_Toc6991"/>
      <w:bookmarkStart w:id="155" w:name="_Toc6501"/>
      <w:bookmarkStart w:id="156" w:name="_Toc24333"/>
      <w:bookmarkStart w:id="157" w:name="_Toc26898"/>
      <w:r>
        <w:rPr>
          <w:rFonts w:hint="eastAsia" w:ascii="楷体" w:hAnsi="楷体" w:eastAsia="楷体" w:cs="楷体"/>
          <w:snapToGrid w:val="0"/>
          <w:color w:val="auto"/>
          <w:kern w:val="44"/>
          <w:sz w:val="32"/>
          <w:szCs w:val="32"/>
        </w:rPr>
        <w:t>一、磋商说明</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30CB0BB0">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12B5AA52">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C89DA99">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0494395">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041B3706">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7862352F">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7188BF7">
      <w:pPr>
        <w:spacing w:line="288" w:lineRule="auto"/>
        <w:ind w:firstLine="420" w:firstLineChars="175"/>
        <w:rPr>
          <w:color w:val="auto"/>
          <w:sz w:val="24"/>
        </w:rPr>
      </w:pPr>
      <w:r>
        <w:rPr>
          <w:rFonts w:hint="eastAsia"/>
          <w:color w:val="auto"/>
          <w:sz w:val="24"/>
        </w:rPr>
        <w:t>（2）被质疑投诉，经证实情况严重的；</w:t>
      </w:r>
    </w:p>
    <w:p w14:paraId="02161B22">
      <w:pPr>
        <w:spacing w:line="288" w:lineRule="auto"/>
        <w:ind w:firstLine="420" w:firstLineChars="175"/>
        <w:rPr>
          <w:color w:val="auto"/>
          <w:sz w:val="24"/>
        </w:rPr>
      </w:pPr>
      <w:r>
        <w:rPr>
          <w:rFonts w:hint="eastAsia"/>
          <w:color w:val="auto"/>
          <w:sz w:val="24"/>
        </w:rPr>
        <w:t>（3）使用不正当竞争手段，影响采购人正常采购活动的；</w:t>
      </w:r>
    </w:p>
    <w:p w14:paraId="2A4DA826">
      <w:pPr>
        <w:spacing w:line="288" w:lineRule="auto"/>
        <w:ind w:firstLine="420" w:firstLineChars="175"/>
        <w:rPr>
          <w:color w:val="auto"/>
          <w:sz w:val="24"/>
        </w:rPr>
      </w:pPr>
      <w:r>
        <w:rPr>
          <w:rFonts w:hint="eastAsia"/>
          <w:color w:val="auto"/>
          <w:sz w:val="24"/>
        </w:rPr>
        <w:t>（4）响应方串通投标的；</w:t>
      </w:r>
    </w:p>
    <w:p w14:paraId="184D7032">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40DF31E">
      <w:pPr>
        <w:spacing w:line="288" w:lineRule="auto"/>
        <w:ind w:firstLine="420" w:firstLineChars="175"/>
        <w:rPr>
          <w:color w:val="auto"/>
          <w:sz w:val="24"/>
        </w:rPr>
      </w:pPr>
      <w:r>
        <w:rPr>
          <w:rFonts w:hint="eastAsia"/>
          <w:color w:val="auto"/>
          <w:sz w:val="24"/>
        </w:rPr>
        <w:t>（6）响应方在投标中弄虚作假，提供虚假材料的；</w:t>
      </w:r>
    </w:p>
    <w:p w14:paraId="336B4E03">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5954AC7A">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73FA235">
      <w:pPr>
        <w:spacing w:line="288" w:lineRule="auto"/>
        <w:ind w:firstLine="420" w:firstLineChars="175"/>
        <w:rPr>
          <w:color w:val="auto"/>
          <w:sz w:val="24"/>
        </w:rPr>
      </w:pPr>
      <w:r>
        <w:rPr>
          <w:rFonts w:hint="eastAsia"/>
          <w:color w:val="auto"/>
          <w:sz w:val="24"/>
        </w:rPr>
        <w:t>（9）其他严重扰乱磋商程序的；</w:t>
      </w:r>
    </w:p>
    <w:p w14:paraId="2019190A">
      <w:pPr>
        <w:spacing w:line="288" w:lineRule="auto"/>
        <w:ind w:firstLine="420" w:firstLineChars="175"/>
        <w:rPr>
          <w:color w:val="auto"/>
          <w:sz w:val="24"/>
        </w:rPr>
      </w:pPr>
      <w:r>
        <w:rPr>
          <w:rFonts w:hint="eastAsia"/>
          <w:color w:val="auto"/>
          <w:sz w:val="24"/>
        </w:rPr>
        <w:t>（10）未成交供应商恶意质疑、投诉的。</w:t>
      </w:r>
    </w:p>
    <w:p w14:paraId="1F148D3B">
      <w:pPr>
        <w:spacing w:line="288" w:lineRule="auto"/>
        <w:ind w:firstLine="420" w:firstLineChars="175"/>
        <w:rPr>
          <w:color w:val="auto"/>
          <w:sz w:val="24"/>
        </w:rPr>
      </w:pPr>
      <w:r>
        <w:rPr>
          <w:rFonts w:hint="eastAsia"/>
          <w:color w:val="auto"/>
          <w:sz w:val="24"/>
        </w:rPr>
        <w:t>（11）违反法律法规和合同约定的其他情形的。</w:t>
      </w:r>
    </w:p>
    <w:p w14:paraId="4F7DD053">
      <w:pPr>
        <w:spacing w:line="288" w:lineRule="auto"/>
        <w:ind w:firstLine="477" w:firstLineChars="199"/>
        <w:rPr>
          <w:rFonts w:hint="eastAsia" w:eastAsia="宋体"/>
          <w:b/>
          <w:bCs/>
          <w:color w:val="auto"/>
          <w:sz w:val="24"/>
          <w:u w:val="single"/>
          <w:lang w:val="en-US" w:eastAsia="zh-CN"/>
        </w:rPr>
      </w:pPr>
      <w:r>
        <w:rPr>
          <w:color w:val="auto"/>
          <w:sz w:val="24"/>
          <w:u w:val="single"/>
        </w:rPr>
        <w:t>5</w:t>
      </w:r>
      <w:r>
        <w:rPr>
          <w:rFonts w:hint="eastAsia"/>
          <w:color w:val="auto"/>
          <w:sz w:val="24"/>
          <w:u w:val="single"/>
        </w:rPr>
        <w:t>、</w:t>
      </w:r>
      <w:r>
        <w:rPr>
          <w:rFonts w:hint="eastAsia" w:ascii="宋体" w:hAnsi="宋体"/>
          <w:b/>
          <w:bCs/>
          <w:color w:val="auto"/>
          <w:sz w:val="24"/>
          <w:szCs w:val="24"/>
          <w:u w:val="single"/>
        </w:rPr>
        <w:t>已在线上报名的供应商务必在202</w:t>
      </w:r>
      <w:r>
        <w:rPr>
          <w:rFonts w:hint="eastAsia" w:ascii="宋体" w:hAnsi="宋体"/>
          <w:b/>
          <w:bCs/>
          <w:color w:val="auto"/>
          <w:sz w:val="24"/>
          <w:szCs w:val="24"/>
          <w:u w:val="single"/>
          <w:lang w:val="en-US" w:eastAsia="zh-CN"/>
        </w:rPr>
        <w:t>4</w:t>
      </w:r>
      <w:r>
        <w:rPr>
          <w:rFonts w:hint="eastAsia" w:ascii="宋体" w:hAnsi="宋体"/>
          <w:b/>
          <w:bCs/>
          <w:color w:val="auto"/>
          <w:sz w:val="24"/>
          <w:szCs w:val="24"/>
          <w:u w:val="single"/>
        </w:rPr>
        <w:t>年</w:t>
      </w:r>
      <w:r>
        <w:rPr>
          <w:rFonts w:hint="eastAsia" w:ascii="宋体" w:hAnsi="宋体"/>
          <w:b/>
          <w:bCs/>
          <w:color w:val="auto"/>
          <w:sz w:val="24"/>
          <w:szCs w:val="24"/>
          <w:u w:val="single"/>
          <w:lang w:val="en-US" w:eastAsia="zh-CN"/>
        </w:rPr>
        <w:t>12</w:t>
      </w:r>
      <w:r>
        <w:rPr>
          <w:rFonts w:hint="eastAsia" w:ascii="宋体" w:hAnsi="宋体"/>
          <w:b/>
          <w:bCs/>
          <w:color w:val="auto"/>
          <w:sz w:val="24"/>
          <w:szCs w:val="24"/>
          <w:u w:val="single"/>
        </w:rPr>
        <w:t>月</w:t>
      </w:r>
      <w:r>
        <w:rPr>
          <w:rFonts w:hint="eastAsia" w:ascii="宋体" w:hAnsi="宋体"/>
          <w:b/>
          <w:bCs/>
          <w:color w:val="auto"/>
          <w:sz w:val="24"/>
          <w:szCs w:val="24"/>
          <w:u w:val="single"/>
          <w:lang w:val="en-US" w:eastAsia="zh-CN"/>
        </w:rPr>
        <w:t>6</w:t>
      </w:r>
      <w:r>
        <w:rPr>
          <w:rFonts w:hint="eastAsia" w:ascii="宋体" w:hAnsi="宋体"/>
          <w:b/>
          <w:bCs/>
          <w:color w:val="auto"/>
          <w:sz w:val="24"/>
          <w:szCs w:val="24"/>
          <w:u w:val="single"/>
        </w:rPr>
        <w:t>日上午9点前将书面文件以邮件方式告知采购方（邮箱：20230069@hdu.edu.cn）是否参加本次响应</w:t>
      </w:r>
      <w:r>
        <w:rPr>
          <w:rFonts w:hint="eastAsia" w:ascii="宋体" w:hAnsi="宋体"/>
          <w:b/>
          <w:bCs/>
          <w:color w:val="auto"/>
          <w:sz w:val="24"/>
          <w:szCs w:val="24"/>
          <w:u w:val="single"/>
          <w:lang w:eastAsia="zh-CN"/>
        </w:rPr>
        <w:t>。</w:t>
      </w:r>
    </w:p>
    <w:p w14:paraId="7058AA34">
      <w:pPr>
        <w:spacing w:line="288" w:lineRule="auto"/>
        <w:ind w:firstLine="477" w:firstLineChars="199"/>
        <w:rPr>
          <w:color w:val="auto"/>
          <w:sz w:val="24"/>
        </w:rPr>
      </w:pPr>
      <w:r>
        <w:rPr>
          <w:rFonts w:hint="eastAsia"/>
          <w:color w:val="auto"/>
          <w:sz w:val="24"/>
        </w:rPr>
        <w:t>6、在本次磋商采购过程中，如果出现采购人利益损失、当事人违法违规或学校政策变更等情况，采购人有权终止本次磋商采购，供应商需自行承担相应的风险和损失。</w:t>
      </w:r>
    </w:p>
    <w:p w14:paraId="52083327">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71191827">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信息技术中心</w:t>
      </w:r>
      <w:r>
        <w:rPr>
          <w:rFonts w:hint="eastAsia"/>
          <w:color w:val="auto"/>
          <w:sz w:val="24"/>
        </w:rPr>
        <w:t>。</w:t>
      </w:r>
    </w:p>
    <w:p w14:paraId="05C4EEDE">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2BBF0FC2">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F03F7AE">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46BC986">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357732F">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665A1147">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643873A">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A2E518F">
      <w:pPr>
        <w:spacing w:line="288" w:lineRule="auto"/>
        <w:ind w:firstLine="477" w:firstLineChars="199"/>
        <w:rPr>
          <w:color w:val="auto"/>
          <w:sz w:val="24"/>
        </w:rPr>
      </w:pPr>
      <w:r>
        <w:rPr>
          <w:rFonts w:hint="eastAsia"/>
          <w:color w:val="auto"/>
          <w:sz w:val="24"/>
        </w:rPr>
        <w:t>磋商文件对响应文件签署、盖章的要求适用于电子签名。</w:t>
      </w:r>
    </w:p>
    <w:p w14:paraId="06D95A04">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E71E4A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8" w:name="_Toc27523"/>
      <w:bookmarkStart w:id="159" w:name="_Toc29315"/>
      <w:bookmarkStart w:id="160" w:name="_Toc23883"/>
      <w:bookmarkStart w:id="161" w:name="_Toc30356"/>
      <w:bookmarkStart w:id="162" w:name="_Toc23441"/>
      <w:bookmarkStart w:id="163" w:name="_Toc7225"/>
      <w:bookmarkStart w:id="164" w:name="_Toc16623"/>
      <w:bookmarkStart w:id="165" w:name="_Toc15004"/>
      <w:bookmarkStart w:id="166" w:name="_Toc12934"/>
      <w:bookmarkStart w:id="167" w:name="_Toc4054"/>
      <w:bookmarkStart w:id="168" w:name="_Toc6681"/>
      <w:bookmarkStart w:id="169" w:name="_Toc25478"/>
      <w:bookmarkStart w:id="170" w:name="_Toc11863"/>
      <w:bookmarkStart w:id="171" w:name="_Toc12939"/>
      <w:bookmarkStart w:id="172" w:name="_Toc13352"/>
      <w:bookmarkStart w:id="173" w:name="_Toc30651"/>
      <w:bookmarkStart w:id="174" w:name="_Toc17921"/>
      <w:bookmarkStart w:id="175" w:name="_Toc13333"/>
      <w:bookmarkStart w:id="176" w:name="_Toc32029"/>
      <w:bookmarkStart w:id="177" w:name="_Toc10503"/>
      <w:bookmarkStart w:id="178" w:name="_Toc14339"/>
      <w:bookmarkStart w:id="179" w:name="_Toc10460"/>
      <w:bookmarkStart w:id="180" w:name="_Toc4587"/>
      <w:bookmarkStart w:id="181" w:name="_Toc16259"/>
      <w:bookmarkStart w:id="182" w:name="_Toc2692"/>
      <w:bookmarkStart w:id="183" w:name="_Toc17024"/>
      <w:bookmarkStart w:id="184" w:name="_Toc25249"/>
      <w:bookmarkStart w:id="185" w:name="_Toc14905"/>
      <w:bookmarkStart w:id="186" w:name="_Toc12746"/>
      <w:r>
        <w:rPr>
          <w:rFonts w:hint="eastAsia" w:ascii="楷体" w:hAnsi="楷体" w:eastAsia="楷体" w:cs="楷体"/>
          <w:snapToGrid w:val="0"/>
          <w:color w:val="auto"/>
          <w:kern w:val="44"/>
          <w:sz w:val="32"/>
          <w:szCs w:val="32"/>
        </w:rPr>
        <w:t>二、磋商文件</w:t>
      </w:r>
      <w:bookmarkEnd w:id="41"/>
      <w:bookmarkEnd w:id="42"/>
      <w:bookmarkEnd w:id="43"/>
      <w:bookmarkEnd w:id="44"/>
      <w:bookmarkEnd w:id="45"/>
      <w:bookmarkEnd w:id="46"/>
      <w:bookmarkEnd w:id="4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1850BB0">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5D4B73D8">
      <w:pPr>
        <w:spacing w:line="288" w:lineRule="auto"/>
        <w:ind w:firstLine="360" w:firstLineChars="150"/>
        <w:rPr>
          <w:color w:val="auto"/>
          <w:sz w:val="24"/>
        </w:rPr>
      </w:pPr>
      <w:r>
        <w:rPr>
          <w:color w:val="auto"/>
          <w:sz w:val="24"/>
        </w:rPr>
        <w:t>1</w:t>
      </w:r>
      <w:r>
        <w:rPr>
          <w:rFonts w:hint="eastAsia"/>
          <w:color w:val="auto"/>
          <w:sz w:val="24"/>
        </w:rPr>
        <w:t>、磋商公告</w:t>
      </w:r>
    </w:p>
    <w:p w14:paraId="75D69E6B">
      <w:pPr>
        <w:spacing w:line="288" w:lineRule="auto"/>
        <w:ind w:firstLine="360" w:firstLineChars="150"/>
        <w:rPr>
          <w:color w:val="auto"/>
          <w:sz w:val="24"/>
        </w:rPr>
      </w:pPr>
      <w:r>
        <w:rPr>
          <w:color w:val="auto"/>
          <w:sz w:val="24"/>
        </w:rPr>
        <w:t>2</w:t>
      </w:r>
      <w:r>
        <w:rPr>
          <w:rFonts w:hint="eastAsia"/>
          <w:color w:val="auto"/>
          <w:sz w:val="24"/>
        </w:rPr>
        <w:t>、响应方须知</w:t>
      </w:r>
    </w:p>
    <w:p w14:paraId="01ABBE67">
      <w:pPr>
        <w:spacing w:line="288" w:lineRule="auto"/>
        <w:ind w:firstLine="360" w:firstLineChars="150"/>
        <w:rPr>
          <w:color w:val="auto"/>
          <w:sz w:val="24"/>
        </w:rPr>
      </w:pPr>
      <w:r>
        <w:rPr>
          <w:color w:val="auto"/>
          <w:sz w:val="24"/>
        </w:rPr>
        <w:t>3</w:t>
      </w:r>
      <w:r>
        <w:rPr>
          <w:rFonts w:hint="eastAsia"/>
          <w:color w:val="auto"/>
          <w:sz w:val="24"/>
        </w:rPr>
        <w:t>、采购要求</w:t>
      </w:r>
    </w:p>
    <w:p w14:paraId="01B05BAE">
      <w:pPr>
        <w:spacing w:line="288" w:lineRule="auto"/>
        <w:ind w:firstLine="360" w:firstLineChars="150"/>
        <w:rPr>
          <w:color w:val="auto"/>
          <w:sz w:val="24"/>
        </w:rPr>
      </w:pPr>
      <w:r>
        <w:rPr>
          <w:color w:val="auto"/>
          <w:sz w:val="24"/>
        </w:rPr>
        <w:t>4</w:t>
      </w:r>
      <w:r>
        <w:rPr>
          <w:rFonts w:hint="eastAsia"/>
          <w:color w:val="auto"/>
          <w:sz w:val="24"/>
        </w:rPr>
        <w:t>、评审办法及评分标准</w:t>
      </w:r>
    </w:p>
    <w:p w14:paraId="0E1F5FB5">
      <w:pPr>
        <w:spacing w:line="288" w:lineRule="auto"/>
        <w:ind w:firstLine="360" w:firstLineChars="150"/>
        <w:rPr>
          <w:color w:val="auto"/>
          <w:sz w:val="24"/>
        </w:rPr>
      </w:pPr>
      <w:r>
        <w:rPr>
          <w:color w:val="auto"/>
          <w:sz w:val="24"/>
        </w:rPr>
        <w:t>5</w:t>
      </w:r>
      <w:r>
        <w:rPr>
          <w:rFonts w:hint="eastAsia"/>
          <w:color w:val="auto"/>
          <w:sz w:val="24"/>
        </w:rPr>
        <w:t>、合同主要条款</w:t>
      </w:r>
    </w:p>
    <w:p w14:paraId="58B3F88E">
      <w:pPr>
        <w:spacing w:line="288" w:lineRule="auto"/>
        <w:ind w:firstLine="360" w:firstLineChars="150"/>
        <w:rPr>
          <w:color w:val="auto"/>
          <w:sz w:val="24"/>
        </w:rPr>
      </w:pPr>
      <w:r>
        <w:rPr>
          <w:color w:val="auto"/>
          <w:sz w:val="24"/>
        </w:rPr>
        <w:t>6</w:t>
      </w:r>
      <w:r>
        <w:rPr>
          <w:rFonts w:hint="eastAsia"/>
          <w:color w:val="auto"/>
          <w:sz w:val="24"/>
        </w:rPr>
        <w:t>、响应文件格式</w:t>
      </w:r>
    </w:p>
    <w:p w14:paraId="6491B070">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3753B7B">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54A153C8">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4FC42A8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DFC6FCA">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74BCE5D3">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105B0D17">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7" w:name="_Toc32494"/>
      <w:bookmarkStart w:id="188" w:name="_Toc13358"/>
      <w:bookmarkStart w:id="189" w:name="_Toc11900"/>
      <w:bookmarkStart w:id="190" w:name="_Toc15797"/>
      <w:bookmarkStart w:id="191" w:name="_Toc10605"/>
      <w:bookmarkStart w:id="192" w:name="_Toc32051"/>
      <w:bookmarkStart w:id="193" w:name="_Toc7450"/>
      <w:bookmarkStart w:id="194" w:name="_Toc25933"/>
      <w:bookmarkStart w:id="195" w:name="_Toc21890"/>
      <w:bookmarkStart w:id="196" w:name="_Toc6322"/>
      <w:bookmarkStart w:id="197" w:name="_Toc28569"/>
      <w:bookmarkStart w:id="198" w:name="_Toc8035"/>
      <w:bookmarkStart w:id="199" w:name="_Toc16752"/>
      <w:bookmarkStart w:id="200" w:name="_Toc22140"/>
      <w:bookmarkStart w:id="201" w:name="_Toc28201"/>
      <w:bookmarkStart w:id="202" w:name="_Toc2334"/>
      <w:bookmarkStart w:id="203" w:name="_Toc17035"/>
      <w:bookmarkStart w:id="204" w:name="_Toc24465"/>
      <w:bookmarkStart w:id="205" w:name="_Toc25502"/>
      <w:bookmarkStart w:id="206" w:name="_Toc7515"/>
      <w:bookmarkStart w:id="207" w:name="_Toc4837"/>
      <w:bookmarkStart w:id="208" w:name="_Toc14673"/>
      <w:bookmarkStart w:id="209" w:name="_Toc789"/>
      <w:bookmarkStart w:id="210" w:name="_Toc19339"/>
      <w:bookmarkStart w:id="211" w:name="_Toc22572"/>
      <w:bookmarkStart w:id="212" w:name="_Toc3328"/>
      <w:bookmarkStart w:id="213" w:name="_Toc21501"/>
      <w:bookmarkStart w:id="214" w:name="_Toc805"/>
      <w:bookmarkStart w:id="215" w:name="_Toc26634"/>
      <w:bookmarkStart w:id="216" w:name="_Toc6503"/>
      <w:bookmarkStart w:id="217" w:name="_Toc4055"/>
      <w:bookmarkStart w:id="218" w:name="_Toc30772"/>
      <w:bookmarkStart w:id="219" w:name="_Toc15772"/>
      <w:bookmarkStart w:id="220" w:name="_Toc9434"/>
      <w:bookmarkStart w:id="221" w:name="_Toc31322"/>
      <w:bookmarkStart w:id="222" w:name="_Toc1802"/>
      <w:r>
        <w:rPr>
          <w:rFonts w:hint="eastAsia" w:ascii="楷体" w:hAnsi="楷体" w:eastAsia="楷体" w:cs="楷体"/>
          <w:snapToGrid w:val="0"/>
          <w:color w:val="auto"/>
          <w:kern w:val="44"/>
          <w:sz w:val="32"/>
          <w:szCs w:val="32"/>
        </w:rPr>
        <w:t>三、响应文件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楷体" w:hAnsi="楷体" w:eastAsia="楷体" w:cs="楷体"/>
          <w:snapToGrid w:val="0"/>
          <w:color w:val="auto"/>
          <w:kern w:val="44"/>
          <w:sz w:val="32"/>
          <w:szCs w:val="32"/>
        </w:rPr>
        <w:t>的编制</w:t>
      </w:r>
      <w:bookmarkEnd w:id="221"/>
      <w:bookmarkEnd w:id="222"/>
    </w:p>
    <w:p w14:paraId="3971B9D3">
      <w:pPr>
        <w:spacing w:line="288" w:lineRule="auto"/>
        <w:rPr>
          <w:b/>
          <w:bCs/>
          <w:color w:val="auto"/>
          <w:sz w:val="24"/>
        </w:rPr>
      </w:pPr>
      <w:r>
        <w:rPr>
          <w:rFonts w:hint="eastAsia"/>
          <w:b/>
          <w:bCs/>
          <w:color w:val="auto"/>
          <w:sz w:val="24"/>
        </w:rPr>
        <w:t>（一）响应文件的组成</w:t>
      </w:r>
    </w:p>
    <w:p w14:paraId="1687DC71">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0C378052">
      <w:pPr>
        <w:spacing w:line="288" w:lineRule="auto"/>
        <w:ind w:firstLine="422" w:firstLineChars="175"/>
        <w:rPr>
          <w:color w:val="auto"/>
          <w:sz w:val="24"/>
        </w:rPr>
      </w:pPr>
      <w:r>
        <w:rPr>
          <w:rFonts w:hint="eastAsia"/>
          <w:b/>
          <w:bCs/>
          <w:color w:val="auto"/>
          <w:sz w:val="24"/>
        </w:rPr>
        <w:t>响应文件组成：详见“第六部分  响应文件格式”目录</w:t>
      </w:r>
    </w:p>
    <w:p w14:paraId="5FD81DFB">
      <w:pPr>
        <w:spacing w:line="288" w:lineRule="auto"/>
        <w:rPr>
          <w:b/>
          <w:bCs/>
          <w:color w:val="auto"/>
          <w:sz w:val="24"/>
        </w:rPr>
      </w:pPr>
      <w:r>
        <w:rPr>
          <w:rFonts w:hint="eastAsia"/>
          <w:b/>
          <w:bCs/>
          <w:color w:val="auto"/>
          <w:sz w:val="24"/>
        </w:rPr>
        <w:t>（二）响应文件的签署和份数</w:t>
      </w:r>
    </w:p>
    <w:p w14:paraId="6F4B965F">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9B6A8FA">
      <w:pPr>
        <w:spacing w:line="288" w:lineRule="auto"/>
        <w:ind w:firstLine="420" w:firstLineChars="175"/>
        <w:rPr>
          <w:color w:val="auto"/>
          <w:sz w:val="24"/>
        </w:rPr>
      </w:pPr>
      <w:r>
        <w:rPr>
          <w:rFonts w:hint="eastAsia"/>
          <w:color w:val="auto"/>
          <w:sz w:val="24"/>
        </w:rPr>
        <w:t>2.响应文件须由供应商在规定位置加盖公章</w:t>
      </w:r>
      <w:bookmarkStart w:id="223" w:name="_Hlk96329193"/>
      <w:r>
        <w:rPr>
          <w:rFonts w:hint="eastAsia"/>
          <w:color w:val="auto"/>
          <w:sz w:val="24"/>
        </w:rPr>
        <w:t>，供应商应写全称。</w:t>
      </w:r>
      <w:bookmarkEnd w:id="223"/>
    </w:p>
    <w:p w14:paraId="7D15ACF9">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19D6A235">
      <w:pPr>
        <w:spacing w:line="288" w:lineRule="auto"/>
        <w:ind w:firstLine="420" w:firstLineChars="175"/>
        <w:rPr>
          <w:color w:val="auto"/>
          <w:sz w:val="24"/>
        </w:rPr>
      </w:pPr>
      <w:r>
        <w:rPr>
          <w:rFonts w:hint="eastAsia"/>
          <w:color w:val="auto"/>
          <w:sz w:val="24"/>
        </w:rPr>
        <w:t>4.响应文件份数：</w:t>
      </w:r>
    </w:p>
    <w:p w14:paraId="3BA69D87">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杭州市钱塘区白杨街道2号大街1158号，杭州电子科技大学采购中心杜老师收，电话：0571-87713548</w:t>
      </w:r>
      <w:r>
        <w:rPr>
          <w:rFonts w:hint="eastAsia"/>
          <w:color w:val="auto"/>
          <w:sz w:val="24"/>
        </w:rPr>
        <w:t>。寄出后将快递单号、项目名称、公司名称、联系方式等相关信息发至：20230069@hdu.edu.cn，以便查收）。</w:t>
      </w:r>
    </w:p>
    <w:p w14:paraId="684BFE6C">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79B49D54">
      <w:pPr>
        <w:spacing w:line="288" w:lineRule="auto"/>
        <w:rPr>
          <w:b/>
          <w:bCs/>
          <w:color w:val="auto"/>
          <w:sz w:val="24"/>
        </w:rPr>
      </w:pPr>
      <w:r>
        <w:rPr>
          <w:rFonts w:hint="eastAsia"/>
          <w:b/>
          <w:bCs/>
          <w:color w:val="auto"/>
          <w:sz w:val="24"/>
        </w:rPr>
        <w:t>（三）响应文件的上传、递交、修改和撤回</w:t>
      </w:r>
    </w:p>
    <w:p w14:paraId="1B70B8A0">
      <w:pPr>
        <w:spacing w:line="288" w:lineRule="auto"/>
        <w:ind w:firstLine="422" w:firstLineChars="175"/>
        <w:rPr>
          <w:b/>
          <w:bCs/>
          <w:color w:val="auto"/>
          <w:sz w:val="24"/>
        </w:rPr>
      </w:pPr>
      <w:r>
        <w:rPr>
          <w:rFonts w:hint="eastAsia"/>
          <w:b/>
          <w:bCs/>
          <w:color w:val="auto"/>
          <w:sz w:val="24"/>
        </w:rPr>
        <w:t>1.响应文件的上传、递交：</w:t>
      </w:r>
    </w:p>
    <w:p w14:paraId="2DC27421">
      <w:pPr>
        <w:spacing w:line="288" w:lineRule="auto"/>
        <w:ind w:firstLine="420" w:firstLineChars="175"/>
        <w:rPr>
          <w:color w:val="auto"/>
          <w:sz w:val="24"/>
        </w:rPr>
      </w:pPr>
      <w:r>
        <w:rPr>
          <w:rFonts w:hint="eastAsia"/>
          <w:color w:val="auto"/>
          <w:sz w:val="24"/>
        </w:rPr>
        <w:t>（1）电子加密响应文件的上传：</w:t>
      </w:r>
    </w:p>
    <w:p w14:paraId="4D2341B6">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140C6A72">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D31F64E">
      <w:pPr>
        <w:spacing w:line="288" w:lineRule="auto"/>
        <w:ind w:firstLine="420" w:firstLineChars="175"/>
        <w:rPr>
          <w:color w:val="auto"/>
          <w:sz w:val="24"/>
        </w:rPr>
      </w:pPr>
      <w:r>
        <w:rPr>
          <w:rFonts w:hint="eastAsia"/>
          <w:color w:val="auto"/>
          <w:sz w:val="24"/>
        </w:rPr>
        <w:t>（2）备份响应文件的密封包装、递交：</w:t>
      </w:r>
    </w:p>
    <w:p w14:paraId="2255DAE1">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1AEA3321">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565BB669">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666BD42A">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7DCE110D">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5F187CEE">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72708878">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2658188F">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07887D2D">
      <w:pPr>
        <w:spacing w:line="288" w:lineRule="auto"/>
        <w:rPr>
          <w:b/>
          <w:bCs/>
          <w:color w:val="auto"/>
          <w:sz w:val="24"/>
        </w:rPr>
      </w:pPr>
      <w:r>
        <w:rPr>
          <w:rFonts w:hint="eastAsia"/>
          <w:b/>
          <w:bCs/>
          <w:color w:val="auto"/>
          <w:sz w:val="24"/>
        </w:rPr>
        <w:t>（四）响应文件的语言及计量</w:t>
      </w:r>
    </w:p>
    <w:p w14:paraId="37BA5747">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48B7014">
      <w:pPr>
        <w:spacing w:line="288" w:lineRule="auto"/>
        <w:rPr>
          <w:b/>
          <w:bCs/>
          <w:color w:val="auto"/>
          <w:sz w:val="24"/>
        </w:rPr>
      </w:pPr>
      <w:r>
        <w:rPr>
          <w:rFonts w:hint="eastAsia"/>
          <w:b/>
          <w:bCs/>
          <w:color w:val="auto"/>
          <w:sz w:val="24"/>
        </w:rPr>
        <w:t>（五）磋商报价</w:t>
      </w:r>
    </w:p>
    <w:p w14:paraId="073DD575">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DED45C4">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21C5049F">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6D39AB1">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061810F9">
      <w:pPr>
        <w:spacing w:line="288" w:lineRule="auto"/>
        <w:rPr>
          <w:b/>
          <w:bCs/>
          <w:color w:val="auto"/>
          <w:sz w:val="24"/>
        </w:rPr>
      </w:pPr>
      <w:r>
        <w:rPr>
          <w:rFonts w:hint="eastAsia"/>
          <w:b/>
          <w:bCs/>
          <w:color w:val="auto"/>
          <w:sz w:val="24"/>
        </w:rPr>
        <w:t>（六）响应有效期</w:t>
      </w:r>
    </w:p>
    <w:p w14:paraId="484CF8C6">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62489DCD">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4" w:name="_Toc5197"/>
      <w:bookmarkStart w:id="225" w:name="_Toc14093"/>
      <w:r>
        <w:rPr>
          <w:rFonts w:hint="eastAsia" w:ascii="楷体" w:hAnsi="楷体" w:eastAsia="楷体" w:cs="楷体"/>
          <w:snapToGrid w:val="0"/>
          <w:color w:val="auto"/>
          <w:kern w:val="44"/>
          <w:sz w:val="32"/>
          <w:szCs w:val="32"/>
        </w:rPr>
        <w:t>四、响应无效的情形</w:t>
      </w:r>
      <w:bookmarkEnd w:id="224"/>
      <w:bookmarkEnd w:id="225"/>
    </w:p>
    <w:p w14:paraId="0A7DDC0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0F216FB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D73E01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55277A8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628F875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63E9D12C">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2FABBED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2FB5A233">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6A07ABFD">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655F7B4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7A19C2D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1CC1DA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F50268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2F0DB12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C82446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65D6BEE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020EC18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8CA674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0C5EC01">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1EA5AA6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0C8271D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2608AF3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1A700BE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A55E3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C8684F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45FDDCD5">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1ED89CB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4C0A3E8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645175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8"/>
    <w:bookmarkEnd w:id="49"/>
    <w:p w14:paraId="05FEAAA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6" w:name="_Toc200"/>
      <w:bookmarkStart w:id="227" w:name="_Toc12201"/>
      <w:bookmarkStart w:id="228" w:name="_Toc14837"/>
      <w:bookmarkStart w:id="229" w:name="_Toc467"/>
      <w:bookmarkStart w:id="230" w:name="_Toc23374"/>
      <w:bookmarkStart w:id="231" w:name="_Toc32590"/>
      <w:bookmarkStart w:id="232" w:name="_Toc24390"/>
      <w:bookmarkStart w:id="233" w:name="_Toc433537967"/>
      <w:bookmarkStart w:id="234" w:name="_Toc27001"/>
      <w:bookmarkStart w:id="235" w:name="_Toc8275"/>
      <w:bookmarkStart w:id="236" w:name="_Toc17194"/>
      <w:bookmarkStart w:id="237" w:name="_Toc22208"/>
      <w:bookmarkStart w:id="238" w:name="_Toc30706"/>
      <w:bookmarkStart w:id="239" w:name="_Toc11859"/>
      <w:bookmarkStart w:id="240" w:name="_Toc6184"/>
      <w:bookmarkStart w:id="241" w:name="_Toc14125"/>
      <w:bookmarkStart w:id="242" w:name="_Toc20980"/>
      <w:bookmarkStart w:id="243" w:name="_Toc11828"/>
      <w:bookmarkStart w:id="244" w:name="_Toc6009"/>
      <w:bookmarkStart w:id="245" w:name="_Toc20654"/>
      <w:bookmarkStart w:id="246" w:name="_Toc11365"/>
      <w:bookmarkStart w:id="247" w:name="_Toc9444"/>
      <w:bookmarkStart w:id="248" w:name="_Toc28358"/>
      <w:bookmarkStart w:id="249" w:name="_Toc207550884"/>
      <w:bookmarkStart w:id="250" w:name="_Toc4387"/>
      <w:bookmarkStart w:id="251" w:name="_Toc6290"/>
      <w:bookmarkStart w:id="252" w:name="_Toc8571"/>
      <w:bookmarkStart w:id="253" w:name="_Toc6829"/>
      <w:bookmarkStart w:id="254" w:name="_Toc6013"/>
      <w:bookmarkStart w:id="255" w:name="_Toc24793"/>
      <w:bookmarkStart w:id="256" w:name="_Toc26820"/>
      <w:bookmarkStart w:id="257" w:name="_Toc4601"/>
      <w:bookmarkStart w:id="258" w:name="_Toc25705"/>
      <w:bookmarkStart w:id="259" w:name="_Toc8057"/>
      <w:bookmarkStart w:id="260" w:name="_Toc13917"/>
      <w:bookmarkStart w:id="261" w:name="_Toc183786419"/>
      <w:r>
        <w:rPr>
          <w:rFonts w:hint="eastAsia" w:ascii="楷体" w:hAnsi="楷体" w:eastAsia="楷体" w:cs="楷体"/>
          <w:snapToGrid w:val="0"/>
          <w:color w:val="auto"/>
          <w:kern w:val="44"/>
          <w:sz w:val="32"/>
          <w:szCs w:val="32"/>
        </w:rPr>
        <w:t>五、开启响应文件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2E27B724">
      <w:pPr>
        <w:spacing w:line="288" w:lineRule="auto"/>
        <w:ind w:firstLine="482"/>
        <w:rPr>
          <w:color w:val="auto"/>
          <w:sz w:val="24"/>
        </w:rPr>
      </w:pPr>
      <w:bookmarkStart w:id="262" w:name="_Toc841"/>
      <w:bookmarkStart w:id="263" w:name="_Toc26833"/>
      <w:bookmarkStart w:id="264" w:name="_Toc12629"/>
      <w:bookmarkStart w:id="265" w:name="_Toc4789"/>
      <w:bookmarkStart w:id="266" w:name="_Toc30360"/>
      <w:bookmarkStart w:id="267" w:name="_Toc10251"/>
      <w:bookmarkStart w:id="268" w:name="_Toc20003"/>
      <w:bookmarkStart w:id="269" w:name="_Toc18007"/>
      <w:bookmarkStart w:id="270" w:name="_Toc26778"/>
      <w:bookmarkStart w:id="271" w:name="_Toc30679"/>
      <w:bookmarkStart w:id="272" w:name="_Toc15608"/>
      <w:bookmarkStart w:id="273" w:name="_Toc22094"/>
      <w:bookmarkStart w:id="274" w:name="_Toc32220"/>
      <w:bookmarkStart w:id="275" w:name="_Toc27046"/>
      <w:bookmarkStart w:id="276" w:name="_Toc6558"/>
      <w:bookmarkStart w:id="277" w:name="_Toc902"/>
      <w:bookmarkStart w:id="278" w:name="_Toc25227"/>
      <w:bookmarkStart w:id="279" w:name="_Toc10561"/>
      <w:bookmarkStart w:id="280" w:name="_Toc667"/>
      <w:bookmarkStart w:id="281" w:name="_Toc29445"/>
      <w:bookmarkStart w:id="282" w:name="_Toc9028"/>
      <w:bookmarkStart w:id="283" w:name="_Toc22017"/>
      <w:bookmarkStart w:id="284" w:name="_Toc13314"/>
      <w:bookmarkStart w:id="285" w:name="_Toc7609"/>
      <w:bookmarkStart w:id="286" w:name="_Toc28057"/>
      <w:bookmarkStart w:id="287" w:name="_Toc8052"/>
      <w:bookmarkStart w:id="288" w:name="_Toc12021"/>
      <w:bookmarkStart w:id="289" w:name="_Toc11659"/>
      <w:bookmarkStart w:id="290" w:name="_Toc5075"/>
      <w:bookmarkStart w:id="291" w:name="_Toc650"/>
      <w:bookmarkStart w:id="292" w:name="_Toc10811"/>
      <w:bookmarkStart w:id="293" w:name="_Toc29181"/>
      <w:bookmarkStart w:id="294" w:name="_Toc8181"/>
      <w:bookmarkStart w:id="295" w:name="_Toc18579"/>
      <w:r>
        <w:rPr>
          <w:rFonts w:hint="eastAsia"/>
          <w:color w:val="auto"/>
          <w:sz w:val="24"/>
        </w:rPr>
        <w:t>采购机构按照磋商文件规定的时间通过电子交易平台组织开启，所有供应商均应当准时在线参加。供应商不足3家的，不得开启。</w:t>
      </w:r>
    </w:p>
    <w:p w14:paraId="57D13C27">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5624961">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D226AB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64E22CD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6" w:name="_Toc21507"/>
      <w:bookmarkStart w:id="297" w:name="_Toc22081"/>
      <w:r>
        <w:rPr>
          <w:rFonts w:hint="eastAsia" w:ascii="楷体" w:hAnsi="楷体" w:eastAsia="楷体" w:cs="楷体"/>
          <w:snapToGrid w:val="0"/>
          <w:color w:val="auto"/>
          <w:kern w:val="44"/>
          <w:sz w:val="32"/>
          <w:szCs w:val="32"/>
        </w:rPr>
        <w:t>六、</w:t>
      </w:r>
      <w:bookmarkEnd w:id="262"/>
      <w:bookmarkEnd w:id="263"/>
      <w:bookmarkEnd w:id="264"/>
      <w:r>
        <w:rPr>
          <w:rFonts w:hint="eastAsia" w:ascii="楷体" w:hAnsi="楷体" w:eastAsia="楷体" w:cs="楷体"/>
          <w:snapToGrid w:val="0"/>
          <w:color w:val="auto"/>
          <w:kern w:val="44"/>
          <w:sz w:val="32"/>
          <w:szCs w:val="32"/>
        </w:rPr>
        <w:t>评审和磋商</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3B22A4EC">
      <w:pPr>
        <w:spacing w:line="288" w:lineRule="auto"/>
        <w:rPr>
          <w:b/>
          <w:bCs/>
          <w:color w:val="auto"/>
          <w:sz w:val="24"/>
        </w:rPr>
      </w:pPr>
      <w:r>
        <w:rPr>
          <w:rFonts w:hint="eastAsia"/>
          <w:b/>
          <w:bCs/>
          <w:color w:val="auto"/>
          <w:sz w:val="24"/>
        </w:rPr>
        <w:t>（一）磋商小组</w:t>
      </w:r>
    </w:p>
    <w:p w14:paraId="63F4DCE1">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E4A413C">
      <w:pPr>
        <w:spacing w:line="288" w:lineRule="auto"/>
        <w:rPr>
          <w:b/>
          <w:bCs/>
          <w:color w:val="auto"/>
          <w:sz w:val="24"/>
        </w:rPr>
      </w:pPr>
      <w:r>
        <w:rPr>
          <w:rFonts w:hint="eastAsia"/>
          <w:b/>
          <w:bCs/>
          <w:color w:val="auto"/>
          <w:sz w:val="24"/>
        </w:rPr>
        <w:t>（二）响应文件实质性响应的确定</w:t>
      </w:r>
    </w:p>
    <w:p w14:paraId="1167550C">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3A61BF85">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6ECC33B3">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781E5BD7">
      <w:pPr>
        <w:spacing w:line="288" w:lineRule="auto"/>
        <w:rPr>
          <w:b/>
          <w:bCs/>
          <w:color w:val="auto"/>
          <w:sz w:val="24"/>
        </w:rPr>
      </w:pPr>
      <w:r>
        <w:rPr>
          <w:rFonts w:hint="eastAsia"/>
          <w:b/>
          <w:bCs/>
          <w:color w:val="auto"/>
          <w:sz w:val="24"/>
        </w:rPr>
        <w:t>（三）响应文件的详细评审和进一步磋商</w:t>
      </w:r>
    </w:p>
    <w:p w14:paraId="74D6DE88">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7DF52738">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53E19E5F">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014F7B2">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271741F">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799794C1">
      <w:pPr>
        <w:spacing w:line="288" w:lineRule="auto"/>
        <w:ind w:firstLine="360" w:firstLineChars="150"/>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20230069@hdu.edu.cn</w:t>
      </w:r>
      <w:r>
        <w:rPr>
          <w:rFonts w:hint="eastAsia"/>
          <w:color w:val="auto"/>
          <w:sz w:val="24"/>
        </w:rPr>
        <w:t>）提交。</w:t>
      </w:r>
    </w:p>
    <w:p w14:paraId="0B528C42">
      <w:pPr>
        <w:spacing w:line="288" w:lineRule="auto"/>
        <w:rPr>
          <w:b/>
          <w:bCs/>
          <w:color w:val="auto"/>
          <w:sz w:val="24"/>
        </w:rPr>
      </w:pPr>
      <w:r>
        <w:rPr>
          <w:rFonts w:hint="eastAsia"/>
          <w:b/>
          <w:bCs/>
          <w:color w:val="auto"/>
          <w:sz w:val="24"/>
        </w:rPr>
        <w:t>（四）最后报价</w:t>
      </w:r>
    </w:p>
    <w:p w14:paraId="2942C330">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91048BD">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5CF457F">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33DF53E">
      <w:pPr>
        <w:spacing w:line="288" w:lineRule="auto"/>
        <w:rPr>
          <w:b/>
          <w:bCs/>
          <w:color w:val="auto"/>
          <w:sz w:val="24"/>
        </w:rPr>
      </w:pPr>
      <w:r>
        <w:rPr>
          <w:rFonts w:hint="eastAsia"/>
          <w:b/>
          <w:bCs/>
          <w:color w:val="auto"/>
          <w:sz w:val="24"/>
        </w:rPr>
        <w:t>（五）错误修正</w:t>
      </w:r>
    </w:p>
    <w:p w14:paraId="7305719F">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7D75305E">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224559A3">
      <w:pPr>
        <w:spacing w:line="288" w:lineRule="auto"/>
        <w:ind w:firstLine="360" w:firstLineChars="150"/>
        <w:rPr>
          <w:color w:val="auto"/>
          <w:sz w:val="24"/>
        </w:rPr>
      </w:pPr>
      <w:r>
        <w:rPr>
          <w:rFonts w:hint="eastAsia"/>
          <w:color w:val="auto"/>
          <w:sz w:val="24"/>
        </w:rPr>
        <w:t>（二）大写金额和小写金额不一致的，以大写金额为准；</w:t>
      </w:r>
    </w:p>
    <w:p w14:paraId="22C45B46">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1862CDED">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56A45FDC">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57520056">
      <w:pPr>
        <w:spacing w:line="288" w:lineRule="auto"/>
        <w:rPr>
          <w:b/>
          <w:bCs/>
          <w:color w:val="auto"/>
          <w:sz w:val="24"/>
        </w:rPr>
      </w:pPr>
      <w:r>
        <w:rPr>
          <w:rFonts w:hint="eastAsia"/>
          <w:b/>
          <w:bCs/>
          <w:color w:val="auto"/>
          <w:sz w:val="24"/>
        </w:rPr>
        <w:t>（六）综合评分</w:t>
      </w:r>
    </w:p>
    <w:p w14:paraId="5A065358">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4F9A8BDD">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68FEB31">
      <w:pPr>
        <w:spacing w:line="288" w:lineRule="auto"/>
        <w:rPr>
          <w:b/>
          <w:bCs/>
          <w:color w:val="auto"/>
          <w:sz w:val="24"/>
        </w:rPr>
      </w:pPr>
      <w:r>
        <w:rPr>
          <w:rFonts w:hint="eastAsia"/>
          <w:b/>
          <w:bCs/>
          <w:color w:val="auto"/>
          <w:sz w:val="24"/>
        </w:rPr>
        <w:t>（七）汇总商务技术得分</w:t>
      </w:r>
    </w:p>
    <w:p w14:paraId="4194499D">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183FB558">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8A804BE">
      <w:pPr>
        <w:spacing w:line="288" w:lineRule="auto"/>
        <w:rPr>
          <w:b/>
          <w:bCs/>
          <w:color w:val="auto"/>
          <w:sz w:val="24"/>
        </w:rPr>
      </w:pPr>
      <w:r>
        <w:rPr>
          <w:rFonts w:hint="eastAsia"/>
          <w:b/>
          <w:bCs/>
          <w:color w:val="auto"/>
          <w:sz w:val="24"/>
        </w:rPr>
        <w:t>（八）排序与推荐</w:t>
      </w:r>
    </w:p>
    <w:p w14:paraId="0749EF5C">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12054828">
      <w:pPr>
        <w:spacing w:line="288" w:lineRule="auto"/>
        <w:rPr>
          <w:b/>
          <w:bCs/>
          <w:color w:val="auto"/>
          <w:sz w:val="24"/>
        </w:rPr>
      </w:pPr>
      <w:r>
        <w:rPr>
          <w:rFonts w:hint="eastAsia"/>
          <w:b/>
          <w:bCs/>
          <w:color w:val="auto"/>
          <w:sz w:val="24"/>
        </w:rPr>
        <w:t>（九）编写评审报告</w:t>
      </w:r>
    </w:p>
    <w:p w14:paraId="249D642B">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BD2472F">
      <w:pPr>
        <w:spacing w:line="288" w:lineRule="auto"/>
        <w:rPr>
          <w:b/>
          <w:bCs/>
          <w:color w:val="auto"/>
          <w:sz w:val="24"/>
        </w:rPr>
      </w:pPr>
      <w:r>
        <w:rPr>
          <w:rFonts w:hint="eastAsia"/>
          <w:b/>
          <w:bCs/>
          <w:color w:val="auto"/>
          <w:sz w:val="24"/>
        </w:rPr>
        <w:t>（十）磋商评审过程的保密性</w:t>
      </w:r>
    </w:p>
    <w:p w14:paraId="7BB7ED4E">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7DD2E79B">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89BA4E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8" w:name="_Toc17524"/>
      <w:bookmarkStart w:id="299" w:name="_Toc16451"/>
      <w:bookmarkStart w:id="300" w:name="_Toc26288"/>
      <w:bookmarkStart w:id="301" w:name="_Toc22706"/>
      <w:bookmarkStart w:id="302" w:name="_Toc8603"/>
      <w:bookmarkStart w:id="303" w:name="_Toc30041"/>
      <w:bookmarkStart w:id="304" w:name="_Toc28002"/>
      <w:bookmarkStart w:id="305" w:name="_Toc326"/>
      <w:bookmarkStart w:id="306" w:name="_Toc6273"/>
      <w:bookmarkStart w:id="307" w:name="_Toc22665"/>
      <w:bookmarkStart w:id="308" w:name="_Toc21515"/>
      <w:bookmarkStart w:id="309" w:name="_Toc13854"/>
      <w:bookmarkStart w:id="310" w:name="_Toc20162"/>
      <w:bookmarkStart w:id="311" w:name="_Toc27426"/>
      <w:bookmarkStart w:id="312" w:name="_Toc2251"/>
      <w:bookmarkStart w:id="313" w:name="_Toc29029"/>
      <w:bookmarkStart w:id="314" w:name="_Toc5340"/>
      <w:bookmarkStart w:id="315" w:name="_Toc10879"/>
      <w:bookmarkStart w:id="316" w:name="_Toc26757"/>
      <w:bookmarkStart w:id="317" w:name="_Toc14468"/>
      <w:bookmarkStart w:id="318" w:name="_Toc18073"/>
      <w:bookmarkStart w:id="319" w:name="_Toc15767"/>
      <w:bookmarkStart w:id="320" w:name="_Toc21433"/>
      <w:bookmarkStart w:id="321" w:name="_Toc26044"/>
      <w:bookmarkStart w:id="322" w:name="_Toc12279"/>
      <w:bookmarkStart w:id="323" w:name="_Toc29830"/>
      <w:bookmarkStart w:id="324" w:name="_Toc3813"/>
      <w:bookmarkStart w:id="325" w:name="_Toc32587"/>
      <w:bookmarkStart w:id="326" w:name="_Toc30131"/>
      <w:bookmarkStart w:id="327" w:name="_Toc16633"/>
      <w:bookmarkStart w:id="328" w:name="_Toc5529"/>
      <w:bookmarkStart w:id="329" w:name="_Toc32209"/>
      <w:bookmarkStart w:id="330" w:name="_Toc9496"/>
      <w:bookmarkStart w:id="331" w:name="_Toc7256"/>
      <w:bookmarkStart w:id="332" w:name="_Toc17917"/>
      <w:bookmarkStart w:id="333" w:name="_Toc4483"/>
      <w:r>
        <w:rPr>
          <w:rFonts w:hint="eastAsia" w:ascii="楷体" w:hAnsi="楷体" w:eastAsia="楷体" w:cs="楷体"/>
          <w:snapToGrid w:val="0"/>
          <w:color w:val="auto"/>
          <w:kern w:val="44"/>
          <w:sz w:val="32"/>
          <w:szCs w:val="32"/>
        </w:rPr>
        <w:t>七、合同授予</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20B48261">
      <w:pPr>
        <w:spacing w:line="288" w:lineRule="auto"/>
        <w:rPr>
          <w:b/>
          <w:bCs/>
          <w:color w:val="auto"/>
          <w:sz w:val="24"/>
        </w:rPr>
      </w:pPr>
      <w:r>
        <w:rPr>
          <w:rFonts w:hint="eastAsia"/>
          <w:b/>
          <w:bCs/>
          <w:color w:val="auto"/>
          <w:sz w:val="24"/>
        </w:rPr>
        <w:t>（一）资格最终审查</w:t>
      </w:r>
    </w:p>
    <w:p w14:paraId="47C3F436">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55F97E3E">
      <w:pPr>
        <w:spacing w:line="288" w:lineRule="auto"/>
        <w:rPr>
          <w:b/>
          <w:bCs/>
          <w:color w:val="auto"/>
          <w:sz w:val="24"/>
        </w:rPr>
      </w:pPr>
      <w:r>
        <w:rPr>
          <w:rFonts w:hint="eastAsia"/>
          <w:b/>
          <w:bCs/>
          <w:color w:val="auto"/>
          <w:sz w:val="24"/>
        </w:rPr>
        <w:t>（二）接受和拒绝部分或所有磋商内容的权力</w:t>
      </w:r>
    </w:p>
    <w:p w14:paraId="730129D5">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25CE63B0">
      <w:pPr>
        <w:spacing w:line="288" w:lineRule="auto"/>
        <w:rPr>
          <w:b/>
          <w:bCs/>
          <w:color w:val="auto"/>
          <w:sz w:val="24"/>
        </w:rPr>
      </w:pPr>
      <w:r>
        <w:rPr>
          <w:rFonts w:hint="eastAsia"/>
          <w:b/>
          <w:bCs/>
          <w:color w:val="auto"/>
          <w:sz w:val="24"/>
        </w:rPr>
        <w:t>（三）成交通知书</w:t>
      </w:r>
    </w:p>
    <w:p w14:paraId="349DF12D">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45F3EAF">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7C1998A">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405B7B88">
      <w:pPr>
        <w:spacing w:line="288" w:lineRule="auto"/>
        <w:rPr>
          <w:b/>
          <w:bCs/>
          <w:color w:val="auto"/>
          <w:sz w:val="24"/>
        </w:rPr>
      </w:pPr>
      <w:r>
        <w:rPr>
          <w:rFonts w:hint="eastAsia"/>
          <w:b/>
          <w:bCs/>
          <w:color w:val="auto"/>
          <w:sz w:val="24"/>
        </w:rPr>
        <w:t>（四）授予合同时变更数量的权力</w:t>
      </w:r>
    </w:p>
    <w:p w14:paraId="47320286">
      <w:pPr>
        <w:pStyle w:val="28"/>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10D8F072">
      <w:pPr>
        <w:spacing w:line="288" w:lineRule="auto"/>
        <w:rPr>
          <w:b/>
          <w:bCs/>
          <w:color w:val="auto"/>
          <w:sz w:val="24"/>
        </w:rPr>
      </w:pPr>
      <w:r>
        <w:rPr>
          <w:rFonts w:hint="eastAsia"/>
          <w:b/>
          <w:bCs/>
          <w:color w:val="auto"/>
          <w:sz w:val="24"/>
        </w:rPr>
        <w:t>（五）签订合同</w:t>
      </w:r>
    </w:p>
    <w:p w14:paraId="4DAFCB69">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53D2D985">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1D552F34">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57CE2A5E">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6B6EE7EF">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34" w:name="_Toc18478"/>
      <w:bookmarkStart w:id="335" w:name="_Toc10023"/>
      <w:bookmarkStart w:id="336" w:name="_Toc31754"/>
      <w:bookmarkStart w:id="337" w:name="_Toc24700"/>
      <w:bookmarkStart w:id="338" w:name="_Toc27094"/>
      <w:bookmarkStart w:id="339" w:name="_Toc11599"/>
      <w:bookmarkStart w:id="340" w:name="_Toc30987"/>
      <w:r>
        <w:rPr>
          <w:rStyle w:val="56"/>
          <w:rFonts w:ascii="Times New Roman" w:hAnsi="Times New Roman"/>
          <w:snapToGrid w:val="0"/>
          <w:color w:val="auto"/>
        </w:rPr>
        <w:br w:type="page"/>
      </w:r>
      <w:bookmarkStart w:id="341" w:name="_Toc26100"/>
      <w:bookmarkStart w:id="342" w:name="_Toc26169"/>
      <w:bookmarkStart w:id="343" w:name="_Toc32035"/>
      <w:bookmarkStart w:id="344" w:name="_Toc30217"/>
      <w:bookmarkStart w:id="345" w:name="_Toc14406"/>
      <w:bookmarkStart w:id="346" w:name="_Toc7338"/>
      <w:bookmarkStart w:id="347" w:name="_Toc9109"/>
      <w:bookmarkStart w:id="348" w:name="_Toc23225"/>
      <w:bookmarkStart w:id="349" w:name="_Toc15038"/>
      <w:bookmarkStart w:id="350" w:name="_Toc30301"/>
      <w:bookmarkStart w:id="351" w:name="_Toc12347"/>
      <w:bookmarkStart w:id="352" w:name="_Toc10406"/>
      <w:bookmarkStart w:id="353" w:name="_Toc17708"/>
      <w:bookmarkStart w:id="354" w:name="_Toc17768"/>
      <w:bookmarkStart w:id="355" w:name="_Toc6438"/>
      <w:bookmarkStart w:id="356" w:name="_Toc7293"/>
      <w:bookmarkStart w:id="357" w:name="_Toc8630"/>
      <w:bookmarkStart w:id="358" w:name="_Toc23632"/>
      <w:bookmarkStart w:id="359" w:name="_Toc20593"/>
      <w:bookmarkStart w:id="360" w:name="_Toc646"/>
      <w:bookmarkStart w:id="361" w:name="_Toc22180"/>
      <w:bookmarkStart w:id="362" w:name="_Toc5470"/>
      <w:bookmarkStart w:id="363" w:name="_Toc3428"/>
      <w:bookmarkStart w:id="364" w:name="_Toc24396"/>
      <w:bookmarkStart w:id="365" w:name="_Toc365"/>
      <w:bookmarkStart w:id="366" w:name="_Toc15832"/>
      <w:bookmarkStart w:id="367" w:name="_Toc14142"/>
      <w:bookmarkStart w:id="368" w:name="_Toc30158"/>
      <w:bookmarkStart w:id="369" w:name="_Toc27781"/>
      <w:bookmarkStart w:id="370" w:name="_Toc3282"/>
      <w:bookmarkStart w:id="371" w:name="_Toc27525"/>
      <w:bookmarkStart w:id="372" w:name="_Toc16902"/>
      <w:bookmarkStart w:id="373" w:name="_Toc12012"/>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2A471D10">
      <w:pPr>
        <w:pStyle w:val="6"/>
        <w:ind w:left="0" w:firstLine="0"/>
        <w:rPr>
          <w:color w:val="auto"/>
        </w:rPr>
      </w:pPr>
      <w:bookmarkStart w:id="374" w:name="_Toc19557"/>
      <w:bookmarkStart w:id="375" w:name="_Toc19678"/>
      <w:bookmarkStart w:id="376" w:name="_Toc16135"/>
      <w:bookmarkStart w:id="377" w:name="_Toc3408"/>
      <w:bookmarkStart w:id="378" w:name="_Toc13126"/>
      <w:bookmarkStart w:id="379" w:name="_Toc26478"/>
      <w:bookmarkStart w:id="380" w:name="_Toc24036"/>
      <w:bookmarkStart w:id="381" w:name="_Toc14512"/>
      <w:bookmarkStart w:id="382" w:name="_Toc1660"/>
      <w:bookmarkStart w:id="383" w:name="_Toc3691"/>
      <w:bookmarkStart w:id="384" w:name="_Toc20153"/>
      <w:bookmarkStart w:id="385" w:name="_Toc27955"/>
      <w:bookmarkStart w:id="386" w:name="_Toc31434"/>
      <w:bookmarkStart w:id="387" w:name="_Toc29510"/>
      <w:bookmarkStart w:id="388" w:name="_Toc3711"/>
      <w:bookmarkStart w:id="389" w:name="_Toc21296"/>
      <w:r>
        <w:rPr>
          <w:rFonts w:hint="eastAsia"/>
          <w:color w:val="auto"/>
        </w:rPr>
        <w:t>一、项目概况</w:t>
      </w:r>
      <w:bookmarkEnd w:id="374"/>
      <w:bookmarkEnd w:id="375"/>
    </w:p>
    <w:bookmarkEnd w:id="376"/>
    <w:bookmarkEnd w:id="377"/>
    <w:bookmarkEnd w:id="378"/>
    <w:bookmarkEnd w:id="379"/>
    <w:bookmarkEnd w:id="380"/>
    <w:p w14:paraId="0018BC0D">
      <w:pPr>
        <w:pStyle w:val="28"/>
        <w:spacing w:line="400" w:lineRule="exact"/>
        <w:ind w:left="-27" w:firstLine="367" w:firstLineChars="175"/>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2025年信息化及软硬件维保服务</w:t>
      </w:r>
      <w:r>
        <w:rPr>
          <w:rFonts w:hint="eastAsia" w:hAnsi="宋体" w:cs="宋体"/>
          <w:color w:val="auto"/>
          <w:sz w:val="21"/>
          <w:szCs w:val="21"/>
          <w:lang w:val="en-US" w:eastAsia="zh-CN" w:bidi="ar-SA"/>
        </w:rPr>
        <w:t>，</w:t>
      </w:r>
      <w:r>
        <w:rPr>
          <w:rFonts w:hint="eastAsia" w:ascii="宋体" w:hAnsi="宋体" w:eastAsia="宋体" w:cs="宋体"/>
          <w:color w:val="auto"/>
          <w:sz w:val="21"/>
          <w:szCs w:val="21"/>
          <w:lang w:val="en-US" w:eastAsia="zh-CN" w:bidi="ar-SA"/>
        </w:rPr>
        <w:t>包含服务器、存储、网络及安全设备维保及服务，机房维保及服务，信息系统维保及服务等。</w:t>
      </w:r>
    </w:p>
    <w:p w14:paraId="583A7862">
      <w:pPr>
        <w:pStyle w:val="6"/>
        <w:tabs>
          <w:tab w:val="left" w:pos="0"/>
          <w:tab w:val="clear" w:pos="1275"/>
        </w:tabs>
        <w:ind w:left="0" w:leftChars="0" w:firstLine="0" w:firstLineChars="0"/>
        <w:jc w:val="left"/>
        <w:rPr>
          <w:color w:val="auto"/>
        </w:rPr>
      </w:pPr>
      <w:bookmarkStart w:id="390" w:name="_Toc9542"/>
      <w:bookmarkStart w:id="391" w:name="_Toc18474"/>
      <w:r>
        <w:rPr>
          <w:rFonts w:hint="eastAsia"/>
          <w:color w:val="auto"/>
        </w:rPr>
        <w:t>二、服务内容和详细要求</w:t>
      </w:r>
      <w:bookmarkEnd w:id="390"/>
      <w:bookmarkEnd w:id="391"/>
    </w:p>
    <w:p w14:paraId="47E644D0">
      <w:pPr>
        <w:spacing w:line="288" w:lineRule="auto"/>
        <w:ind w:firstLine="422" w:firstLineChars="200"/>
        <w:jc w:val="left"/>
        <w:rPr>
          <w:rFonts w:hint="eastAsia" w:ascii="宋体" w:hAnsi="宋体" w:cs="宋体"/>
          <w:b/>
          <w:color w:val="auto"/>
          <w:szCs w:val="21"/>
        </w:rPr>
      </w:pPr>
      <w:r>
        <w:rPr>
          <w:rFonts w:hint="eastAsia" w:ascii="宋体" w:hAnsi="宋体" w:cs="宋体"/>
          <w:b/>
          <w:color w:val="auto"/>
          <w:szCs w:val="21"/>
        </w:rPr>
        <w:t>1.服务器、存储、网络及安全设备维保及服务：</w:t>
      </w:r>
    </w:p>
    <w:p w14:paraId="4C3FC653">
      <w:pPr>
        <w:spacing w:line="288" w:lineRule="auto"/>
        <w:ind w:firstLine="420" w:firstLineChars="200"/>
        <w:jc w:val="left"/>
        <w:rPr>
          <w:rFonts w:hint="eastAsia" w:ascii="宋体" w:hAnsi="宋体" w:cs="宋体"/>
          <w:color w:val="auto"/>
          <w:szCs w:val="21"/>
        </w:rPr>
      </w:pPr>
      <w:r>
        <w:rPr>
          <w:rFonts w:hint="eastAsia" w:ascii="宋体" w:hAnsi="宋体" w:cs="宋体"/>
          <w:color w:val="auto"/>
          <w:szCs w:val="21"/>
        </w:rPr>
        <w:t>根据情况将中心机房中相关服务器、存储、网络及安全设备运维加入运维服务体系，要求中标人提供运维及原厂授权服务。包括定期巡检、设备调优、故障修复、系统升级、固件升级、识别库及规则库升级、软件升级等工作，保证其正常使用。</w:t>
      </w:r>
    </w:p>
    <w:tbl>
      <w:tblPr>
        <w:tblStyle w:val="47"/>
        <w:tblW w:w="8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0"/>
        <w:gridCol w:w="7106"/>
      </w:tblGrid>
      <w:tr w14:paraId="1E381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AC0653C">
            <w:pPr>
              <w:jc w:val="center"/>
              <w:rPr>
                <w:rFonts w:hint="eastAsia" w:ascii="宋体" w:hAnsi="宋体" w:cs="宋体"/>
                <w:b/>
                <w:color w:val="auto"/>
                <w:szCs w:val="21"/>
              </w:rPr>
            </w:pPr>
            <w:r>
              <w:rPr>
                <w:rFonts w:hint="eastAsia" w:ascii="宋体" w:hAnsi="宋体" w:cs="宋体"/>
                <w:b/>
                <w:color w:val="auto"/>
                <w:szCs w:val="21"/>
              </w:rPr>
              <w:t>设备名称</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419C5651">
            <w:pPr>
              <w:jc w:val="center"/>
              <w:rPr>
                <w:rFonts w:hint="eastAsia" w:ascii="宋体" w:hAnsi="宋体" w:cs="宋体"/>
                <w:b/>
                <w:color w:val="auto"/>
                <w:szCs w:val="21"/>
              </w:rPr>
            </w:pPr>
            <w:r>
              <w:rPr>
                <w:rFonts w:hint="eastAsia" w:ascii="宋体" w:hAnsi="宋体" w:cs="宋体"/>
                <w:b/>
                <w:color w:val="auto"/>
                <w:szCs w:val="21"/>
              </w:rPr>
              <w:t>运维服务内容</w:t>
            </w:r>
          </w:p>
        </w:tc>
      </w:tr>
      <w:tr w14:paraId="5C54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2D11697">
            <w:pPr>
              <w:jc w:val="center"/>
              <w:rPr>
                <w:rFonts w:hint="eastAsia" w:ascii="宋体" w:hAnsi="宋体" w:cs="宋体"/>
                <w:color w:val="auto"/>
                <w:szCs w:val="21"/>
              </w:rPr>
            </w:pPr>
            <w:r>
              <w:rPr>
                <w:rFonts w:hint="eastAsia" w:ascii="宋体" w:hAnsi="宋体" w:cs="宋体"/>
                <w:color w:val="auto"/>
                <w:szCs w:val="21"/>
              </w:rPr>
              <w:t>浪潮服务器</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4B207946">
            <w:pPr>
              <w:jc w:val="left"/>
              <w:rPr>
                <w:rFonts w:hint="eastAsia" w:ascii="宋体" w:hAnsi="宋体" w:cs="宋体"/>
                <w:color w:val="auto"/>
                <w:szCs w:val="21"/>
              </w:rPr>
            </w:pPr>
            <w:r>
              <w:rPr>
                <w:rFonts w:hint="eastAsia" w:ascii="宋体" w:hAnsi="宋体" w:cs="宋体"/>
                <w:color w:val="auto"/>
                <w:szCs w:val="21"/>
              </w:rPr>
              <w:t>1.服务对象：28台NF8460M4。</w:t>
            </w:r>
          </w:p>
          <w:p w14:paraId="5B8B343A">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w:t>
            </w:r>
          </w:p>
          <w:p w14:paraId="1DEBF862">
            <w:pPr>
              <w:jc w:val="left"/>
              <w:rPr>
                <w:rFonts w:hint="eastAsia" w:ascii="宋体" w:hAnsi="宋体" w:cs="宋体"/>
                <w:color w:val="auto"/>
                <w:szCs w:val="21"/>
              </w:rPr>
            </w:pPr>
            <w:r>
              <w:rPr>
                <w:rFonts w:hint="eastAsia" w:ascii="宋体" w:hAnsi="宋体" w:cs="宋体"/>
                <w:color w:val="auto"/>
                <w:szCs w:val="21"/>
              </w:rPr>
              <w:t>3.维保要求：</w:t>
            </w:r>
          </w:p>
          <w:p w14:paraId="5E9CAF9F">
            <w:pPr>
              <w:jc w:val="left"/>
              <w:rPr>
                <w:rFonts w:hint="eastAsia" w:ascii="宋体" w:hAnsi="宋体" w:cs="宋体"/>
                <w:color w:val="auto"/>
                <w:szCs w:val="21"/>
              </w:rPr>
            </w:pPr>
            <w:r>
              <w:rPr>
                <w:rFonts w:hint="eastAsia" w:ascii="宋体" w:hAnsi="宋体" w:cs="宋体"/>
                <w:color w:val="auto"/>
                <w:szCs w:val="21"/>
              </w:rPr>
              <w:t>（1）一年原厂维保服务。</w:t>
            </w:r>
          </w:p>
          <w:p w14:paraId="3B5C112D">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（2）不少于每月1次对上述设备进行预防性检测及维护服务并提供巡检报告，包括操作系统运行状态、系统调优、日志问题分析、报警记录等。</w:t>
            </w:r>
          </w:p>
          <w:p w14:paraId="04D4184A">
            <w:pPr>
              <w:jc w:val="left"/>
              <w:rPr>
                <w:rFonts w:hint="eastAsia" w:ascii="宋体" w:hAnsi="宋体" w:cs="宋体"/>
                <w:color w:val="auto"/>
                <w:szCs w:val="21"/>
              </w:rPr>
            </w:pPr>
            <w:r>
              <w:rPr>
                <w:rFonts w:hint="eastAsia" w:ascii="宋体" w:hAnsi="宋体" w:cs="宋体"/>
                <w:color w:val="auto"/>
                <w:szCs w:val="21"/>
              </w:rPr>
              <w:t>（3）涉及硬件维修、更换的，需要在24小时内处理完；若无法完成维修及更换，投标人需提供备用设备，保障业务正常运行。</w:t>
            </w:r>
          </w:p>
          <w:p w14:paraId="2525DB45">
            <w:pPr>
              <w:jc w:val="left"/>
              <w:rPr>
                <w:rFonts w:hint="eastAsia" w:ascii="宋体" w:hAnsi="宋体" w:cs="宋体"/>
                <w:color w:val="auto"/>
                <w:szCs w:val="21"/>
              </w:rPr>
            </w:pPr>
            <w:r>
              <w:rPr>
                <w:rFonts w:hint="eastAsia" w:ascii="宋体" w:hAnsi="宋体" w:cs="宋体"/>
                <w:color w:val="auto"/>
                <w:szCs w:val="21"/>
              </w:rPr>
              <w:t>（4）确保服务器数据安全，发生故障或更换设备时，须提供数据迁移服务。</w:t>
            </w:r>
          </w:p>
          <w:p w14:paraId="6985FB53">
            <w:pPr>
              <w:jc w:val="left"/>
              <w:rPr>
                <w:rFonts w:hint="eastAsia" w:ascii="宋体" w:hAnsi="宋体" w:cs="宋体"/>
                <w:color w:val="auto"/>
                <w:szCs w:val="21"/>
              </w:rPr>
            </w:pPr>
            <w:r>
              <w:rPr>
                <w:rFonts w:hint="eastAsia" w:ascii="宋体" w:hAnsi="宋体" w:cs="宋体"/>
                <w:color w:val="auto"/>
                <w:szCs w:val="21"/>
              </w:rPr>
              <w:t>（5）按采购人要求升级服务器软硬件，为新建云管平台提供硬件服务支撑。</w:t>
            </w:r>
          </w:p>
        </w:tc>
      </w:tr>
      <w:tr w14:paraId="71A7E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340F712">
            <w:pPr>
              <w:jc w:val="center"/>
              <w:rPr>
                <w:rFonts w:hint="eastAsia" w:ascii="宋体" w:hAnsi="宋体" w:cs="宋体"/>
                <w:color w:val="auto"/>
                <w:szCs w:val="21"/>
              </w:rPr>
            </w:pPr>
            <w:r>
              <w:rPr>
                <w:rFonts w:hint="eastAsia" w:ascii="宋体" w:hAnsi="宋体" w:cs="宋体"/>
                <w:color w:val="auto"/>
                <w:szCs w:val="21"/>
              </w:rPr>
              <w:t>戴尔服务器</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6FDEC526">
            <w:pPr>
              <w:jc w:val="left"/>
              <w:rPr>
                <w:rFonts w:hint="eastAsia" w:ascii="宋体" w:hAnsi="宋体" w:cs="宋体"/>
                <w:color w:val="auto"/>
                <w:szCs w:val="21"/>
              </w:rPr>
            </w:pPr>
            <w:r>
              <w:rPr>
                <w:rFonts w:hint="eastAsia" w:ascii="宋体" w:hAnsi="宋体" w:cs="宋体"/>
                <w:color w:val="auto"/>
                <w:szCs w:val="21"/>
              </w:rPr>
              <w:t>1.服务对象：4台R740。</w:t>
            </w:r>
          </w:p>
          <w:p w14:paraId="72322BC0">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w:t>
            </w:r>
          </w:p>
          <w:p w14:paraId="611CF987">
            <w:pPr>
              <w:jc w:val="left"/>
              <w:rPr>
                <w:rFonts w:hint="eastAsia" w:ascii="宋体" w:hAnsi="宋体" w:cs="宋体"/>
                <w:color w:val="auto"/>
                <w:szCs w:val="21"/>
              </w:rPr>
            </w:pPr>
            <w:r>
              <w:rPr>
                <w:rFonts w:hint="eastAsia" w:ascii="宋体" w:hAnsi="宋体" w:cs="宋体"/>
                <w:color w:val="auto"/>
                <w:szCs w:val="21"/>
              </w:rPr>
              <w:t>3.维保要求：</w:t>
            </w:r>
          </w:p>
          <w:p w14:paraId="72FFBF48">
            <w:pPr>
              <w:jc w:val="left"/>
              <w:rPr>
                <w:rFonts w:hint="eastAsia" w:ascii="宋体" w:hAnsi="宋体" w:cs="宋体"/>
                <w:color w:val="auto"/>
                <w:szCs w:val="21"/>
              </w:rPr>
            </w:pPr>
            <w:r>
              <w:rPr>
                <w:rFonts w:hint="eastAsia" w:ascii="宋体" w:hAnsi="宋体" w:cs="宋体"/>
                <w:color w:val="auto"/>
                <w:szCs w:val="21"/>
              </w:rPr>
              <w:t>（1）一年原厂维保服务。</w:t>
            </w:r>
          </w:p>
          <w:p w14:paraId="6CF03C61">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（2）不少于每月1次对上述设备进行预防性检测及维护服务并提供巡检报告，包括操作系统运行状态、系统调优、日志问题分析、报警记录等。</w:t>
            </w:r>
          </w:p>
          <w:p w14:paraId="2CAFFBF2">
            <w:pPr>
              <w:jc w:val="left"/>
              <w:rPr>
                <w:rFonts w:hint="eastAsia" w:ascii="宋体" w:hAnsi="宋体" w:cs="宋体"/>
                <w:color w:val="auto"/>
                <w:szCs w:val="21"/>
              </w:rPr>
            </w:pPr>
            <w:r>
              <w:rPr>
                <w:rFonts w:hint="eastAsia" w:ascii="宋体" w:hAnsi="宋体" w:cs="宋体"/>
                <w:color w:val="auto"/>
                <w:szCs w:val="21"/>
              </w:rPr>
              <w:t>（3）涉及硬件维修、更换的，需要在24小时内处理完；若无法完成维修及更换，投标人需提供备用设备，保障业务正常运行。</w:t>
            </w:r>
          </w:p>
          <w:p w14:paraId="09FCACCF">
            <w:pPr>
              <w:jc w:val="left"/>
              <w:rPr>
                <w:rFonts w:hint="eastAsia" w:ascii="宋体" w:hAnsi="宋体" w:cs="宋体"/>
                <w:color w:val="auto"/>
                <w:szCs w:val="21"/>
              </w:rPr>
            </w:pPr>
            <w:r>
              <w:rPr>
                <w:rFonts w:hint="eastAsia" w:ascii="宋体" w:hAnsi="宋体" w:cs="宋体"/>
                <w:color w:val="auto"/>
                <w:szCs w:val="21"/>
              </w:rPr>
              <w:t>（4）确保服务器数据安全，发生故障或更换设备时，须提供数据迁移服务。</w:t>
            </w:r>
          </w:p>
          <w:p w14:paraId="5AD9E7CB">
            <w:pPr>
              <w:jc w:val="left"/>
              <w:rPr>
                <w:rFonts w:hint="eastAsia" w:ascii="宋体" w:hAnsi="宋体" w:cs="宋体"/>
                <w:color w:val="auto"/>
                <w:szCs w:val="21"/>
              </w:rPr>
            </w:pPr>
            <w:r>
              <w:rPr>
                <w:rFonts w:hint="eastAsia" w:ascii="宋体" w:hAnsi="宋体" w:cs="宋体"/>
                <w:color w:val="auto"/>
                <w:szCs w:val="21"/>
              </w:rPr>
              <w:t>（5）按采购人要求升级服务器软硬件，为新建云管平台提供硬件服务支撑。</w:t>
            </w:r>
          </w:p>
        </w:tc>
      </w:tr>
      <w:tr w14:paraId="7C583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B955FD5">
            <w:pPr>
              <w:jc w:val="center"/>
              <w:rPr>
                <w:rFonts w:hint="eastAsia" w:ascii="宋体" w:hAnsi="宋体" w:cs="宋体"/>
                <w:color w:val="auto"/>
                <w:szCs w:val="21"/>
              </w:rPr>
            </w:pPr>
            <w:r>
              <w:rPr>
                <w:rFonts w:hint="eastAsia" w:ascii="宋体" w:hAnsi="宋体" w:cs="宋体"/>
                <w:color w:val="auto"/>
                <w:szCs w:val="21"/>
              </w:rPr>
              <w:t>存储阵列</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48FF886F">
            <w:pPr>
              <w:jc w:val="left"/>
              <w:rPr>
                <w:rFonts w:hint="eastAsia" w:ascii="宋体" w:hAnsi="宋体" w:cs="宋体"/>
                <w:color w:val="auto"/>
                <w:szCs w:val="21"/>
              </w:rPr>
            </w:pPr>
            <w:r>
              <w:rPr>
                <w:rFonts w:hint="eastAsia" w:ascii="宋体" w:hAnsi="宋体" w:cs="宋体"/>
                <w:color w:val="auto"/>
                <w:szCs w:val="21"/>
              </w:rPr>
              <w:t>1.服务对象：1套Unity 400、1套信核存储。</w:t>
            </w:r>
          </w:p>
          <w:p w14:paraId="69285A55">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2.维保内容：对上述设备紧急现场故障处理、系统及部件安装与调试、定期预防性维护检查、系统升级及补丁安装、存储规划及性能调优。</w:t>
            </w:r>
          </w:p>
          <w:p w14:paraId="747B03C2">
            <w:pPr>
              <w:jc w:val="left"/>
              <w:rPr>
                <w:rFonts w:hint="eastAsia" w:ascii="宋体" w:hAnsi="宋体" w:cs="宋体"/>
                <w:color w:val="auto"/>
                <w:szCs w:val="21"/>
              </w:rPr>
            </w:pPr>
            <w:r>
              <w:rPr>
                <w:rFonts w:hint="eastAsia" w:ascii="宋体" w:hAnsi="宋体" w:cs="宋体"/>
                <w:color w:val="auto"/>
                <w:szCs w:val="21"/>
              </w:rPr>
              <w:t>3.维保要求：</w:t>
            </w:r>
          </w:p>
          <w:p w14:paraId="17218084">
            <w:pPr>
              <w:jc w:val="left"/>
              <w:rPr>
                <w:rFonts w:hint="eastAsia" w:ascii="宋体" w:hAnsi="宋体" w:cs="宋体"/>
                <w:color w:val="auto"/>
                <w:szCs w:val="21"/>
              </w:rPr>
            </w:pPr>
            <w:r>
              <w:rPr>
                <w:rFonts w:hint="eastAsia" w:ascii="宋体" w:hAnsi="宋体" w:cs="宋体"/>
                <w:color w:val="auto"/>
                <w:szCs w:val="21"/>
              </w:rPr>
              <w:t>（1）一年原厂维保服务。</w:t>
            </w:r>
          </w:p>
          <w:p w14:paraId="3902686D">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（2）不少于每月1次对上述设备进行预防性检测及维护服务并提供巡检报告，包括操作系统运行状态、系统调优、日志问题分析、报警记录等。</w:t>
            </w:r>
          </w:p>
          <w:p w14:paraId="07A000E7">
            <w:pPr>
              <w:jc w:val="left"/>
              <w:rPr>
                <w:rFonts w:hint="eastAsia" w:ascii="宋体" w:hAnsi="宋体" w:cs="宋体"/>
                <w:color w:val="auto"/>
                <w:szCs w:val="21"/>
              </w:rPr>
            </w:pPr>
            <w:r>
              <w:rPr>
                <w:rFonts w:hint="eastAsia" w:ascii="宋体" w:hAnsi="宋体" w:cs="宋体"/>
                <w:color w:val="auto"/>
                <w:szCs w:val="21"/>
              </w:rPr>
              <w:t>（3）涉及硬件维修、更换的，需要在2小时内处理完；若无法完成维修及更换，投标人需提供备用设备及解决方案，保障业务正常运行。</w:t>
            </w:r>
          </w:p>
          <w:p w14:paraId="21F8CA3D">
            <w:pPr>
              <w:jc w:val="left"/>
              <w:rPr>
                <w:rFonts w:hint="eastAsia" w:ascii="宋体" w:hAnsi="宋体" w:cs="宋体"/>
                <w:color w:val="auto"/>
                <w:szCs w:val="21"/>
              </w:rPr>
            </w:pPr>
            <w:r>
              <w:rPr>
                <w:rFonts w:hint="eastAsia" w:ascii="宋体" w:hAnsi="宋体" w:cs="宋体"/>
                <w:color w:val="auto"/>
                <w:szCs w:val="21"/>
              </w:rPr>
              <w:t>（4）确保存储数据安全，发生故障或更换设备时，须提供数据迁移服务。</w:t>
            </w:r>
          </w:p>
          <w:p w14:paraId="3517F413">
            <w:pPr>
              <w:jc w:val="left"/>
              <w:rPr>
                <w:rFonts w:hint="eastAsia" w:ascii="宋体" w:hAnsi="宋体" w:cs="宋体"/>
                <w:color w:val="auto"/>
                <w:szCs w:val="21"/>
              </w:rPr>
            </w:pPr>
            <w:r>
              <w:rPr>
                <w:rFonts w:hint="eastAsia" w:ascii="宋体" w:hAnsi="宋体" w:cs="宋体"/>
                <w:color w:val="auto"/>
                <w:szCs w:val="21"/>
              </w:rPr>
              <w:t>（5）按采购人要求对上述存储进行架构优化，统一提供存储服务，适配云管平台存储服务，提供存储服务支撑。</w:t>
            </w:r>
          </w:p>
        </w:tc>
      </w:tr>
      <w:tr w14:paraId="1F17F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01D5104">
            <w:pPr>
              <w:jc w:val="center"/>
              <w:rPr>
                <w:rFonts w:hint="eastAsia" w:ascii="宋体" w:hAnsi="宋体" w:cs="宋体"/>
                <w:color w:val="auto"/>
                <w:szCs w:val="21"/>
              </w:rPr>
            </w:pPr>
            <w:r>
              <w:rPr>
                <w:rFonts w:hint="eastAsia" w:ascii="宋体" w:hAnsi="宋体" w:cs="宋体"/>
                <w:color w:val="auto"/>
                <w:szCs w:val="21"/>
              </w:rPr>
              <w:t>核心交换机</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3FB1118A">
            <w:pPr>
              <w:jc w:val="left"/>
              <w:rPr>
                <w:rFonts w:hint="eastAsia" w:ascii="宋体" w:hAnsi="宋体" w:cs="宋体"/>
                <w:color w:val="auto"/>
                <w:szCs w:val="21"/>
              </w:rPr>
            </w:pPr>
            <w:r>
              <w:rPr>
                <w:rFonts w:hint="eastAsia" w:ascii="宋体" w:hAnsi="宋体" w:cs="宋体"/>
                <w:color w:val="auto"/>
                <w:szCs w:val="21"/>
              </w:rPr>
              <w:t>1.服务对象：2台H3C12508。</w:t>
            </w:r>
          </w:p>
          <w:p w14:paraId="7EE1CF7C">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2.维保内容：对上述设备紧急现场故障处理、系统及部件安装与调试、定期预防性维护检查、系统升级及补丁安装、网络故障排查及调优。</w:t>
            </w:r>
          </w:p>
          <w:p w14:paraId="00D6820B">
            <w:pPr>
              <w:jc w:val="left"/>
              <w:rPr>
                <w:rFonts w:hint="eastAsia" w:ascii="宋体" w:hAnsi="宋体" w:cs="宋体"/>
                <w:color w:val="auto"/>
                <w:szCs w:val="21"/>
              </w:rPr>
            </w:pPr>
            <w:r>
              <w:rPr>
                <w:rFonts w:hint="eastAsia" w:ascii="宋体" w:hAnsi="宋体" w:cs="宋体"/>
                <w:color w:val="auto"/>
                <w:szCs w:val="21"/>
              </w:rPr>
              <w:t>3.维保要求：</w:t>
            </w:r>
          </w:p>
          <w:p w14:paraId="108D41F0">
            <w:pPr>
              <w:jc w:val="left"/>
              <w:rPr>
                <w:rFonts w:hint="eastAsia" w:ascii="宋体" w:hAnsi="宋体" w:cs="宋体"/>
                <w:color w:val="auto"/>
                <w:szCs w:val="21"/>
              </w:rPr>
            </w:pPr>
            <w:r>
              <w:rPr>
                <w:rFonts w:hint="eastAsia" w:ascii="宋体" w:hAnsi="宋体" w:cs="宋体"/>
                <w:color w:val="auto"/>
                <w:szCs w:val="21"/>
              </w:rPr>
              <w:t>（1）一年原厂维保服务。</w:t>
            </w:r>
          </w:p>
          <w:p w14:paraId="03D41FBB">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（2）不少于每月1次对上述设备进行预防性检测及维护服务并提供巡检报告，包括网络运行状态、网络调优、日志问题分析、报警记录等。</w:t>
            </w:r>
          </w:p>
          <w:p w14:paraId="34F268EC">
            <w:pPr>
              <w:jc w:val="left"/>
              <w:rPr>
                <w:rFonts w:hint="eastAsia" w:ascii="宋体" w:hAnsi="宋体" w:cs="宋体"/>
                <w:color w:val="auto"/>
                <w:szCs w:val="21"/>
              </w:rPr>
            </w:pPr>
            <w:r>
              <w:rPr>
                <w:rFonts w:hint="eastAsia" w:ascii="宋体" w:hAnsi="宋体" w:cs="宋体"/>
                <w:color w:val="auto"/>
                <w:szCs w:val="21"/>
              </w:rPr>
              <w:t>（3）涉及硬件维修、更换的，需要在12小时内处理完；若无法完成维修及更换，投标人需提供备用设备，保障业务正常运行。</w:t>
            </w:r>
          </w:p>
          <w:p w14:paraId="6975A527">
            <w:pPr>
              <w:jc w:val="left"/>
              <w:rPr>
                <w:rFonts w:hint="eastAsia" w:ascii="宋体" w:hAnsi="宋体" w:cs="宋体"/>
                <w:color w:val="auto"/>
                <w:szCs w:val="21"/>
              </w:rPr>
            </w:pPr>
            <w:r>
              <w:rPr>
                <w:rFonts w:hint="eastAsia" w:ascii="宋体" w:hAnsi="宋体" w:cs="宋体"/>
                <w:color w:val="auto"/>
                <w:szCs w:val="21"/>
              </w:rPr>
              <w:t>（4）确保核心网络正常运行，发生故障或更换设备时，须提供替代方案及服务。</w:t>
            </w:r>
          </w:p>
          <w:p w14:paraId="4A375CA0">
            <w:pPr>
              <w:jc w:val="left"/>
              <w:rPr>
                <w:rFonts w:hint="eastAsia" w:ascii="宋体" w:hAnsi="宋体" w:cs="宋体"/>
                <w:color w:val="auto"/>
                <w:szCs w:val="21"/>
              </w:rPr>
            </w:pPr>
            <w:r>
              <w:rPr>
                <w:rFonts w:hint="eastAsia" w:ascii="宋体" w:hAnsi="宋体" w:cs="宋体"/>
                <w:color w:val="auto"/>
                <w:szCs w:val="21"/>
              </w:rPr>
              <w:t>（5）按采购人要求对涉及数据中心核心网络进行架构优化，统一提供网络服务，适配云管平台网络功能要求，提供网络支撑。</w:t>
            </w:r>
          </w:p>
        </w:tc>
      </w:tr>
      <w:tr w14:paraId="5E2FF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BF6C633">
            <w:pPr>
              <w:jc w:val="center"/>
              <w:rPr>
                <w:rFonts w:hint="eastAsia" w:ascii="宋体" w:hAnsi="宋体" w:cs="宋体"/>
                <w:color w:val="auto"/>
                <w:szCs w:val="21"/>
              </w:rPr>
            </w:pPr>
            <w:r>
              <w:rPr>
                <w:rFonts w:hint="eastAsia" w:ascii="宋体" w:hAnsi="宋体" w:cs="宋体"/>
                <w:color w:val="auto"/>
                <w:szCs w:val="21"/>
              </w:rPr>
              <w:t>VPN设备</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30950EB8">
            <w:pPr>
              <w:jc w:val="left"/>
              <w:rPr>
                <w:rFonts w:hint="eastAsia" w:ascii="宋体" w:hAnsi="宋体" w:cs="宋体"/>
                <w:color w:val="auto"/>
                <w:szCs w:val="21"/>
              </w:rPr>
            </w:pPr>
            <w:r>
              <w:rPr>
                <w:rFonts w:hint="eastAsia" w:ascii="宋体" w:hAnsi="宋体" w:cs="宋体"/>
                <w:color w:val="auto"/>
                <w:szCs w:val="21"/>
              </w:rPr>
              <w:t>1.服务对象：1台深信服SSLVPN。</w:t>
            </w:r>
          </w:p>
          <w:p w14:paraId="371198B4">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2.维保内容：对上述设备紧急现场故障处理、系统及部件安装与调试、定期预防性维护检查、系统升级及补丁安装、定期网络安全巡检。</w:t>
            </w:r>
          </w:p>
          <w:p w14:paraId="242C7D4A">
            <w:pPr>
              <w:jc w:val="left"/>
              <w:rPr>
                <w:rFonts w:hint="eastAsia" w:ascii="宋体" w:hAnsi="宋体" w:cs="宋体"/>
                <w:color w:val="auto"/>
                <w:szCs w:val="21"/>
              </w:rPr>
            </w:pPr>
            <w:r>
              <w:rPr>
                <w:rFonts w:hint="eastAsia" w:ascii="宋体" w:hAnsi="宋体" w:cs="宋体"/>
                <w:color w:val="auto"/>
                <w:szCs w:val="21"/>
              </w:rPr>
              <w:t>3.维保要求：</w:t>
            </w:r>
          </w:p>
          <w:p w14:paraId="67605606">
            <w:pPr>
              <w:jc w:val="left"/>
              <w:rPr>
                <w:rFonts w:hint="eastAsia" w:ascii="宋体" w:hAnsi="宋体" w:cs="宋体"/>
                <w:color w:val="auto"/>
                <w:szCs w:val="21"/>
              </w:rPr>
            </w:pPr>
            <w:r>
              <w:rPr>
                <w:rFonts w:hint="eastAsia" w:ascii="宋体" w:hAnsi="宋体" w:cs="宋体"/>
                <w:color w:val="auto"/>
                <w:szCs w:val="21"/>
              </w:rPr>
              <w:t>（1）一年原厂维保服务。</w:t>
            </w:r>
          </w:p>
          <w:p w14:paraId="38759703">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（2）不少于每月1次对上述设备进行预防性检测及维护服务并提供巡检报告，包括系统运行状态、安全情况、日志问题分析、报警记录等，涉及安全问题须提供解决方案及服务。</w:t>
            </w:r>
          </w:p>
          <w:p w14:paraId="1B0A5290">
            <w:pPr>
              <w:jc w:val="left"/>
              <w:rPr>
                <w:rFonts w:hint="eastAsia" w:ascii="宋体" w:hAnsi="宋体" w:cs="宋体"/>
                <w:color w:val="auto"/>
                <w:szCs w:val="21"/>
              </w:rPr>
            </w:pPr>
            <w:r>
              <w:rPr>
                <w:rFonts w:hint="eastAsia" w:ascii="宋体" w:hAnsi="宋体" w:cs="宋体"/>
                <w:color w:val="auto"/>
                <w:szCs w:val="21"/>
              </w:rPr>
              <w:t>（3）涉及硬件维修、更换的，需要在24小时内处理完；若无法完成维修及更换，投标人需提供备用设备，保障业务正常运行。</w:t>
            </w:r>
          </w:p>
          <w:p w14:paraId="23CD93B8">
            <w:pPr>
              <w:jc w:val="left"/>
              <w:rPr>
                <w:rFonts w:hint="eastAsia" w:ascii="宋体" w:hAnsi="宋体" w:cs="宋体"/>
                <w:color w:val="auto"/>
                <w:szCs w:val="21"/>
              </w:rPr>
            </w:pPr>
            <w:r>
              <w:rPr>
                <w:rFonts w:hint="eastAsia" w:ascii="宋体" w:hAnsi="宋体" w:cs="宋体"/>
                <w:color w:val="auto"/>
                <w:szCs w:val="21"/>
              </w:rPr>
              <w:t>▲（4）提供包括软件升级、应用识别库等升级服务，提供原厂相关序列号激活码。</w:t>
            </w:r>
          </w:p>
          <w:p w14:paraId="49E22F98">
            <w:pPr>
              <w:jc w:val="left"/>
              <w:rPr>
                <w:rFonts w:hint="eastAsia" w:ascii="宋体" w:hAnsi="宋体" w:cs="宋体"/>
                <w:color w:val="auto"/>
                <w:szCs w:val="21"/>
              </w:rPr>
            </w:pPr>
            <w:r>
              <w:rPr>
                <w:rFonts w:hint="eastAsia" w:ascii="宋体" w:hAnsi="宋体" w:cs="宋体"/>
                <w:color w:val="auto"/>
                <w:szCs w:val="21"/>
              </w:rPr>
              <w:t>（5）提供一年重保支撑服务。</w:t>
            </w:r>
          </w:p>
        </w:tc>
      </w:tr>
      <w:tr w14:paraId="09DCB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5CA56214">
            <w:pPr>
              <w:jc w:val="center"/>
              <w:rPr>
                <w:rFonts w:hint="eastAsia" w:ascii="宋体" w:hAnsi="宋体" w:cs="宋体"/>
                <w:color w:val="auto"/>
                <w:szCs w:val="21"/>
              </w:rPr>
            </w:pPr>
            <w:r>
              <w:rPr>
                <w:rFonts w:hint="eastAsia" w:ascii="宋体" w:hAnsi="宋体" w:cs="宋体"/>
                <w:color w:val="auto"/>
                <w:szCs w:val="21"/>
              </w:rPr>
              <w:t>出口防火墙</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56BAA817">
            <w:pPr>
              <w:jc w:val="left"/>
              <w:rPr>
                <w:rFonts w:hint="eastAsia" w:ascii="宋体" w:hAnsi="宋体" w:cs="宋体"/>
                <w:color w:val="auto"/>
                <w:szCs w:val="21"/>
              </w:rPr>
            </w:pPr>
            <w:r>
              <w:rPr>
                <w:rFonts w:hint="eastAsia" w:ascii="宋体" w:hAnsi="宋体" w:cs="宋体"/>
                <w:color w:val="auto"/>
                <w:szCs w:val="21"/>
              </w:rPr>
              <w:t>1.服务对象：2台山石E5660。</w:t>
            </w:r>
          </w:p>
          <w:p w14:paraId="692CDFC6">
            <w:pPr>
              <w:jc w:val="left"/>
              <w:rPr>
                <w:rFonts w:hint="eastAsia" w:ascii="宋体" w:hAnsi="宋体" w:cs="宋体"/>
                <w:color w:val="auto"/>
                <w:szCs w:val="21"/>
              </w:rPr>
            </w:pPr>
            <w:r>
              <w:rPr>
                <w:rFonts w:hint="eastAsia" w:ascii="宋体" w:hAnsi="宋体" w:cs="宋体"/>
                <w:color w:val="auto"/>
                <w:szCs w:val="21"/>
              </w:rPr>
              <w:t>2.维保内容：对上述设备紧急现场故障处理、系统及部件安装与调试、定期预防性维护检查、系统升级及补丁安装、定期网络安全巡检。</w:t>
            </w:r>
          </w:p>
          <w:p w14:paraId="1D905D0D">
            <w:pPr>
              <w:jc w:val="left"/>
              <w:rPr>
                <w:rFonts w:hint="eastAsia" w:ascii="宋体" w:hAnsi="宋体" w:cs="宋体"/>
                <w:color w:val="auto"/>
                <w:szCs w:val="21"/>
              </w:rPr>
            </w:pPr>
            <w:r>
              <w:rPr>
                <w:rFonts w:hint="eastAsia" w:ascii="宋体" w:hAnsi="宋体" w:cs="宋体"/>
                <w:color w:val="auto"/>
                <w:szCs w:val="21"/>
              </w:rPr>
              <w:t>3.维保要求：</w:t>
            </w:r>
          </w:p>
          <w:p w14:paraId="5A7BDED8">
            <w:pPr>
              <w:jc w:val="left"/>
              <w:rPr>
                <w:rFonts w:hint="eastAsia" w:ascii="宋体" w:hAnsi="宋体" w:cs="宋体"/>
                <w:color w:val="auto"/>
                <w:szCs w:val="21"/>
              </w:rPr>
            </w:pPr>
            <w:r>
              <w:rPr>
                <w:rFonts w:hint="eastAsia" w:ascii="宋体" w:hAnsi="宋体" w:cs="宋体"/>
                <w:color w:val="auto"/>
                <w:szCs w:val="21"/>
              </w:rPr>
              <w:t>（1）一年原厂维保服务。</w:t>
            </w:r>
          </w:p>
          <w:p w14:paraId="66EB7AC0">
            <w:pPr>
              <w:jc w:val="left"/>
              <w:rPr>
                <w:rFonts w:hint="eastAsia" w:ascii="宋体" w:hAnsi="宋体" w:cs="宋体"/>
                <w:color w:val="auto"/>
                <w:szCs w:val="21"/>
              </w:rPr>
            </w:pPr>
            <w:r>
              <w:rPr>
                <w:rFonts w:hint="eastAsia" w:ascii="宋体" w:hAnsi="宋体" w:cs="宋体"/>
                <w:color w:val="auto"/>
                <w:szCs w:val="21"/>
              </w:rPr>
              <w:t>（2）不少于每月1次对上述设备进行预防性检测及维护服务并提供巡检报告，包括系统运行状态、安全情况、日志问题分析、报警记录等，涉及安全问题须提供解决方案及服务。</w:t>
            </w:r>
          </w:p>
          <w:p w14:paraId="2D518FE8">
            <w:pPr>
              <w:jc w:val="left"/>
              <w:rPr>
                <w:rFonts w:hint="eastAsia" w:ascii="宋体" w:hAnsi="宋体" w:cs="宋体"/>
                <w:color w:val="auto"/>
                <w:szCs w:val="21"/>
              </w:rPr>
            </w:pPr>
            <w:r>
              <w:rPr>
                <w:rFonts w:hint="eastAsia" w:ascii="宋体" w:hAnsi="宋体" w:cs="宋体"/>
                <w:color w:val="auto"/>
                <w:szCs w:val="21"/>
              </w:rPr>
              <w:t>（3）涉及硬件维修、更换的，需要在12小时内处理完；若无法完成维修及更换，投标人需提供备用设备，保障业务正常运行。</w:t>
            </w:r>
          </w:p>
          <w:p w14:paraId="64B36831">
            <w:pPr>
              <w:jc w:val="left"/>
              <w:rPr>
                <w:rFonts w:hint="eastAsia" w:ascii="宋体" w:hAnsi="宋体" w:cs="宋体"/>
                <w:color w:val="auto"/>
                <w:szCs w:val="21"/>
              </w:rPr>
            </w:pPr>
            <w:r>
              <w:rPr>
                <w:rFonts w:hint="eastAsia" w:ascii="宋体" w:hAnsi="宋体" w:cs="宋体"/>
                <w:color w:val="auto"/>
                <w:szCs w:val="21"/>
              </w:rPr>
              <w:t>（4）提供授权软件模块升级服务。</w:t>
            </w:r>
          </w:p>
          <w:p w14:paraId="3727F9D0">
            <w:pPr>
              <w:jc w:val="left"/>
              <w:rPr>
                <w:rFonts w:hint="eastAsia" w:ascii="宋体" w:hAnsi="宋体" w:cs="宋体"/>
                <w:color w:val="auto"/>
                <w:szCs w:val="21"/>
              </w:rPr>
            </w:pPr>
            <w:r>
              <w:rPr>
                <w:rFonts w:hint="eastAsia" w:ascii="宋体" w:hAnsi="宋体" w:cs="宋体"/>
                <w:color w:val="auto"/>
                <w:szCs w:val="21"/>
              </w:rPr>
              <w:t>（5）提供一年重保支撑服务。</w:t>
            </w:r>
          </w:p>
        </w:tc>
      </w:tr>
    </w:tbl>
    <w:p w14:paraId="3E6D0354">
      <w:pPr>
        <w:spacing w:line="288" w:lineRule="auto"/>
        <w:ind w:firstLine="420" w:firstLineChars="200"/>
        <w:jc w:val="left"/>
        <w:rPr>
          <w:rFonts w:hint="eastAsia" w:ascii="宋体" w:hAnsi="宋体" w:cs="宋体"/>
          <w:bCs/>
          <w:color w:val="auto"/>
          <w:szCs w:val="21"/>
        </w:rPr>
      </w:pPr>
    </w:p>
    <w:p w14:paraId="5445573E">
      <w:pPr>
        <w:spacing w:line="288" w:lineRule="auto"/>
        <w:ind w:firstLine="422" w:firstLineChars="200"/>
        <w:jc w:val="left"/>
        <w:rPr>
          <w:rFonts w:hint="eastAsia" w:ascii="宋体" w:hAnsi="宋体" w:cs="宋体"/>
          <w:bCs/>
          <w:color w:val="auto"/>
          <w:szCs w:val="21"/>
        </w:rPr>
      </w:pPr>
      <w:r>
        <w:rPr>
          <w:rFonts w:hint="eastAsia" w:ascii="宋体" w:hAnsi="宋体" w:cs="宋体"/>
          <w:b/>
          <w:color w:val="auto"/>
          <w:szCs w:val="21"/>
        </w:rPr>
        <w:t>2.机房维保及服务：</w:t>
      </w:r>
    </w:p>
    <w:p w14:paraId="2062EAE8">
      <w:pPr>
        <w:spacing w:line="288" w:lineRule="auto"/>
        <w:ind w:firstLine="420" w:firstLineChars="200"/>
        <w:jc w:val="left"/>
        <w:rPr>
          <w:rFonts w:hint="eastAsia" w:ascii="宋体" w:hAnsi="宋体"/>
          <w:color w:val="auto"/>
          <w:sz w:val="24"/>
        </w:rPr>
      </w:pPr>
      <w:r>
        <w:rPr>
          <w:rFonts w:hint="eastAsia" w:ascii="宋体" w:hAnsi="宋体" w:cs="宋体"/>
          <w:color w:val="auto"/>
          <w:szCs w:val="21"/>
        </w:rPr>
        <w:t>根据情况将中心机房物理环境、实验室门禁系统、有线网络面板及线路等加入运维服务体系，要求中标人提供运维服务。包括定期巡检、设备调优、故障修复、固件升级工作，保证其正常使用。</w:t>
      </w:r>
    </w:p>
    <w:tbl>
      <w:tblPr>
        <w:tblStyle w:val="47"/>
        <w:tblW w:w="8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0"/>
        <w:gridCol w:w="7106"/>
      </w:tblGrid>
      <w:tr w14:paraId="5A57A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CCBC85A">
            <w:pPr>
              <w:jc w:val="center"/>
              <w:rPr>
                <w:rFonts w:hint="eastAsia" w:ascii="宋体" w:hAnsi="宋体" w:cs="宋体"/>
                <w:b/>
                <w:color w:val="auto"/>
                <w:szCs w:val="21"/>
              </w:rPr>
            </w:pPr>
            <w:r>
              <w:rPr>
                <w:rFonts w:hint="eastAsia" w:ascii="宋体" w:hAnsi="宋体" w:cs="宋体"/>
                <w:b/>
                <w:color w:val="auto"/>
                <w:szCs w:val="21"/>
              </w:rPr>
              <w:t>名称</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25718EB8">
            <w:pPr>
              <w:jc w:val="center"/>
              <w:rPr>
                <w:rFonts w:hint="eastAsia" w:ascii="宋体" w:hAnsi="宋体" w:cs="宋体"/>
                <w:b/>
                <w:color w:val="auto"/>
                <w:szCs w:val="21"/>
              </w:rPr>
            </w:pPr>
            <w:r>
              <w:rPr>
                <w:rFonts w:hint="eastAsia" w:ascii="宋体" w:hAnsi="宋体" w:cs="宋体"/>
                <w:b/>
                <w:color w:val="auto"/>
                <w:szCs w:val="21"/>
              </w:rPr>
              <w:t>运维服务内容</w:t>
            </w:r>
          </w:p>
        </w:tc>
      </w:tr>
      <w:tr w14:paraId="0F1CA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844E539">
            <w:pPr>
              <w:jc w:val="center"/>
              <w:rPr>
                <w:rFonts w:hint="eastAsia" w:ascii="宋体" w:hAnsi="宋体" w:cs="宋体"/>
                <w:color w:val="auto"/>
                <w:szCs w:val="21"/>
              </w:rPr>
            </w:pPr>
            <w:r>
              <w:rPr>
                <w:rFonts w:hint="eastAsia" w:ascii="宋体" w:hAnsi="宋体" w:cs="宋体"/>
                <w:color w:val="auto"/>
                <w:szCs w:val="21"/>
              </w:rPr>
              <w:t>中心机房</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768162F9">
            <w:pPr>
              <w:widowControl/>
              <w:jc w:val="left"/>
              <w:rPr>
                <w:rFonts w:hint="eastAsia" w:ascii="宋体" w:hAnsi="宋体" w:cs="宋体"/>
                <w:color w:val="auto"/>
                <w:szCs w:val="21"/>
              </w:rPr>
            </w:pPr>
            <w:r>
              <w:rPr>
                <w:rFonts w:hint="eastAsia" w:ascii="宋体" w:hAnsi="宋体" w:cs="宋体"/>
                <w:color w:val="auto"/>
                <w:szCs w:val="21"/>
              </w:rPr>
              <w:t>1.服务对象：中心机房、超算机房。</w:t>
            </w:r>
          </w:p>
          <w:p w14:paraId="23DF6930">
            <w:pPr>
              <w:widowControl/>
              <w:jc w:val="left"/>
              <w:rPr>
                <w:rFonts w:hint="eastAsia" w:ascii="宋体" w:hAnsi="宋体" w:cs="宋体"/>
                <w:color w:val="auto"/>
                <w:szCs w:val="21"/>
              </w:rPr>
            </w:pPr>
            <w:r>
              <w:rPr>
                <w:rFonts w:hint="eastAsia" w:ascii="宋体" w:hAnsi="宋体" w:cs="宋体"/>
                <w:color w:val="auto"/>
                <w:szCs w:val="21"/>
              </w:rPr>
              <w:t>2.维保内容：对上述设备紧急现场故障处理、强弱电安装与调试、定期预防性维护检查、机房配电维护、消防安防维护。</w:t>
            </w:r>
          </w:p>
          <w:p w14:paraId="2CCDB46D">
            <w:pPr>
              <w:widowControl/>
              <w:jc w:val="left"/>
              <w:rPr>
                <w:rFonts w:hint="eastAsia" w:ascii="宋体" w:hAnsi="宋体" w:cs="宋体"/>
                <w:color w:val="auto"/>
                <w:szCs w:val="21"/>
              </w:rPr>
            </w:pPr>
            <w:r>
              <w:rPr>
                <w:rFonts w:hint="eastAsia" w:ascii="宋体" w:hAnsi="宋体" w:cs="宋体"/>
                <w:color w:val="auto"/>
                <w:szCs w:val="21"/>
              </w:rPr>
              <w:t>3.维保要求：</w:t>
            </w:r>
          </w:p>
          <w:p w14:paraId="761A1ADD">
            <w:pPr>
              <w:widowControl/>
              <w:jc w:val="left"/>
              <w:rPr>
                <w:rFonts w:hint="eastAsia" w:ascii="宋体" w:hAnsi="宋体" w:cs="宋体"/>
                <w:color w:val="auto"/>
                <w:szCs w:val="21"/>
              </w:rPr>
            </w:pPr>
            <w:r>
              <w:rPr>
                <w:rFonts w:hint="eastAsia" w:ascii="宋体" w:hAnsi="宋体" w:cs="宋体"/>
                <w:color w:val="auto"/>
                <w:szCs w:val="21"/>
              </w:rPr>
              <w:t>（1）驻场服务时间内接到故障报修立即响应，非驻场服务时间内接到故障报修半小时内响应，1小时内赶到现场进行维修或更换服务，若无法及时维修、更换的，需提供临时替换设备。</w:t>
            </w:r>
          </w:p>
          <w:p w14:paraId="38302A68">
            <w:pPr>
              <w:widowControl/>
              <w:jc w:val="left"/>
              <w:rPr>
                <w:rFonts w:hint="eastAsia" w:ascii="宋体" w:hAnsi="宋体" w:cs="宋体"/>
                <w:color w:val="auto"/>
                <w:szCs w:val="21"/>
              </w:rPr>
            </w:pPr>
            <w:r>
              <w:rPr>
                <w:rFonts w:hint="eastAsia" w:ascii="宋体" w:hAnsi="宋体" w:cs="宋体"/>
                <w:color w:val="auto"/>
                <w:szCs w:val="21"/>
              </w:rPr>
              <w:t>（2）月、季、年度维保服务后均需出具维保情况说明并盖章，并经采购人确认。</w:t>
            </w:r>
          </w:p>
          <w:p w14:paraId="42C542EB">
            <w:pPr>
              <w:widowControl/>
              <w:jc w:val="left"/>
              <w:rPr>
                <w:rFonts w:hint="eastAsia" w:ascii="宋体" w:hAnsi="宋体" w:cs="宋体"/>
                <w:color w:val="auto"/>
                <w:szCs w:val="21"/>
              </w:rPr>
            </w:pPr>
            <w:r>
              <w:rPr>
                <w:rFonts w:hint="eastAsia" w:ascii="宋体" w:hAnsi="宋体" w:cs="宋体"/>
                <w:color w:val="auto"/>
                <w:szCs w:val="21"/>
              </w:rPr>
              <w:t>（3）月、季、年度及其它保障服务内容如下：</w:t>
            </w:r>
          </w:p>
          <w:p w14:paraId="57D71A24">
            <w:pPr>
              <w:widowControl/>
              <w:jc w:val="left"/>
              <w:rPr>
                <w:rFonts w:hint="eastAsia" w:ascii="宋体" w:hAnsi="宋体" w:cs="宋体"/>
                <w:color w:val="auto"/>
                <w:szCs w:val="21"/>
              </w:rPr>
            </w:pPr>
            <w:r>
              <w:rPr>
                <w:rFonts w:hint="eastAsia" w:ascii="宋体" w:hAnsi="宋体" w:cs="宋体"/>
                <w:color w:val="auto"/>
                <w:szCs w:val="21"/>
              </w:rPr>
              <w:t>1）机房卫生：机房环境、地面、机柜和机房内设备等的表面清洁、除尘，每月不少于1次。</w:t>
            </w:r>
          </w:p>
          <w:p w14:paraId="2751A649">
            <w:pPr>
              <w:widowControl/>
              <w:jc w:val="left"/>
              <w:rPr>
                <w:rFonts w:hint="eastAsia" w:ascii="宋体" w:hAnsi="宋体" w:cs="宋体"/>
                <w:color w:val="auto"/>
                <w:szCs w:val="21"/>
              </w:rPr>
            </w:pPr>
            <w:r>
              <w:rPr>
                <w:rFonts w:hint="eastAsia" w:ascii="宋体" w:hAnsi="宋体" w:cs="宋体"/>
                <w:color w:val="auto"/>
                <w:szCs w:val="21"/>
              </w:rPr>
              <w:t>▲2）动环监控平台的维护：保障动环监控平台稳定(包含：湿度、烟雾、漏水、运行配电、制冷、UPS、机柜微环境温湿度、烟雾等),确保各类机房基础设施设备异常可以通过短信、邮件等发送到相关人员。每月不少于1次的报警测试，含68个智能机柜、6台精密空调、3台UPS、8台配电柜及机房大环境温湿度、烟雾等终端接入授权，中标后提供一年原厂授权许可。</w:t>
            </w:r>
          </w:p>
          <w:p w14:paraId="1DB57DB8">
            <w:pPr>
              <w:widowControl/>
              <w:jc w:val="left"/>
              <w:rPr>
                <w:rFonts w:hint="eastAsia" w:ascii="宋体" w:hAnsi="宋体" w:cs="宋体"/>
                <w:color w:val="auto"/>
                <w:szCs w:val="21"/>
              </w:rPr>
            </w:pPr>
            <w:r>
              <w:rPr>
                <w:rFonts w:hint="eastAsia" w:ascii="宋体" w:hAnsi="宋体" w:cs="宋体"/>
                <w:color w:val="auto"/>
                <w:szCs w:val="21"/>
              </w:rPr>
              <w:t>3）在收到各类报警信息，供应商应在1小时内派员上门进行确认，查找报警原因，解决处理问题，并将报警原因、处理方案、处理结果以书面报告形式报采购人网络信息技术中心备案。</w:t>
            </w:r>
          </w:p>
          <w:p w14:paraId="0742973A">
            <w:pPr>
              <w:widowControl/>
              <w:jc w:val="left"/>
              <w:rPr>
                <w:rFonts w:hint="eastAsia" w:ascii="宋体" w:hAnsi="宋体" w:cs="宋体"/>
                <w:color w:val="auto"/>
                <w:szCs w:val="21"/>
              </w:rPr>
            </w:pPr>
            <w:r>
              <w:rPr>
                <w:rFonts w:hint="eastAsia" w:ascii="宋体" w:hAnsi="宋体" w:cs="宋体"/>
                <w:color w:val="auto"/>
                <w:szCs w:val="21"/>
              </w:rPr>
              <w:t>4）智能机柜维护：对智能机柜等监测情况及设备工作状态进行检查，智能机柜微环境门禁安全管理相关设备工作状态检查，机柜微环境智能热管理功能检查、维修、更换，检查工作每月不少于1次。</w:t>
            </w:r>
          </w:p>
          <w:p w14:paraId="286AAF40">
            <w:pPr>
              <w:widowControl/>
              <w:jc w:val="left"/>
              <w:rPr>
                <w:rFonts w:hint="eastAsia" w:ascii="宋体" w:hAnsi="宋体" w:cs="宋体"/>
                <w:color w:val="auto"/>
                <w:szCs w:val="21"/>
              </w:rPr>
            </w:pPr>
            <w:r>
              <w:rPr>
                <w:rFonts w:hint="eastAsia" w:ascii="宋体" w:hAnsi="宋体" w:cs="宋体"/>
                <w:color w:val="auto"/>
                <w:szCs w:val="21"/>
              </w:rPr>
              <w:t>5）机房配电维护：对配电系统开关仪表外观、显示、声音、电压、电流等状态进行巡检、维护，发现运行故障问题应在2个小时内完成维修、更换，检查工作每月不少于1次。</w:t>
            </w:r>
          </w:p>
          <w:p w14:paraId="55AE242E">
            <w:pPr>
              <w:widowControl/>
              <w:jc w:val="left"/>
              <w:rPr>
                <w:rFonts w:hint="eastAsia" w:ascii="宋体" w:hAnsi="宋体" w:cs="宋体"/>
                <w:color w:val="auto"/>
                <w:szCs w:val="21"/>
              </w:rPr>
            </w:pPr>
            <w:r>
              <w:rPr>
                <w:rFonts w:hint="eastAsia" w:ascii="宋体" w:hAnsi="宋体" w:cs="宋体"/>
                <w:color w:val="auto"/>
                <w:szCs w:val="21"/>
              </w:rPr>
              <w:t>6）精密空调维护（不含超算机房）：查看空调内外机有无异响，压缩机运行及压力情况，过滤网堵塞情况，室内机加热、加湿、除湿等工作情况；进水、排水管进行检查、疏通，确保精密空调处于最佳运行状态，达到设计功率要求，并做好记录工作，发现运行故障问题应在12个小时内完成维修、更换，检查工作每月不少于1次。</w:t>
            </w:r>
          </w:p>
          <w:p w14:paraId="2D990ED6">
            <w:pPr>
              <w:widowControl/>
              <w:jc w:val="left"/>
              <w:rPr>
                <w:rFonts w:hint="eastAsia" w:ascii="宋体" w:hAnsi="宋体" w:cs="宋体"/>
                <w:color w:val="auto"/>
                <w:szCs w:val="21"/>
              </w:rPr>
            </w:pPr>
            <w:r>
              <w:rPr>
                <w:rFonts w:hint="eastAsia" w:ascii="宋体" w:hAnsi="宋体" w:cs="宋体"/>
                <w:color w:val="auto"/>
                <w:szCs w:val="21"/>
              </w:rPr>
              <w:t>7）UPS系统维护（不含超算机房）：检查UPS运行状态，记录各种运行数据，包括电压、电流、频率、功率、带载率等；检查UPS报警情况，将UPS报警记录统计分析，判断UPS本身是否存在问题；观察UPS风扇有无异响，运行是否正常；观察UPS主机内部有无异响、震动；观察UPS输入、输出柜各进出线开关状态；观察电池外观有无明显鼓胀、渗液或开裂，发现运行故障问题应在12个小时内完成维修、更换，检查工作每月不少于1次。</w:t>
            </w:r>
          </w:p>
          <w:p w14:paraId="5F4C856E">
            <w:pPr>
              <w:widowControl/>
              <w:jc w:val="left"/>
              <w:rPr>
                <w:rFonts w:hint="eastAsia" w:ascii="宋体" w:hAnsi="宋体" w:cs="宋体"/>
                <w:color w:val="auto"/>
                <w:szCs w:val="21"/>
              </w:rPr>
            </w:pPr>
            <w:r>
              <w:rPr>
                <w:rFonts w:hint="eastAsia" w:ascii="宋体" w:hAnsi="宋体" w:cs="宋体"/>
                <w:color w:val="auto"/>
                <w:szCs w:val="21"/>
              </w:rPr>
              <w:t>8）消防系统维护：消防报警系统工作状态巡查，气体灭火控制盘、温湿度、烟雾、紧急启停按钮、放气勿入指示灯等是否工作正常；检测气体灭火钢瓶组气压是否正常，压力应不小于设计压力的90%,检测钢瓶表面是否有腐蚀、裂纹、变形等情况，发现运行故障问题应在12个小时内完成维修、更换，检查工作每月不少于1次。</w:t>
            </w:r>
          </w:p>
          <w:p w14:paraId="77384F98">
            <w:pPr>
              <w:widowControl/>
              <w:jc w:val="left"/>
              <w:rPr>
                <w:rFonts w:hint="eastAsia" w:ascii="宋体" w:hAnsi="宋体" w:cs="宋体"/>
                <w:color w:val="auto"/>
                <w:szCs w:val="21"/>
              </w:rPr>
            </w:pPr>
            <w:r>
              <w:rPr>
                <w:rFonts w:hint="eastAsia" w:ascii="宋体" w:hAnsi="宋体" w:cs="宋体"/>
                <w:color w:val="auto"/>
                <w:szCs w:val="21"/>
              </w:rPr>
              <w:t>9）安防系统维护：机房各功能区域视频监控系统及门禁系统工作状态进行检查，保障系统正常稳定运行，监控存储符合设计要求，发现运行故障问题应在12个小时内完成维修、更换，检查工作每月不少于1次。</w:t>
            </w:r>
          </w:p>
          <w:p w14:paraId="161AC084">
            <w:pPr>
              <w:widowControl/>
              <w:jc w:val="left"/>
              <w:rPr>
                <w:rFonts w:hint="eastAsia" w:ascii="宋体" w:hAnsi="宋体" w:cs="宋体"/>
                <w:color w:val="auto"/>
                <w:szCs w:val="21"/>
              </w:rPr>
            </w:pPr>
            <w:r>
              <w:rPr>
                <w:rFonts w:hint="eastAsia" w:ascii="宋体" w:hAnsi="宋体" w:cs="宋体"/>
                <w:color w:val="auto"/>
                <w:szCs w:val="21"/>
              </w:rPr>
              <w:t>10）信息系统：机房内所有信息系统包含但不限于核心出口、交换机、服务器、线路、存储等属于信息技术中心固定资产设备的巡检、维修，检查工作每月不少于1次。</w:t>
            </w:r>
          </w:p>
          <w:p w14:paraId="5E1749B2">
            <w:pPr>
              <w:widowControl/>
              <w:jc w:val="left"/>
              <w:rPr>
                <w:rFonts w:hint="eastAsia" w:ascii="宋体" w:hAnsi="宋体" w:cs="宋体"/>
                <w:color w:val="auto"/>
                <w:szCs w:val="21"/>
              </w:rPr>
            </w:pPr>
            <w:r>
              <w:rPr>
                <w:rFonts w:hint="eastAsia" w:ascii="宋体" w:hAnsi="宋体" w:cs="宋体"/>
                <w:color w:val="auto"/>
                <w:szCs w:val="21"/>
              </w:rPr>
              <w:t>11）提供机房运维应急保障服务，机房出现事故抢修、停电检修、安全检查等需要供应商提供应急保障服务，事故抢修需保障时效性，在接到应急保障服务电话后立即响应，派驻相关专业工程师半小时内赶到现场，为机房提供应急保障服务。服务周期内应随叫随到，提供应急保障服务需不限次数。重要特殊时期，根据采购人要求派驻专业工程师驻点保障。</w:t>
            </w:r>
          </w:p>
        </w:tc>
      </w:tr>
      <w:tr w14:paraId="2F2CC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9B39394">
            <w:pPr>
              <w:jc w:val="center"/>
              <w:rPr>
                <w:rFonts w:hint="eastAsia" w:ascii="宋体" w:hAnsi="宋体" w:cs="宋体"/>
                <w:color w:val="auto"/>
                <w:szCs w:val="21"/>
              </w:rPr>
            </w:pPr>
            <w:r>
              <w:rPr>
                <w:rFonts w:hint="eastAsia" w:ascii="宋体" w:hAnsi="宋体" w:cs="宋体"/>
                <w:color w:val="auto"/>
                <w:szCs w:val="21"/>
              </w:rPr>
              <w:t>弱电机房</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245D90B2">
            <w:pPr>
              <w:widowControl/>
              <w:jc w:val="left"/>
              <w:rPr>
                <w:rFonts w:hint="eastAsia" w:ascii="宋体" w:hAnsi="宋体" w:cs="宋体"/>
                <w:color w:val="auto"/>
                <w:szCs w:val="21"/>
              </w:rPr>
            </w:pPr>
            <w:r>
              <w:rPr>
                <w:rFonts w:hint="eastAsia" w:ascii="宋体" w:hAnsi="宋体" w:cs="宋体"/>
                <w:color w:val="auto"/>
                <w:szCs w:val="21"/>
              </w:rPr>
              <w:t>1.服务对象：下沙校区教学区所有楼宇弱电机房。</w:t>
            </w:r>
          </w:p>
          <w:p w14:paraId="33478681">
            <w:pPr>
              <w:widowControl/>
              <w:jc w:val="left"/>
              <w:rPr>
                <w:rFonts w:hint="eastAsia" w:ascii="宋体" w:hAnsi="宋体" w:cs="宋体"/>
                <w:color w:val="auto"/>
                <w:szCs w:val="21"/>
              </w:rPr>
            </w:pPr>
            <w:r>
              <w:rPr>
                <w:rFonts w:hint="eastAsia" w:ascii="宋体" w:hAnsi="宋体" w:cs="宋体"/>
                <w:color w:val="auto"/>
                <w:szCs w:val="21"/>
              </w:rPr>
              <w:t>2.维保内容：机房卫生清洁、设备巡检、环境检查等服务。</w:t>
            </w:r>
          </w:p>
          <w:p w14:paraId="2AF89E85">
            <w:pPr>
              <w:widowControl/>
              <w:jc w:val="left"/>
              <w:rPr>
                <w:rFonts w:ascii="宋体" w:hAnsi="宋体" w:cs="宋体"/>
                <w:color w:val="auto"/>
                <w:szCs w:val="21"/>
              </w:rPr>
            </w:pPr>
            <w:r>
              <w:rPr>
                <w:rFonts w:hint="eastAsia" w:ascii="宋体" w:hAnsi="宋体" w:cs="宋体"/>
                <w:color w:val="auto"/>
                <w:szCs w:val="21"/>
              </w:rPr>
              <w:t>3.维保要求：</w:t>
            </w:r>
          </w:p>
          <w:p w14:paraId="2E41E483">
            <w:pPr>
              <w:widowControl/>
              <w:jc w:val="left"/>
              <w:rPr>
                <w:rFonts w:ascii="宋体" w:hAnsi="宋体" w:cs="宋体"/>
                <w:color w:val="auto"/>
                <w:szCs w:val="21"/>
              </w:rPr>
            </w:pPr>
            <w:r>
              <w:rPr>
                <w:rFonts w:hint="eastAsia" w:ascii="宋体" w:hAnsi="宋体" w:cs="宋体"/>
                <w:color w:val="auto"/>
                <w:szCs w:val="21"/>
              </w:rPr>
              <w:t>1）机房卫生：弱电机房环境卫生清洁、除尘，每月不少于1次。</w:t>
            </w:r>
          </w:p>
          <w:p w14:paraId="7D70C548">
            <w:pPr>
              <w:widowControl/>
              <w:jc w:val="left"/>
              <w:rPr>
                <w:rFonts w:ascii="宋体" w:hAnsi="宋体" w:cs="宋体"/>
                <w:color w:val="auto"/>
                <w:szCs w:val="21"/>
              </w:rPr>
            </w:pPr>
            <w:r>
              <w:rPr>
                <w:rFonts w:hint="eastAsia" w:ascii="宋体" w:hAnsi="宋体" w:cs="宋体"/>
                <w:color w:val="auto"/>
                <w:szCs w:val="21"/>
              </w:rPr>
              <w:t>2）设备巡检：弱电机房内部IT设备运行情况检查，对故障设备进行登记并上报，每月不少于1次。</w:t>
            </w:r>
          </w:p>
          <w:p w14:paraId="1B78AB8F">
            <w:pPr>
              <w:widowControl/>
              <w:jc w:val="left"/>
              <w:rPr>
                <w:rFonts w:hint="eastAsia"/>
                <w:color w:val="auto"/>
              </w:rPr>
            </w:pPr>
            <w:r>
              <w:rPr>
                <w:rFonts w:hint="eastAsia" w:ascii="宋体" w:hAnsi="宋体" w:cs="宋体"/>
                <w:color w:val="auto"/>
                <w:szCs w:val="21"/>
              </w:rPr>
              <w:t>3）环境检查：弱电机房环境温湿度、机房配电安全等检查，每月不少于1次。</w:t>
            </w:r>
          </w:p>
        </w:tc>
      </w:tr>
      <w:tr w14:paraId="41C45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1782D202">
            <w:pPr>
              <w:jc w:val="center"/>
              <w:rPr>
                <w:rFonts w:hint="eastAsia" w:ascii="宋体" w:hAnsi="宋体" w:cs="宋体"/>
                <w:color w:val="auto"/>
                <w:szCs w:val="21"/>
              </w:rPr>
            </w:pPr>
            <w:r>
              <w:rPr>
                <w:rFonts w:hint="eastAsia" w:ascii="宋体" w:hAnsi="宋体" w:cs="宋体"/>
                <w:color w:val="auto"/>
                <w:szCs w:val="21"/>
              </w:rPr>
              <w:t>实验室门禁系统</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58899FB1">
            <w:pPr>
              <w:jc w:val="left"/>
              <w:rPr>
                <w:rFonts w:hint="eastAsia" w:ascii="宋体" w:hAnsi="宋体" w:cs="宋体"/>
                <w:color w:val="auto"/>
                <w:szCs w:val="21"/>
              </w:rPr>
            </w:pPr>
            <w:r>
              <w:rPr>
                <w:rFonts w:hint="eastAsia" w:ascii="宋体" w:hAnsi="宋体" w:cs="宋体"/>
                <w:color w:val="auto"/>
                <w:szCs w:val="21"/>
              </w:rPr>
              <w:t>1.定期治理门禁系统身份数据，可兼容一卡通系统并进行数据清洗和同步。</w:t>
            </w:r>
          </w:p>
          <w:p w14:paraId="00E1413D">
            <w:pPr>
              <w:jc w:val="left"/>
              <w:rPr>
                <w:rFonts w:hint="eastAsia" w:ascii="宋体" w:hAnsi="宋体" w:cs="宋体"/>
                <w:color w:val="auto"/>
                <w:szCs w:val="21"/>
              </w:rPr>
            </w:pPr>
            <w:r>
              <w:rPr>
                <w:rFonts w:hint="eastAsia" w:ascii="宋体" w:hAnsi="宋体" w:cs="宋体"/>
                <w:color w:val="auto"/>
                <w:szCs w:val="21"/>
              </w:rPr>
              <w:t>2.每月定期巡检门禁设备，对门锁控制器及线路进行检修，保障数据能实时下发到设备，刷卡记录实时上传到服务器。</w:t>
            </w:r>
          </w:p>
          <w:p w14:paraId="1D4D951B">
            <w:pPr>
              <w:jc w:val="left"/>
              <w:rPr>
                <w:rFonts w:hint="eastAsia" w:ascii="宋体" w:hAnsi="宋体" w:cs="宋体"/>
                <w:color w:val="auto"/>
                <w:szCs w:val="21"/>
              </w:rPr>
            </w:pPr>
            <w:r>
              <w:rPr>
                <w:rFonts w:hint="eastAsia" w:ascii="宋体" w:hAnsi="宋体" w:cs="宋体"/>
                <w:color w:val="auto"/>
                <w:szCs w:val="21"/>
              </w:rPr>
              <w:t>3.服务期内，门锁发生故障2小时内现场解决，无法维修的门锁直接更换新的门锁。</w:t>
            </w:r>
          </w:p>
          <w:p w14:paraId="1BD6D7BA">
            <w:pPr>
              <w:jc w:val="left"/>
              <w:rPr>
                <w:rFonts w:hint="eastAsia" w:ascii="宋体" w:hAnsi="宋体" w:cs="宋体"/>
                <w:color w:val="auto"/>
                <w:szCs w:val="21"/>
              </w:rPr>
            </w:pPr>
            <w:r>
              <w:rPr>
                <w:rFonts w:hint="eastAsia" w:ascii="宋体" w:hAnsi="宋体" w:cs="宋体"/>
                <w:color w:val="auto"/>
                <w:szCs w:val="21"/>
              </w:rPr>
              <w:t>4.提供门锁备品备件，以便随时更换。</w:t>
            </w:r>
          </w:p>
          <w:p w14:paraId="1BD8EEB9">
            <w:pPr>
              <w:jc w:val="left"/>
              <w:rPr>
                <w:rFonts w:hint="eastAsia" w:ascii="宋体" w:hAnsi="宋体" w:cs="宋体"/>
                <w:color w:val="auto"/>
                <w:szCs w:val="21"/>
              </w:rPr>
            </w:pPr>
            <w:r>
              <w:rPr>
                <w:rFonts w:hint="eastAsia" w:ascii="宋体" w:hAnsi="宋体" w:cs="宋体"/>
                <w:color w:val="auto"/>
                <w:szCs w:val="21"/>
              </w:rPr>
              <w:t>5.门禁系统平台数据定期整理，负责系统的软件升级。</w:t>
            </w:r>
          </w:p>
        </w:tc>
      </w:tr>
      <w:tr w14:paraId="08DA7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410" w:type="dxa"/>
            <w:tcBorders>
              <w:top w:val="single" w:color="000000" w:sz="4" w:space="0"/>
              <w:left w:val="single" w:color="000000" w:sz="4" w:space="0"/>
              <w:bottom w:val="single" w:color="000000" w:sz="4" w:space="0"/>
              <w:right w:val="single" w:color="000000" w:sz="4" w:space="0"/>
            </w:tcBorders>
            <w:noWrap w:val="0"/>
            <w:vAlign w:val="center"/>
          </w:tcPr>
          <w:p w14:paraId="2D6ED704">
            <w:pPr>
              <w:jc w:val="center"/>
              <w:rPr>
                <w:rFonts w:hint="eastAsia" w:ascii="宋体" w:hAnsi="宋体" w:cs="宋体"/>
                <w:color w:val="auto"/>
                <w:szCs w:val="21"/>
              </w:rPr>
            </w:pPr>
            <w:r>
              <w:rPr>
                <w:rFonts w:hint="eastAsia" w:ascii="宋体" w:hAnsi="宋体" w:cs="宋体"/>
                <w:color w:val="auto"/>
                <w:szCs w:val="21"/>
              </w:rPr>
              <w:t>有线网络面板及线路</w:t>
            </w:r>
          </w:p>
        </w:tc>
        <w:tc>
          <w:tcPr>
            <w:tcW w:w="7106" w:type="dxa"/>
            <w:tcBorders>
              <w:top w:val="single" w:color="000000" w:sz="4" w:space="0"/>
              <w:left w:val="single" w:color="000000" w:sz="4" w:space="0"/>
              <w:bottom w:val="single" w:color="000000" w:sz="4" w:space="0"/>
              <w:right w:val="single" w:color="000000" w:sz="4" w:space="0"/>
            </w:tcBorders>
            <w:noWrap w:val="0"/>
            <w:vAlign w:val="center"/>
          </w:tcPr>
          <w:p w14:paraId="38B3E8C2">
            <w:pPr>
              <w:jc w:val="left"/>
              <w:rPr>
                <w:rFonts w:hint="eastAsia" w:ascii="宋体" w:hAnsi="宋体" w:cs="宋体"/>
                <w:color w:val="auto"/>
                <w:szCs w:val="21"/>
              </w:rPr>
            </w:pPr>
            <w:r>
              <w:rPr>
                <w:rFonts w:hint="eastAsia" w:ascii="宋体" w:hAnsi="宋体" w:cs="宋体"/>
                <w:color w:val="auto"/>
                <w:szCs w:val="21"/>
              </w:rPr>
              <w:t>提供下沙校区教学区第1教研楼、第2教研楼、第3教研楼、第6教研楼、第7教研楼、第9教研楼、第10教研楼、第11教研楼、第12教研楼、行政楼等楼宇有线点位的网络面板及线路维护服务，提供配件及线路维修或更换等服务，驻场服务时间内接到故障报修立即响应，非驻场服务时间接到故障报修后30分钟内响应，1小时内赶到现场进行维修或更换服务。</w:t>
            </w:r>
          </w:p>
        </w:tc>
      </w:tr>
    </w:tbl>
    <w:p w14:paraId="365E64B5">
      <w:pPr>
        <w:spacing w:line="288" w:lineRule="auto"/>
        <w:ind w:firstLine="480" w:firstLineChars="200"/>
        <w:rPr>
          <w:rFonts w:hint="eastAsia" w:ascii="宋体" w:hAnsi="宋体"/>
          <w:color w:val="auto"/>
          <w:sz w:val="24"/>
        </w:rPr>
      </w:pPr>
    </w:p>
    <w:p w14:paraId="49576706">
      <w:pPr>
        <w:spacing w:line="288" w:lineRule="auto"/>
        <w:ind w:firstLine="422" w:firstLineChars="200"/>
        <w:jc w:val="left"/>
        <w:rPr>
          <w:rFonts w:hint="eastAsia" w:ascii="宋体" w:hAnsi="宋体" w:cs="宋体"/>
          <w:b/>
          <w:color w:val="auto"/>
          <w:szCs w:val="21"/>
        </w:rPr>
      </w:pPr>
      <w:r>
        <w:rPr>
          <w:rFonts w:hint="eastAsia" w:ascii="宋体" w:hAnsi="宋体" w:cs="宋体"/>
          <w:b/>
          <w:color w:val="auto"/>
          <w:szCs w:val="21"/>
        </w:rPr>
        <w:t>3.信息系统维保及服务：</w:t>
      </w:r>
    </w:p>
    <w:p w14:paraId="2BCD7899">
      <w:pPr>
        <w:spacing w:line="288" w:lineRule="auto"/>
        <w:ind w:firstLine="420" w:firstLineChars="200"/>
        <w:jc w:val="left"/>
        <w:rPr>
          <w:rFonts w:hint="eastAsia" w:ascii="宋体" w:hAnsi="宋体"/>
          <w:color w:val="auto"/>
          <w:sz w:val="24"/>
        </w:rPr>
      </w:pPr>
      <w:r>
        <w:rPr>
          <w:rFonts w:hint="eastAsia" w:ascii="宋体" w:hAnsi="宋体" w:cs="宋体"/>
          <w:color w:val="auto"/>
          <w:szCs w:val="21"/>
        </w:rPr>
        <w:t>根据情况将部分信息系统及服务加入运维服务体系，要求中标人提供运维及服务。包括定期巡检、系统调优、故障修复、软件升级工作，保证其正常使用。</w:t>
      </w:r>
    </w:p>
    <w:tbl>
      <w:tblPr>
        <w:tblStyle w:val="47"/>
        <w:tblW w:w="8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2"/>
        <w:gridCol w:w="7104"/>
      </w:tblGrid>
      <w:tr w14:paraId="49B01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58F71E62">
            <w:pPr>
              <w:jc w:val="center"/>
              <w:rPr>
                <w:rFonts w:hint="eastAsia" w:ascii="宋体" w:hAnsi="宋体" w:cs="宋体"/>
                <w:b/>
                <w:color w:val="auto"/>
                <w:szCs w:val="21"/>
              </w:rPr>
            </w:pPr>
            <w:r>
              <w:rPr>
                <w:rFonts w:hint="eastAsia" w:ascii="宋体" w:hAnsi="宋体" w:cs="宋体"/>
                <w:b/>
                <w:color w:val="auto"/>
                <w:szCs w:val="21"/>
              </w:rPr>
              <w:t>系统名称</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3B90E427">
            <w:pPr>
              <w:jc w:val="center"/>
              <w:rPr>
                <w:rFonts w:hint="eastAsia" w:ascii="宋体" w:hAnsi="宋体" w:cs="宋体"/>
                <w:b/>
                <w:color w:val="auto"/>
                <w:szCs w:val="21"/>
              </w:rPr>
            </w:pPr>
            <w:r>
              <w:rPr>
                <w:rFonts w:hint="eastAsia" w:ascii="宋体" w:hAnsi="宋体" w:cs="宋体"/>
                <w:b/>
                <w:color w:val="auto"/>
                <w:szCs w:val="21"/>
              </w:rPr>
              <w:t>运维服务内容</w:t>
            </w:r>
          </w:p>
        </w:tc>
      </w:tr>
      <w:tr w14:paraId="20D2C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50F44184">
            <w:pPr>
              <w:jc w:val="center"/>
              <w:rPr>
                <w:rFonts w:hint="eastAsia" w:ascii="宋体" w:hAnsi="宋体" w:cs="宋体"/>
                <w:color w:val="auto"/>
                <w:szCs w:val="21"/>
              </w:rPr>
            </w:pPr>
            <w:r>
              <w:rPr>
                <w:rFonts w:hint="eastAsia" w:ascii="宋体" w:hAnsi="宋体" w:cs="宋体"/>
                <w:color w:val="auto"/>
                <w:szCs w:val="21"/>
              </w:rPr>
              <w:t>站群系统</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2B680BDB">
            <w:pPr>
              <w:jc w:val="left"/>
              <w:rPr>
                <w:rFonts w:hint="eastAsia" w:ascii="宋体" w:hAnsi="宋体" w:cs="宋体"/>
                <w:color w:val="auto"/>
                <w:szCs w:val="21"/>
              </w:rPr>
            </w:pPr>
            <w:r>
              <w:rPr>
                <w:rFonts w:hint="eastAsia" w:ascii="宋体" w:hAnsi="宋体" w:cs="宋体"/>
                <w:color w:val="auto"/>
                <w:szCs w:val="21"/>
              </w:rPr>
              <w:t>1.服务对象：站群系统内的所有网站。</w:t>
            </w:r>
          </w:p>
          <w:p w14:paraId="665A4920">
            <w:pPr>
              <w:jc w:val="left"/>
              <w:rPr>
                <w:rFonts w:hint="eastAsia" w:ascii="宋体" w:hAnsi="宋体" w:cs="宋体"/>
                <w:color w:val="auto"/>
                <w:szCs w:val="21"/>
              </w:rPr>
            </w:pPr>
            <w:r>
              <w:rPr>
                <w:rFonts w:hint="eastAsia" w:ascii="宋体" w:hAnsi="宋体" w:cs="宋体"/>
                <w:color w:val="auto"/>
                <w:szCs w:val="21"/>
              </w:rPr>
              <w:t>2.维保内容：提供系统保障、系统升级及网站迁入开发服务、技术支持、维护等服务。</w:t>
            </w:r>
          </w:p>
          <w:p w14:paraId="1E9F8D0A">
            <w:pPr>
              <w:jc w:val="left"/>
              <w:rPr>
                <w:rFonts w:hint="eastAsia" w:ascii="宋体" w:hAnsi="宋体" w:cs="宋体"/>
                <w:color w:val="auto"/>
                <w:szCs w:val="21"/>
              </w:rPr>
            </w:pPr>
            <w:r>
              <w:rPr>
                <w:rFonts w:hint="eastAsia" w:ascii="宋体" w:hAnsi="宋体" w:cs="宋体"/>
                <w:color w:val="auto"/>
                <w:szCs w:val="21"/>
              </w:rPr>
              <w:t>3.维保要求：</w:t>
            </w:r>
          </w:p>
          <w:p w14:paraId="103BA6D3">
            <w:pPr>
              <w:jc w:val="left"/>
              <w:rPr>
                <w:rFonts w:hint="eastAsia" w:ascii="宋体" w:hAnsi="宋体" w:cs="宋体"/>
                <w:color w:val="auto"/>
                <w:szCs w:val="21"/>
              </w:rPr>
            </w:pPr>
            <w:r>
              <w:rPr>
                <w:rFonts w:hint="eastAsia" w:ascii="宋体" w:hAnsi="宋体" w:cs="宋体"/>
                <w:color w:val="auto"/>
                <w:szCs w:val="21"/>
              </w:rPr>
              <w:t>（1）一年原厂维保服务。</w:t>
            </w:r>
          </w:p>
          <w:p w14:paraId="6749DAF7">
            <w:pPr>
              <w:jc w:val="left"/>
              <w:rPr>
                <w:rFonts w:hint="eastAsia" w:ascii="宋体" w:hAnsi="宋体" w:cs="宋体"/>
                <w:color w:val="auto"/>
                <w:szCs w:val="21"/>
              </w:rPr>
            </w:pPr>
            <w:r>
              <w:rPr>
                <w:rFonts w:hint="eastAsia" w:ascii="宋体" w:hAnsi="宋体" w:cs="宋体"/>
                <w:color w:val="auto"/>
                <w:szCs w:val="21"/>
              </w:rPr>
              <w:t>（2）常规技术运维服务：</w:t>
            </w:r>
          </w:p>
          <w:p w14:paraId="3AA0F97B">
            <w:pPr>
              <w:jc w:val="left"/>
              <w:rPr>
                <w:rFonts w:hint="eastAsia" w:ascii="宋体" w:hAnsi="宋体" w:cs="宋体"/>
                <w:color w:val="auto"/>
                <w:szCs w:val="21"/>
              </w:rPr>
            </w:pPr>
            <w:r>
              <w:rPr>
                <w:rFonts w:hint="eastAsia" w:ascii="宋体" w:hAnsi="宋体" w:cs="宋体"/>
                <w:color w:val="auto"/>
                <w:szCs w:val="21"/>
              </w:rPr>
              <w:t>1）通过在线交流工具等提供5*8交流服务，并7*24开放FAQ自助检索知识库及自服务请求与知识提问，在5*8工作时间及时回复。</w:t>
            </w:r>
          </w:p>
          <w:p w14:paraId="6453E35A">
            <w:pPr>
              <w:jc w:val="left"/>
              <w:rPr>
                <w:rFonts w:hint="eastAsia" w:ascii="宋体" w:hAnsi="宋体" w:cs="宋体"/>
                <w:color w:val="auto"/>
                <w:szCs w:val="21"/>
              </w:rPr>
            </w:pPr>
            <w:r>
              <w:rPr>
                <w:rFonts w:hint="eastAsia" w:ascii="宋体" w:hAnsi="宋体" w:cs="宋体"/>
                <w:color w:val="auto"/>
                <w:szCs w:val="21"/>
              </w:rPr>
              <w:t>2）每周一至周五工作时间内，在接到故障申报后半小时内及时响应，2小时内提供故障处理的建议或方案。</w:t>
            </w:r>
          </w:p>
          <w:p w14:paraId="7D8BE8E9">
            <w:pPr>
              <w:jc w:val="left"/>
              <w:rPr>
                <w:rFonts w:hint="eastAsia" w:ascii="宋体" w:hAnsi="宋体" w:cs="宋体"/>
                <w:color w:val="auto"/>
                <w:szCs w:val="21"/>
              </w:rPr>
            </w:pPr>
            <w:r>
              <w:rPr>
                <w:rFonts w:hint="eastAsia" w:ascii="宋体" w:hAnsi="宋体" w:cs="宋体"/>
                <w:color w:val="auto"/>
                <w:szCs w:val="21"/>
              </w:rPr>
              <w:t>3）远程指导服务：明确服务人员队伍和机制，确保在采购人系统故障时可以无间断提供远程支持并开展故障或服务处理工作，以助于快速定位现场问题，解决采购人疑难杂症。</w:t>
            </w:r>
          </w:p>
          <w:p w14:paraId="0C3F2B0A">
            <w:pPr>
              <w:jc w:val="left"/>
              <w:rPr>
                <w:rFonts w:hint="eastAsia" w:ascii="宋体" w:hAnsi="宋体" w:cs="宋体"/>
                <w:color w:val="auto"/>
                <w:szCs w:val="21"/>
              </w:rPr>
            </w:pPr>
            <w:r>
              <w:rPr>
                <w:rFonts w:hint="eastAsia" w:ascii="宋体" w:hAnsi="宋体" w:cs="宋体"/>
                <w:color w:val="auto"/>
                <w:szCs w:val="21"/>
              </w:rPr>
              <w:t>（3）提供软件故障诊断服务，提供同系列软件版本升级服务。</w:t>
            </w:r>
          </w:p>
          <w:p w14:paraId="6E2E21F4">
            <w:pPr>
              <w:jc w:val="left"/>
              <w:rPr>
                <w:rFonts w:hint="eastAsia" w:ascii="宋体" w:hAnsi="宋体" w:cs="宋体"/>
                <w:color w:val="auto"/>
                <w:szCs w:val="21"/>
              </w:rPr>
            </w:pPr>
            <w:r>
              <w:rPr>
                <w:rFonts w:hint="eastAsia" w:ascii="宋体" w:hAnsi="宋体" w:cs="宋体"/>
                <w:color w:val="auto"/>
                <w:szCs w:val="21"/>
              </w:rPr>
              <w:t>（4）提供远端培训服务，采购人因管理员更换、系统升级等产生培训需求时，供应商安排专业人员进行远端培训，培训内容包括软件系统的安装、维护及操作使用，并提供相关培训课件，不少于每年2次。</w:t>
            </w:r>
          </w:p>
          <w:p w14:paraId="4045196C">
            <w:pPr>
              <w:jc w:val="left"/>
              <w:rPr>
                <w:rFonts w:hint="eastAsia" w:ascii="宋体" w:hAnsi="宋体" w:cs="宋体"/>
                <w:color w:val="auto"/>
                <w:szCs w:val="21"/>
              </w:rPr>
            </w:pPr>
            <w:r>
              <w:rPr>
                <w:rFonts w:hint="eastAsia" w:ascii="宋体" w:hAnsi="宋体" w:cs="宋体"/>
                <w:color w:val="auto"/>
                <w:szCs w:val="21"/>
              </w:rPr>
              <w:t>（5）服务期内提供重保时期加固值守服务。</w:t>
            </w:r>
          </w:p>
          <w:p w14:paraId="5A1F7F2A">
            <w:pPr>
              <w:jc w:val="left"/>
              <w:rPr>
                <w:rFonts w:hint="eastAsia" w:ascii="宋体" w:hAnsi="宋体" w:cs="宋体"/>
                <w:color w:val="auto"/>
                <w:szCs w:val="21"/>
              </w:rPr>
            </w:pPr>
            <w:r>
              <w:rPr>
                <w:rFonts w:hint="eastAsia" w:ascii="宋体" w:hAnsi="宋体" w:cs="宋体"/>
                <w:color w:val="auto"/>
                <w:szCs w:val="21"/>
              </w:rPr>
              <w:t>（6）日常安全加固服务，提供漏洞修复、配置安全升级、https证书部署、主机加固、主机关键数据保护等服务。</w:t>
            </w:r>
          </w:p>
          <w:p w14:paraId="75AF335D">
            <w:pPr>
              <w:jc w:val="left"/>
              <w:rPr>
                <w:rFonts w:hint="eastAsia" w:ascii="宋体" w:hAnsi="宋体" w:cs="宋体"/>
                <w:color w:val="auto"/>
                <w:szCs w:val="21"/>
              </w:rPr>
            </w:pPr>
            <w:r>
              <w:rPr>
                <w:rFonts w:hint="eastAsia" w:ascii="宋体" w:hAnsi="宋体" w:cs="宋体"/>
                <w:color w:val="auto"/>
                <w:szCs w:val="21"/>
              </w:rPr>
              <w:t>（7）定期巡检服务，巡检涵盖操作系统、中间件、系统安全，系统运行情况等方面，使采购方能全面了解系统的使用情况和潜在问题，提早预防，避免故障发生，提供每年不少于4次巡检服务。</w:t>
            </w:r>
          </w:p>
          <w:p w14:paraId="58D941C3">
            <w:pPr>
              <w:jc w:val="left"/>
              <w:rPr>
                <w:rFonts w:hint="eastAsia" w:ascii="宋体" w:hAnsi="宋体" w:cs="宋体"/>
                <w:color w:val="auto"/>
                <w:szCs w:val="21"/>
              </w:rPr>
            </w:pPr>
            <w:r>
              <w:rPr>
                <w:rFonts w:hint="eastAsia" w:ascii="宋体" w:hAnsi="宋体" w:cs="宋体"/>
                <w:color w:val="auto"/>
                <w:szCs w:val="21"/>
              </w:rPr>
              <w:t>（8）提供二级等保测评相关整改配合。</w:t>
            </w:r>
          </w:p>
          <w:p w14:paraId="5F10396E">
            <w:pPr>
              <w:jc w:val="left"/>
              <w:rPr>
                <w:rFonts w:hint="eastAsia" w:ascii="宋体" w:hAnsi="宋体" w:cs="宋体"/>
                <w:color w:val="auto"/>
                <w:szCs w:val="21"/>
              </w:rPr>
            </w:pPr>
            <w:r>
              <w:rPr>
                <w:rFonts w:hint="eastAsia" w:ascii="宋体" w:hAnsi="宋体" w:cs="宋体"/>
                <w:color w:val="auto"/>
                <w:szCs w:val="21"/>
              </w:rPr>
              <w:t>（9）安全监控及异常告警服务，监控站群相关服务器安全情况，并提供实时告警提醒服务。</w:t>
            </w:r>
          </w:p>
          <w:p w14:paraId="1A674BD8">
            <w:pPr>
              <w:jc w:val="left"/>
              <w:rPr>
                <w:rFonts w:hint="eastAsia" w:ascii="宋体" w:hAnsi="宋体" w:cs="宋体"/>
                <w:color w:val="auto"/>
                <w:szCs w:val="21"/>
              </w:rPr>
            </w:pPr>
            <w:r>
              <w:rPr>
                <w:rFonts w:hint="eastAsia" w:ascii="宋体" w:hAnsi="宋体" w:cs="宋体"/>
                <w:color w:val="auto"/>
                <w:szCs w:val="21"/>
              </w:rPr>
              <w:t>（10）服务期内系统项目运维手册、问题处理报告、验证报告、系统变更实施/升级报告、定期巡检报告、运行环境信息更新报告。</w:t>
            </w:r>
          </w:p>
        </w:tc>
      </w:tr>
      <w:tr w14:paraId="7C613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744B033A">
            <w:pPr>
              <w:jc w:val="center"/>
              <w:rPr>
                <w:rFonts w:hint="eastAsia" w:ascii="宋体" w:hAnsi="宋体" w:cs="宋体"/>
                <w:color w:val="auto"/>
                <w:szCs w:val="21"/>
              </w:rPr>
            </w:pPr>
            <w:r>
              <w:rPr>
                <w:rFonts w:hint="eastAsia" w:ascii="宋体" w:hAnsi="宋体" w:cs="宋体"/>
                <w:color w:val="auto"/>
                <w:szCs w:val="21"/>
              </w:rPr>
              <w:t>数字化校园平台</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75A4A9E0">
            <w:pPr>
              <w:jc w:val="left"/>
              <w:rPr>
                <w:rFonts w:hint="eastAsia" w:ascii="宋体" w:hAnsi="宋体" w:cs="宋体"/>
                <w:color w:val="auto"/>
                <w:szCs w:val="21"/>
              </w:rPr>
            </w:pPr>
            <w:r>
              <w:rPr>
                <w:rFonts w:hint="eastAsia" w:ascii="宋体" w:hAnsi="宋体" w:cs="宋体"/>
                <w:color w:val="auto"/>
                <w:szCs w:val="21"/>
              </w:rPr>
              <w:t>1.服务对象：数字校园综合门户、通知发送平台、应用管理平台、用户管理平台。</w:t>
            </w:r>
          </w:p>
          <w:p w14:paraId="089A4A9F">
            <w:pPr>
              <w:jc w:val="left"/>
              <w:rPr>
                <w:rFonts w:hint="eastAsia" w:ascii="宋体" w:hAnsi="宋体" w:cs="宋体"/>
                <w:color w:val="auto"/>
                <w:szCs w:val="21"/>
              </w:rPr>
            </w:pPr>
            <w:r>
              <w:rPr>
                <w:rFonts w:hint="eastAsia" w:ascii="宋体" w:hAnsi="宋体" w:cs="宋体"/>
                <w:color w:val="auto"/>
                <w:szCs w:val="21"/>
              </w:rPr>
              <w:t>2.维保内容：对以上平台提供系统保障、系统升级、技术支持及维护服务。</w:t>
            </w:r>
          </w:p>
          <w:p w14:paraId="3C5E03A7">
            <w:pPr>
              <w:jc w:val="left"/>
              <w:rPr>
                <w:rFonts w:hint="eastAsia" w:ascii="宋体" w:hAnsi="宋体" w:cs="宋体"/>
                <w:color w:val="auto"/>
                <w:szCs w:val="21"/>
              </w:rPr>
            </w:pPr>
            <w:r>
              <w:rPr>
                <w:rFonts w:hint="eastAsia" w:ascii="宋体" w:hAnsi="宋体" w:cs="宋体"/>
                <w:color w:val="auto"/>
                <w:szCs w:val="21"/>
              </w:rPr>
              <w:t>3.维保要求：</w:t>
            </w:r>
          </w:p>
          <w:p w14:paraId="641514DA">
            <w:pPr>
              <w:jc w:val="left"/>
              <w:rPr>
                <w:rFonts w:hint="eastAsia" w:ascii="宋体" w:hAnsi="宋体" w:cs="宋体"/>
                <w:color w:val="auto"/>
                <w:szCs w:val="21"/>
              </w:rPr>
            </w:pPr>
            <w:r>
              <w:rPr>
                <w:rFonts w:hint="eastAsia" w:ascii="宋体" w:hAnsi="宋体" w:cs="宋体"/>
                <w:color w:val="auto"/>
                <w:szCs w:val="21"/>
              </w:rPr>
              <w:t>（1）一年原厂维保服务。</w:t>
            </w:r>
          </w:p>
          <w:p w14:paraId="5E2605A0">
            <w:pPr>
              <w:jc w:val="left"/>
              <w:rPr>
                <w:rFonts w:hint="eastAsia" w:ascii="宋体" w:hAnsi="宋体" w:cs="宋体"/>
                <w:color w:val="auto"/>
                <w:szCs w:val="21"/>
              </w:rPr>
            </w:pPr>
            <w:r>
              <w:rPr>
                <w:rFonts w:hint="eastAsia" w:ascii="宋体" w:hAnsi="宋体" w:cs="宋体"/>
                <w:color w:val="auto"/>
                <w:szCs w:val="21"/>
              </w:rPr>
              <w:t>（2）从接到采购人报障起，供应商立即响应，工作日在2小时内提出实质性解决方案，确认后立即实施；非工作日供应商在4小时内响应，并在其后2小时内提出实质性解决方案，确认后立即实施。</w:t>
            </w:r>
          </w:p>
          <w:p w14:paraId="452BDAAC">
            <w:pPr>
              <w:jc w:val="left"/>
              <w:rPr>
                <w:rFonts w:hint="eastAsia" w:ascii="宋体" w:hAnsi="宋体" w:cs="宋体"/>
                <w:color w:val="auto"/>
                <w:szCs w:val="21"/>
              </w:rPr>
            </w:pPr>
            <w:r>
              <w:rPr>
                <w:rFonts w:hint="eastAsia" w:ascii="宋体" w:hAnsi="宋体" w:cs="宋体"/>
                <w:color w:val="auto"/>
                <w:szCs w:val="21"/>
              </w:rPr>
              <w:t>（3）日常安全加固服务，提供漏洞修复、配置安全升级、https证书部署、主机加固、主机关键数据保护等服务。</w:t>
            </w:r>
          </w:p>
          <w:p w14:paraId="0B89B0A5">
            <w:pPr>
              <w:jc w:val="left"/>
              <w:rPr>
                <w:rFonts w:hint="eastAsia" w:ascii="宋体" w:hAnsi="宋体" w:cs="宋体"/>
                <w:color w:val="auto"/>
                <w:szCs w:val="21"/>
              </w:rPr>
            </w:pPr>
            <w:r>
              <w:rPr>
                <w:rFonts w:hint="eastAsia" w:ascii="宋体" w:hAnsi="宋体" w:cs="宋体"/>
                <w:color w:val="auto"/>
                <w:szCs w:val="21"/>
              </w:rPr>
              <w:t>（4）提供二级等保测评相关整改配合。</w:t>
            </w:r>
          </w:p>
          <w:p w14:paraId="52ABDA6B">
            <w:pPr>
              <w:jc w:val="left"/>
              <w:rPr>
                <w:rFonts w:hint="eastAsia" w:ascii="宋体" w:hAnsi="宋体" w:cs="宋体"/>
                <w:color w:val="auto"/>
                <w:szCs w:val="21"/>
              </w:rPr>
            </w:pPr>
            <w:r>
              <w:rPr>
                <w:rFonts w:hint="eastAsia" w:ascii="宋体" w:hAnsi="宋体" w:cs="宋体"/>
                <w:color w:val="auto"/>
                <w:szCs w:val="21"/>
              </w:rPr>
              <w:t>（5）服务期内提供重保时期加固值守服务。</w:t>
            </w:r>
          </w:p>
        </w:tc>
      </w:tr>
      <w:tr w14:paraId="01C67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4591D249">
            <w:pPr>
              <w:jc w:val="center"/>
              <w:rPr>
                <w:rFonts w:hint="eastAsia" w:ascii="宋体" w:hAnsi="宋体" w:cs="宋体"/>
                <w:color w:val="auto"/>
                <w:szCs w:val="21"/>
              </w:rPr>
            </w:pPr>
            <w:r>
              <w:rPr>
                <w:rFonts w:hint="eastAsia" w:ascii="宋体" w:hAnsi="宋体" w:cs="宋体"/>
                <w:color w:val="auto"/>
                <w:szCs w:val="21"/>
              </w:rPr>
              <w:t>自助借还机系统</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79C8D791">
            <w:pPr>
              <w:jc w:val="left"/>
              <w:rPr>
                <w:rFonts w:hint="eastAsia" w:ascii="宋体" w:hAnsi="宋体" w:cs="宋体"/>
                <w:color w:val="auto"/>
                <w:szCs w:val="21"/>
              </w:rPr>
            </w:pPr>
            <w:r>
              <w:rPr>
                <w:rFonts w:hint="eastAsia" w:ascii="宋体" w:hAnsi="宋体" w:cs="宋体"/>
                <w:color w:val="auto"/>
                <w:szCs w:val="21"/>
              </w:rPr>
              <w:t>1.服务对象：自助借还机系统。</w:t>
            </w:r>
          </w:p>
          <w:p w14:paraId="72A53F69">
            <w:pPr>
              <w:jc w:val="left"/>
              <w:rPr>
                <w:rFonts w:hint="eastAsia" w:ascii="宋体" w:hAnsi="宋体" w:cs="宋体"/>
                <w:color w:val="auto"/>
                <w:szCs w:val="21"/>
              </w:rPr>
            </w:pPr>
            <w:r>
              <w:rPr>
                <w:rFonts w:hint="eastAsia" w:ascii="宋体" w:hAnsi="宋体" w:cs="宋体"/>
                <w:color w:val="auto"/>
                <w:szCs w:val="21"/>
              </w:rPr>
              <w:t>2.维保内容及要求：</w:t>
            </w:r>
          </w:p>
          <w:p w14:paraId="0D7F69EB">
            <w:pPr>
              <w:jc w:val="left"/>
              <w:rPr>
                <w:rFonts w:hint="eastAsia" w:ascii="宋体" w:hAnsi="宋体" w:cs="宋体"/>
                <w:color w:val="auto"/>
                <w:szCs w:val="21"/>
              </w:rPr>
            </w:pPr>
            <w:r>
              <w:rPr>
                <w:rFonts w:hint="eastAsia" w:ascii="宋体" w:hAnsi="宋体" w:cs="宋体"/>
                <w:color w:val="auto"/>
                <w:szCs w:val="21"/>
              </w:rPr>
              <w:t>1）、提供电话热线服务</w:t>
            </w:r>
          </w:p>
          <w:p w14:paraId="032956F0">
            <w:pPr>
              <w:jc w:val="left"/>
              <w:rPr>
                <w:rFonts w:hint="eastAsia" w:ascii="宋体" w:hAnsi="宋体" w:cs="宋体"/>
                <w:color w:val="auto"/>
                <w:szCs w:val="21"/>
              </w:rPr>
            </w:pPr>
            <w:r>
              <w:rPr>
                <w:rFonts w:hint="eastAsia" w:ascii="宋体" w:hAnsi="宋体" w:cs="宋体"/>
                <w:color w:val="auto"/>
                <w:szCs w:val="21"/>
              </w:rPr>
              <w:t>2）、机器上门维修、软件升级服务费包含在本合同内，零部件更换不包含在合同內。</w:t>
            </w:r>
          </w:p>
          <w:p w14:paraId="3054F1F1">
            <w:pPr>
              <w:jc w:val="left"/>
              <w:rPr>
                <w:rFonts w:hint="eastAsia" w:ascii="宋体" w:hAnsi="宋体" w:cs="宋体"/>
                <w:color w:val="auto"/>
                <w:szCs w:val="21"/>
              </w:rPr>
            </w:pPr>
            <w:r>
              <w:rPr>
                <w:rFonts w:hint="eastAsia" w:ascii="宋体" w:hAnsi="宋体" w:cs="宋体"/>
                <w:color w:val="auto"/>
                <w:szCs w:val="21"/>
              </w:rPr>
              <w:t>3）、维修工程师上门保养维护服务（一年2次）</w:t>
            </w:r>
          </w:p>
          <w:p w14:paraId="0CCC892E">
            <w:pPr>
              <w:jc w:val="left"/>
              <w:rPr>
                <w:rFonts w:hint="eastAsia" w:ascii="宋体" w:hAnsi="宋体" w:cs="宋体"/>
                <w:color w:val="auto"/>
                <w:szCs w:val="21"/>
              </w:rPr>
            </w:pPr>
            <w:r>
              <w:rPr>
                <w:rFonts w:hint="eastAsia" w:ascii="宋体" w:hAnsi="宋体" w:cs="宋体"/>
                <w:color w:val="auto"/>
                <w:szCs w:val="21"/>
              </w:rPr>
              <w:t>4）、机器如有故障,维修时问在7个工作日之内，超过7天，保养时间向后延续一个月。</w:t>
            </w:r>
          </w:p>
          <w:p w14:paraId="12154600">
            <w:pPr>
              <w:jc w:val="left"/>
              <w:rPr>
                <w:rFonts w:hint="eastAsia" w:ascii="宋体" w:hAnsi="宋体" w:cs="宋体"/>
                <w:color w:val="auto"/>
                <w:szCs w:val="21"/>
              </w:rPr>
            </w:pPr>
            <w:r>
              <w:rPr>
                <w:rFonts w:hint="eastAsia" w:ascii="宋体" w:hAnsi="宋体" w:cs="宋体"/>
                <w:color w:val="auto"/>
                <w:szCs w:val="21"/>
              </w:rPr>
              <w:t>5）、上门保养维护服务内容包括：（一年2次）</w:t>
            </w:r>
          </w:p>
          <w:p w14:paraId="6837D35A">
            <w:pPr>
              <w:jc w:val="left"/>
              <w:rPr>
                <w:rFonts w:hint="eastAsia" w:ascii="宋体" w:hAnsi="宋体" w:cs="宋体"/>
                <w:color w:val="auto"/>
                <w:szCs w:val="21"/>
              </w:rPr>
            </w:pPr>
            <w:r>
              <w:rPr>
                <w:rFonts w:hint="eastAsia" w:ascii="宋体" w:hAnsi="宋体" w:cs="宋体"/>
                <w:color w:val="auto"/>
                <w:szCs w:val="21"/>
              </w:rPr>
              <w:t>(A)一般清洁与保养</w:t>
            </w:r>
          </w:p>
          <w:p w14:paraId="153A30BA">
            <w:pPr>
              <w:jc w:val="left"/>
              <w:rPr>
                <w:rFonts w:hint="eastAsia" w:ascii="宋体" w:hAnsi="宋体" w:cs="宋体"/>
                <w:color w:val="auto"/>
                <w:szCs w:val="21"/>
              </w:rPr>
            </w:pPr>
            <w:r>
              <w:rPr>
                <w:rFonts w:hint="eastAsia" w:ascii="宋体" w:hAnsi="宋体" w:cs="宋体"/>
                <w:color w:val="auto"/>
                <w:szCs w:val="21"/>
              </w:rPr>
              <w:t>(B）清洁、拆装滤网</w:t>
            </w:r>
          </w:p>
          <w:p w14:paraId="2A762B1F">
            <w:pPr>
              <w:jc w:val="left"/>
              <w:rPr>
                <w:rFonts w:hint="eastAsia" w:ascii="宋体" w:hAnsi="宋体" w:cs="宋体"/>
                <w:color w:val="auto"/>
                <w:szCs w:val="21"/>
              </w:rPr>
            </w:pPr>
            <w:r>
              <w:rPr>
                <w:rFonts w:hint="eastAsia" w:ascii="宋体" w:hAnsi="宋体" w:cs="宋体"/>
                <w:color w:val="auto"/>
                <w:szCs w:val="21"/>
              </w:rPr>
              <w:t>(C）系统功能测试</w:t>
            </w:r>
          </w:p>
          <w:p w14:paraId="0FA5887E">
            <w:pPr>
              <w:jc w:val="left"/>
              <w:rPr>
                <w:rFonts w:hint="eastAsia" w:ascii="宋体" w:hAnsi="宋体" w:cs="宋体"/>
                <w:color w:val="auto"/>
                <w:szCs w:val="21"/>
              </w:rPr>
            </w:pPr>
            <w:r>
              <w:rPr>
                <w:rFonts w:hint="eastAsia" w:ascii="宋体" w:hAnsi="宋体" w:cs="宋体"/>
                <w:color w:val="auto"/>
                <w:szCs w:val="21"/>
              </w:rPr>
              <w:t>(D）软件免费升级</w:t>
            </w:r>
          </w:p>
        </w:tc>
      </w:tr>
      <w:tr w14:paraId="7F98E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1EE15018">
            <w:pPr>
              <w:jc w:val="center"/>
              <w:rPr>
                <w:rFonts w:hint="eastAsia" w:ascii="宋体" w:hAnsi="宋体" w:cs="宋体"/>
                <w:color w:val="auto"/>
                <w:szCs w:val="21"/>
              </w:rPr>
            </w:pPr>
            <w:r>
              <w:rPr>
                <w:rFonts w:hint="eastAsia" w:ascii="宋体" w:hAnsi="宋体" w:cs="宋体"/>
                <w:color w:val="auto"/>
                <w:szCs w:val="21"/>
              </w:rPr>
              <w:t>论文提交系统</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12B399E0">
            <w:pPr>
              <w:jc w:val="left"/>
              <w:rPr>
                <w:rFonts w:hint="eastAsia" w:ascii="宋体" w:hAnsi="宋体" w:cs="宋体"/>
                <w:color w:val="auto"/>
                <w:szCs w:val="21"/>
              </w:rPr>
            </w:pPr>
            <w:r>
              <w:rPr>
                <w:rFonts w:hint="eastAsia" w:ascii="宋体" w:hAnsi="宋体" w:cs="宋体"/>
                <w:color w:val="auto"/>
                <w:szCs w:val="21"/>
              </w:rPr>
              <w:t>1.服务对象：论文提交系统。</w:t>
            </w:r>
          </w:p>
          <w:p w14:paraId="77173540">
            <w:pPr>
              <w:jc w:val="left"/>
              <w:rPr>
                <w:rFonts w:ascii="宋体" w:hAnsi="宋体" w:cs="宋体"/>
                <w:color w:val="auto"/>
                <w:szCs w:val="21"/>
              </w:rPr>
            </w:pPr>
            <w:r>
              <w:rPr>
                <w:rFonts w:hint="eastAsia" w:ascii="宋体" w:hAnsi="宋体" w:cs="宋体"/>
                <w:color w:val="auto"/>
                <w:szCs w:val="21"/>
              </w:rPr>
              <w:t>2.维保内容及要求：</w:t>
            </w:r>
          </w:p>
          <w:p w14:paraId="0BF760EB">
            <w:pPr>
              <w:pStyle w:val="2"/>
              <w:rPr>
                <w:rFonts w:hint="eastAsia" w:hAnsi="宋体" w:cs="宋体"/>
                <w:color w:val="auto"/>
                <w:kern w:val="2"/>
                <w:sz w:val="21"/>
                <w:szCs w:val="21"/>
              </w:rPr>
            </w:pPr>
            <w:r>
              <w:rPr>
                <w:rFonts w:hint="eastAsia" w:hAnsi="宋体" w:cs="宋体"/>
                <w:color w:val="auto"/>
                <w:kern w:val="2"/>
                <w:sz w:val="21"/>
                <w:szCs w:val="21"/>
              </w:rPr>
              <w:t>1）、维保期内免费提供环境及软硬件适配调整服务。</w:t>
            </w:r>
          </w:p>
          <w:p w14:paraId="0B8E6A9A">
            <w:pPr>
              <w:jc w:val="left"/>
              <w:rPr>
                <w:rFonts w:ascii="宋体" w:hAnsi="宋体" w:cs="宋体"/>
                <w:color w:val="auto"/>
                <w:szCs w:val="21"/>
              </w:rPr>
            </w:pPr>
            <w:r>
              <w:rPr>
                <w:rFonts w:hint="eastAsia" w:ascii="宋体" w:hAnsi="宋体" w:cs="宋体"/>
                <w:color w:val="auto"/>
                <w:szCs w:val="21"/>
              </w:rPr>
              <w:t>2）、提供7*24小时的技术支撑服务，服务方式包括但不限于电话、邮件、远程桌面协助等。在软件出现问题时及时处理。</w:t>
            </w:r>
          </w:p>
          <w:p w14:paraId="33B2379C">
            <w:pPr>
              <w:pStyle w:val="2"/>
              <w:rPr>
                <w:rFonts w:hint="eastAsia" w:hAnsi="宋体" w:cs="宋体"/>
                <w:color w:val="auto"/>
                <w:kern w:val="2"/>
                <w:sz w:val="21"/>
                <w:szCs w:val="21"/>
              </w:rPr>
            </w:pPr>
            <w:r>
              <w:rPr>
                <w:rFonts w:hint="eastAsia" w:hAnsi="宋体" w:cs="宋体"/>
                <w:color w:val="auto"/>
                <w:kern w:val="2"/>
                <w:sz w:val="21"/>
                <w:szCs w:val="21"/>
              </w:rPr>
              <w:t>3）、在系统维护期内，提供产品安全、BUG等问题修复及版本免费升级。</w:t>
            </w:r>
          </w:p>
        </w:tc>
      </w:tr>
      <w:tr w14:paraId="35ED3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1412" w:type="dxa"/>
            <w:tcBorders>
              <w:top w:val="single" w:color="000000" w:sz="4" w:space="0"/>
              <w:left w:val="single" w:color="000000" w:sz="4" w:space="0"/>
              <w:bottom w:val="single" w:color="000000" w:sz="4" w:space="0"/>
              <w:right w:val="single" w:color="000000" w:sz="4" w:space="0"/>
            </w:tcBorders>
            <w:noWrap w:val="0"/>
            <w:vAlign w:val="center"/>
          </w:tcPr>
          <w:p w14:paraId="265C4E31">
            <w:pPr>
              <w:jc w:val="center"/>
              <w:rPr>
                <w:rFonts w:hint="eastAsia" w:ascii="宋体" w:hAnsi="宋体" w:cs="宋体"/>
                <w:color w:val="auto"/>
                <w:szCs w:val="21"/>
              </w:rPr>
            </w:pPr>
            <w:r>
              <w:rPr>
                <w:rFonts w:hint="eastAsia" w:ascii="宋体" w:hAnsi="宋体" w:cs="宋体"/>
                <w:color w:val="auto"/>
                <w:szCs w:val="21"/>
              </w:rPr>
              <w:t>文献信息服务系统</w:t>
            </w:r>
          </w:p>
        </w:tc>
        <w:tc>
          <w:tcPr>
            <w:tcW w:w="7104" w:type="dxa"/>
            <w:tcBorders>
              <w:top w:val="single" w:color="000000" w:sz="4" w:space="0"/>
              <w:left w:val="single" w:color="000000" w:sz="4" w:space="0"/>
              <w:bottom w:val="single" w:color="000000" w:sz="4" w:space="0"/>
              <w:right w:val="single" w:color="000000" w:sz="4" w:space="0"/>
            </w:tcBorders>
            <w:noWrap w:val="0"/>
            <w:vAlign w:val="center"/>
          </w:tcPr>
          <w:p w14:paraId="6A9BB304">
            <w:pPr>
              <w:jc w:val="left"/>
              <w:rPr>
                <w:rFonts w:hint="eastAsia" w:ascii="宋体" w:hAnsi="宋体" w:cs="宋体"/>
                <w:color w:val="auto"/>
                <w:szCs w:val="21"/>
              </w:rPr>
            </w:pPr>
            <w:r>
              <w:rPr>
                <w:rFonts w:hint="eastAsia" w:ascii="宋体" w:hAnsi="宋体" w:cs="宋体"/>
                <w:color w:val="auto"/>
                <w:szCs w:val="21"/>
              </w:rPr>
              <w:t>1.服务对象：文献信息服务系统。</w:t>
            </w:r>
          </w:p>
          <w:p w14:paraId="2DEB9945">
            <w:pPr>
              <w:jc w:val="left"/>
              <w:rPr>
                <w:rFonts w:hint="eastAsia" w:ascii="宋体" w:hAnsi="宋体" w:cs="宋体"/>
                <w:color w:val="auto"/>
                <w:szCs w:val="21"/>
              </w:rPr>
            </w:pPr>
            <w:r>
              <w:rPr>
                <w:rFonts w:hint="eastAsia" w:ascii="宋体" w:hAnsi="宋体" w:cs="宋体"/>
                <w:color w:val="auto"/>
                <w:szCs w:val="21"/>
              </w:rPr>
              <w:t>2.维保内容：</w:t>
            </w:r>
          </w:p>
          <w:p w14:paraId="28B4BFE5">
            <w:pPr>
              <w:jc w:val="left"/>
              <w:rPr>
                <w:rFonts w:hint="eastAsia" w:ascii="宋体" w:hAnsi="宋体" w:cs="宋体"/>
                <w:color w:val="auto"/>
                <w:szCs w:val="21"/>
              </w:rPr>
            </w:pPr>
            <w:r>
              <w:rPr>
                <w:rFonts w:hint="eastAsia" w:ascii="宋体" w:hAnsi="宋体" w:cs="宋体"/>
                <w:color w:val="auto"/>
                <w:szCs w:val="21"/>
              </w:rPr>
              <w:t>1）、在正常工作日内，提供网上的技术支特(电子邮件、web 发布、远程桌面，QQ、TEAMVIEWER、 XT800 等各种网络远程交流工具）和电话咨询服务。</w:t>
            </w:r>
          </w:p>
          <w:p w14:paraId="2C207893">
            <w:pPr>
              <w:jc w:val="left"/>
              <w:rPr>
                <w:rFonts w:hint="eastAsia" w:ascii="宋体" w:hAnsi="宋体" w:cs="宋体"/>
                <w:color w:val="auto"/>
                <w:szCs w:val="21"/>
              </w:rPr>
            </w:pPr>
            <w:r>
              <w:rPr>
                <w:rFonts w:hint="eastAsia" w:ascii="宋体" w:hAnsi="宋体" w:cs="宋体"/>
                <w:color w:val="auto"/>
                <w:szCs w:val="21"/>
              </w:rPr>
              <w:t>2）、因乙方产品本身的原因道成甲方系统出现技术问题时，乙方接报后及时解决；无法解决时，派技术人员现场解决，最晚不超过3天。</w:t>
            </w:r>
          </w:p>
          <w:p w14:paraId="6695662B">
            <w:pPr>
              <w:jc w:val="left"/>
              <w:rPr>
                <w:rFonts w:hint="eastAsia" w:ascii="宋体" w:hAnsi="宋体" w:cs="宋体"/>
                <w:color w:val="auto"/>
                <w:szCs w:val="21"/>
              </w:rPr>
            </w:pPr>
            <w:r>
              <w:rPr>
                <w:rFonts w:hint="eastAsia" w:ascii="宋体" w:hAnsi="宋体" w:cs="宋体"/>
                <w:color w:val="auto"/>
                <w:szCs w:val="21"/>
              </w:rPr>
              <w:t>3）、在正常工作日内，根据甲方要求提供网上远程管理和维护。</w:t>
            </w:r>
          </w:p>
          <w:p w14:paraId="356A45FC">
            <w:pPr>
              <w:jc w:val="left"/>
              <w:rPr>
                <w:rFonts w:hint="eastAsia" w:ascii="宋体" w:hAnsi="宋体" w:cs="宋体"/>
                <w:color w:val="auto"/>
                <w:szCs w:val="21"/>
              </w:rPr>
            </w:pPr>
            <w:r>
              <w:rPr>
                <w:rFonts w:hint="eastAsia" w:ascii="宋体" w:hAnsi="宋体" w:cs="宋体"/>
                <w:color w:val="auto"/>
                <w:szCs w:val="21"/>
              </w:rPr>
              <w:t>4）、在系统维护期内，提供产品安全、BUG等问题修复及版本免费升级。</w:t>
            </w:r>
          </w:p>
          <w:p w14:paraId="6781021A">
            <w:pPr>
              <w:jc w:val="left"/>
              <w:rPr>
                <w:rFonts w:hint="eastAsia" w:ascii="宋体" w:hAnsi="宋体" w:cs="宋体"/>
                <w:color w:val="auto"/>
                <w:szCs w:val="21"/>
              </w:rPr>
            </w:pPr>
            <w:r>
              <w:rPr>
                <w:rFonts w:hint="eastAsia" w:ascii="宋体" w:hAnsi="宋体" w:cs="宋体"/>
                <w:color w:val="auto"/>
                <w:szCs w:val="21"/>
              </w:rPr>
              <w:t>5）、服务期内根据甲方实际需要，免费提供相关需求的具体解决方案和咨询服务。</w:t>
            </w:r>
          </w:p>
        </w:tc>
      </w:tr>
    </w:tbl>
    <w:p w14:paraId="489775F2">
      <w:pPr>
        <w:spacing w:line="288" w:lineRule="auto"/>
        <w:ind w:firstLine="420" w:firstLineChars="200"/>
        <w:rPr>
          <w:rFonts w:hint="eastAsia" w:ascii="宋体" w:hAnsi="宋体"/>
          <w:color w:val="auto"/>
          <w:szCs w:val="21"/>
        </w:rPr>
      </w:pPr>
    </w:p>
    <w:p w14:paraId="24BD7AE5">
      <w:pPr>
        <w:spacing w:line="288" w:lineRule="auto"/>
        <w:ind w:firstLine="422" w:firstLineChars="200"/>
        <w:jc w:val="left"/>
        <w:rPr>
          <w:rFonts w:hint="eastAsia" w:ascii="宋体" w:hAnsi="宋体" w:cs="宋体"/>
          <w:b/>
          <w:color w:val="auto"/>
          <w:szCs w:val="21"/>
        </w:rPr>
      </w:pPr>
      <w:r>
        <w:rPr>
          <w:rFonts w:hint="eastAsia" w:ascii="宋体" w:hAnsi="宋体" w:cs="宋体"/>
          <w:b/>
          <w:color w:val="auto"/>
          <w:szCs w:val="21"/>
        </w:rPr>
        <w:t>4.其他要求：</w:t>
      </w:r>
    </w:p>
    <w:p w14:paraId="03B6EBB1">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（1）本项目服务期为自合同签订之日起一年。服务期内供应商应提供以下服务：</w:t>
      </w:r>
    </w:p>
    <w:p w14:paraId="74E8262E">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1）提供维保已过期设备为期一年的原厂续保服务；</w:t>
      </w:r>
    </w:p>
    <w:p w14:paraId="27E4A439">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2）维保期内负责更换所有故障设备或配件，更换设备或配件须为原厂全新件，费用包含在本项目总价中；</w:t>
      </w:r>
    </w:p>
    <w:p w14:paraId="420A3B2B">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2）提供为期一年的巡检服务；</w:t>
      </w:r>
    </w:p>
    <w:p w14:paraId="5B2E6D39">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3）提供为期一年的本地日常故障处理服务；</w:t>
      </w:r>
    </w:p>
    <w:p w14:paraId="5448DC26">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4）提供为期一年的应急保障服务；</w:t>
      </w:r>
    </w:p>
    <w:p w14:paraId="0444BC3A">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5）提供为期一年的人员驻场服务；</w:t>
      </w:r>
    </w:p>
    <w:p w14:paraId="0BF65A81">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6）提供为期一年的重大事件保障服务。</w:t>
      </w:r>
    </w:p>
    <w:p w14:paraId="64971E4F">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（2）上述维保服务计时周期从合同签订之日起开始，若上一期维保仍在服务期，则新维保计时周期从上一期维保结束之日开始。</w:t>
      </w:r>
    </w:p>
    <w:p w14:paraId="36F0DA30">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（3）供应商针对本项目报价须涵盖上述所有软硬件及服务的维保费用，维保期内不得再收取任何其他相关服务费用（含第三方对接或实施费用），直至所有故障硬件或服务修复完成。</w:t>
      </w:r>
    </w:p>
    <w:p w14:paraId="5ABD8260">
      <w:pPr>
        <w:spacing w:line="288" w:lineRule="auto"/>
        <w:ind w:firstLine="420" w:firstLineChars="200"/>
        <w:jc w:val="left"/>
        <w:rPr>
          <w:rFonts w:hint="eastAsia" w:ascii="宋体" w:hAnsi="宋体" w:cs="宋体"/>
          <w:bCs/>
          <w:color w:val="auto"/>
          <w:szCs w:val="21"/>
        </w:rPr>
      </w:pPr>
      <w:r>
        <w:rPr>
          <w:rFonts w:ascii="宋体" w:hAnsi="宋体" w:cs="宋体"/>
          <w:bCs/>
          <w:color w:val="auto"/>
          <w:szCs w:val="21"/>
        </w:rPr>
        <w:t>▲</w:t>
      </w:r>
      <w:r>
        <w:rPr>
          <w:rFonts w:hint="eastAsia" w:ascii="宋体" w:hAnsi="宋体" w:cs="宋体"/>
          <w:bCs/>
          <w:color w:val="auto"/>
          <w:szCs w:val="21"/>
        </w:rPr>
        <w:t>（4）</w:t>
      </w:r>
      <w:r>
        <w:rPr>
          <w:rFonts w:ascii="宋体" w:hAnsi="宋体" w:cs="宋体"/>
          <w:bCs/>
          <w:color w:val="auto"/>
          <w:szCs w:val="21"/>
        </w:rPr>
        <w:t>投标人应承诺中标</w:t>
      </w:r>
      <w:r>
        <w:rPr>
          <w:rFonts w:hint="eastAsia" w:ascii="宋体" w:hAnsi="宋体" w:cs="宋体"/>
          <w:bCs/>
          <w:color w:val="auto"/>
          <w:szCs w:val="21"/>
        </w:rPr>
        <w:t>后</w:t>
      </w:r>
      <w:r>
        <w:rPr>
          <w:rFonts w:ascii="宋体" w:hAnsi="宋体" w:cs="宋体"/>
          <w:bCs/>
          <w:color w:val="auto"/>
          <w:szCs w:val="21"/>
        </w:rPr>
        <w:t>提供设备原厂家签署的质保承诺。</w:t>
      </w:r>
    </w:p>
    <w:p w14:paraId="1C9DF7E7">
      <w:pPr>
        <w:spacing w:line="288" w:lineRule="auto"/>
        <w:ind w:firstLine="422" w:firstLineChars="200"/>
        <w:jc w:val="left"/>
        <w:rPr>
          <w:rFonts w:hint="eastAsia" w:ascii="宋体" w:hAnsi="宋体" w:cs="宋体"/>
          <w:b/>
          <w:color w:val="auto"/>
          <w:szCs w:val="21"/>
        </w:rPr>
      </w:pPr>
      <w:r>
        <w:rPr>
          <w:rFonts w:hint="eastAsia" w:ascii="宋体" w:hAnsi="宋体" w:cs="宋体"/>
          <w:b/>
          <w:color w:val="auto"/>
          <w:szCs w:val="21"/>
        </w:rPr>
        <w:t>5.人员要求：</w:t>
      </w:r>
    </w:p>
    <w:p w14:paraId="0B699243">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1）供应商提供不少于3名驻场维护人员，在采购人提供或指定的地点开展运维工作，负责校园网和数据中心的日常监控、故障处理，并能为各级故障现场处理人员提供支持。在岗期间接受采购人的统一领导和工作安排，遵守采购人相关工作制度和管理制度，执行采购人的考勤制度，工作时间同采购人工作时间一致。</w:t>
      </w:r>
    </w:p>
    <w:p w14:paraId="097E8848">
      <w:pPr>
        <w:spacing w:line="288" w:lineRule="auto"/>
        <w:ind w:firstLine="420" w:firstLineChars="200"/>
        <w:jc w:val="left"/>
        <w:rPr>
          <w:rFonts w:hint="eastAsia" w:ascii="宋体" w:hAnsi="宋体" w:cs="宋体"/>
          <w:bCs/>
          <w:color w:val="auto"/>
          <w:szCs w:val="21"/>
        </w:rPr>
      </w:pPr>
      <w:r>
        <w:rPr>
          <w:rFonts w:hint="eastAsia" w:ascii="宋体" w:hAnsi="宋体" w:cs="宋体"/>
          <w:bCs/>
          <w:color w:val="auto"/>
          <w:szCs w:val="21"/>
        </w:rPr>
        <w:t>（2）驻场人员要求：具备5年以上相关工作经验，有重大项目实施和维护服务能力、熟练判断软硬件故障能力、信息化机房管理能力；其中具备计算机网络、操作系统或虚拟化等工程师证书的驻场人员不少于3名。</w:t>
      </w:r>
      <w:r>
        <w:rPr>
          <w:rFonts w:hint="eastAsia" w:ascii="宋体" w:hAnsi="宋体" w:cs="宋体"/>
          <w:color w:val="auto"/>
          <w:szCs w:val="21"/>
        </w:rPr>
        <w:t>进驻前提供资质证书、简历，须经采购人面试考核，通过后才具有准入资格。工程师须遵守学校运维考评制度，采购人按照学校制度要求，按年度/季度/月度对工程师进行考核，如工作人员出现考核不合格、或因工作不力被用户投诉、或不能胜任工作的，学校有权要求供应商立即更换能胜任工作的其他技术人员；服务期内出现被用户大量投诉、或重大工作失误致使严重影响学校工作、或更换工作人员</w:t>
      </w:r>
      <w:r>
        <w:rPr>
          <w:rFonts w:ascii="宋体" w:hAnsi="宋体" w:cs="宋体"/>
          <w:color w:val="auto"/>
          <w:szCs w:val="21"/>
        </w:rPr>
        <w:t>2</w:t>
      </w:r>
      <w:r>
        <w:rPr>
          <w:rFonts w:hint="eastAsia" w:ascii="宋体" w:hAnsi="宋体" w:cs="宋体"/>
          <w:color w:val="auto"/>
          <w:szCs w:val="21"/>
        </w:rPr>
        <w:t>次以上仍不能胜任工作或考核不合格的，采购人有权终止合同并要求供应商承担采购人损失。</w:t>
      </w:r>
    </w:p>
    <w:p w14:paraId="668834C5">
      <w:pPr>
        <w:spacing w:line="360" w:lineRule="auto"/>
        <w:ind w:firstLine="367" w:firstLineChars="175"/>
        <w:rPr>
          <w:rFonts w:ascii="Times New Roman" w:hAnsi="Times New Roman"/>
          <w:b/>
          <w:color w:val="auto"/>
          <w:sz w:val="28"/>
          <w:szCs w:val="28"/>
        </w:rPr>
      </w:pPr>
      <w:r>
        <w:rPr>
          <w:rFonts w:hint="eastAsia" w:ascii="宋体" w:hAnsi="宋体" w:cs="宋体"/>
          <w:bCs/>
          <w:color w:val="auto"/>
          <w:szCs w:val="21"/>
        </w:rPr>
        <w:t>（3）重要节日、大型会议或其他重要活动期间（两会、国庆、春节等重要时期保障），供应商应根据要求增派工程师现场</w:t>
      </w:r>
      <w:r>
        <w:rPr>
          <w:rFonts w:ascii="宋体" w:hAnsi="宋体" w:cs="宋体"/>
          <w:bCs/>
          <w:color w:val="auto"/>
          <w:szCs w:val="21"/>
        </w:rPr>
        <w:t>24</w:t>
      </w:r>
      <w:r>
        <w:rPr>
          <w:rFonts w:hint="eastAsia" w:ascii="宋体" w:hAnsi="宋体" w:cs="宋体"/>
          <w:bCs/>
          <w:color w:val="auto"/>
          <w:szCs w:val="21"/>
        </w:rPr>
        <w:t>小时值守（费用包含在本项目总价中）。供应商提供重大活动保障和优化服务时，需携带必要的工具和备件，例如测试和分析类仪器仪表、保障所需的备机、备件以及其他必要的设备、工具等。</w:t>
      </w:r>
    </w:p>
    <w:p w14:paraId="1659DF85">
      <w:pPr>
        <w:rPr>
          <w:bCs/>
          <w:color w:val="auto"/>
          <w:sz w:val="24"/>
        </w:rPr>
      </w:pPr>
    </w:p>
    <w:p w14:paraId="5F2F5CD9">
      <w:pPr>
        <w:pStyle w:val="6"/>
        <w:ind w:left="0" w:firstLine="0"/>
        <w:rPr>
          <w:color w:val="auto"/>
        </w:rPr>
      </w:pPr>
      <w:bookmarkStart w:id="392" w:name="_Toc25776"/>
      <w:bookmarkStart w:id="393" w:name="_Toc2185"/>
      <w:r>
        <w:rPr>
          <w:rFonts w:hint="eastAsia"/>
          <w:color w:val="auto"/>
        </w:rPr>
        <w:t>三、商务要求</w:t>
      </w:r>
      <w:bookmarkEnd w:id="392"/>
      <w:bookmarkEnd w:id="393"/>
    </w:p>
    <w:p w14:paraId="4F6F0D59">
      <w:pPr>
        <w:spacing w:line="360" w:lineRule="auto"/>
        <w:ind w:firstLine="420" w:firstLineChars="175"/>
        <w:rPr>
          <w:rFonts w:hint="eastAsia"/>
          <w:color w:val="auto"/>
          <w:sz w:val="24"/>
        </w:rPr>
      </w:pPr>
      <w:r>
        <w:rPr>
          <w:rFonts w:hint="eastAsia"/>
          <w:color w:val="auto"/>
          <w:sz w:val="24"/>
        </w:rPr>
        <w:t>甲方：采购人，乙方：成交供应商</w:t>
      </w:r>
    </w:p>
    <w:p w14:paraId="2437DB1A">
      <w:pPr>
        <w:spacing w:line="360" w:lineRule="auto"/>
        <w:ind w:firstLine="422" w:firstLineChars="175"/>
        <w:rPr>
          <w:rFonts w:hint="eastAsia"/>
          <w:color w:val="auto"/>
          <w:sz w:val="24"/>
        </w:rPr>
      </w:pPr>
      <w:r>
        <w:rPr>
          <w:rFonts w:hint="eastAsia"/>
          <w:b/>
          <w:bCs/>
          <w:color w:val="auto"/>
          <w:sz w:val="24"/>
        </w:rPr>
        <w:t>1、</w:t>
      </w:r>
      <w:r>
        <w:rPr>
          <w:rFonts w:hint="eastAsia" w:hAnsi="宋体" w:cs="宋体"/>
          <w:b/>
          <w:bCs/>
          <w:color w:val="auto"/>
          <w:sz w:val="24"/>
        </w:rPr>
        <w:t>服务期限</w:t>
      </w:r>
      <w:r>
        <w:rPr>
          <w:rFonts w:hint="eastAsia" w:hAnsi="宋体" w:cs="宋体"/>
          <w:color w:val="auto"/>
          <w:sz w:val="24"/>
        </w:rPr>
        <w:t>：合同签订之日1年服务期。</w:t>
      </w:r>
    </w:p>
    <w:p w14:paraId="24D6F043">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r>
        <w:rPr>
          <w:rFonts w:hint="eastAsia"/>
          <w:color w:val="auto"/>
          <w:sz w:val="24"/>
          <w:u w:val="single"/>
        </w:rPr>
        <w:t>杭州电子科技大学下沙校区</w:t>
      </w:r>
    </w:p>
    <w:p w14:paraId="63B4EF03">
      <w:pPr>
        <w:spacing w:line="360" w:lineRule="auto"/>
        <w:ind w:firstLine="424" w:firstLineChars="176"/>
        <w:rPr>
          <w:rFonts w:hint="eastAsia"/>
          <w:color w:val="auto"/>
          <w:sz w:val="24"/>
        </w:rPr>
      </w:pPr>
      <w:r>
        <w:rPr>
          <w:rFonts w:hint="eastAsia"/>
          <w:b/>
          <w:bCs/>
          <w:color w:val="auto"/>
          <w:sz w:val="24"/>
        </w:rPr>
        <w:t>3、付款方式</w:t>
      </w:r>
      <w:r>
        <w:rPr>
          <w:rFonts w:hint="eastAsia"/>
          <w:color w:val="auto"/>
          <w:sz w:val="24"/>
        </w:rPr>
        <w:t>：合同生效以及具备实施条件后</w:t>
      </w:r>
      <w:r>
        <w:rPr>
          <w:rFonts w:hint="eastAsia" w:cs="Calibri"/>
          <w:color w:val="auto"/>
          <w:sz w:val="24"/>
        </w:rPr>
        <w:t>7</w:t>
      </w:r>
      <w:r>
        <w:rPr>
          <w:rFonts w:hint="eastAsia" w:ascii="宋体" w:hAnsi="宋体"/>
          <w:color w:val="auto"/>
          <w:sz w:val="24"/>
        </w:rPr>
        <w:t>个工作日内，且乙方已向甲方提交银行、保险公司等金融机构出具的预付款保函的，甲方向乙方支付合同总价的</w:t>
      </w:r>
      <w:r>
        <w:rPr>
          <w:rFonts w:hint="eastAsia"/>
          <w:color w:val="auto"/>
          <w:sz w:val="24"/>
          <w:u w:val="single"/>
        </w:rPr>
        <w:t>70</w:t>
      </w:r>
      <w:r>
        <w:rPr>
          <w:rFonts w:hint="eastAsia"/>
          <w:color w:val="auto"/>
          <w:sz w:val="24"/>
        </w:rPr>
        <w:t>%</w:t>
      </w:r>
      <w:r>
        <w:rPr>
          <w:rFonts w:hint="eastAsia" w:ascii="宋体" w:hAnsi="宋体"/>
          <w:color w:val="auto"/>
          <w:sz w:val="24"/>
        </w:rPr>
        <w:t>；服务结束，甲方验收合格并收到发票后</w:t>
      </w:r>
      <w:r>
        <w:rPr>
          <w:rFonts w:hint="eastAsia"/>
          <w:color w:val="auto"/>
          <w:sz w:val="24"/>
        </w:rPr>
        <w:t>7</w:t>
      </w:r>
      <w:r>
        <w:rPr>
          <w:rFonts w:hint="eastAsia" w:ascii="宋体" w:hAnsi="宋体"/>
          <w:color w:val="auto"/>
          <w:sz w:val="24"/>
        </w:rPr>
        <w:t>个工作日内，向乙方支付合同总价的</w:t>
      </w:r>
      <w:r>
        <w:rPr>
          <w:rFonts w:hint="eastAsia"/>
          <w:color w:val="auto"/>
          <w:sz w:val="24"/>
          <w:u w:val="single"/>
        </w:rPr>
        <w:t>30</w:t>
      </w:r>
      <w:r>
        <w:rPr>
          <w:rFonts w:hint="eastAsia"/>
          <w:color w:val="auto"/>
          <w:sz w:val="24"/>
        </w:rPr>
        <w:t>%</w:t>
      </w:r>
      <w:r>
        <w:rPr>
          <w:rFonts w:hint="eastAsia" w:ascii="宋体" w:hAnsi="宋体"/>
          <w:color w:val="auto"/>
          <w:sz w:val="24"/>
        </w:rPr>
        <w:t>。</w:t>
      </w:r>
    </w:p>
    <w:p w14:paraId="11BED422">
      <w:pPr>
        <w:pStyle w:val="6"/>
        <w:ind w:left="0" w:firstLine="0"/>
        <w:jc w:val="left"/>
        <w:rPr>
          <w:color w:val="auto"/>
        </w:rPr>
      </w:pPr>
      <w:bookmarkStart w:id="394" w:name="_Toc20414"/>
      <w:bookmarkStart w:id="395" w:name="_Toc28942"/>
      <w:r>
        <w:rPr>
          <w:rFonts w:hint="eastAsia"/>
          <w:color w:val="auto"/>
        </w:rPr>
        <w:t>四、评分标准及合同模版中明确的其它相关要求。</w:t>
      </w:r>
      <w:bookmarkEnd w:id="394"/>
      <w:bookmarkEnd w:id="395"/>
    </w:p>
    <w:p w14:paraId="7FD7ECD4">
      <w:pPr>
        <w:spacing w:line="288" w:lineRule="auto"/>
        <w:jc w:val="left"/>
        <w:rPr>
          <w:rStyle w:val="56"/>
          <w:color w:val="auto"/>
        </w:rPr>
      </w:pPr>
      <w:r>
        <w:rPr>
          <w:rFonts w:hint="eastAsia" w:ascii="宋体" w:hAnsi="宋体" w:cs="宋体"/>
          <w:color w:val="auto"/>
          <w:sz w:val="24"/>
          <w:szCs w:val="24"/>
        </w:rPr>
        <w:br w:type="page"/>
      </w:r>
    </w:p>
    <w:bookmarkEnd w:id="381"/>
    <w:bookmarkEnd w:id="382"/>
    <w:bookmarkEnd w:id="383"/>
    <w:bookmarkEnd w:id="384"/>
    <w:bookmarkEnd w:id="385"/>
    <w:bookmarkEnd w:id="386"/>
    <w:bookmarkEnd w:id="387"/>
    <w:bookmarkEnd w:id="388"/>
    <w:bookmarkEnd w:id="389"/>
    <w:p w14:paraId="3F3D8CAF">
      <w:pPr>
        <w:spacing w:line="360" w:lineRule="auto"/>
        <w:jc w:val="center"/>
        <w:rPr>
          <w:rStyle w:val="56"/>
          <w:b w:val="0"/>
          <w:color w:val="auto"/>
          <w:szCs w:val="22"/>
        </w:rPr>
      </w:pPr>
      <w:bookmarkStart w:id="396" w:name="_Toc12757"/>
      <w:bookmarkStart w:id="397" w:name="_Toc11902"/>
      <w:bookmarkStart w:id="398" w:name="_Toc19846"/>
      <w:bookmarkStart w:id="399" w:name="_Toc25130"/>
      <w:bookmarkStart w:id="400" w:name="_Toc9292"/>
      <w:bookmarkStart w:id="401" w:name="_Toc17361"/>
      <w:bookmarkStart w:id="402" w:name="_Toc8403"/>
      <w:bookmarkStart w:id="403" w:name="_Toc18295"/>
      <w:bookmarkStart w:id="404" w:name="_Toc17732"/>
      <w:bookmarkStart w:id="405" w:name="_Toc28691"/>
      <w:bookmarkStart w:id="406" w:name="_Toc11774"/>
      <w:bookmarkStart w:id="407" w:name="_Toc98"/>
      <w:bookmarkStart w:id="408" w:name="_Toc13623"/>
      <w:bookmarkStart w:id="409" w:name="_Toc18980"/>
      <w:bookmarkStart w:id="410" w:name="_Toc16392"/>
      <w:bookmarkStart w:id="411" w:name="_Toc12327"/>
      <w:bookmarkStart w:id="412" w:name="_Toc3339"/>
      <w:bookmarkStart w:id="413" w:name="_Toc19657"/>
      <w:bookmarkStart w:id="414" w:name="_Toc1851"/>
      <w:bookmarkStart w:id="415" w:name="_Toc26662"/>
      <w:bookmarkStart w:id="416" w:name="_Toc3709"/>
      <w:r>
        <w:rPr>
          <w:rStyle w:val="56"/>
          <w:rFonts w:hint="eastAsia"/>
          <w:b w:val="0"/>
          <w:color w:val="auto"/>
          <w:szCs w:val="22"/>
        </w:rPr>
        <w:t>第四部分 评审办法与评分标准</w:t>
      </w:r>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14:paraId="35429C14">
      <w:pPr>
        <w:pStyle w:val="6"/>
        <w:ind w:left="0" w:firstLine="0"/>
        <w:rPr>
          <w:color w:val="auto"/>
        </w:rPr>
      </w:pPr>
      <w:bookmarkStart w:id="417" w:name="_Toc23242"/>
      <w:bookmarkStart w:id="418" w:name="_Toc29811"/>
      <w:r>
        <w:rPr>
          <w:rFonts w:hint="eastAsia"/>
          <w:color w:val="auto"/>
        </w:rPr>
        <w:t>一、评审方法</w:t>
      </w:r>
      <w:bookmarkEnd w:id="417"/>
      <w:bookmarkEnd w:id="418"/>
    </w:p>
    <w:p w14:paraId="2EE54F56">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630A4DA6">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6EA256D8">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78C5CA5">
      <w:pPr>
        <w:pStyle w:val="6"/>
        <w:ind w:left="0" w:firstLine="0"/>
        <w:rPr>
          <w:bCs/>
          <w:color w:val="auto"/>
          <w:sz w:val="24"/>
          <w:szCs w:val="24"/>
        </w:rPr>
      </w:pPr>
      <w:bookmarkStart w:id="419" w:name="_Toc1855"/>
      <w:bookmarkStart w:id="420" w:name="_Toc15917"/>
      <w:r>
        <w:rPr>
          <w:rFonts w:hint="eastAsia"/>
          <w:bCs/>
          <w:color w:val="auto"/>
          <w:sz w:val="24"/>
          <w:szCs w:val="24"/>
        </w:rPr>
        <w:t>二、评审标准</w:t>
      </w:r>
      <w:bookmarkEnd w:id="419"/>
      <w:bookmarkEnd w:id="420"/>
    </w:p>
    <w:tbl>
      <w:tblPr>
        <w:tblStyle w:val="47"/>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11"/>
      </w:tblGrid>
      <w:tr w14:paraId="3748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053A9C2D">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评审因素</w:t>
            </w:r>
          </w:p>
        </w:tc>
        <w:tc>
          <w:tcPr>
            <w:tcW w:w="654" w:type="dxa"/>
            <w:noWrap w:val="0"/>
            <w:vAlign w:val="center"/>
          </w:tcPr>
          <w:p w14:paraId="163C42D3">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分值</w:t>
            </w:r>
          </w:p>
        </w:tc>
        <w:tc>
          <w:tcPr>
            <w:tcW w:w="7011" w:type="dxa"/>
            <w:noWrap w:val="0"/>
            <w:vAlign w:val="center"/>
          </w:tcPr>
          <w:p w14:paraId="2E23AC53">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评分标准</w:t>
            </w:r>
          </w:p>
        </w:tc>
      </w:tr>
      <w:tr w14:paraId="551CE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432" w:type="dxa"/>
            <w:gridSpan w:val="3"/>
            <w:noWrap w:val="0"/>
            <w:vAlign w:val="center"/>
          </w:tcPr>
          <w:p w14:paraId="29C63620">
            <w:pPr>
              <w:adjustRightInd w:val="0"/>
              <w:snapToGrid w:val="0"/>
              <w:jc w:val="left"/>
              <w:rPr>
                <w:rFonts w:hint="eastAsia" w:ascii="宋体" w:hAnsi="宋体" w:cs="宋体"/>
                <w:b/>
                <w:bCs/>
                <w:color w:val="auto"/>
                <w:szCs w:val="21"/>
              </w:rPr>
            </w:pPr>
            <w:r>
              <w:rPr>
                <w:rFonts w:hint="eastAsia" w:ascii="宋体" w:hAnsi="宋体" w:cs="宋体"/>
                <w:b/>
                <w:bCs/>
                <w:color w:val="auto"/>
                <w:szCs w:val="21"/>
              </w:rPr>
              <w:t>价格分（10）</w:t>
            </w:r>
          </w:p>
        </w:tc>
      </w:tr>
      <w:tr w14:paraId="6E09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64E39740">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最后磋商报价</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B6693D2">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10</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75E62FFD">
            <w:pPr>
              <w:adjustRightInd w:val="0"/>
              <w:snapToGrid w:val="0"/>
              <w:rPr>
                <w:rFonts w:hint="eastAsia" w:ascii="宋体" w:hAnsi="宋体" w:cs="宋体"/>
                <w:color w:val="auto"/>
                <w:szCs w:val="21"/>
              </w:rPr>
            </w:pPr>
            <w:r>
              <w:rPr>
                <w:rFonts w:hint="eastAsia" w:ascii="宋体" w:hAnsi="宋体" w:cs="宋体"/>
                <w:color w:val="auto"/>
                <w:szCs w:val="21"/>
              </w:rPr>
              <w:t>价格分统一采用低价优先法计算，即满足磋商文件要求且最后报价最低的供应商的价格为磋商基准价，其价格分为满分。其他供应商的价格分统一按照下列公式计算：</w:t>
            </w:r>
          </w:p>
          <w:p w14:paraId="4E22C8A5">
            <w:pPr>
              <w:adjustRightInd w:val="0"/>
              <w:snapToGrid w:val="0"/>
              <w:rPr>
                <w:rFonts w:hint="eastAsia" w:ascii="宋体" w:hAnsi="宋体" w:cs="宋体"/>
                <w:color w:val="auto"/>
                <w:szCs w:val="21"/>
              </w:rPr>
            </w:pPr>
            <w:r>
              <w:rPr>
                <w:rFonts w:hint="eastAsia" w:ascii="宋体" w:hAnsi="宋体" w:cs="宋体"/>
                <w:color w:val="auto"/>
                <w:szCs w:val="21"/>
              </w:rPr>
              <w:t>磋商报价得分=（磋商基准价/最后磋商报价）×</w:t>
            </w:r>
            <w:r>
              <w:rPr>
                <w:rFonts w:hint="eastAsia" w:ascii="宋体" w:hAnsi="宋体" w:cs="宋体"/>
                <w:color w:val="auto"/>
                <w:szCs w:val="21"/>
                <w:lang w:val="en-US" w:eastAsia="zh-CN"/>
              </w:rPr>
              <w:t>10</w:t>
            </w:r>
            <w:r>
              <w:rPr>
                <w:rFonts w:hint="eastAsia" w:ascii="宋体" w:hAnsi="宋体" w:cs="宋体"/>
                <w:color w:val="auto"/>
                <w:szCs w:val="21"/>
              </w:rPr>
              <w:t>%×100。</w:t>
            </w:r>
          </w:p>
        </w:tc>
      </w:tr>
      <w:tr w14:paraId="6692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432" w:type="dxa"/>
            <w:gridSpan w:val="3"/>
            <w:noWrap w:val="0"/>
            <w:vAlign w:val="center"/>
          </w:tcPr>
          <w:p w14:paraId="00113A00">
            <w:pPr>
              <w:adjustRightInd w:val="0"/>
              <w:snapToGrid w:val="0"/>
              <w:jc w:val="left"/>
              <w:rPr>
                <w:rFonts w:hint="eastAsia" w:ascii="宋体" w:hAnsi="宋体" w:cs="宋体"/>
                <w:b/>
                <w:bCs/>
                <w:color w:val="auto"/>
                <w:szCs w:val="21"/>
              </w:rPr>
            </w:pPr>
            <w:r>
              <w:rPr>
                <w:rFonts w:hint="eastAsia" w:ascii="宋体" w:hAnsi="宋体" w:cs="宋体"/>
                <w:b/>
                <w:bCs/>
                <w:color w:val="auto"/>
                <w:szCs w:val="21"/>
              </w:rPr>
              <w:t>商务分（</w:t>
            </w:r>
            <w:r>
              <w:rPr>
                <w:rFonts w:hint="eastAsia" w:ascii="宋体" w:hAnsi="宋体" w:cs="宋体"/>
                <w:b/>
                <w:bCs/>
                <w:color w:val="auto"/>
                <w:szCs w:val="21"/>
                <w:lang w:val="en-US" w:eastAsia="zh-CN"/>
              </w:rPr>
              <w:t>5</w:t>
            </w:r>
            <w:r>
              <w:rPr>
                <w:rFonts w:hint="eastAsia" w:ascii="宋体" w:hAnsi="宋体" w:cs="宋体"/>
                <w:b/>
                <w:bCs/>
                <w:color w:val="auto"/>
                <w:szCs w:val="21"/>
              </w:rPr>
              <w:t>）</w:t>
            </w:r>
          </w:p>
        </w:tc>
      </w:tr>
      <w:tr w14:paraId="1354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6064F1E3">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业绩</w:t>
            </w:r>
          </w:p>
        </w:tc>
        <w:tc>
          <w:tcPr>
            <w:tcW w:w="654" w:type="dxa"/>
            <w:noWrap w:val="0"/>
            <w:vAlign w:val="center"/>
          </w:tcPr>
          <w:p w14:paraId="22F16709">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1</w:t>
            </w:r>
          </w:p>
        </w:tc>
        <w:tc>
          <w:tcPr>
            <w:tcW w:w="7011" w:type="dxa"/>
            <w:noWrap w:val="0"/>
            <w:vAlign w:val="center"/>
          </w:tcPr>
          <w:p w14:paraId="7A8C1407">
            <w:pPr>
              <w:adjustRightInd w:val="0"/>
              <w:snapToGrid w:val="0"/>
              <w:rPr>
                <w:rFonts w:hint="eastAsia" w:ascii="宋体" w:hAnsi="宋体" w:cs="宋体"/>
                <w:color w:val="auto"/>
                <w:szCs w:val="21"/>
              </w:rPr>
            </w:pPr>
            <w:r>
              <w:rPr>
                <w:rFonts w:hint="eastAsia" w:ascii="宋体" w:hAnsi="宋体" w:cs="宋体"/>
                <w:color w:val="auto"/>
                <w:szCs w:val="21"/>
              </w:rPr>
              <w:t>【客观分】</w:t>
            </w:r>
          </w:p>
          <w:p w14:paraId="406BEBB1">
            <w:pPr>
              <w:adjustRightInd w:val="0"/>
              <w:snapToGrid w:val="0"/>
              <w:rPr>
                <w:rFonts w:hint="eastAsia" w:ascii="宋体" w:hAnsi="宋体" w:cs="宋体"/>
                <w:color w:val="auto"/>
                <w:szCs w:val="21"/>
              </w:rPr>
            </w:pPr>
            <w:r>
              <w:rPr>
                <w:rFonts w:hint="eastAsia" w:ascii="宋体" w:hAnsi="宋体" w:cs="宋体"/>
                <w:color w:val="auto"/>
                <w:szCs w:val="21"/>
              </w:rPr>
              <w:t>投标人自2021年1月1日以来（以合同签订时间为准）同类合同业绩（以提供的合同扫描件为准）：每提供1份合同业绩得0.5分，最高得1分。</w:t>
            </w:r>
          </w:p>
        </w:tc>
      </w:tr>
      <w:tr w14:paraId="66A19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2D42F265">
            <w:pPr>
              <w:adjustRightInd w:val="0"/>
              <w:snapToGrid w:val="0"/>
              <w:jc w:val="center"/>
              <w:rPr>
                <w:rFonts w:hint="eastAsia" w:ascii="宋体" w:hAnsi="宋体" w:cs="宋体"/>
                <w:b/>
                <w:bCs/>
                <w:color w:val="auto"/>
                <w:szCs w:val="21"/>
              </w:rPr>
            </w:pPr>
            <w:r>
              <w:rPr>
                <w:rStyle w:val="194"/>
                <w:rFonts w:hint="eastAsia" w:ascii="宋体" w:hAnsi="宋体" w:cs="宋体"/>
                <w:b/>
                <w:bCs/>
                <w:color w:val="auto"/>
                <w:szCs w:val="21"/>
              </w:rPr>
              <w:t>认证证书</w:t>
            </w:r>
          </w:p>
        </w:tc>
        <w:tc>
          <w:tcPr>
            <w:tcW w:w="654" w:type="dxa"/>
            <w:noWrap w:val="0"/>
            <w:vAlign w:val="center"/>
          </w:tcPr>
          <w:p w14:paraId="01025900">
            <w:pPr>
              <w:adjustRightInd w:val="0"/>
              <w:snapToGrid w:val="0"/>
              <w:jc w:val="center"/>
              <w:rPr>
                <w:rFonts w:hint="eastAsia" w:ascii="宋体" w:hAnsi="宋体" w:cs="宋体"/>
                <w:b/>
                <w:bCs/>
                <w:color w:val="auto"/>
                <w:szCs w:val="21"/>
              </w:rPr>
            </w:pPr>
            <w:r>
              <w:rPr>
                <w:rFonts w:hint="eastAsia" w:ascii="宋体" w:hAnsi="宋体" w:cs="宋体"/>
                <w:b/>
                <w:bCs/>
                <w:color w:val="auto"/>
                <w:szCs w:val="21"/>
                <w:lang w:val="en-US" w:eastAsia="zh-CN"/>
              </w:rPr>
              <w:t>4</w:t>
            </w:r>
          </w:p>
        </w:tc>
        <w:tc>
          <w:tcPr>
            <w:tcW w:w="7011" w:type="dxa"/>
            <w:noWrap w:val="0"/>
            <w:vAlign w:val="center"/>
          </w:tcPr>
          <w:p w14:paraId="1CB85D83">
            <w:pPr>
              <w:adjustRightInd w:val="0"/>
              <w:snapToGrid w:val="0"/>
              <w:ind w:right="-21" w:rightChars="-10"/>
              <w:rPr>
                <w:rFonts w:hint="eastAsia" w:ascii="宋体" w:hAnsi="宋体" w:cs="宋体"/>
                <w:color w:val="auto"/>
                <w:szCs w:val="21"/>
              </w:rPr>
            </w:pPr>
            <w:r>
              <w:rPr>
                <w:rFonts w:hint="eastAsia" w:ascii="宋体" w:hAnsi="宋体" w:cs="宋体"/>
                <w:color w:val="auto"/>
                <w:szCs w:val="21"/>
              </w:rPr>
              <w:t>【客观分】</w:t>
            </w:r>
          </w:p>
          <w:p w14:paraId="53E45478">
            <w:pPr>
              <w:adjustRightInd w:val="0"/>
              <w:snapToGrid w:val="0"/>
              <w:ind w:right="-21" w:rightChars="-10"/>
              <w:rPr>
                <w:rFonts w:hint="eastAsia" w:ascii="宋体" w:hAnsi="宋体" w:cs="宋体"/>
                <w:color w:val="auto"/>
                <w:szCs w:val="21"/>
              </w:rPr>
            </w:pPr>
            <w:r>
              <w:rPr>
                <w:rFonts w:hint="eastAsia" w:ascii="宋体" w:hAnsi="宋体" w:cs="宋体"/>
                <w:color w:val="auto"/>
                <w:szCs w:val="21"/>
              </w:rPr>
              <w:t>投标人具有有效期内的ISO9001质量管理体系认证证书、ISO14001环境管理体系认证证书、ISO45001职业健康安全管理体系认证证书、ISO27001信息安全管理体系认证证书，每提供1项得1分，最高得</w:t>
            </w:r>
            <w:r>
              <w:rPr>
                <w:rFonts w:hint="eastAsia" w:ascii="宋体" w:hAnsi="宋体" w:cs="宋体"/>
                <w:color w:val="auto"/>
                <w:szCs w:val="21"/>
                <w:lang w:val="en-US" w:eastAsia="zh-CN"/>
              </w:rPr>
              <w:t>4</w:t>
            </w:r>
            <w:r>
              <w:rPr>
                <w:rFonts w:hint="eastAsia" w:ascii="宋体" w:hAnsi="宋体" w:cs="宋体"/>
                <w:color w:val="auto"/>
                <w:szCs w:val="21"/>
              </w:rPr>
              <w:t>分。（提供证书扫描件、国家认证认可监督管理委员会官网（http://www.cnca.gov.cn/）查询截图，不提供不得分）。</w:t>
            </w:r>
          </w:p>
        </w:tc>
      </w:tr>
      <w:tr w14:paraId="3A735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432" w:type="dxa"/>
            <w:gridSpan w:val="3"/>
            <w:noWrap w:val="0"/>
            <w:vAlign w:val="center"/>
          </w:tcPr>
          <w:p w14:paraId="057C9B7D">
            <w:pPr>
              <w:adjustRightInd w:val="0"/>
              <w:snapToGrid w:val="0"/>
              <w:jc w:val="left"/>
              <w:rPr>
                <w:rFonts w:hint="eastAsia" w:ascii="宋体" w:hAnsi="宋体" w:cs="宋体"/>
                <w:b/>
                <w:bCs/>
                <w:color w:val="auto"/>
                <w:szCs w:val="21"/>
              </w:rPr>
            </w:pPr>
            <w:r>
              <w:rPr>
                <w:rFonts w:hint="eastAsia" w:ascii="宋体" w:hAnsi="宋体" w:cs="宋体"/>
                <w:b/>
                <w:bCs/>
                <w:color w:val="auto"/>
                <w:szCs w:val="21"/>
              </w:rPr>
              <w:t>技术分（</w:t>
            </w:r>
            <w:r>
              <w:rPr>
                <w:rFonts w:hint="eastAsia" w:ascii="宋体" w:hAnsi="宋体" w:cs="宋体"/>
                <w:b/>
                <w:bCs/>
                <w:color w:val="auto"/>
                <w:szCs w:val="21"/>
                <w:lang w:val="en-US" w:eastAsia="zh-CN"/>
              </w:rPr>
              <w:t>85</w:t>
            </w:r>
            <w:r>
              <w:rPr>
                <w:rFonts w:hint="eastAsia" w:ascii="宋体" w:hAnsi="宋体" w:cs="宋体"/>
                <w:b/>
                <w:bCs/>
                <w:color w:val="auto"/>
                <w:szCs w:val="21"/>
              </w:rPr>
              <w:t>）</w:t>
            </w:r>
          </w:p>
        </w:tc>
      </w:tr>
      <w:tr w14:paraId="21738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4241126D">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技术响应程度</w:t>
            </w:r>
          </w:p>
        </w:tc>
        <w:tc>
          <w:tcPr>
            <w:tcW w:w="654" w:type="dxa"/>
            <w:noWrap w:val="0"/>
            <w:vAlign w:val="center"/>
          </w:tcPr>
          <w:p w14:paraId="45CB851F">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30</w:t>
            </w:r>
          </w:p>
        </w:tc>
        <w:tc>
          <w:tcPr>
            <w:tcW w:w="7011" w:type="dxa"/>
            <w:noWrap w:val="0"/>
            <w:vAlign w:val="center"/>
          </w:tcPr>
          <w:p w14:paraId="5CE5557D">
            <w:pPr>
              <w:adjustRightInd w:val="0"/>
              <w:snapToGrid w:val="0"/>
              <w:rPr>
                <w:rFonts w:hint="eastAsia" w:ascii="宋体" w:hAnsi="宋体" w:cs="宋体"/>
                <w:color w:val="auto"/>
                <w:szCs w:val="21"/>
              </w:rPr>
            </w:pPr>
            <w:r>
              <w:rPr>
                <w:rFonts w:hint="eastAsia" w:ascii="宋体" w:hAnsi="宋体" w:cs="宋体"/>
                <w:color w:val="auto"/>
                <w:szCs w:val="21"/>
              </w:rPr>
              <w:t>【客观分】</w:t>
            </w:r>
          </w:p>
          <w:p w14:paraId="0699E45F">
            <w:pPr>
              <w:adjustRightInd w:val="0"/>
              <w:snapToGrid w:val="0"/>
              <w:rPr>
                <w:rFonts w:hint="eastAsia" w:ascii="宋体" w:hAnsi="宋体" w:cs="宋体"/>
                <w:color w:val="auto"/>
                <w:szCs w:val="21"/>
              </w:rPr>
            </w:pPr>
            <w:r>
              <w:rPr>
                <w:rFonts w:hint="eastAsia" w:ascii="宋体" w:hAnsi="宋体" w:cs="宋体"/>
                <w:color w:val="auto"/>
                <w:szCs w:val="21"/>
              </w:rPr>
              <w:t>不符合（负偏离）技术要求中标注“▲”条款（不可偏离）的投标无效；</w:t>
            </w:r>
          </w:p>
          <w:p w14:paraId="20C515D0">
            <w:pPr>
              <w:adjustRightInd w:val="0"/>
              <w:snapToGrid w:val="0"/>
              <w:rPr>
                <w:rFonts w:hint="eastAsia" w:ascii="宋体" w:hAnsi="宋体" w:cs="宋体"/>
                <w:color w:val="auto"/>
                <w:szCs w:val="21"/>
              </w:rPr>
            </w:pPr>
            <w:r>
              <w:rPr>
                <w:rFonts w:hint="eastAsia" w:ascii="宋体" w:hAnsi="宋体" w:cs="宋体"/>
                <w:color w:val="auto"/>
                <w:szCs w:val="21"/>
              </w:rPr>
              <w:t>满足招标文件明确的全部技术条款要求的该项得满分；</w:t>
            </w:r>
          </w:p>
          <w:p w14:paraId="0C81F1D1">
            <w:pPr>
              <w:adjustRightInd w:val="0"/>
              <w:snapToGrid w:val="0"/>
              <w:rPr>
                <w:rFonts w:hint="eastAsia" w:ascii="宋体" w:hAnsi="宋体" w:cs="宋体"/>
                <w:color w:val="auto"/>
                <w:szCs w:val="21"/>
              </w:rPr>
            </w:pPr>
            <w:r>
              <w:rPr>
                <w:rFonts w:hint="eastAsia" w:ascii="宋体" w:hAnsi="宋体" w:cs="宋体"/>
                <w:color w:val="auto"/>
                <w:szCs w:val="21"/>
              </w:rPr>
              <w:t>技术条款低于技术要求（负偏离）的每项扣3分；</w:t>
            </w:r>
          </w:p>
          <w:p w14:paraId="727E598C">
            <w:pPr>
              <w:adjustRightInd w:val="0"/>
              <w:snapToGrid w:val="0"/>
              <w:rPr>
                <w:rFonts w:hint="eastAsia" w:ascii="宋体" w:hAnsi="宋体" w:cs="宋体"/>
                <w:color w:val="auto"/>
                <w:szCs w:val="21"/>
              </w:rPr>
            </w:pPr>
            <w:r>
              <w:rPr>
                <w:rFonts w:hint="eastAsia" w:ascii="宋体" w:hAnsi="宋体" w:cs="宋体"/>
                <w:color w:val="auto"/>
                <w:szCs w:val="21"/>
              </w:rPr>
              <w:t>负偏离</w:t>
            </w:r>
            <w:r>
              <w:rPr>
                <w:rFonts w:ascii="宋体" w:hAnsi="宋体" w:cs="宋体"/>
                <w:color w:val="auto"/>
                <w:szCs w:val="21"/>
              </w:rPr>
              <w:t>9</w:t>
            </w:r>
            <w:r>
              <w:rPr>
                <w:rFonts w:hint="eastAsia" w:ascii="宋体" w:hAnsi="宋体" w:cs="宋体"/>
                <w:color w:val="auto"/>
                <w:szCs w:val="21"/>
              </w:rPr>
              <w:t>项及以上的，视为采购人不能接受的附加条件。</w:t>
            </w:r>
          </w:p>
        </w:tc>
      </w:tr>
      <w:tr w14:paraId="1F5E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68C17C98">
            <w:pPr>
              <w:autoSpaceDE w:val="0"/>
              <w:autoSpaceDN w:val="0"/>
              <w:adjustRightInd w:val="0"/>
              <w:snapToGrid w:val="0"/>
              <w:jc w:val="center"/>
              <w:rPr>
                <w:rFonts w:hint="eastAsia" w:ascii="宋体" w:hAnsi="宋体" w:cs="宋体"/>
                <w:b/>
                <w:bCs/>
                <w:color w:val="auto"/>
                <w:kern w:val="0"/>
                <w:szCs w:val="21"/>
              </w:rPr>
            </w:pPr>
            <w:r>
              <w:rPr>
                <w:rFonts w:hint="eastAsia" w:ascii="宋体" w:hAnsi="宋体" w:cs="宋体"/>
                <w:b/>
                <w:bCs/>
                <w:color w:val="auto"/>
                <w:kern w:val="0"/>
                <w:szCs w:val="21"/>
              </w:rPr>
              <w:t>项目理解</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5B636E58">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67FDD93F">
            <w:pPr>
              <w:adjustRightInd w:val="0"/>
              <w:snapToGrid w:val="0"/>
              <w:rPr>
                <w:rFonts w:hint="eastAsia" w:ascii="宋体" w:hAnsi="宋体" w:cs="宋体"/>
                <w:color w:val="auto"/>
                <w:szCs w:val="21"/>
              </w:rPr>
            </w:pPr>
            <w:r>
              <w:rPr>
                <w:rFonts w:hint="eastAsia" w:ascii="宋体" w:hAnsi="宋体" w:cs="宋体"/>
                <w:color w:val="auto"/>
                <w:szCs w:val="21"/>
              </w:rPr>
              <w:t>【主观分】投标人对本项目服务内容的理解程度。包括对维保重点的分析是否深刻，维保难点的针对性处理方案是否切实可行，符合项目特点和实际需要（评分范围：5，4，3，2，1，0）。</w:t>
            </w:r>
          </w:p>
        </w:tc>
      </w:tr>
      <w:tr w14:paraId="47D3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right w:val="single" w:color="auto" w:sz="4" w:space="0"/>
            </w:tcBorders>
            <w:noWrap w:val="0"/>
            <w:vAlign w:val="center"/>
          </w:tcPr>
          <w:p w14:paraId="3E9AB569">
            <w:pPr>
              <w:autoSpaceDE w:val="0"/>
              <w:autoSpaceDN w:val="0"/>
              <w:adjustRightInd w:val="0"/>
              <w:snapToGrid w:val="0"/>
              <w:jc w:val="center"/>
              <w:rPr>
                <w:rFonts w:hint="eastAsia" w:ascii="宋体" w:hAnsi="宋体" w:cs="宋体"/>
                <w:b/>
                <w:bCs/>
                <w:color w:val="auto"/>
                <w:kern w:val="0"/>
                <w:szCs w:val="21"/>
              </w:rPr>
            </w:pPr>
            <w:r>
              <w:rPr>
                <w:rFonts w:hint="eastAsia" w:ascii="宋体" w:hAnsi="宋体" w:cs="宋体"/>
                <w:b/>
                <w:bCs/>
                <w:color w:val="auto"/>
                <w:kern w:val="0"/>
                <w:szCs w:val="21"/>
              </w:rPr>
              <w:t>总体维护方案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00E53FB">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7</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0B00119F">
            <w:pPr>
              <w:widowControl/>
              <w:rPr>
                <w:rFonts w:hint="eastAsia" w:ascii="宋体" w:hAnsi="宋体" w:cs="宋体"/>
                <w:color w:val="auto"/>
                <w:szCs w:val="21"/>
              </w:rPr>
            </w:pPr>
            <w:r>
              <w:rPr>
                <w:rFonts w:hint="eastAsia" w:ascii="宋体" w:hAnsi="宋体" w:cs="宋体"/>
                <w:color w:val="auto"/>
                <w:szCs w:val="21"/>
              </w:rPr>
              <w:t>【主观分】投标人针对本项目提供的总体维护方案，包括服务器、存储、网络及安全设备维保及服务，机房维保及服务，信息系统维保及服务等符合性情况酌情打分（评分范围：7，6，5，4，3，2，1，0）。</w:t>
            </w:r>
          </w:p>
        </w:tc>
      </w:tr>
      <w:tr w14:paraId="1074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1AB97D0F">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组织计划方案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070E8520">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top"/>
          </w:tcPr>
          <w:p w14:paraId="7E483FE6">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【主观分】投标人针对本项目提供的维保组织计划高效有序，时间节点清晰，符合项目特点和实际需要（评分范围：5，4，3，2，1，0）。</w:t>
            </w:r>
          </w:p>
        </w:tc>
      </w:tr>
      <w:tr w14:paraId="78A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682A4CF9">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风险保障方案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5A7DB18C">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top"/>
          </w:tcPr>
          <w:p w14:paraId="2AE9E7FE">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【主观分】投标人针对本项目提供的风险保障方案针对性强，对可能发生的风险做出了全面的分析，并且针对每项风险做出了科学合理的处理措施（评分范围：5，4，3，2，1，0）。</w:t>
            </w:r>
          </w:p>
        </w:tc>
      </w:tr>
      <w:tr w14:paraId="7985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522D48CC">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驻场服务方案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5B7C675D">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3A670604">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提供的驻场服务方案针对性强，对驻场服务时应提供的各项服务有明确的说明，对如何保证驻场人员的服务响应速度及遵守采购人各项制度有详细的措施（评分范围：5，4，3，2，1，0）。</w:t>
            </w:r>
          </w:p>
        </w:tc>
      </w:tr>
      <w:tr w14:paraId="7C32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245F1665">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重点保障方案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51DDAC84">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4C3B25D9">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提供的重点保障服务针对性强，对进行重点保障服务时应提供的各项服务有明确的说明，对如何保证保障人员的服务响应速度及提供各项必要设备有详细的措施（评分范围：5，4，3，2，1，0）。</w:t>
            </w:r>
          </w:p>
        </w:tc>
      </w:tr>
      <w:tr w14:paraId="63AB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noWrap w:val="0"/>
            <w:vAlign w:val="center"/>
          </w:tcPr>
          <w:p w14:paraId="7121ACDF">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拟投入人员</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7F64EB6D">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3</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7743118A">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【主观分】投标人针对本项目拟投入的项目经理情况，包括是否具有高级项目经理或PMP证书，具有同类项目的服务经验，相关履历深厚，服务经验充足（评分范围：3，2，1，0）。</w:t>
            </w:r>
          </w:p>
        </w:tc>
      </w:tr>
      <w:tr w14:paraId="2A51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noWrap w:val="0"/>
            <w:vAlign w:val="center"/>
          </w:tcPr>
          <w:p w14:paraId="29098F34">
            <w:pPr>
              <w:adjustRightInd w:val="0"/>
              <w:snapToGrid w:val="0"/>
              <w:jc w:val="center"/>
              <w:rPr>
                <w:rFonts w:hint="eastAsia" w:ascii="宋体" w:hAnsi="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46912E8D">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3</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08DD74BD">
            <w:pPr>
              <w:adjustRightInd w:val="0"/>
              <w:snapToGrid w:val="0"/>
              <w:rPr>
                <w:rFonts w:hint="eastAsia" w:ascii="宋体" w:hAnsi="宋体" w:cs="宋体"/>
                <w:color w:val="auto"/>
                <w:szCs w:val="21"/>
              </w:rPr>
            </w:pPr>
            <w:r>
              <w:rPr>
                <w:rFonts w:hint="eastAsia" w:ascii="宋体" w:hAnsi="宋体" w:cs="宋体"/>
                <w:color w:val="auto"/>
                <w:szCs w:val="21"/>
              </w:rPr>
              <w:t>【主观分】投标人针对本项目拟投入的其他服务人员情况，包括是否具有具有人社部门颁发与本项目安全设备服务内容相关的专业证书，具有同类项目的服务经验，相关履历深厚，建设经验充足（评分范围：3，2，1，0）。</w:t>
            </w:r>
          </w:p>
        </w:tc>
      </w:tr>
      <w:tr w14:paraId="16A0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left w:val="single" w:color="auto" w:sz="4" w:space="0"/>
              <w:bottom w:val="single" w:color="auto" w:sz="4" w:space="0"/>
              <w:right w:val="single" w:color="auto" w:sz="4" w:space="0"/>
            </w:tcBorders>
            <w:noWrap w:val="0"/>
            <w:vAlign w:val="center"/>
          </w:tcPr>
          <w:p w14:paraId="1DDC51D1">
            <w:pPr>
              <w:adjustRightInd w:val="0"/>
              <w:snapToGrid w:val="0"/>
              <w:jc w:val="center"/>
              <w:rPr>
                <w:rFonts w:hint="eastAsia" w:ascii="宋体" w:hAnsi="宋体" w:cs="宋体"/>
                <w:b/>
                <w:bCs/>
                <w:color w:val="auto"/>
                <w:kern w:val="0"/>
                <w:szCs w:val="21"/>
              </w:rPr>
            </w:pPr>
            <w:r>
              <w:rPr>
                <w:rFonts w:hint="eastAsia" w:ascii="宋体" w:hAnsi="宋体" w:cs="宋体"/>
                <w:b/>
                <w:bCs/>
                <w:color w:val="auto"/>
                <w:kern w:val="0"/>
                <w:szCs w:val="21"/>
              </w:rPr>
              <w:t>保密安全方案</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6DA7A699">
            <w:pPr>
              <w:adjustRightInd w:val="0"/>
              <w:snapToGrid w:val="0"/>
              <w:jc w:val="center"/>
              <w:rPr>
                <w:rFonts w:hint="eastAsia" w:ascii="宋体" w:hAnsi="宋体" w:cs="宋体"/>
                <w:b/>
                <w:bCs/>
                <w:color w:val="auto"/>
                <w:szCs w:val="21"/>
              </w:rPr>
            </w:pPr>
            <w:r>
              <w:rPr>
                <w:rFonts w:hint="eastAsia" w:ascii="宋体" w:hAnsi="宋体" w:cs="宋体"/>
                <w:b/>
                <w:bCs/>
                <w:color w:val="auto"/>
                <w:szCs w:val="21"/>
                <w:lang w:val="en-US" w:eastAsia="zh-CN"/>
              </w:rPr>
              <w:t>4</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5E6035E9">
            <w:pPr>
              <w:adjustRightInd w:val="0"/>
              <w:snapToGrid w:val="0"/>
              <w:rPr>
                <w:rFonts w:hint="eastAsia" w:ascii="宋体" w:hAnsi="宋体" w:cs="宋体"/>
                <w:color w:val="auto"/>
                <w:szCs w:val="21"/>
              </w:rPr>
            </w:pPr>
            <w:r>
              <w:rPr>
                <w:rFonts w:hint="eastAsia" w:ascii="宋体" w:hAnsi="宋体" w:cs="宋体"/>
                <w:color w:val="auto"/>
                <w:szCs w:val="21"/>
              </w:rPr>
              <w:t>【主观分】投标人承诺在提供服务时，对项目敏感信息和重要数据严格遵循保密制度，并提供项目保密安全实施方案，保密安全方案严密、合理（评分范围：</w:t>
            </w:r>
            <w:r>
              <w:rPr>
                <w:rFonts w:hint="eastAsia" w:ascii="宋体" w:hAnsi="宋体" w:cs="宋体"/>
                <w:color w:val="auto"/>
                <w:szCs w:val="21"/>
                <w:lang w:val="en-US" w:eastAsia="zh-CN"/>
              </w:rPr>
              <w:t>4，</w:t>
            </w:r>
            <w:r>
              <w:rPr>
                <w:rFonts w:hint="eastAsia" w:ascii="宋体" w:hAnsi="宋体" w:cs="宋体"/>
                <w:color w:val="auto"/>
                <w:szCs w:val="21"/>
              </w:rPr>
              <w:t>3，2，1，0）。</w:t>
            </w:r>
          </w:p>
        </w:tc>
      </w:tr>
      <w:tr w14:paraId="031A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tcBorders>
              <w:left w:val="single" w:color="auto" w:sz="4" w:space="0"/>
              <w:bottom w:val="single" w:color="auto" w:sz="4" w:space="0"/>
              <w:right w:val="single" w:color="auto" w:sz="4" w:space="0"/>
            </w:tcBorders>
            <w:noWrap w:val="0"/>
            <w:vAlign w:val="center"/>
          </w:tcPr>
          <w:p w14:paraId="03C5EE33">
            <w:pPr>
              <w:adjustRightInd w:val="0"/>
              <w:snapToGrid w:val="0"/>
              <w:jc w:val="center"/>
              <w:rPr>
                <w:rFonts w:hint="eastAsia" w:ascii="宋体" w:hAnsi="宋体" w:cs="宋体"/>
                <w:b/>
                <w:bCs/>
                <w:color w:val="auto"/>
                <w:szCs w:val="21"/>
              </w:rPr>
            </w:pPr>
            <w:r>
              <w:rPr>
                <w:rFonts w:hint="eastAsia" w:ascii="宋体" w:hAnsi="宋体" w:cs="宋体"/>
                <w:b/>
                <w:bCs/>
                <w:color w:val="auto"/>
                <w:kern w:val="0"/>
                <w:szCs w:val="21"/>
              </w:rPr>
              <w:t>合理化建议</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60AD801C">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tcBorders>
              <w:top w:val="single" w:color="auto" w:sz="4" w:space="0"/>
              <w:left w:val="single" w:color="auto" w:sz="4" w:space="0"/>
              <w:bottom w:val="single" w:color="auto" w:sz="4" w:space="0"/>
              <w:right w:val="single" w:color="auto" w:sz="4" w:space="0"/>
            </w:tcBorders>
            <w:noWrap w:val="0"/>
            <w:vAlign w:val="center"/>
          </w:tcPr>
          <w:p w14:paraId="0838307A">
            <w:pPr>
              <w:adjustRightInd w:val="0"/>
              <w:snapToGrid w:val="0"/>
              <w:rPr>
                <w:rFonts w:hint="eastAsia" w:ascii="宋体" w:hAnsi="宋体" w:cs="宋体"/>
                <w:color w:val="auto"/>
                <w:szCs w:val="21"/>
              </w:rPr>
            </w:pPr>
            <w:r>
              <w:rPr>
                <w:rFonts w:hint="eastAsia" w:ascii="宋体" w:hAnsi="宋体" w:cs="宋体"/>
                <w:color w:val="auto"/>
                <w:szCs w:val="21"/>
              </w:rPr>
              <w:t>【主观分】</w:t>
            </w:r>
            <w:r>
              <w:rPr>
                <w:rFonts w:hint="eastAsia" w:ascii="宋体" w:hAnsi="宋体" w:cs="宋体"/>
                <w:color w:val="auto"/>
                <w:kern w:val="0"/>
                <w:szCs w:val="21"/>
              </w:rPr>
              <w:t>投标人针对本项目提出的实质性建议和改进措施，建议内容建设性强，有助于项目进行</w:t>
            </w:r>
            <w:r>
              <w:rPr>
                <w:rFonts w:hint="eastAsia" w:ascii="宋体" w:hAnsi="宋体" w:cs="宋体"/>
                <w:color w:val="auto"/>
                <w:szCs w:val="21"/>
              </w:rPr>
              <w:t>（评分范围：5，4，3，2，1，0）。</w:t>
            </w:r>
          </w:p>
        </w:tc>
      </w:tr>
      <w:tr w14:paraId="653B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53EF49F8">
            <w:pPr>
              <w:adjustRightInd w:val="0"/>
              <w:snapToGrid w:val="0"/>
              <w:jc w:val="center"/>
              <w:rPr>
                <w:rFonts w:hint="eastAsia" w:ascii="宋体" w:hAnsi="宋体" w:cs="宋体"/>
                <w:b/>
                <w:bCs/>
                <w:color w:val="auto"/>
                <w:szCs w:val="21"/>
              </w:rPr>
            </w:pPr>
            <w:r>
              <w:rPr>
                <w:rStyle w:val="194"/>
                <w:rFonts w:hint="eastAsia" w:ascii="宋体" w:hAnsi="宋体" w:cs="宋体"/>
                <w:b/>
                <w:bCs/>
                <w:color w:val="auto"/>
                <w:szCs w:val="21"/>
              </w:rPr>
              <w:t>突发情况应急预案</w:t>
            </w:r>
          </w:p>
        </w:tc>
        <w:tc>
          <w:tcPr>
            <w:tcW w:w="654" w:type="dxa"/>
            <w:noWrap w:val="0"/>
            <w:vAlign w:val="center"/>
          </w:tcPr>
          <w:p w14:paraId="6010A043">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5</w:t>
            </w:r>
          </w:p>
        </w:tc>
        <w:tc>
          <w:tcPr>
            <w:tcW w:w="7011" w:type="dxa"/>
            <w:noWrap w:val="0"/>
            <w:vAlign w:val="center"/>
          </w:tcPr>
          <w:p w14:paraId="2BC283D1">
            <w:pPr>
              <w:adjustRightInd w:val="0"/>
              <w:snapToGrid w:val="0"/>
              <w:rPr>
                <w:rFonts w:hint="eastAsia" w:ascii="宋体" w:hAnsi="宋体" w:cs="宋体"/>
                <w:color w:val="auto"/>
                <w:szCs w:val="21"/>
              </w:rPr>
            </w:pPr>
            <w:r>
              <w:rPr>
                <w:rFonts w:hint="eastAsia" w:ascii="宋体" w:hAnsi="宋体" w:cs="宋体"/>
                <w:color w:val="auto"/>
                <w:szCs w:val="21"/>
              </w:rPr>
              <w:t>【主观分】根据投标人提供的突发情况应急预案的合理性、可行性、响应程度等进行评分（评分范围：5，4，3，2，1，0）。</w:t>
            </w:r>
          </w:p>
        </w:tc>
      </w:tr>
      <w:tr w14:paraId="1961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767" w:type="dxa"/>
            <w:noWrap w:val="0"/>
            <w:vAlign w:val="center"/>
          </w:tcPr>
          <w:p w14:paraId="3308BE74">
            <w:pPr>
              <w:adjustRightInd w:val="0"/>
              <w:snapToGrid w:val="0"/>
              <w:jc w:val="center"/>
              <w:rPr>
                <w:rFonts w:hint="eastAsia" w:ascii="宋体" w:hAnsi="宋体" w:cs="宋体"/>
                <w:b/>
                <w:bCs/>
                <w:color w:val="auto"/>
                <w:szCs w:val="21"/>
              </w:rPr>
            </w:pPr>
            <w:r>
              <w:rPr>
                <w:rStyle w:val="194"/>
                <w:rFonts w:hint="eastAsia" w:ascii="宋体" w:hAnsi="宋体" w:cs="宋体"/>
                <w:b/>
                <w:bCs/>
                <w:color w:val="auto"/>
                <w:szCs w:val="21"/>
              </w:rPr>
              <w:t>培训计划</w:t>
            </w:r>
          </w:p>
        </w:tc>
        <w:tc>
          <w:tcPr>
            <w:tcW w:w="654" w:type="dxa"/>
            <w:noWrap w:val="0"/>
            <w:vAlign w:val="center"/>
          </w:tcPr>
          <w:p w14:paraId="686204D7">
            <w:pPr>
              <w:adjustRightInd w:val="0"/>
              <w:snapToGrid w:val="0"/>
              <w:jc w:val="center"/>
              <w:rPr>
                <w:rFonts w:hint="eastAsia" w:ascii="宋体" w:hAnsi="宋体" w:cs="宋体"/>
                <w:b/>
                <w:bCs/>
                <w:color w:val="auto"/>
                <w:szCs w:val="21"/>
              </w:rPr>
            </w:pPr>
            <w:r>
              <w:rPr>
                <w:rFonts w:hint="eastAsia" w:ascii="宋体" w:hAnsi="宋体" w:cs="宋体"/>
                <w:b/>
                <w:bCs/>
                <w:color w:val="auto"/>
                <w:szCs w:val="21"/>
              </w:rPr>
              <w:t>3</w:t>
            </w:r>
          </w:p>
        </w:tc>
        <w:tc>
          <w:tcPr>
            <w:tcW w:w="7011" w:type="dxa"/>
            <w:noWrap w:val="0"/>
            <w:vAlign w:val="center"/>
          </w:tcPr>
          <w:p w14:paraId="4756DB19">
            <w:pPr>
              <w:adjustRightInd w:val="0"/>
              <w:snapToGrid w:val="0"/>
              <w:rPr>
                <w:rFonts w:hint="eastAsia" w:ascii="宋体" w:hAnsi="宋体" w:cs="宋体"/>
                <w:color w:val="auto"/>
                <w:szCs w:val="21"/>
              </w:rPr>
            </w:pPr>
            <w:r>
              <w:rPr>
                <w:rFonts w:hint="eastAsia" w:ascii="宋体" w:hAnsi="宋体" w:cs="宋体"/>
                <w:color w:val="auto"/>
                <w:szCs w:val="21"/>
              </w:rPr>
              <w:t>【主观分】根据投标人提供的培训计划内容的合理性、详细程度，培训范围，实施计划的针对性等纬度进行综合打分（评分范围：3，2，1，0））。</w:t>
            </w:r>
          </w:p>
        </w:tc>
      </w:tr>
    </w:tbl>
    <w:p w14:paraId="7476FF4D">
      <w:pPr>
        <w:pStyle w:val="22"/>
        <w:spacing w:before="120" w:beforeLines="50" w:line="288" w:lineRule="auto"/>
        <w:ind w:firstLine="369" w:firstLineChars="175"/>
        <w:rPr>
          <w:rFonts w:ascii="宋体" w:hAnsi="宋体"/>
          <w:b/>
          <w:color w:val="auto"/>
          <w:sz w:val="24"/>
          <w:szCs w:val="24"/>
        </w:rPr>
      </w:pPr>
      <w:r>
        <w:rPr>
          <w:rFonts w:hint="eastAsia"/>
          <w:b/>
          <w:color w:val="auto"/>
          <w:sz w:val="21"/>
          <w:szCs w:val="21"/>
        </w:rPr>
        <w:t>注：评分标准中涉及的证书、业绩、资质、证明等所有材料须提供相应原件备查（清晰可辨的原件电子彩照视同原件，评审小组需要时提供，不需要则不需提供），不能提供原件的视同未提供相应的材料。</w:t>
      </w:r>
      <w:bookmarkStart w:id="421" w:name="_Toc1372"/>
      <w:bookmarkStart w:id="422" w:name="_Toc22598"/>
      <w:bookmarkStart w:id="423" w:name="_Toc20757"/>
      <w:bookmarkStart w:id="424" w:name="_Toc25244"/>
      <w:bookmarkStart w:id="425" w:name="_Toc24145"/>
      <w:bookmarkStart w:id="426" w:name="_Toc10701"/>
      <w:bookmarkStart w:id="427" w:name="_Toc6434"/>
      <w:r>
        <w:rPr>
          <w:rFonts w:hint="eastAsia" w:ascii="宋体" w:hAnsi="宋体"/>
          <w:b/>
          <w:color w:val="auto"/>
          <w:sz w:val="24"/>
          <w:szCs w:val="24"/>
        </w:rPr>
        <w:br w:type="page"/>
      </w:r>
    </w:p>
    <w:bookmarkEnd w:id="421"/>
    <w:bookmarkEnd w:id="422"/>
    <w:bookmarkEnd w:id="423"/>
    <w:bookmarkEnd w:id="424"/>
    <w:bookmarkEnd w:id="425"/>
    <w:bookmarkEnd w:id="426"/>
    <w:bookmarkEnd w:id="427"/>
    <w:p w14:paraId="5023A7B6">
      <w:pPr>
        <w:spacing w:line="360" w:lineRule="auto"/>
        <w:jc w:val="center"/>
        <w:rPr>
          <w:rStyle w:val="56"/>
          <w:b w:val="0"/>
          <w:color w:val="auto"/>
          <w:szCs w:val="22"/>
        </w:rPr>
      </w:pPr>
      <w:bookmarkStart w:id="428" w:name="_Toc5912"/>
      <w:bookmarkStart w:id="429" w:name="_Toc7720"/>
      <w:bookmarkStart w:id="430" w:name="_Toc11975"/>
      <w:bookmarkStart w:id="431" w:name="_Toc30909"/>
      <w:bookmarkStart w:id="432" w:name="_Toc1936"/>
      <w:bookmarkStart w:id="433" w:name="_Toc2437"/>
      <w:bookmarkStart w:id="434" w:name="_Toc10743"/>
      <w:bookmarkStart w:id="435" w:name="_Toc20227"/>
      <w:bookmarkStart w:id="436" w:name="_Toc12648"/>
      <w:bookmarkStart w:id="437" w:name="_Toc4173"/>
      <w:bookmarkStart w:id="438" w:name="_Toc22186"/>
      <w:bookmarkStart w:id="439" w:name="_Toc29628"/>
      <w:bookmarkStart w:id="440" w:name="_Toc11101"/>
      <w:bookmarkStart w:id="441" w:name="_Toc31149"/>
      <w:bookmarkStart w:id="442" w:name="_Toc10961"/>
      <w:bookmarkStart w:id="443" w:name="_Toc17908"/>
      <w:bookmarkStart w:id="444" w:name="_Toc30074"/>
      <w:bookmarkStart w:id="445" w:name="_Toc27538"/>
      <w:bookmarkStart w:id="446" w:name="_Toc11193"/>
      <w:bookmarkStart w:id="447" w:name="_Toc24073"/>
      <w:bookmarkStart w:id="448" w:name="_Toc32547"/>
      <w:bookmarkStart w:id="449" w:name="_Toc4881"/>
      <w:bookmarkStart w:id="450" w:name="_Toc9271"/>
      <w:bookmarkStart w:id="451" w:name="_Hlk163050796"/>
      <w:bookmarkStart w:id="452" w:name="_Toc11103"/>
      <w:bookmarkStart w:id="453" w:name="_Toc32613"/>
      <w:bookmarkStart w:id="454" w:name="_Toc3727"/>
      <w:bookmarkStart w:id="455" w:name="_Toc11486"/>
      <w:bookmarkStart w:id="456" w:name="_Toc13533"/>
      <w:bookmarkStart w:id="457" w:name="_Toc10262"/>
      <w:bookmarkStart w:id="458" w:name="_Toc24190"/>
      <w:bookmarkStart w:id="459" w:name="_Toc22400"/>
      <w:bookmarkStart w:id="460" w:name="_Toc16244"/>
      <w:bookmarkStart w:id="461" w:name="_Toc2560"/>
      <w:bookmarkStart w:id="462" w:name="_Toc6559"/>
      <w:bookmarkStart w:id="463" w:name="_Toc1047"/>
      <w:bookmarkStart w:id="464" w:name="_Toc1600"/>
      <w:bookmarkStart w:id="465" w:name="_Toc10667"/>
      <w:bookmarkStart w:id="466" w:name="_Toc8338"/>
      <w:bookmarkStart w:id="467" w:name="_Toc26629"/>
      <w:bookmarkStart w:id="468" w:name="_Toc8120"/>
      <w:bookmarkStart w:id="469" w:name="_Toc16795"/>
      <w:bookmarkStart w:id="470" w:name="_Toc18610"/>
      <w:bookmarkStart w:id="471" w:name="_Toc22722"/>
      <w:bookmarkStart w:id="472" w:name="_Toc12834"/>
      <w:bookmarkStart w:id="473" w:name="_Toc8356"/>
      <w:bookmarkStart w:id="474" w:name="_Toc3807"/>
      <w:bookmarkStart w:id="475" w:name="_Toc18687"/>
      <w:r>
        <w:rPr>
          <w:rStyle w:val="56"/>
          <w:rFonts w:hint="eastAsia"/>
          <w:b w:val="0"/>
          <w:color w:val="auto"/>
          <w:szCs w:val="22"/>
        </w:rPr>
        <w:t>第五部分 合同基本条款</w:t>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14:paraId="6CD9DF76">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51"/>
    </w:p>
    <w:p w14:paraId="4A559915">
      <w:pPr>
        <w:spacing w:line="360" w:lineRule="auto"/>
        <w:ind w:firstLine="562" w:firstLineChars="200"/>
        <w:jc w:val="center"/>
        <w:rPr>
          <w:color w:val="auto"/>
        </w:rPr>
      </w:pPr>
      <w:r>
        <w:rPr>
          <w:rFonts w:hint="eastAsia"/>
          <w:b/>
          <w:bCs/>
          <w:color w:val="auto"/>
          <w:sz w:val="28"/>
          <w:szCs w:val="28"/>
        </w:rPr>
        <w:t>杭州电子科技大学采购合同（服务类）</w:t>
      </w:r>
    </w:p>
    <w:p w14:paraId="74F1EB14">
      <w:pPr>
        <w:spacing w:line="312" w:lineRule="auto"/>
        <w:ind w:firstLine="420" w:firstLineChars="200"/>
        <w:jc w:val="right"/>
        <w:rPr>
          <w:b/>
          <w:bCs/>
          <w:color w:val="auto"/>
        </w:rPr>
      </w:pPr>
      <w:r>
        <w:rPr>
          <w:rFonts w:hint="eastAsia"/>
          <w:color w:val="auto"/>
        </w:rPr>
        <w:t>合同编号</w:t>
      </w:r>
      <w:r>
        <w:rPr>
          <w:color w:val="auto"/>
        </w:rPr>
        <w:t>_________________</w:t>
      </w:r>
    </w:p>
    <w:p w14:paraId="223398DC">
      <w:pPr>
        <w:spacing w:line="312" w:lineRule="auto"/>
        <w:ind w:firstLine="420" w:firstLineChars="200"/>
        <w:rPr>
          <w:color w:val="auto"/>
        </w:rPr>
      </w:pPr>
      <w:r>
        <w:rPr>
          <w:rFonts w:hint="eastAsia"/>
          <w:color w:val="auto"/>
        </w:rPr>
        <w:t>甲方（采购人）：杭州电子科技大学</w:t>
      </w:r>
      <w:r>
        <w:rPr>
          <w:color w:val="auto"/>
        </w:rPr>
        <w:t xml:space="preserve">  </w:t>
      </w:r>
    </w:p>
    <w:p w14:paraId="71D3CD55">
      <w:pPr>
        <w:spacing w:line="312" w:lineRule="auto"/>
        <w:ind w:firstLine="420" w:firstLineChars="200"/>
        <w:rPr>
          <w:color w:val="auto"/>
        </w:rPr>
      </w:pPr>
      <w:r>
        <w:rPr>
          <w:rFonts w:hint="eastAsia"/>
          <w:color w:val="auto"/>
        </w:rPr>
        <w:t>乙方（供应商）：</w:t>
      </w:r>
      <w:r>
        <w:rPr>
          <w:color w:val="auto"/>
        </w:rPr>
        <w:t xml:space="preserve">                  </w:t>
      </w:r>
    </w:p>
    <w:p w14:paraId="0DA203F9">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05E2DFC3">
      <w:pPr>
        <w:spacing w:line="312" w:lineRule="auto"/>
        <w:ind w:firstLine="426" w:firstLineChars="202"/>
        <w:rPr>
          <w:b/>
          <w:bCs/>
          <w:color w:val="auto"/>
          <w:szCs w:val="21"/>
        </w:rPr>
      </w:pPr>
      <w:r>
        <w:rPr>
          <w:rFonts w:hint="eastAsia"/>
          <w:b/>
          <w:bCs/>
          <w:color w:val="auto"/>
          <w:szCs w:val="21"/>
        </w:rPr>
        <w:t>一、采购服务内容及合同价格</w:t>
      </w:r>
    </w:p>
    <w:tbl>
      <w:tblPr>
        <w:tblStyle w:val="4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5A47E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10BB2E97">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0C94E9E8">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67B0896A">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37D7209C">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001C4E7C">
            <w:pPr>
              <w:spacing w:line="312" w:lineRule="auto"/>
              <w:ind w:firstLine="420" w:firstLineChars="200"/>
              <w:rPr>
                <w:color w:val="auto"/>
              </w:rPr>
            </w:pPr>
            <w:r>
              <w:rPr>
                <w:rFonts w:hint="eastAsia"/>
                <w:color w:val="auto"/>
              </w:rPr>
              <w:t>服务费用</w:t>
            </w:r>
          </w:p>
        </w:tc>
      </w:tr>
      <w:tr w14:paraId="44DB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B8E147E">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6D2D5ED6">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2825C874">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2862C9B1">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340F58FA">
            <w:pPr>
              <w:spacing w:line="312" w:lineRule="auto"/>
              <w:ind w:firstLine="420" w:firstLineChars="200"/>
              <w:rPr>
                <w:color w:val="auto"/>
              </w:rPr>
            </w:pPr>
          </w:p>
        </w:tc>
      </w:tr>
      <w:tr w14:paraId="000F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2790B5BF">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0F2B39BD">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6B603D3F">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6280FF20">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40367B03">
            <w:pPr>
              <w:spacing w:line="312" w:lineRule="auto"/>
              <w:ind w:firstLine="420" w:firstLineChars="200"/>
              <w:rPr>
                <w:color w:val="auto"/>
              </w:rPr>
            </w:pPr>
          </w:p>
        </w:tc>
      </w:tr>
      <w:tr w14:paraId="0558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2397635E">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6078F01B">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FD6F26A">
      <w:pPr>
        <w:spacing w:line="312" w:lineRule="auto"/>
        <w:ind w:firstLine="422" w:firstLineChars="200"/>
        <w:rPr>
          <w:b/>
          <w:bCs/>
          <w:color w:val="auto"/>
        </w:rPr>
      </w:pPr>
      <w:r>
        <w:rPr>
          <w:rFonts w:hint="eastAsia"/>
          <w:b/>
          <w:bCs/>
          <w:color w:val="auto"/>
        </w:rPr>
        <w:t>二、服务内容与要求</w:t>
      </w:r>
    </w:p>
    <w:p w14:paraId="3CFD3632">
      <w:pPr>
        <w:spacing w:line="312" w:lineRule="auto"/>
        <w:ind w:firstLine="420" w:firstLineChars="200"/>
        <w:rPr>
          <w:color w:val="auto"/>
        </w:rPr>
      </w:pPr>
      <w:r>
        <w:rPr>
          <w:rFonts w:hint="eastAsia"/>
          <w:color w:val="auto"/>
        </w:rPr>
        <w:t>（按采购文件及采购结果填写）</w:t>
      </w:r>
    </w:p>
    <w:p w14:paraId="666A32D1">
      <w:pPr>
        <w:spacing w:line="312" w:lineRule="auto"/>
        <w:ind w:firstLine="422" w:firstLineChars="200"/>
        <w:rPr>
          <w:b/>
          <w:bCs/>
          <w:color w:val="auto"/>
        </w:rPr>
      </w:pPr>
      <w:r>
        <w:rPr>
          <w:rFonts w:hint="eastAsia"/>
          <w:b/>
          <w:bCs/>
          <w:color w:val="auto"/>
        </w:rPr>
        <w:t>三、服务期限与地点</w:t>
      </w:r>
    </w:p>
    <w:p w14:paraId="111E23DB">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4D234136">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5374E64B">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6D11BEE2">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73901289">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7072BCEC">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238C22E9">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385F71A7">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5E7C5D2">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5B8960C9">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15B1EBF9">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281FFB79">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59184DDC">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0353ABCF">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1BB8C196">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7B048E56">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37E5F69F">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63245935">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59EA7077">
      <w:pPr>
        <w:spacing w:line="312" w:lineRule="auto"/>
        <w:ind w:firstLine="420" w:firstLineChars="200"/>
        <w:rPr>
          <w:color w:val="auto"/>
        </w:rPr>
      </w:pPr>
      <w:r>
        <w:rPr>
          <w:rFonts w:hint="eastAsia"/>
          <w:color w:val="auto"/>
        </w:rPr>
        <w:t>开票信息如下：</w:t>
      </w:r>
    </w:p>
    <w:p w14:paraId="2EF57053">
      <w:pPr>
        <w:spacing w:line="312" w:lineRule="auto"/>
        <w:ind w:firstLine="420" w:firstLineChars="200"/>
        <w:rPr>
          <w:color w:val="auto"/>
        </w:rPr>
      </w:pPr>
      <w:r>
        <w:rPr>
          <w:rFonts w:hint="eastAsia"/>
          <w:color w:val="auto"/>
        </w:rPr>
        <w:t>单位名称：杭州电子科技大学。税号：</w:t>
      </w:r>
      <w:r>
        <w:rPr>
          <w:color w:val="auto"/>
        </w:rPr>
        <w:t>12330000470009026T</w:t>
      </w:r>
    </w:p>
    <w:p w14:paraId="3A202E10">
      <w:pPr>
        <w:spacing w:line="312" w:lineRule="auto"/>
        <w:ind w:firstLine="420" w:firstLineChars="200"/>
        <w:rPr>
          <w:color w:val="auto"/>
        </w:rPr>
      </w:pPr>
      <w:r>
        <w:rPr>
          <w:rFonts w:hint="eastAsia"/>
          <w:color w:val="auto"/>
        </w:rPr>
        <w:t>开户银行：工行杭州高新支行。账号：</w:t>
      </w:r>
      <w:r>
        <w:rPr>
          <w:color w:val="auto"/>
        </w:rPr>
        <w:t>1202026209008806216</w:t>
      </w:r>
    </w:p>
    <w:p w14:paraId="017E37F3">
      <w:pPr>
        <w:spacing w:line="312" w:lineRule="auto"/>
        <w:ind w:firstLine="422" w:firstLineChars="200"/>
        <w:rPr>
          <w:b/>
          <w:bCs/>
          <w:color w:val="auto"/>
        </w:rPr>
      </w:pPr>
      <w:r>
        <w:rPr>
          <w:rFonts w:hint="eastAsia"/>
          <w:b/>
          <w:bCs/>
          <w:color w:val="auto"/>
        </w:rPr>
        <w:t>五、双方权利与义务：</w:t>
      </w:r>
    </w:p>
    <w:p w14:paraId="50D598D8">
      <w:pPr>
        <w:spacing w:line="312" w:lineRule="auto"/>
        <w:ind w:firstLine="420" w:firstLineChars="200"/>
        <w:rPr>
          <w:color w:val="auto"/>
        </w:rPr>
      </w:pPr>
      <w:r>
        <w:rPr>
          <w:rFonts w:hint="eastAsia"/>
          <w:color w:val="auto"/>
        </w:rPr>
        <w:t>（按采购文件及采购结果填写，如有）</w:t>
      </w:r>
    </w:p>
    <w:p w14:paraId="3DC87A96">
      <w:pPr>
        <w:spacing w:line="312" w:lineRule="auto"/>
        <w:ind w:firstLine="422" w:firstLineChars="200"/>
        <w:rPr>
          <w:b/>
          <w:bCs/>
          <w:color w:val="auto"/>
        </w:rPr>
      </w:pPr>
      <w:r>
        <w:rPr>
          <w:rFonts w:hint="eastAsia"/>
          <w:b/>
          <w:bCs/>
          <w:color w:val="auto"/>
        </w:rPr>
        <w:t>六、知识产权要求</w:t>
      </w:r>
    </w:p>
    <w:p w14:paraId="768225D4">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6C7DE7F4">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5E4F32ED">
      <w:pPr>
        <w:spacing w:line="312" w:lineRule="auto"/>
        <w:ind w:firstLine="422" w:firstLineChars="200"/>
        <w:rPr>
          <w:b/>
          <w:bCs/>
          <w:color w:val="auto"/>
        </w:rPr>
      </w:pPr>
      <w:r>
        <w:rPr>
          <w:rFonts w:hint="eastAsia"/>
          <w:b/>
          <w:bCs/>
          <w:color w:val="auto"/>
        </w:rPr>
        <w:t>七、转包或分包</w:t>
      </w:r>
    </w:p>
    <w:p w14:paraId="221A110E">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40220158">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2ED03935">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2822F8B0">
      <w:pPr>
        <w:spacing w:line="312" w:lineRule="auto"/>
        <w:ind w:firstLine="422" w:firstLineChars="200"/>
        <w:rPr>
          <w:b/>
          <w:bCs/>
          <w:color w:val="auto"/>
        </w:rPr>
      </w:pPr>
      <w:bookmarkStart w:id="476" w:name="_Hlk155173514"/>
      <w:r>
        <w:rPr>
          <w:rFonts w:hint="eastAsia"/>
          <w:b/>
          <w:bCs/>
          <w:color w:val="auto"/>
        </w:rPr>
        <w:t>八、</w:t>
      </w:r>
      <w:bookmarkEnd w:id="476"/>
      <w:r>
        <w:rPr>
          <w:rFonts w:hint="eastAsia"/>
          <w:b/>
          <w:bCs/>
          <w:color w:val="auto"/>
        </w:rPr>
        <w:t>验收</w:t>
      </w:r>
    </w:p>
    <w:p w14:paraId="364D09DD">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3F1C7AE6">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68D0D3C0">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bCs/>
          <w:color w:val="auto"/>
          <w:u w:val="single"/>
          <w:lang w:val="en-US" w:eastAsia="zh-CN"/>
        </w:rPr>
        <w:t>30</w:t>
      </w:r>
      <w:r>
        <w:rPr>
          <w:rFonts w:hint="eastAsia" w:ascii="宋体" w:hAnsi="宋体"/>
          <w:b/>
          <w:bCs/>
          <w:color w:val="auto"/>
          <w:u w:val="single"/>
        </w:rPr>
        <w:t xml:space="preserve"> </w:t>
      </w:r>
      <w:r>
        <w:rPr>
          <w:rFonts w:hint="eastAsia"/>
          <w:color w:val="auto"/>
        </w:rPr>
        <w:t>个工作日内开始验收。</w:t>
      </w:r>
    </w:p>
    <w:p w14:paraId="50155F45">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2D27B05">
      <w:pPr>
        <w:spacing w:line="312" w:lineRule="auto"/>
        <w:ind w:firstLine="422" w:firstLineChars="200"/>
        <w:rPr>
          <w:b/>
          <w:bCs/>
          <w:color w:val="auto"/>
        </w:rPr>
      </w:pPr>
      <w:r>
        <w:rPr>
          <w:rFonts w:hint="eastAsia"/>
          <w:b/>
          <w:bCs/>
          <w:color w:val="auto"/>
        </w:rPr>
        <w:t>九、质量保证与售后服务</w:t>
      </w:r>
    </w:p>
    <w:p w14:paraId="48A10307">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11DFB7DC">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42FFE20">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596BB9E9">
      <w:pPr>
        <w:spacing w:line="312" w:lineRule="auto"/>
        <w:ind w:firstLine="422" w:firstLineChars="200"/>
        <w:rPr>
          <w:b/>
          <w:bCs/>
          <w:color w:val="auto"/>
        </w:rPr>
      </w:pPr>
      <w:r>
        <w:rPr>
          <w:rFonts w:hint="eastAsia"/>
          <w:b/>
          <w:bCs/>
          <w:color w:val="auto"/>
        </w:rPr>
        <w:t>十、保密条款</w:t>
      </w:r>
    </w:p>
    <w:p w14:paraId="450CC5B1">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BDBF353">
      <w:pPr>
        <w:spacing w:line="312" w:lineRule="auto"/>
        <w:ind w:firstLine="422" w:firstLineChars="200"/>
        <w:rPr>
          <w:b/>
          <w:bCs/>
          <w:color w:val="auto"/>
        </w:rPr>
      </w:pPr>
      <w:r>
        <w:rPr>
          <w:rFonts w:hint="eastAsia"/>
          <w:b/>
          <w:bCs/>
          <w:color w:val="auto"/>
        </w:rPr>
        <w:t>十一、违约责任</w:t>
      </w:r>
    </w:p>
    <w:p w14:paraId="525BBC2F">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6379D2E8">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3D327C8A">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0C552DE1">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6037538D">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5D2DCCF9">
      <w:pPr>
        <w:spacing w:line="312" w:lineRule="auto"/>
        <w:ind w:firstLine="422" w:firstLineChars="200"/>
        <w:rPr>
          <w:b/>
          <w:bCs/>
          <w:color w:val="auto"/>
        </w:rPr>
      </w:pPr>
      <w:r>
        <w:rPr>
          <w:rFonts w:hint="eastAsia"/>
          <w:b/>
          <w:bCs/>
          <w:color w:val="auto"/>
        </w:rPr>
        <w:t>十二、不可抗力</w:t>
      </w:r>
    </w:p>
    <w:p w14:paraId="241FBC36">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CD56AF1">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1C209F42">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78F92665">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2578CD8B">
      <w:pPr>
        <w:spacing w:line="312" w:lineRule="auto"/>
        <w:ind w:firstLine="422" w:firstLineChars="200"/>
        <w:rPr>
          <w:b/>
          <w:bCs/>
          <w:color w:val="auto"/>
        </w:rPr>
      </w:pPr>
      <w:r>
        <w:rPr>
          <w:rFonts w:hint="eastAsia"/>
          <w:b/>
          <w:bCs/>
          <w:color w:val="auto"/>
        </w:rPr>
        <w:t>十三、法律适用与争议解决</w:t>
      </w:r>
    </w:p>
    <w:p w14:paraId="7DCE64FE">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66A8013A">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68084F8B">
      <w:pPr>
        <w:spacing w:line="312" w:lineRule="auto"/>
        <w:ind w:firstLine="422" w:firstLineChars="200"/>
        <w:rPr>
          <w:b/>
          <w:bCs/>
          <w:color w:val="auto"/>
        </w:rPr>
      </w:pPr>
      <w:r>
        <w:rPr>
          <w:rFonts w:hint="eastAsia"/>
          <w:b/>
          <w:bCs/>
          <w:color w:val="auto"/>
        </w:rPr>
        <w:t>十四、合同生效及其他</w:t>
      </w:r>
    </w:p>
    <w:p w14:paraId="1441187D">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1153699F">
      <w:pPr>
        <w:spacing w:line="312" w:lineRule="auto"/>
        <w:ind w:firstLine="420" w:firstLineChars="200"/>
        <w:rPr>
          <w:color w:val="auto"/>
        </w:rPr>
      </w:pPr>
      <w:r>
        <w:rPr>
          <w:rFonts w:hint="eastAsia" w:ascii="宋体" w:hAnsi="宋体"/>
          <w:color w:val="auto"/>
        </w:rPr>
        <w:t>2.</w:t>
      </w:r>
      <w:bookmarkStart w:id="477"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77"/>
    <w:p w14:paraId="09A72CC5">
      <w:pPr>
        <w:spacing w:line="312" w:lineRule="auto"/>
        <w:ind w:firstLine="396" w:firstLineChars="200"/>
        <w:rPr>
          <w:color w:val="auto"/>
          <w:lang w:val="zh-CN"/>
        </w:rPr>
      </w:pPr>
      <w:bookmarkStart w:id="478" w:name="_Hlk154756502"/>
      <w:r>
        <w:rPr>
          <w:rFonts w:hint="eastAsia" w:ascii="宋体" w:hAnsi="宋体" w:cs="宋体"/>
          <w:color w:val="auto"/>
          <w:spacing w:val="-6"/>
        </w:rPr>
        <w:t>3.</w:t>
      </w:r>
      <w:bookmarkEnd w:id="478"/>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3863CCDD">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144E0A4D">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0514CA8E">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7C2A0DD4">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6A330B3C">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6F9CEB3E">
      <w:pPr>
        <w:spacing w:line="312" w:lineRule="auto"/>
        <w:ind w:firstLine="420" w:firstLineChars="200"/>
        <w:rPr>
          <w:color w:val="auto"/>
        </w:rPr>
      </w:pPr>
      <w:bookmarkStart w:id="479" w:name="_Hlk154756515"/>
      <w:r>
        <w:rPr>
          <w:rFonts w:hint="eastAsia" w:ascii="宋体" w:hAnsi="宋体"/>
          <w:color w:val="auto"/>
        </w:rPr>
        <w:t>4.</w:t>
      </w:r>
      <w:r>
        <w:rPr>
          <w:rFonts w:hint="eastAsia"/>
          <w:color w:val="auto"/>
        </w:rPr>
        <w:t>本合同未尽事宜，遵照《中华人民共和国民法典》有关条文执行。</w:t>
      </w:r>
    </w:p>
    <w:p w14:paraId="5A029604">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79"/>
    <w:p w14:paraId="417E975B">
      <w:pPr>
        <w:spacing w:line="312" w:lineRule="auto"/>
        <w:ind w:firstLine="420" w:firstLineChars="200"/>
        <w:rPr>
          <w:color w:val="auto"/>
        </w:rPr>
      </w:pPr>
    </w:p>
    <w:p w14:paraId="26EFDF4C">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570110E9">
      <w:pPr>
        <w:spacing w:line="312" w:lineRule="auto"/>
        <w:ind w:firstLine="420" w:firstLineChars="200"/>
        <w:rPr>
          <w:color w:val="auto"/>
        </w:rPr>
      </w:pPr>
    </w:p>
    <w:p w14:paraId="4581BCBE">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278595A8">
      <w:pPr>
        <w:spacing w:line="312" w:lineRule="auto"/>
        <w:ind w:firstLine="420" w:firstLineChars="200"/>
        <w:rPr>
          <w:color w:val="auto"/>
        </w:rPr>
      </w:pPr>
    </w:p>
    <w:p w14:paraId="64ABF0AD">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62E4207C">
      <w:pPr>
        <w:spacing w:line="312" w:lineRule="auto"/>
        <w:ind w:firstLine="420" w:firstLineChars="200"/>
        <w:rPr>
          <w:color w:val="auto"/>
        </w:rPr>
      </w:pPr>
    </w:p>
    <w:p w14:paraId="1CEC9BF1">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47EF91D9">
      <w:pPr>
        <w:spacing w:line="312" w:lineRule="auto"/>
        <w:ind w:firstLine="420" w:firstLineChars="200"/>
        <w:rPr>
          <w:color w:val="auto"/>
        </w:rPr>
      </w:pPr>
    </w:p>
    <w:p w14:paraId="0D76B961">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4DC158B8">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42F5CFCB">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44D47E6F">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4CAFFB82">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019C4E2B">
      <w:pPr>
        <w:widowControl/>
        <w:spacing w:line="312" w:lineRule="auto"/>
        <w:jc w:val="left"/>
        <w:rPr>
          <w:rStyle w:val="56"/>
          <w:color w:val="auto"/>
        </w:rPr>
      </w:pPr>
      <w:bookmarkStart w:id="480" w:name="_Toc8672"/>
      <w:bookmarkStart w:id="481" w:name="_Toc762"/>
      <w:bookmarkStart w:id="482" w:name="_Toc7308"/>
      <w:bookmarkStart w:id="483" w:name="_Toc27502"/>
      <w:bookmarkStart w:id="484" w:name="_Toc641"/>
      <w:bookmarkStart w:id="485" w:name="_Toc5553"/>
      <w:bookmarkStart w:id="486" w:name="_Toc22294"/>
      <w:bookmarkStart w:id="487" w:name="_Toc32309"/>
      <w:bookmarkStart w:id="488" w:name="_Toc23835"/>
      <w:bookmarkStart w:id="489" w:name="_Toc816"/>
      <w:bookmarkStart w:id="490" w:name="_Toc32708"/>
      <w:bookmarkStart w:id="491" w:name="_Toc2191"/>
      <w:bookmarkStart w:id="492" w:name="_Toc11617"/>
      <w:bookmarkStart w:id="493" w:name="_Toc721"/>
      <w:r>
        <w:rPr>
          <w:rStyle w:val="56"/>
          <w:color w:val="auto"/>
        </w:rPr>
        <w:br w:type="page"/>
      </w:r>
    </w:p>
    <w:p w14:paraId="0AFF5D6C">
      <w:pPr>
        <w:snapToGrid w:val="0"/>
        <w:spacing w:before="240" w:beforeLines="100" w:after="240" w:afterLines="100"/>
        <w:jc w:val="center"/>
        <w:rPr>
          <w:rStyle w:val="56"/>
          <w:color w:val="auto"/>
        </w:rPr>
      </w:pPr>
      <w:bookmarkStart w:id="494" w:name="_Toc19301"/>
      <w:bookmarkStart w:id="495" w:name="_Toc31885"/>
      <w:r>
        <w:rPr>
          <w:rStyle w:val="56"/>
          <w:rFonts w:hint="eastAsia"/>
          <w:color w:val="auto"/>
        </w:rPr>
        <w:t>第六部分</w:t>
      </w:r>
      <w:r>
        <w:rPr>
          <w:rStyle w:val="56"/>
          <w:color w:val="auto"/>
        </w:rPr>
        <w:t xml:space="preserve">  </w:t>
      </w:r>
      <w:r>
        <w:rPr>
          <w:rStyle w:val="56"/>
          <w:rFonts w:hint="eastAsia"/>
          <w:color w:val="auto"/>
        </w:rPr>
        <w:t>响应文件格式</w:t>
      </w:r>
    </w:p>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14:paraId="51623D86">
      <w:pPr>
        <w:adjustRightInd w:val="0"/>
        <w:snapToGrid w:val="0"/>
        <w:spacing w:line="288" w:lineRule="auto"/>
        <w:jc w:val="center"/>
        <w:rPr>
          <w:b/>
          <w:bCs/>
          <w:color w:val="auto"/>
          <w:sz w:val="24"/>
          <w:szCs w:val="24"/>
        </w:rPr>
      </w:pPr>
      <w:bookmarkStart w:id="496" w:name="_Toc7710"/>
      <w:bookmarkStart w:id="497" w:name="_Toc3964"/>
      <w:bookmarkStart w:id="498" w:name="_Toc32522"/>
      <w:bookmarkStart w:id="499" w:name="_Toc20766"/>
      <w:bookmarkStart w:id="500" w:name="_Toc19286"/>
      <w:bookmarkStart w:id="501" w:name="_Toc24168"/>
      <w:bookmarkStart w:id="502" w:name="_Toc32223"/>
      <w:bookmarkStart w:id="503" w:name="_Toc17119"/>
      <w:bookmarkStart w:id="504" w:name="_Toc28159"/>
      <w:bookmarkStart w:id="505" w:name="_Toc13819"/>
      <w:bookmarkStart w:id="506" w:name="_Toc32288"/>
      <w:bookmarkStart w:id="507" w:name="_Toc4610"/>
      <w:bookmarkStart w:id="508" w:name="_Toc23756"/>
      <w:bookmarkStart w:id="509" w:name="_Toc31085"/>
      <w:bookmarkStart w:id="510" w:name="_Toc14202"/>
      <w:bookmarkStart w:id="511" w:name="_Toc706"/>
      <w:bookmarkStart w:id="512" w:name="_Toc32185"/>
      <w:bookmarkStart w:id="513" w:name="_Toc9636"/>
      <w:bookmarkStart w:id="514" w:name="_Toc27063"/>
      <w:bookmarkStart w:id="515" w:name="_Toc11204"/>
      <w:bookmarkStart w:id="516" w:name="_Toc9623"/>
      <w:bookmarkStart w:id="517" w:name="_Toc2886"/>
      <w:bookmarkStart w:id="518" w:name="_Toc19804"/>
      <w:bookmarkStart w:id="519" w:name="_Toc20870"/>
      <w:bookmarkStart w:id="520" w:name="_Toc6868"/>
      <w:bookmarkStart w:id="521" w:name="_Toc14400"/>
      <w:bookmarkStart w:id="522" w:name="_Toc20738"/>
      <w:bookmarkStart w:id="523" w:name="_Toc4274"/>
      <w:bookmarkStart w:id="524" w:name="_Toc25819"/>
      <w:bookmarkStart w:id="525" w:name="_Toc28613"/>
      <w:bookmarkStart w:id="526" w:name="_Toc2326"/>
      <w:bookmarkStart w:id="527" w:name="_Toc26648"/>
      <w:bookmarkStart w:id="528" w:name="_Toc9502"/>
      <w:bookmarkStart w:id="529" w:name="_Toc7013"/>
      <w:bookmarkStart w:id="530" w:name="_Toc7409"/>
      <w:bookmarkStart w:id="531" w:name="_Toc27551"/>
      <w:bookmarkStart w:id="532" w:name="_Toc8070"/>
      <w:bookmarkStart w:id="533" w:name="_Toc22675"/>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C4239A6">
      <w:pPr>
        <w:adjustRightInd w:val="0"/>
        <w:snapToGrid w:val="0"/>
        <w:spacing w:line="288" w:lineRule="auto"/>
        <w:rPr>
          <w:color w:val="auto"/>
          <w:sz w:val="24"/>
          <w:szCs w:val="24"/>
        </w:rPr>
      </w:pPr>
    </w:p>
    <w:p w14:paraId="69E151BC">
      <w:pPr>
        <w:adjustRightInd w:val="0"/>
        <w:snapToGrid w:val="0"/>
        <w:spacing w:line="288" w:lineRule="auto"/>
        <w:ind w:firstLine="482" w:firstLineChars="200"/>
        <w:rPr>
          <w:b/>
          <w:bCs/>
          <w:color w:val="auto"/>
          <w:sz w:val="24"/>
          <w:szCs w:val="24"/>
        </w:rPr>
      </w:pPr>
      <w:bookmarkStart w:id="534" w:name="_Hlk71884160"/>
      <w:r>
        <w:rPr>
          <w:rFonts w:hint="eastAsia"/>
          <w:b/>
          <w:bCs/>
          <w:color w:val="auto"/>
          <w:sz w:val="24"/>
          <w:szCs w:val="24"/>
        </w:rPr>
        <w:t>▲1.资格文件</w:t>
      </w:r>
    </w:p>
    <w:p w14:paraId="3056D377">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4"/>
    <w:p w14:paraId="18B35D38">
      <w:pPr>
        <w:adjustRightInd w:val="0"/>
        <w:snapToGrid w:val="0"/>
        <w:spacing w:line="288" w:lineRule="auto"/>
        <w:ind w:firstLine="480" w:firstLineChars="200"/>
        <w:rPr>
          <w:color w:val="auto"/>
          <w:sz w:val="24"/>
          <w:szCs w:val="24"/>
        </w:rPr>
      </w:pPr>
      <w:r>
        <w:rPr>
          <w:rFonts w:hint="eastAsia"/>
          <w:color w:val="auto"/>
          <w:sz w:val="24"/>
          <w:szCs w:val="24"/>
        </w:rPr>
        <w:t>（1）有效的法人或者其他组织的营业执照等证明文件，自然人的身份证明</w:t>
      </w:r>
    </w:p>
    <w:p w14:paraId="0DE93538">
      <w:pPr>
        <w:adjustRightInd w:val="0"/>
        <w:snapToGrid w:val="0"/>
        <w:spacing w:line="288" w:lineRule="auto"/>
        <w:ind w:firstLine="480" w:firstLineChars="200"/>
        <w:rPr>
          <w:color w:val="auto"/>
          <w:sz w:val="24"/>
          <w:szCs w:val="24"/>
        </w:rPr>
      </w:pPr>
      <w:bookmarkStart w:id="535" w:name="_Hlk71884127"/>
      <w:r>
        <w:rPr>
          <w:rFonts w:hint="eastAsia"/>
          <w:color w:val="auto"/>
          <w:sz w:val="24"/>
          <w:szCs w:val="24"/>
        </w:rPr>
        <w:t>（</w:t>
      </w:r>
      <w:r>
        <w:rPr>
          <w:color w:val="auto"/>
          <w:sz w:val="24"/>
          <w:szCs w:val="24"/>
        </w:rPr>
        <w:t>2）</w:t>
      </w:r>
      <w:r>
        <w:rPr>
          <w:rFonts w:hint="eastAsia"/>
          <w:color w:val="auto"/>
          <w:sz w:val="24"/>
          <w:szCs w:val="24"/>
        </w:rPr>
        <w:t>资格条件</w:t>
      </w:r>
      <w:r>
        <w:rPr>
          <w:color w:val="auto"/>
          <w:sz w:val="24"/>
          <w:szCs w:val="24"/>
        </w:rPr>
        <w:t>承诺函</w:t>
      </w:r>
    </w:p>
    <w:p w14:paraId="54A87123">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3）落实政府采购政策需满足的资格要求：</w:t>
      </w:r>
      <w:r>
        <w:rPr>
          <w:rFonts w:hint="eastAsia"/>
          <w:color w:val="auto"/>
          <w:sz w:val="24"/>
          <w:szCs w:val="24"/>
        </w:rPr>
        <w:t>本项目整体专门面向中小企业采购。监狱企业、残疾人福利性单位视同小型、微型企业。</w:t>
      </w:r>
    </w:p>
    <w:p w14:paraId="2ED68D1E">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证明材料：无</w:t>
      </w:r>
    </w:p>
    <w:bookmarkEnd w:id="535"/>
    <w:p w14:paraId="01D3961D">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5E7D153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初次报价一览表、初次报价明细表</w:t>
      </w:r>
    </w:p>
    <w:p w14:paraId="24CD0848">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中小企业声明函</w:t>
      </w:r>
    </w:p>
    <w:p w14:paraId="55F1BB84">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09AF3BDA">
      <w:pPr>
        <w:adjustRightInd w:val="0"/>
        <w:snapToGrid w:val="0"/>
        <w:spacing w:line="288" w:lineRule="auto"/>
        <w:ind w:firstLine="480" w:firstLineChars="200"/>
        <w:rPr>
          <w:color w:val="auto"/>
          <w:sz w:val="24"/>
          <w:szCs w:val="24"/>
        </w:rPr>
      </w:pPr>
      <w:bookmarkStart w:id="536" w:name="OLE_LINK14"/>
      <w:bookmarkStart w:id="537"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36"/>
      <w:bookmarkEnd w:id="537"/>
      <w:r>
        <w:rPr>
          <w:rFonts w:hint="eastAsia"/>
          <w:color w:val="auto"/>
          <w:sz w:val="24"/>
          <w:szCs w:val="24"/>
        </w:rPr>
        <w:t>（若属于残疾人福利性单位）</w:t>
      </w:r>
    </w:p>
    <w:p w14:paraId="7444587F">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0487854F">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5510F66E">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2696BABB">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2023年12月（含）以后任意一月供应商授权代表社保缴纳证明</w:t>
      </w:r>
    </w:p>
    <w:p w14:paraId="3870E23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0957BD68">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5E203C5D">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0BA98E8C">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19AA89A3">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38" w:name="_Hlk71884196"/>
      <w:r>
        <w:rPr>
          <w:rFonts w:hint="eastAsia"/>
          <w:color w:val="auto"/>
          <w:sz w:val="24"/>
          <w:szCs w:val="24"/>
        </w:rPr>
        <w:t>详细技术和服务方案</w:t>
      </w:r>
    </w:p>
    <w:p w14:paraId="070E0CAA">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2DD813D4">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38"/>
    <w:p w14:paraId="6261D5B2">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3E4F92E2">
      <w:pPr>
        <w:adjustRightInd w:val="0"/>
        <w:snapToGrid w:val="0"/>
        <w:spacing w:line="288" w:lineRule="auto"/>
        <w:jc w:val="center"/>
        <w:outlineLvl w:val="1"/>
        <w:rPr>
          <w:b/>
          <w:bCs/>
          <w:color w:val="auto"/>
          <w:sz w:val="84"/>
          <w:szCs w:val="84"/>
        </w:rPr>
      </w:pPr>
      <w:bookmarkStart w:id="539" w:name="_Toc9440"/>
      <w:bookmarkStart w:id="540" w:name="_Toc18819"/>
      <w:r>
        <w:rPr>
          <w:rFonts w:hint="eastAsia"/>
          <w:b/>
          <w:bCs/>
          <w:color w:val="auto"/>
          <w:sz w:val="84"/>
          <w:szCs w:val="84"/>
        </w:rPr>
        <w:t>资格文件</w:t>
      </w:r>
      <w:bookmarkEnd w:id="539"/>
      <w:bookmarkEnd w:id="540"/>
    </w:p>
    <w:p w14:paraId="13FADC6D">
      <w:pPr>
        <w:adjustRightInd w:val="0"/>
        <w:snapToGrid w:val="0"/>
        <w:spacing w:line="288" w:lineRule="auto"/>
        <w:jc w:val="center"/>
        <w:rPr>
          <w:b/>
          <w:bCs/>
          <w:color w:val="auto"/>
          <w:sz w:val="24"/>
          <w:szCs w:val="24"/>
        </w:rPr>
      </w:pPr>
      <w:bookmarkStart w:id="541" w:name="_Hlk94097338"/>
      <w:r>
        <w:rPr>
          <w:rFonts w:hint="eastAsia"/>
          <w:b/>
          <w:bCs/>
          <w:color w:val="auto"/>
          <w:sz w:val="24"/>
          <w:szCs w:val="24"/>
        </w:rPr>
        <w:t>资格审查要求的资格证明材料(均需加盖公章)</w:t>
      </w:r>
      <w:bookmarkEnd w:id="541"/>
    </w:p>
    <w:p w14:paraId="2D664060">
      <w:pPr>
        <w:pStyle w:val="23"/>
        <w:ind w:firstLine="480"/>
        <w:rPr>
          <w:color w:val="auto"/>
          <w:sz w:val="24"/>
        </w:rPr>
      </w:pPr>
    </w:p>
    <w:p w14:paraId="16780B47">
      <w:pPr>
        <w:adjustRightInd w:val="0"/>
        <w:snapToGrid w:val="0"/>
        <w:spacing w:line="288" w:lineRule="auto"/>
        <w:jc w:val="left"/>
        <w:outlineLvl w:val="2"/>
        <w:rPr>
          <w:b/>
          <w:bCs/>
          <w:color w:val="auto"/>
          <w:sz w:val="24"/>
          <w:szCs w:val="24"/>
        </w:rPr>
      </w:pPr>
    </w:p>
    <w:p w14:paraId="75A5515B">
      <w:pPr>
        <w:adjustRightInd w:val="0"/>
        <w:snapToGrid w:val="0"/>
        <w:spacing w:line="288" w:lineRule="auto"/>
        <w:jc w:val="left"/>
        <w:outlineLvl w:val="2"/>
        <w:rPr>
          <w:b/>
          <w:bCs/>
          <w:color w:val="auto"/>
          <w:sz w:val="24"/>
          <w:szCs w:val="24"/>
        </w:rPr>
      </w:pPr>
    </w:p>
    <w:p w14:paraId="76724924">
      <w:pPr>
        <w:adjustRightInd w:val="0"/>
        <w:snapToGrid w:val="0"/>
        <w:spacing w:line="288" w:lineRule="auto"/>
        <w:jc w:val="left"/>
        <w:outlineLvl w:val="2"/>
        <w:rPr>
          <w:b/>
          <w:bCs/>
          <w:color w:val="auto"/>
          <w:sz w:val="24"/>
          <w:szCs w:val="24"/>
        </w:rPr>
      </w:pPr>
    </w:p>
    <w:p w14:paraId="6AFECC81">
      <w:pPr>
        <w:adjustRightInd w:val="0"/>
        <w:snapToGrid w:val="0"/>
        <w:spacing w:line="288" w:lineRule="auto"/>
        <w:jc w:val="left"/>
        <w:outlineLvl w:val="2"/>
        <w:rPr>
          <w:b/>
          <w:bCs/>
          <w:color w:val="auto"/>
          <w:sz w:val="24"/>
          <w:szCs w:val="24"/>
        </w:rPr>
      </w:pPr>
    </w:p>
    <w:p w14:paraId="38AA560E">
      <w:pPr>
        <w:pStyle w:val="6"/>
        <w:ind w:left="0" w:firstLine="0"/>
        <w:rPr>
          <w:color w:val="auto"/>
        </w:rPr>
      </w:pPr>
      <w:bookmarkStart w:id="542" w:name="_Toc30132"/>
      <w:bookmarkStart w:id="543" w:name="_Toc23214"/>
      <w:r>
        <w:rPr>
          <w:rFonts w:hint="eastAsia"/>
          <w:color w:val="auto"/>
        </w:rPr>
        <w:t>（1）有效的法人或者其他组织的营业执照等证明文件，自然人的身份证明</w:t>
      </w:r>
      <w:bookmarkEnd w:id="542"/>
      <w:bookmarkEnd w:id="543"/>
    </w:p>
    <w:p w14:paraId="1572B6AF">
      <w:pPr>
        <w:adjustRightInd w:val="0"/>
        <w:snapToGrid w:val="0"/>
        <w:spacing w:line="288" w:lineRule="auto"/>
        <w:rPr>
          <w:b/>
          <w:bCs/>
          <w:color w:val="auto"/>
          <w:sz w:val="24"/>
          <w:szCs w:val="24"/>
        </w:rPr>
      </w:pPr>
      <w:r>
        <w:rPr>
          <w:rFonts w:hint="eastAsia"/>
          <w:b/>
          <w:bCs/>
          <w:color w:val="auto"/>
          <w:sz w:val="24"/>
          <w:szCs w:val="24"/>
        </w:rPr>
        <w:t>说明：</w:t>
      </w:r>
    </w:p>
    <w:p w14:paraId="4103712D">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3F2FDBAC">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2922604">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119B2849">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77E63F5">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50B3DCB">
      <w:pPr>
        <w:adjustRightInd w:val="0"/>
        <w:snapToGrid w:val="0"/>
        <w:spacing w:line="288" w:lineRule="auto"/>
        <w:rPr>
          <w:color w:val="auto"/>
          <w:szCs w:val="21"/>
        </w:rPr>
      </w:pPr>
      <w:r>
        <w:rPr>
          <w:rFonts w:hint="eastAsia"/>
          <w:color w:val="auto"/>
          <w:szCs w:val="21"/>
        </w:rPr>
        <w:br w:type="page"/>
      </w:r>
    </w:p>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0EB74E1D">
      <w:pPr>
        <w:jc w:val="center"/>
        <w:rPr>
          <w:b/>
          <w:bCs/>
          <w:color w:val="auto"/>
          <w:sz w:val="32"/>
          <w:szCs w:val="32"/>
        </w:rPr>
      </w:pPr>
    </w:p>
    <w:p w14:paraId="3C173AB7">
      <w:pPr>
        <w:pStyle w:val="6"/>
        <w:ind w:left="0" w:firstLine="0"/>
        <w:rPr>
          <w:color w:val="auto"/>
        </w:rPr>
      </w:pPr>
      <w:bookmarkStart w:id="544" w:name="_Toc7923"/>
      <w:bookmarkStart w:id="545" w:name="_Toc8024"/>
      <w:r>
        <w:rPr>
          <w:rFonts w:hint="eastAsia"/>
          <w:color w:val="auto"/>
        </w:rPr>
        <w:t>（2）资格条件承诺函</w:t>
      </w:r>
      <w:bookmarkEnd w:id="544"/>
      <w:bookmarkEnd w:id="545"/>
    </w:p>
    <w:p w14:paraId="545EB0C7">
      <w:pPr>
        <w:jc w:val="center"/>
        <w:rPr>
          <w:b/>
          <w:bCs/>
          <w:color w:val="auto"/>
          <w:sz w:val="32"/>
          <w:szCs w:val="32"/>
        </w:rPr>
      </w:pPr>
      <w:r>
        <w:rPr>
          <w:rFonts w:hint="eastAsia"/>
          <w:b/>
          <w:bCs/>
          <w:color w:val="auto"/>
          <w:sz w:val="32"/>
          <w:szCs w:val="32"/>
        </w:rPr>
        <w:t>资格条件承诺函</w:t>
      </w:r>
    </w:p>
    <w:p w14:paraId="7B1FCA3D">
      <w:pPr>
        <w:snapToGrid w:val="0"/>
        <w:spacing w:line="360" w:lineRule="auto"/>
        <w:rPr>
          <w:color w:val="auto"/>
          <w:sz w:val="24"/>
        </w:rPr>
      </w:pPr>
    </w:p>
    <w:p w14:paraId="4DA9BABC">
      <w:pPr>
        <w:snapToGrid w:val="0"/>
        <w:spacing w:line="360" w:lineRule="auto"/>
        <w:rPr>
          <w:color w:val="auto"/>
          <w:sz w:val="24"/>
        </w:rPr>
      </w:pPr>
      <w:r>
        <w:rPr>
          <w:rFonts w:hint="eastAsia"/>
          <w:color w:val="auto"/>
          <w:sz w:val="24"/>
        </w:rPr>
        <w:t>杭州电子科技大学：</w:t>
      </w:r>
    </w:p>
    <w:p w14:paraId="348C5B2E">
      <w:pPr>
        <w:snapToGrid w:val="0"/>
        <w:spacing w:line="360" w:lineRule="auto"/>
        <w:ind w:firstLine="480" w:firstLineChars="200"/>
        <w:rPr>
          <w:color w:val="auto"/>
          <w:sz w:val="24"/>
        </w:rPr>
      </w:pPr>
      <w:r>
        <w:rPr>
          <w:rFonts w:hint="eastAsia"/>
          <w:color w:val="auto"/>
          <w:sz w:val="24"/>
        </w:rPr>
        <w:t>我方（供应商）承诺：</w:t>
      </w:r>
    </w:p>
    <w:p w14:paraId="4E8D0933">
      <w:pPr>
        <w:snapToGrid w:val="0"/>
        <w:spacing w:line="360" w:lineRule="auto"/>
        <w:ind w:firstLine="480" w:firstLineChars="200"/>
        <w:rPr>
          <w:color w:val="auto"/>
          <w:sz w:val="24"/>
        </w:rPr>
      </w:pPr>
      <w:r>
        <w:rPr>
          <w:rFonts w:hint="eastAsia"/>
          <w:color w:val="auto"/>
          <w:sz w:val="24"/>
        </w:rPr>
        <w:t>1、具有良好的商业信誉和健全的财务会计制度；</w:t>
      </w:r>
    </w:p>
    <w:p w14:paraId="10D78DC0">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972F7FE">
      <w:pPr>
        <w:snapToGrid w:val="0"/>
        <w:spacing w:line="360" w:lineRule="auto"/>
        <w:ind w:firstLine="480" w:firstLineChars="200"/>
        <w:rPr>
          <w:color w:val="auto"/>
          <w:sz w:val="24"/>
        </w:rPr>
      </w:pPr>
      <w:r>
        <w:rPr>
          <w:rFonts w:hint="eastAsia"/>
          <w:color w:val="auto"/>
          <w:sz w:val="24"/>
        </w:rPr>
        <w:t>3、严格依法缴纳税收和社会保障资金；</w:t>
      </w:r>
    </w:p>
    <w:p w14:paraId="72EF018B">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0CC1A651">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6BDAAECA">
      <w:pPr>
        <w:snapToGrid w:val="0"/>
        <w:spacing w:line="360" w:lineRule="auto"/>
        <w:ind w:firstLine="480" w:firstLineChars="200"/>
        <w:rPr>
          <w:color w:val="auto"/>
          <w:sz w:val="24"/>
        </w:rPr>
      </w:pPr>
      <w:r>
        <w:rPr>
          <w:rFonts w:hint="eastAsia"/>
          <w:color w:val="auto"/>
          <w:sz w:val="24"/>
        </w:rPr>
        <w:t>6、不存在以下情况：</w:t>
      </w:r>
    </w:p>
    <w:p w14:paraId="0F6F18E6">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74AFE97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CA49A28">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75F5E7CF">
      <w:pPr>
        <w:snapToGrid w:val="0"/>
        <w:spacing w:line="360" w:lineRule="auto"/>
        <w:ind w:firstLine="480" w:firstLineChars="200"/>
        <w:rPr>
          <w:color w:val="auto"/>
          <w:sz w:val="24"/>
        </w:rPr>
      </w:pPr>
      <w:r>
        <w:rPr>
          <w:rFonts w:hint="eastAsia"/>
          <w:color w:val="auto"/>
          <w:sz w:val="24"/>
        </w:rPr>
        <w:t> </w:t>
      </w:r>
    </w:p>
    <w:p w14:paraId="094FD7FC">
      <w:pPr>
        <w:snapToGrid w:val="0"/>
        <w:spacing w:line="360" w:lineRule="auto"/>
        <w:ind w:firstLine="480" w:firstLineChars="200"/>
        <w:rPr>
          <w:color w:val="auto"/>
          <w:sz w:val="24"/>
        </w:rPr>
      </w:pPr>
      <w:r>
        <w:rPr>
          <w:rFonts w:hint="eastAsia"/>
          <w:color w:val="auto"/>
          <w:sz w:val="24"/>
        </w:rPr>
        <w:t>特此承诺！</w:t>
      </w:r>
    </w:p>
    <w:p w14:paraId="672F20CB">
      <w:pPr>
        <w:pStyle w:val="8"/>
        <w:rPr>
          <w:color w:val="auto"/>
          <w:sz w:val="24"/>
        </w:rPr>
      </w:pPr>
    </w:p>
    <w:p w14:paraId="4FA73724">
      <w:pPr>
        <w:rPr>
          <w:color w:val="auto"/>
          <w:sz w:val="24"/>
        </w:rPr>
      </w:pPr>
    </w:p>
    <w:p w14:paraId="04F038DE">
      <w:pPr>
        <w:pStyle w:val="8"/>
        <w:rPr>
          <w:color w:val="auto"/>
        </w:rPr>
      </w:pPr>
    </w:p>
    <w:p w14:paraId="0ADF0758">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1387E2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0831F9E">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30716C5">
      <w:pPr>
        <w:adjustRightInd w:val="0"/>
        <w:snapToGrid w:val="0"/>
        <w:spacing w:line="288" w:lineRule="auto"/>
        <w:ind w:firstLine="480" w:firstLineChars="200"/>
        <w:rPr>
          <w:color w:val="auto"/>
          <w:sz w:val="24"/>
          <w:szCs w:val="24"/>
        </w:rPr>
      </w:pPr>
    </w:p>
    <w:p w14:paraId="3E61A0D9">
      <w:pPr>
        <w:pStyle w:val="6"/>
        <w:ind w:left="0" w:firstLine="0"/>
        <w:jc w:val="left"/>
        <w:rPr>
          <w:color w:val="auto"/>
        </w:rPr>
      </w:pPr>
      <w:bookmarkStart w:id="546" w:name="_Toc23495"/>
      <w:bookmarkStart w:id="547" w:name="_Toc8568"/>
      <w:r>
        <w:rPr>
          <w:rFonts w:hint="eastAsia"/>
          <w:color w:val="auto"/>
        </w:rPr>
        <w:t>（3）落实政府采购政策需满足的资格要求：</w:t>
      </w:r>
      <w:bookmarkEnd w:id="546"/>
      <w:bookmarkEnd w:id="547"/>
      <w:r>
        <w:rPr>
          <w:rFonts w:hint="eastAsia"/>
          <w:color w:val="auto"/>
        </w:rPr>
        <w:t>本项目整体专门面向中小企业采购。监狱企业、残疾人福利性单位视同小型、微型企业。</w:t>
      </w:r>
    </w:p>
    <w:p w14:paraId="33538FE4">
      <w:pPr>
        <w:pStyle w:val="6"/>
        <w:ind w:left="0" w:firstLine="0"/>
        <w:jc w:val="left"/>
        <w:rPr>
          <w:color w:val="auto"/>
        </w:rPr>
      </w:pPr>
      <w:bookmarkStart w:id="548" w:name="_Toc16612"/>
      <w:bookmarkStart w:id="549" w:name="_Toc6226"/>
      <w:r>
        <w:rPr>
          <w:rFonts w:hint="eastAsia"/>
          <w:color w:val="auto"/>
        </w:rPr>
        <w:t>（4）本项目的特定资格要求证明材料：无</w:t>
      </w:r>
      <w:bookmarkEnd w:id="548"/>
      <w:bookmarkEnd w:id="549"/>
    </w:p>
    <w:p w14:paraId="79B1D93C">
      <w:pPr>
        <w:snapToGrid w:val="0"/>
        <w:spacing w:line="360" w:lineRule="auto"/>
        <w:rPr>
          <w:rFonts w:ascii="宋体" w:hAnsi="宋体" w:cs="宋体"/>
          <w:color w:val="auto"/>
          <w:sz w:val="24"/>
        </w:rPr>
      </w:pPr>
      <w:r>
        <w:rPr>
          <w:rFonts w:hint="eastAsia" w:ascii="宋体" w:hAnsi="宋体" w:cs="宋体"/>
          <w:color w:val="auto"/>
          <w:sz w:val="24"/>
        </w:rPr>
        <w:br w:type="page"/>
      </w:r>
    </w:p>
    <w:p w14:paraId="51040D75">
      <w:pPr>
        <w:adjustRightInd w:val="0"/>
        <w:snapToGrid w:val="0"/>
        <w:spacing w:line="288" w:lineRule="auto"/>
        <w:jc w:val="center"/>
        <w:outlineLvl w:val="1"/>
        <w:rPr>
          <w:b/>
          <w:bCs/>
          <w:color w:val="auto"/>
          <w:sz w:val="84"/>
          <w:szCs w:val="84"/>
        </w:rPr>
      </w:pPr>
      <w:bookmarkStart w:id="550" w:name="_Toc18540"/>
      <w:bookmarkStart w:id="551" w:name="_Toc6605"/>
      <w:r>
        <w:rPr>
          <w:rFonts w:hint="eastAsia"/>
          <w:b/>
          <w:bCs/>
          <w:color w:val="auto"/>
          <w:sz w:val="84"/>
          <w:szCs w:val="84"/>
        </w:rPr>
        <w:t>报价文件</w:t>
      </w:r>
      <w:bookmarkEnd w:id="550"/>
      <w:bookmarkEnd w:id="551"/>
    </w:p>
    <w:p w14:paraId="2A7D6501">
      <w:pPr>
        <w:pStyle w:val="6"/>
        <w:ind w:left="0" w:firstLine="0"/>
        <w:rPr>
          <w:color w:val="auto"/>
        </w:rPr>
      </w:pPr>
      <w:bookmarkStart w:id="552" w:name="_Toc15072"/>
      <w:bookmarkStart w:id="553" w:name="_Toc32630"/>
      <w:bookmarkStart w:id="554" w:name="_Toc19268"/>
      <w:bookmarkStart w:id="555" w:name="_Toc27484"/>
      <w:bookmarkStart w:id="556" w:name="_Toc28695"/>
      <w:bookmarkStart w:id="557" w:name="_Toc25418"/>
      <w:bookmarkStart w:id="558" w:name="_Toc20907"/>
      <w:bookmarkStart w:id="559" w:name="_Toc10749"/>
      <w:bookmarkStart w:id="560" w:name="_Toc16624"/>
      <w:bookmarkStart w:id="561" w:name="_Toc6771"/>
      <w:bookmarkStart w:id="562" w:name="_Toc19897"/>
      <w:bookmarkStart w:id="563" w:name="_Toc18705"/>
      <w:bookmarkStart w:id="564" w:name="_Toc14637"/>
      <w:bookmarkStart w:id="565" w:name="_Toc23089"/>
      <w:bookmarkStart w:id="566" w:name="_Toc24403"/>
      <w:bookmarkStart w:id="567" w:name="_Toc32416"/>
      <w:bookmarkStart w:id="568" w:name="_Toc23539"/>
      <w:bookmarkStart w:id="569" w:name="_Toc22542"/>
      <w:bookmarkStart w:id="570" w:name="_Toc15307"/>
      <w:bookmarkStart w:id="571" w:name="_Toc4455"/>
      <w:bookmarkStart w:id="572" w:name="_Toc13470"/>
      <w:bookmarkStart w:id="573" w:name="_Toc24738"/>
      <w:bookmarkStart w:id="574" w:name="_Toc25012"/>
      <w:bookmarkStart w:id="575" w:name="_Toc19949"/>
      <w:bookmarkStart w:id="576" w:name="_Toc25971"/>
      <w:bookmarkStart w:id="577" w:name="_Toc11579"/>
      <w:bookmarkStart w:id="578" w:name="_Toc28619"/>
      <w:bookmarkStart w:id="579" w:name="_Toc3471"/>
      <w:bookmarkStart w:id="580" w:name="_Toc14186"/>
      <w:bookmarkStart w:id="581" w:name="_Toc5206"/>
      <w:bookmarkStart w:id="582" w:name="_Toc23410"/>
      <w:bookmarkStart w:id="583" w:name="_Toc12332"/>
      <w:bookmarkStart w:id="584" w:name="_Toc13060"/>
      <w:bookmarkStart w:id="585" w:name="_Toc16736"/>
      <w:bookmarkStart w:id="586" w:name="_Toc24678"/>
      <w:bookmarkStart w:id="587" w:name="_Toc25718"/>
      <w:bookmarkStart w:id="588" w:name="_Toc2198"/>
      <w:r>
        <w:rPr>
          <w:rFonts w:hint="eastAsia"/>
          <w:color w:val="auto"/>
        </w:rPr>
        <w:t>（1）初次报价一览表、初次报价明细表</w:t>
      </w:r>
      <w:bookmarkEnd w:id="552"/>
      <w:bookmarkEnd w:id="553"/>
    </w:p>
    <w:p w14:paraId="6BDE93B0">
      <w:pPr>
        <w:pStyle w:val="6"/>
        <w:tabs>
          <w:tab w:val="left" w:pos="0"/>
          <w:tab w:val="clear" w:pos="1275"/>
        </w:tabs>
        <w:ind w:left="15" w:hanging="15"/>
        <w:rPr>
          <w:rFonts w:ascii="黑体" w:hAnsi="黑体" w:eastAsia="黑体" w:cs="黑体"/>
          <w:color w:val="auto"/>
          <w:szCs w:val="28"/>
        </w:rPr>
      </w:pPr>
    </w:p>
    <w:p w14:paraId="58E7CD61">
      <w:pPr>
        <w:jc w:val="center"/>
        <w:rPr>
          <w:b/>
          <w:bCs/>
          <w:color w:val="auto"/>
          <w:sz w:val="32"/>
          <w:szCs w:val="32"/>
        </w:rPr>
      </w:pPr>
      <w:r>
        <w:rPr>
          <w:rFonts w:hint="eastAsia"/>
          <w:b/>
          <w:bCs/>
          <w:color w:val="auto"/>
          <w:sz w:val="32"/>
          <w:szCs w:val="32"/>
        </w:rPr>
        <w:t>初次报价一览表</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7F2395BF">
      <w:pPr>
        <w:spacing w:line="460" w:lineRule="exact"/>
        <w:rPr>
          <w:color w:val="auto"/>
          <w:sz w:val="24"/>
        </w:rPr>
      </w:pPr>
      <w:r>
        <w:rPr>
          <w:rFonts w:hint="eastAsia"/>
          <w:color w:val="auto"/>
          <w:sz w:val="24"/>
        </w:rPr>
        <w:t>项目名称：</w:t>
      </w:r>
    </w:p>
    <w:p w14:paraId="231AF358">
      <w:pPr>
        <w:spacing w:line="460" w:lineRule="exact"/>
        <w:rPr>
          <w:color w:val="auto"/>
          <w:sz w:val="24"/>
        </w:rPr>
      </w:pPr>
      <w:r>
        <w:rPr>
          <w:rFonts w:hint="eastAsia"/>
          <w:color w:val="auto"/>
          <w:sz w:val="24"/>
        </w:rPr>
        <w:t>项目编号：</w:t>
      </w:r>
    </w:p>
    <w:p w14:paraId="764722E9">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4D15EC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4B1C71C7">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04E4BA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2916C320">
            <w:pPr>
              <w:spacing w:line="360" w:lineRule="auto"/>
              <w:rPr>
                <w:rFonts w:ascii="宋体" w:hAnsi="宋体"/>
                <w:b/>
                <w:color w:val="auto"/>
                <w:spacing w:val="-6"/>
                <w:sz w:val="24"/>
              </w:rPr>
            </w:pPr>
          </w:p>
          <w:p w14:paraId="74D77708">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27DB92EF">
            <w:pPr>
              <w:spacing w:line="360" w:lineRule="auto"/>
              <w:rPr>
                <w:rFonts w:ascii="宋体" w:hAnsi="宋体"/>
                <w:color w:val="auto"/>
                <w:spacing w:val="-6"/>
                <w:sz w:val="24"/>
                <w:u w:val="single"/>
              </w:rPr>
            </w:pPr>
          </w:p>
          <w:p w14:paraId="3737BBA9">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D4A4D96">
      <w:pPr>
        <w:pStyle w:val="44"/>
        <w:snapToGrid w:val="0"/>
        <w:spacing w:line="400" w:lineRule="exact"/>
        <w:rPr>
          <w:color w:val="auto"/>
          <w:szCs w:val="24"/>
        </w:rPr>
      </w:pPr>
      <w:r>
        <w:rPr>
          <w:rFonts w:hint="eastAsia"/>
          <w:color w:val="auto"/>
          <w:szCs w:val="24"/>
        </w:rPr>
        <w:t>注：本报价中应包含乙方完成本项目所需的一切费用，包括但不限于信息化及软硬件维保服务、其他技术服务费、培训费、保修保换费、保险费、税费等。</w:t>
      </w:r>
    </w:p>
    <w:p w14:paraId="6765974E">
      <w:pPr>
        <w:pStyle w:val="44"/>
        <w:snapToGrid w:val="0"/>
        <w:spacing w:line="400" w:lineRule="exact"/>
        <w:rPr>
          <w:color w:val="auto"/>
          <w:szCs w:val="24"/>
        </w:rPr>
      </w:pPr>
      <w:r>
        <w:rPr>
          <w:rFonts w:hint="eastAsia"/>
          <w:color w:val="auto"/>
          <w:szCs w:val="24"/>
        </w:rPr>
        <w:t>货币单位：元（人民币）</w:t>
      </w:r>
    </w:p>
    <w:p w14:paraId="6FC8DEB2">
      <w:pPr>
        <w:spacing w:line="360" w:lineRule="auto"/>
        <w:ind w:right="-21" w:rightChars="-10"/>
        <w:rPr>
          <w:color w:val="auto"/>
          <w:sz w:val="24"/>
        </w:rPr>
      </w:pPr>
    </w:p>
    <w:p w14:paraId="416AFCED">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B1E0E5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8C2DF11">
      <w:pPr>
        <w:spacing w:before="240" w:beforeLines="100" w:after="240" w:afterLines="100"/>
        <w:jc w:val="left"/>
        <w:rPr>
          <w:color w:val="auto"/>
          <w:sz w:val="24"/>
          <w:szCs w:val="24"/>
        </w:rPr>
      </w:pPr>
      <w:r>
        <w:rPr>
          <w:rFonts w:hint="eastAsia" w:ascii="宋体" w:hAnsi="宋体" w:cs="宋体"/>
          <w:color w:val="auto"/>
          <w:sz w:val="24"/>
        </w:rPr>
        <w:t>日期：      年   月   日</w:t>
      </w:r>
    </w:p>
    <w:p w14:paraId="3178F073">
      <w:pPr>
        <w:spacing w:line="360" w:lineRule="auto"/>
        <w:ind w:right="-21" w:rightChars="-10"/>
        <w:rPr>
          <w:color w:val="auto"/>
          <w:sz w:val="24"/>
        </w:rPr>
      </w:pPr>
    </w:p>
    <w:p w14:paraId="3B72AA61">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81"/>
    <w:bookmarkEnd w:id="582"/>
    <w:bookmarkEnd w:id="583"/>
    <w:bookmarkEnd w:id="584"/>
    <w:bookmarkEnd w:id="585"/>
    <w:bookmarkEnd w:id="586"/>
    <w:bookmarkEnd w:id="587"/>
    <w:bookmarkEnd w:id="588"/>
    <w:p w14:paraId="021102F6">
      <w:pPr>
        <w:jc w:val="center"/>
        <w:rPr>
          <w:rFonts w:hint="eastAsia"/>
          <w:b/>
          <w:bCs/>
          <w:color w:val="auto"/>
          <w:sz w:val="32"/>
          <w:szCs w:val="32"/>
        </w:rPr>
      </w:pPr>
      <w:bookmarkStart w:id="589" w:name="_Toc11074"/>
      <w:bookmarkStart w:id="590" w:name="_Toc5426"/>
      <w:bookmarkStart w:id="591" w:name="_Toc29927"/>
      <w:bookmarkStart w:id="592" w:name="_Toc11807"/>
      <w:bookmarkStart w:id="593" w:name="_Toc10548"/>
      <w:bookmarkStart w:id="594" w:name="_Toc4263"/>
      <w:bookmarkStart w:id="595" w:name="_Toc22798"/>
      <w:bookmarkStart w:id="596" w:name="_Toc30553"/>
      <w:bookmarkStart w:id="597" w:name="_Toc9617"/>
      <w:bookmarkStart w:id="598" w:name="_Toc11450"/>
      <w:bookmarkStart w:id="599" w:name="_Toc19420"/>
      <w:bookmarkStart w:id="600" w:name="_Toc7567"/>
      <w:bookmarkStart w:id="601" w:name="_Toc2161"/>
      <w:bookmarkStart w:id="602" w:name="_Toc3023"/>
      <w:bookmarkStart w:id="603" w:name="_Toc18289"/>
      <w:bookmarkStart w:id="604" w:name="_Toc27143"/>
      <w:bookmarkStart w:id="605" w:name="_Toc10793"/>
      <w:bookmarkStart w:id="606" w:name="_Toc5570"/>
      <w:bookmarkStart w:id="607" w:name="_Toc684"/>
      <w:bookmarkStart w:id="608" w:name="_Toc14388"/>
      <w:bookmarkStart w:id="609" w:name="_Toc10028"/>
      <w:bookmarkStart w:id="610" w:name="_Toc24960"/>
      <w:bookmarkStart w:id="611" w:name="_Toc26905"/>
      <w:bookmarkStart w:id="612" w:name="_Toc21201"/>
      <w:bookmarkStart w:id="613" w:name="_Toc17842"/>
      <w:bookmarkStart w:id="614" w:name="_Toc1784"/>
      <w:bookmarkStart w:id="615" w:name="_Toc13880"/>
      <w:bookmarkStart w:id="616" w:name="_Toc30423"/>
      <w:bookmarkStart w:id="617" w:name="_Toc17531"/>
      <w:bookmarkStart w:id="618" w:name="_Toc25520"/>
      <w:bookmarkStart w:id="619" w:name="_Toc17884"/>
      <w:bookmarkStart w:id="620" w:name="_Toc834"/>
      <w:bookmarkStart w:id="621" w:name="_Toc28934"/>
      <w:r>
        <w:rPr>
          <w:rFonts w:hint="eastAsia"/>
          <w:b/>
          <w:bCs/>
          <w:color w:val="auto"/>
          <w:sz w:val="32"/>
          <w:szCs w:val="32"/>
        </w:rPr>
        <w:t>初次报价明细表</w:t>
      </w:r>
      <w:bookmarkEnd w:id="589"/>
      <w:bookmarkEnd w:id="590"/>
      <w:bookmarkEnd w:id="591"/>
      <w:bookmarkEnd w:id="592"/>
      <w:bookmarkEnd w:id="593"/>
      <w:bookmarkEnd w:id="594"/>
      <w:bookmarkEnd w:id="595"/>
      <w:bookmarkEnd w:id="596"/>
    </w:p>
    <w:p w14:paraId="41193497">
      <w:pPr>
        <w:spacing w:line="460" w:lineRule="exact"/>
        <w:rPr>
          <w:rFonts w:ascii="宋体"/>
          <w:color w:val="auto"/>
          <w:sz w:val="24"/>
          <w:szCs w:val="24"/>
        </w:rPr>
      </w:pPr>
      <w:bookmarkStart w:id="622" w:name="_Toc17299"/>
      <w:r>
        <w:rPr>
          <w:rFonts w:hint="eastAsia"/>
          <w:color w:val="auto"/>
          <w:sz w:val="24"/>
        </w:rPr>
        <w:t>项目名称：</w:t>
      </w:r>
    </w:p>
    <w:p w14:paraId="03A7C48F">
      <w:pPr>
        <w:pStyle w:val="28"/>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22"/>
      <w:r>
        <w:rPr>
          <w:rFonts w:hint="eastAsia" w:ascii="Times New Roman" w:hAnsi="Times New Roman"/>
          <w:color w:val="auto"/>
          <w:sz w:val="24"/>
        </w:rPr>
        <w:t>：</w:t>
      </w:r>
    </w:p>
    <w:p w14:paraId="487CFD15">
      <w:pPr>
        <w:pStyle w:val="44"/>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tbl>
      <w:tblPr>
        <w:tblStyle w:val="47"/>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4200"/>
        <w:gridCol w:w="1215"/>
        <w:gridCol w:w="1320"/>
        <w:gridCol w:w="1216"/>
      </w:tblGrid>
      <w:tr w14:paraId="2EE3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5" w:type="dxa"/>
            <w:vAlign w:val="center"/>
          </w:tcPr>
          <w:p w14:paraId="55D6F416">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4200" w:type="dxa"/>
            <w:vAlign w:val="center"/>
          </w:tcPr>
          <w:p w14:paraId="79F6BAB8">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215" w:type="dxa"/>
            <w:vAlign w:val="center"/>
          </w:tcPr>
          <w:p w14:paraId="7CDB42CA">
            <w:pPr>
              <w:jc w:val="center"/>
              <w:rPr>
                <w:rFonts w:hint="default" w:eastAsia="宋体"/>
                <w:b/>
                <w:bCs/>
                <w:color w:val="auto"/>
                <w:shd w:val="clear" w:color="auto" w:fill="FFFFFF" w:themeFill="background1"/>
                <w:lang w:val="en-US" w:eastAsia="zh-CN"/>
              </w:rPr>
            </w:pPr>
            <w:r>
              <w:rPr>
                <w:rFonts w:hint="eastAsia" w:hAnsi="楷体" w:cs="楷体"/>
                <w:b/>
                <w:bCs/>
                <w:color w:val="auto"/>
                <w:shd w:val="clear" w:color="auto" w:fill="FFFFFF" w:themeFill="background1"/>
                <w:lang w:val="en-US" w:eastAsia="zh-CN"/>
              </w:rPr>
              <w:t>服务期限</w:t>
            </w:r>
          </w:p>
        </w:tc>
        <w:tc>
          <w:tcPr>
            <w:tcW w:w="1320" w:type="dxa"/>
            <w:vAlign w:val="center"/>
          </w:tcPr>
          <w:p w14:paraId="3AB798F9">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16" w:type="dxa"/>
            <w:vAlign w:val="center"/>
          </w:tcPr>
          <w:p w14:paraId="64133993">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34CFC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5" w:type="dxa"/>
            <w:vAlign w:val="center"/>
          </w:tcPr>
          <w:p w14:paraId="650EF6A8">
            <w:pPr>
              <w:pStyle w:val="168"/>
              <w:spacing w:line="480" w:lineRule="auto"/>
              <w:ind w:firstLine="0" w:firstLineChars="0"/>
              <w:jc w:val="both"/>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4200" w:type="dxa"/>
            <w:vAlign w:val="center"/>
          </w:tcPr>
          <w:p w14:paraId="089FF570">
            <w:pPr>
              <w:spacing w:line="360" w:lineRule="auto"/>
              <w:jc w:val="both"/>
              <w:rPr>
                <w:color w:val="auto"/>
                <w:sz w:val="24"/>
                <w:szCs w:val="24"/>
                <w:shd w:val="clear" w:color="auto" w:fill="FFFFFF" w:themeFill="background1"/>
              </w:rPr>
            </w:pPr>
            <w:r>
              <w:rPr>
                <w:rFonts w:hint="eastAsia"/>
                <w:color w:val="auto"/>
                <w:sz w:val="24"/>
                <w:szCs w:val="24"/>
                <w:shd w:val="clear" w:color="auto" w:fill="FFFFFF" w:themeFill="background1"/>
              </w:rPr>
              <w:t>服务器、存储、网络及安全设备维保及服务</w:t>
            </w:r>
          </w:p>
        </w:tc>
        <w:tc>
          <w:tcPr>
            <w:tcW w:w="1215" w:type="dxa"/>
            <w:vAlign w:val="center"/>
          </w:tcPr>
          <w:p w14:paraId="46EF2B64">
            <w:pPr>
              <w:spacing w:line="480" w:lineRule="auto"/>
              <w:jc w:val="center"/>
              <w:rPr>
                <w:rFonts w:hint="default" w:eastAsia="宋体"/>
                <w:color w:val="auto"/>
                <w:sz w:val="24"/>
                <w:szCs w:val="24"/>
                <w:shd w:val="clear" w:color="auto" w:fill="FFFFFF" w:themeFill="background1"/>
                <w:lang w:val="en-US" w:eastAsia="zh-CN"/>
              </w:rPr>
            </w:pPr>
            <w:r>
              <w:rPr>
                <w:rFonts w:hint="eastAsia"/>
                <w:color w:val="auto"/>
                <w:sz w:val="24"/>
                <w:szCs w:val="24"/>
                <w:shd w:val="clear" w:color="auto" w:fill="FFFFFF" w:themeFill="background1"/>
                <w:lang w:val="en-US" w:eastAsia="zh-CN"/>
              </w:rPr>
              <w:t>1年</w:t>
            </w:r>
          </w:p>
        </w:tc>
        <w:tc>
          <w:tcPr>
            <w:tcW w:w="1320" w:type="dxa"/>
            <w:vAlign w:val="center"/>
          </w:tcPr>
          <w:p w14:paraId="5C5B0236">
            <w:pPr>
              <w:spacing w:line="480" w:lineRule="auto"/>
              <w:jc w:val="both"/>
              <w:rPr>
                <w:color w:val="auto"/>
                <w:shd w:val="clear" w:color="auto" w:fill="FFFFFF" w:themeFill="background1"/>
              </w:rPr>
            </w:pPr>
          </w:p>
        </w:tc>
        <w:tc>
          <w:tcPr>
            <w:tcW w:w="1216" w:type="dxa"/>
            <w:vAlign w:val="center"/>
          </w:tcPr>
          <w:p w14:paraId="502B6125">
            <w:pPr>
              <w:spacing w:line="480" w:lineRule="auto"/>
              <w:jc w:val="both"/>
              <w:rPr>
                <w:color w:val="auto"/>
                <w:shd w:val="clear" w:color="auto" w:fill="FFFFFF" w:themeFill="background1"/>
              </w:rPr>
            </w:pPr>
          </w:p>
        </w:tc>
      </w:tr>
      <w:tr w14:paraId="46CAA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5" w:type="dxa"/>
            <w:vAlign w:val="center"/>
          </w:tcPr>
          <w:p w14:paraId="5417795D">
            <w:pPr>
              <w:pStyle w:val="168"/>
              <w:spacing w:line="480" w:lineRule="auto"/>
              <w:ind w:firstLine="0" w:firstLineChars="0"/>
              <w:jc w:val="both"/>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4200" w:type="dxa"/>
            <w:vAlign w:val="center"/>
          </w:tcPr>
          <w:p w14:paraId="3D8A9650">
            <w:pPr>
              <w:spacing w:line="360" w:lineRule="auto"/>
              <w:jc w:val="both"/>
              <w:rPr>
                <w:color w:val="auto"/>
                <w:sz w:val="24"/>
                <w:szCs w:val="24"/>
                <w:shd w:val="clear" w:color="auto" w:fill="FFFFFF" w:themeFill="background1"/>
              </w:rPr>
            </w:pPr>
            <w:r>
              <w:rPr>
                <w:rFonts w:hint="eastAsia"/>
                <w:color w:val="auto"/>
                <w:sz w:val="24"/>
                <w:szCs w:val="24"/>
                <w:shd w:val="clear" w:color="auto" w:fill="FFFFFF" w:themeFill="background1"/>
              </w:rPr>
              <w:t>机房维保及服务</w:t>
            </w:r>
          </w:p>
        </w:tc>
        <w:tc>
          <w:tcPr>
            <w:tcW w:w="1215" w:type="dxa"/>
            <w:vAlign w:val="center"/>
          </w:tcPr>
          <w:p w14:paraId="212158DB">
            <w:pPr>
              <w:spacing w:line="480" w:lineRule="auto"/>
              <w:jc w:val="center"/>
              <w:rPr>
                <w:color w:val="auto"/>
                <w:sz w:val="24"/>
                <w:szCs w:val="24"/>
                <w:shd w:val="clear" w:color="auto" w:fill="FFFFFF" w:themeFill="background1"/>
              </w:rPr>
            </w:pPr>
            <w:r>
              <w:rPr>
                <w:rFonts w:hint="eastAsia"/>
                <w:color w:val="auto"/>
                <w:sz w:val="24"/>
                <w:szCs w:val="24"/>
                <w:shd w:val="clear" w:color="auto" w:fill="FFFFFF" w:themeFill="background1"/>
                <w:lang w:val="en-US" w:eastAsia="zh-CN"/>
              </w:rPr>
              <w:t>1年</w:t>
            </w:r>
          </w:p>
        </w:tc>
        <w:tc>
          <w:tcPr>
            <w:tcW w:w="1320" w:type="dxa"/>
            <w:vAlign w:val="center"/>
          </w:tcPr>
          <w:p w14:paraId="74FE0A74">
            <w:pPr>
              <w:spacing w:line="480" w:lineRule="auto"/>
              <w:jc w:val="both"/>
              <w:rPr>
                <w:color w:val="auto"/>
                <w:shd w:val="clear" w:color="auto" w:fill="FFFFFF" w:themeFill="background1"/>
              </w:rPr>
            </w:pPr>
          </w:p>
        </w:tc>
        <w:tc>
          <w:tcPr>
            <w:tcW w:w="1216" w:type="dxa"/>
            <w:vAlign w:val="center"/>
          </w:tcPr>
          <w:p w14:paraId="6F120A18">
            <w:pPr>
              <w:spacing w:line="480" w:lineRule="auto"/>
              <w:jc w:val="both"/>
              <w:rPr>
                <w:color w:val="auto"/>
                <w:shd w:val="clear" w:color="auto" w:fill="FFFFFF" w:themeFill="background1"/>
              </w:rPr>
            </w:pPr>
          </w:p>
        </w:tc>
      </w:tr>
      <w:tr w14:paraId="795DD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5" w:type="dxa"/>
            <w:vAlign w:val="center"/>
          </w:tcPr>
          <w:p w14:paraId="0FC7A726">
            <w:pPr>
              <w:pStyle w:val="168"/>
              <w:spacing w:line="480" w:lineRule="auto"/>
              <w:ind w:firstLine="0" w:firstLineChars="0"/>
              <w:jc w:val="both"/>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4200" w:type="dxa"/>
            <w:vAlign w:val="center"/>
          </w:tcPr>
          <w:p w14:paraId="5FB1E5E6">
            <w:pPr>
              <w:spacing w:line="360" w:lineRule="auto"/>
              <w:jc w:val="both"/>
              <w:rPr>
                <w:color w:val="auto"/>
                <w:sz w:val="24"/>
                <w:szCs w:val="24"/>
                <w:shd w:val="clear" w:color="auto" w:fill="FFFFFF" w:themeFill="background1"/>
              </w:rPr>
            </w:pPr>
            <w:r>
              <w:rPr>
                <w:rFonts w:hint="eastAsia"/>
                <w:color w:val="auto"/>
                <w:sz w:val="24"/>
                <w:szCs w:val="24"/>
                <w:shd w:val="clear" w:color="auto" w:fill="FFFFFF" w:themeFill="background1"/>
              </w:rPr>
              <w:t>信息系统维保及服务</w:t>
            </w:r>
          </w:p>
        </w:tc>
        <w:tc>
          <w:tcPr>
            <w:tcW w:w="1215" w:type="dxa"/>
            <w:vAlign w:val="center"/>
          </w:tcPr>
          <w:p w14:paraId="5279A75D">
            <w:pPr>
              <w:spacing w:line="480" w:lineRule="auto"/>
              <w:jc w:val="center"/>
              <w:rPr>
                <w:color w:val="auto"/>
                <w:sz w:val="24"/>
                <w:szCs w:val="24"/>
                <w:shd w:val="clear" w:color="auto" w:fill="FFFFFF" w:themeFill="background1"/>
              </w:rPr>
            </w:pPr>
            <w:r>
              <w:rPr>
                <w:rFonts w:hint="eastAsia"/>
                <w:color w:val="auto"/>
                <w:sz w:val="24"/>
                <w:szCs w:val="24"/>
                <w:shd w:val="clear" w:color="auto" w:fill="FFFFFF" w:themeFill="background1"/>
                <w:lang w:val="en-US" w:eastAsia="zh-CN"/>
              </w:rPr>
              <w:t>1年</w:t>
            </w:r>
          </w:p>
        </w:tc>
        <w:tc>
          <w:tcPr>
            <w:tcW w:w="1320" w:type="dxa"/>
            <w:vAlign w:val="center"/>
          </w:tcPr>
          <w:p w14:paraId="75BBBEF5">
            <w:pPr>
              <w:spacing w:line="480" w:lineRule="auto"/>
              <w:jc w:val="both"/>
              <w:rPr>
                <w:color w:val="auto"/>
                <w:shd w:val="clear" w:color="auto" w:fill="FFFFFF" w:themeFill="background1"/>
              </w:rPr>
            </w:pPr>
          </w:p>
        </w:tc>
        <w:tc>
          <w:tcPr>
            <w:tcW w:w="1216" w:type="dxa"/>
            <w:vAlign w:val="center"/>
          </w:tcPr>
          <w:p w14:paraId="726109CF">
            <w:pPr>
              <w:spacing w:line="480" w:lineRule="auto"/>
              <w:jc w:val="both"/>
              <w:rPr>
                <w:color w:val="auto"/>
                <w:shd w:val="clear" w:color="auto" w:fill="FFFFFF" w:themeFill="background1"/>
              </w:rPr>
            </w:pPr>
          </w:p>
        </w:tc>
      </w:tr>
    </w:tbl>
    <w:p w14:paraId="0BD712FA">
      <w:pPr>
        <w:pStyle w:val="44"/>
        <w:snapToGrid w:val="0"/>
        <w:spacing w:line="400" w:lineRule="exact"/>
        <w:rPr>
          <w:color w:val="auto"/>
          <w:szCs w:val="24"/>
        </w:rPr>
      </w:pPr>
      <w:r>
        <w:rPr>
          <w:rFonts w:hint="eastAsia"/>
          <w:color w:val="auto"/>
          <w:szCs w:val="24"/>
        </w:rPr>
        <w:t>注：本报价中应包含乙方完成本项目所需的一切费用，包括但不限于信息化及软硬件维保服务、其他技术服务费、培训费、保修保换费、保险费、税费等。</w:t>
      </w:r>
    </w:p>
    <w:p w14:paraId="22F2FF66">
      <w:pPr>
        <w:pStyle w:val="44"/>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4BB37EAE">
      <w:pPr>
        <w:pStyle w:val="44"/>
        <w:snapToGrid w:val="0"/>
        <w:spacing w:line="400" w:lineRule="exact"/>
        <w:rPr>
          <w:color w:val="auto"/>
          <w:szCs w:val="24"/>
        </w:rPr>
      </w:pPr>
      <w:r>
        <w:rPr>
          <w:rFonts w:hint="eastAsia"/>
          <w:color w:val="auto"/>
          <w:szCs w:val="24"/>
        </w:rPr>
        <w:t>货币单位：元（人民币）</w:t>
      </w:r>
    </w:p>
    <w:p w14:paraId="426D1460">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465109A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F75CAA8">
      <w:pPr>
        <w:pStyle w:val="28"/>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6FC15FC7">
      <w:pPr>
        <w:jc w:val="center"/>
        <w:rPr>
          <w:rFonts w:hint="eastAsia"/>
          <w:b/>
          <w:bCs/>
          <w:color w:val="auto"/>
          <w:sz w:val="32"/>
          <w:szCs w:val="32"/>
        </w:rPr>
      </w:pPr>
      <w:bookmarkStart w:id="623" w:name="_Toc30565"/>
      <w:bookmarkStart w:id="624" w:name="_Toc10198"/>
      <w:bookmarkStart w:id="625" w:name="_Toc8084"/>
      <w:bookmarkStart w:id="626" w:name="_Toc10325"/>
      <w:bookmarkStart w:id="627" w:name="_Toc22648"/>
      <w:bookmarkStart w:id="628" w:name="_Toc32362"/>
      <w:bookmarkStart w:id="629" w:name="_Toc2449"/>
      <w:bookmarkStart w:id="630" w:name="_Toc1415"/>
      <w:bookmarkStart w:id="631" w:name="_Toc5648"/>
      <w:bookmarkStart w:id="632" w:name="_Toc16299"/>
      <w:bookmarkStart w:id="633" w:name="_Toc16832"/>
      <w:bookmarkStart w:id="634" w:name="_Toc11218"/>
    </w:p>
    <w:p w14:paraId="4420BE48">
      <w:pPr>
        <w:jc w:val="center"/>
        <w:rPr>
          <w:rFonts w:hint="eastAsia"/>
          <w:b/>
          <w:bCs/>
          <w:color w:val="auto"/>
          <w:sz w:val="32"/>
          <w:szCs w:val="32"/>
        </w:rPr>
      </w:pPr>
      <w:r>
        <w:rPr>
          <w:rFonts w:hint="eastAsia"/>
          <w:b/>
          <w:bCs/>
          <w:color w:val="auto"/>
          <w:sz w:val="32"/>
          <w:szCs w:val="32"/>
        </w:rPr>
        <w:t>注：响应方针对报价需要说明的其他文件和说明(如有，格式自拟)</w:t>
      </w:r>
      <w:bookmarkEnd w:id="623"/>
      <w:bookmarkEnd w:id="624"/>
      <w:bookmarkEnd w:id="625"/>
      <w:bookmarkEnd w:id="626"/>
      <w:bookmarkEnd w:id="627"/>
      <w:bookmarkEnd w:id="628"/>
      <w:bookmarkEnd w:id="629"/>
      <w:bookmarkEnd w:id="630"/>
      <w:bookmarkEnd w:id="631"/>
      <w:bookmarkEnd w:id="632"/>
      <w:bookmarkEnd w:id="633"/>
    </w:p>
    <w:bookmarkEnd w:id="634"/>
    <w:p w14:paraId="22404E69">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14:paraId="70D77C04">
      <w:pPr>
        <w:pStyle w:val="6"/>
        <w:ind w:left="0" w:firstLine="0"/>
        <w:rPr>
          <w:color w:val="auto"/>
        </w:rPr>
      </w:pPr>
      <w:bookmarkStart w:id="635" w:name="_Toc16839"/>
      <w:bookmarkStart w:id="636" w:name="_Toc19296"/>
      <w:r>
        <w:rPr>
          <w:rFonts w:hint="eastAsia"/>
          <w:color w:val="auto"/>
        </w:rPr>
        <w:t>（2）中小企业声明函</w:t>
      </w:r>
      <w:bookmarkEnd w:id="635"/>
      <w:bookmarkEnd w:id="636"/>
    </w:p>
    <w:p w14:paraId="0C79BD0E">
      <w:pPr>
        <w:pStyle w:val="28"/>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072EF5D5">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0AF2D4CA">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 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2239BF41">
      <w:pPr>
        <w:pStyle w:val="168"/>
        <w:tabs>
          <w:tab w:val="left" w:pos="1243"/>
          <w:tab w:val="left" w:pos="1806"/>
          <w:tab w:val="left" w:pos="5005"/>
          <w:tab w:val="left" w:pos="7213"/>
        </w:tabs>
        <w:autoSpaceDE w:val="0"/>
        <w:autoSpaceDN w:val="0"/>
        <w:spacing w:line="360" w:lineRule="auto"/>
        <w:ind w:left="15" w:right="-54" w:firstLine="478" w:firstLineChars="238"/>
        <w:jc w:val="left"/>
        <w:rPr>
          <w:rFonts w:ascii="宋体" w:hAnsi="宋体" w:cs="宋体"/>
          <w:color w:val="auto"/>
          <w:szCs w:val="21"/>
        </w:rPr>
      </w:pPr>
      <w:r>
        <w:rPr>
          <w:rFonts w:hint="eastAsia" w:ascii="宋体" w:hAnsi="宋体" w:cs="宋体"/>
          <w:iCs/>
          <w:color w:val="auto"/>
          <w:w w:val="96"/>
          <w:szCs w:val="21"/>
        </w:rPr>
        <w:t>2.</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 软件和信息技术服务业）</w:t>
      </w:r>
      <w:r>
        <w:rPr>
          <w:rFonts w:hint="eastAsia" w:ascii="宋体" w:hAnsi="宋体" w:cs="宋体"/>
          <w:color w:val="auto"/>
          <w:w w:val="99"/>
          <w:szCs w:val="21"/>
        </w:rPr>
        <w:t>； 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1F0406E9">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70EAFE20">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D4208D8">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A63EA70">
      <w:pPr>
        <w:pStyle w:val="28"/>
        <w:spacing w:line="360" w:lineRule="auto"/>
        <w:ind w:left="-27" w:firstLine="4796" w:firstLineChars="2275"/>
        <w:rPr>
          <w:rFonts w:hAnsi="宋体" w:cs="宋体"/>
          <w:b/>
          <w:bCs/>
          <w:color w:val="auto"/>
          <w:sz w:val="21"/>
          <w:szCs w:val="21"/>
        </w:rPr>
      </w:pPr>
    </w:p>
    <w:p w14:paraId="2879A3D3">
      <w:pPr>
        <w:pStyle w:val="28"/>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6B536C51">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64D95D2E">
      <w:pPr>
        <w:pStyle w:val="28"/>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437FDBE1">
      <w:pPr>
        <w:autoSpaceDE w:val="0"/>
        <w:autoSpaceDN w:val="0"/>
        <w:spacing w:line="360" w:lineRule="auto"/>
        <w:rPr>
          <w:color w:val="auto"/>
          <w:szCs w:val="21"/>
          <w:highlight w:val="green"/>
        </w:rPr>
      </w:pPr>
    </w:p>
    <w:p w14:paraId="1F79EB42">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5506AC1F">
      <w:pPr>
        <w:pStyle w:val="20"/>
        <w:rPr>
          <w:b/>
          <w:bCs/>
          <w:color w:val="auto"/>
        </w:rPr>
      </w:pPr>
      <w:r>
        <w:rPr>
          <w:rFonts w:hint="eastAsia"/>
          <w:b/>
          <w:bCs/>
          <w:color w:val="auto"/>
        </w:rPr>
        <w:t>1.从业人员、营业收入、资产总额填报上一年度数据，无上一年度数据的新成立企业可不填报。</w:t>
      </w:r>
    </w:p>
    <w:p w14:paraId="03648FB7">
      <w:pPr>
        <w:pStyle w:val="20"/>
        <w:rPr>
          <w:b/>
          <w:bCs/>
          <w:color w:val="auto"/>
        </w:rPr>
      </w:pPr>
      <w:r>
        <w:rPr>
          <w:rFonts w:hint="eastAsia"/>
          <w:b/>
          <w:bCs/>
          <w:color w:val="auto"/>
        </w:rPr>
        <w:t>2.本项目所属行业见前附表。</w:t>
      </w:r>
    </w:p>
    <w:p w14:paraId="5BE04DE3">
      <w:pPr>
        <w:pStyle w:val="20"/>
        <w:rPr>
          <w:b/>
          <w:bCs/>
          <w:color w:val="auto"/>
        </w:rPr>
      </w:pPr>
      <w:r>
        <w:rPr>
          <w:rFonts w:hint="eastAsia"/>
          <w:b/>
          <w:bCs/>
          <w:color w:val="auto"/>
        </w:rPr>
        <w:t>3.中小企业划型标准规定（工信部联企业[2011]300号）附后。</w:t>
      </w:r>
    </w:p>
    <w:p w14:paraId="5B618FF7">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0DD6DBAF">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3828032D">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64152290">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68A216F3">
      <w:pPr>
        <w:pStyle w:val="28"/>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664853A0">
      <w:pPr>
        <w:pStyle w:val="28"/>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7E12BB72">
      <w:pPr>
        <w:rPr>
          <w:b/>
          <w:color w:val="auto"/>
          <w:sz w:val="32"/>
          <w:szCs w:val="32"/>
        </w:rPr>
      </w:pPr>
    </w:p>
    <w:p w14:paraId="28497ADC">
      <w:pPr>
        <w:pStyle w:val="6"/>
        <w:ind w:left="0" w:firstLine="0"/>
        <w:rPr>
          <w:color w:val="auto"/>
        </w:rPr>
      </w:pPr>
      <w:bookmarkStart w:id="637" w:name="_Toc21143"/>
      <w:bookmarkStart w:id="638" w:name="_Toc15319"/>
      <w:r>
        <w:rPr>
          <w:rFonts w:hint="eastAsia"/>
          <w:color w:val="auto"/>
        </w:rPr>
        <w:t>（3）属于监狱企业的证明文件（若属于监狱企业）</w:t>
      </w:r>
      <w:bookmarkEnd w:id="637"/>
      <w:bookmarkEnd w:id="638"/>
    </w:p>
    <w:p w14:paraId="5E702EA7">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29057E13">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2C5F62E0">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4D729110">
      <w:pPr>
        <w:adjustRightInd w:val="0"/>
        <w:snapToGrid w:val="0"/>
        <w:spacing w:line="288" w:lineRule="auto"/>
        <w:rPr>
          <w:color w:val="auto"/>
          <w:szCs w:val="21"/>
        </w:rPr>
      </w:pPr>
    </w:p>
    <w:p w14:paraId="6E325CBF">
      <w:pPr>
        <w:adjustRightInd w:val="0"/>
        <w:snapToGrid w:val="0"/>
        <w:spacing w:line="288" w:lineRule="auto"/>
        <w:rPr>
          <w:b/>
          <w:bCs/>
          <w:color w:val="auto"/>
          <w:szCs w:val="21"/>
        </w:rPr>
      </w:pPr>
      <w:r>
        <w:rPr>
          <w:rFonts w:hint="eastAsia"/>
          <w:b/>
          <w:bCs/>
          <w:color w:val="auto"/>
          <w:szCs w:val="21"/>
        </w:rPr>
        <w:t>说明：</w:t>
      </w:r>
    </w:p>
    <w:p w14:paraId="1C5C9BB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9DB20B">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177BE604">
      <w:pPr>
        <w:widowControl/>
        <w:adjustRightInd w:val="0"/>
        <w:snapToGrid w:val="0"/>
        <w:spacing w:line="288" w:lineRule="auto"/>
        <w:jc w:val="left"/>
        <w:rPr>
          <w:b/>
          <w:color w:val="auto"/>
          <w:spacing w:val="-6"/>
          <w:szCs w:val="21"/>
        </w:rPr>
      </w:pPr>
      <w:r>
        <w:rPr>
          <w:b/>
          <w:color w:val="auto"/>
          <w:spacing w:val="-6"/>
          <w:szCs w:val="21"/>
        </w:rPr>
        <w:br w:type="page"/>
      </w:r>
    </w:p>
    <w:p w14:paraId="23D6AFDC">
      <w:pPr>
        <w:pStyle w:val="6"/>
        <w:ind w:left="0" w:firstLine="0"/>
        <w:rPr>
          <w:color w:val="auto"/>
        </w:rPr>
      </w:pPr>
      <w:bookmarkStart w:id="639" w:name="_Toc28620"/>
      <w:bookmarkStart w:id="640" w:name="_Toc1537"/>
      <w:r>
        <w:rPr>
          <w:rFonts w:hint="eastAsia"/>
          <w:color w:val="auto"/>
        </w:rPr>
        <w:t>（4）残疾人福利性单位声明函（若属于残疾人福利性单位）</w:t>
      </w:r>
      <w:bookmarkEnd w:id="639"/>
      <w:bookmarkEnd w:id="640"/>
    </w:p>
    <w:p w14:paraId="2DBF3F36">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9010BA4">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755F5D77">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1D6ECD43">
      <w:pPr>
        <w:spacing w:line="360" w:lineRule="auto"/>
        <w:ind w:firstLine="504" w:firstLineChars="200"/>
        <w:rPr>
          <w:color w:val="auto"/>
          <w:spacing w:val="6"/>
          <w:sz w:val="24"/>
        </w:rPr>
      </w:pPr>
    </w:p>
    <w:p w14:paraId="0D14E2F1">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A28C7FA">
      <w:pPr>
        <w:pStyle w:val="2"/>
        <w:rPr>
          <w:color w:val="auto"/>
        </w:rPr>
      </w:pPr>
    </w:p>
    <w:p w14:paraId="4ACE78AE">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2FB48B3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F35D6F6">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F9170E6">
      <w:pPr>
        <w:adjustRightInd w:val="0"/>
        <w:snapToGrid w:val="0"/>
        <w:spacing w:line="288" w:lineRule="auto"/>
        <w:rPr>
          <w:rFonts w:ascii="宋体" w:hAnsi="宋体"/>
          <w:b/>
          <w:bCs/>
          <w:color w:val="auto"/>
          <w:szCs w:val="21"/>
        </w:rPr>
      </w:pPr>
    </w:p>
    <w:p w14:paraId="517613A5">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7AB19B66">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44DF076D">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0F1ABC14">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6C94847B">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E55AF8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09C8B30C">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353D13C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B834F16">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6071F4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31A769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1BBB86BC">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41" w:name="_Toc28040"/>
      <w:bookmarkStart w:id="642" w:name="_Toc4654"/>
      <w:bookmarkStart w:id="643" w:name="_Toc8554"/>
      <w:bookmarkStart w:id="644" w:name="_Toc4882"/>
      <w:bookmarkStart w:id="645" w:name="_Toc23382"/>
      <w:bookmarkStart w:id="646" w:name="_Toc5305"/>
      <w:bookmarkStart w:id="647" w:name="_Toc13355"/>
      <w:bookmarkStart w:id="648" w:name="_Toc27765"/>
      <w:bookmarkStart w:id="649" w:name="_Toc9514"/>
      <w:bookmarkStart w:id="650" w:name="_Toc32174"/>
      <w:bookmarkStart w:id="651" w:name="_Toc30975"/>
      <w:bookmarkStart w:id="652" w:name="_Toc2678"/>
      <w:bookmarkStart w:id="653" w:name="_Toc21390"/>
      <w:bookmarkStart w:id="654" w:name="_Toc17483"/>
      <w:bookmarkStart w:id="655" w:name="_Toc10465"/>
      <w:bookmarkStart w:id="656" w:name="_Toc1234"/>
      <w:bookmarkStart w:id="657" w:name="_Toc10583"/>
      <w:bookmarkStart w:id="658" w:name="_Toc4245"/>
      <w:bookmarkStart w:id="659" w:name="_Toc31197"/>
      <w:bookmarkStart w:id="660" w:name="_Toc4011"/>
      <w:bookmarkStart w:id="661" w:name="_Toc4954"/>
      <w:bookmarkStart w:id="662" w:name="_Toc27848"/>
      <w:bookmarkStart w:id="663" w:name="_Toc17061"/>
      <w:bookmarkStart w:id="664" w:name="_Toc28796"/>
      <w:bookmarkStart w:id="665" w:name="_Toc3902"/>
      <w:bookmarkStart w:id="666" w:name="_Toc11033"/>
      <w:bookmarkStart w:id="667" w:name="_Toc21599"/>
      <w:bookmarkStart w:id="668" w:name="_Toc29034"/>
      <w:bookmarkStart w:id="669" w:name="_Toc6658"/>
      <w:bookmarkStart w:id="670" w:name="_Toc593"/>
      <w:bookmarkStart w:id="671" w:name="_Toc19321"/>
      <w:bookmarkStart w:id="672" w:name="_Toc432"/>
      <w:bookmarkStart w:id="673" w:name="_Toc25574"/>
      <w:bookmarkStart w:id="674" w:name="_Toc13604"/>
      <w:bookmarkStart w:id="675" w:name="_Toc2960"/>
      <w:bookmarkStart w:id="676" w:name="_Toc20322"/>
      <w:bookmarkStart w:id="677" w:name="_Toc22262"/>
      <w:bookmarkStart w:id="678" w:name="_Toc118516210"/>
      <w:r>
        <w:rPr>
          <w:rFonts w:hint="eastAsia"/>
          <w:b/>
          <w:bCs/>
          <w:color w:val="auto"/>
          <w:sz w:val="84"/>
          <w:szCs w:val="84"/>
        </w:rPr>
        <w:t>商务和技术文件</w:t>
      </w:r>
      <w:bookmarkEnd w:id="641"/>
      <w:bookmarkEnd w:id="642"/>
    </w:p>
    <w:p w14:paraId="16561BB1">
      <w:pPr>
        <w:pStyle w:val="6"/>
        <w:tabs>
          <w:tab w:val="left" w:pos="0"/>
          <w:tab w:val="clear" w:pos="1275"/>
        </w:tabs>
        <w:ind w:left="15" w:hanging="15"/>
        <w:rPr>
          <w:color w:val="auto"/>
          <w:sz w:val="24"/>
          <w:szCs w:val="24"/>
        </w:rPr>
      </w:pPr>
    </w:p>
    <w:p w14:paraId="6A6A6B6B">
      <w:pPr>
        <w:pStyle w:val="6"/>
        <w:ind w:left="0" w:firstLine="0"/>
        <w:rPr>
          <w:color w:val="auto"/>
        </w:rPr>
      </w:pPr>
      <w:bookmarkStart w:id="679" w:name="_Toc16953"/>
      <w:bookmarkStart w:id="680" w:name="_Toc23252"/>
      <w:r>
        <w:rPr>
          <w:rFonts w:hint="eastAsia"/>
          <w:color w:val="auto"/>
        </w:rPr>
        <w:t>（1）磋商响应函</w:t>
      </w:r>
      <w:bookmarkEnd w:id="679"/>
      <w:bookmarkEnd w:id="680"/>
      <w:r>
        <w:rPr>
          <w:rFonts w:hint="eastAsia"/>
          <w:color w:val="auto"/>
        </w:rPr>
        <w:t xml:space="preserve">   </w:t>
      </w:r>
    </w:p>
    <w:p w14:paraId="6E5D8DB1">
      <w:pPr>
        <w:jc w:val="center"/>
        <w:rPr>
          <w:b/>
          <w:color w:val="auto"/>
          <w:sz w:val="32"/>
          <w:szCs w:val="32"/>
        </w:rPr>
      </w:pPr>
      <w:r>
        <w:rPr>
          <w:rFonts w:hint="eastAsia"/>
          <w:b/>
          <w:color w:val="auto"/>
          <w:sz w:val="32"/>
          <w:szCs w:val="32"/>
        </w:rPr>
        <w:t>磋商响应函</w:t>
      </w:r>
    </w:p>
    <w:p w14:paraId="3136F779">
      <w:pPr>
        <w:pStyle w:val="28"/>
        <w:ind w:left="-27" w:firstLine="530"/>
        <w:rPr>
          <w:rFonts w:ascii="Times New Roman" w:hAnsi="Times New Roman"/>
          <w:b/>
          <w:color w:val="auto"/>
          <w:sz w:val="30"/>
        </w:rPr>
      </w:pPr>
    </w:p>
    <w:p w14:paraId="68087C71">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75CC6DF4">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1E4E8A12">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1</w:t>
      </w:r>
      <w:r>
        <w:rPr>
          <w:rFonts w:hint="eastAsia" w:ascii="Times New Roman" w:hAnsi="Times New Roman"/>
          <w:color w:val="auto"/>
          <w:sz w:val="24"/>
        </w:rPr>
        <w:t>、提供响应方须知规定的全部响应文件：</w:t>
      </w:r>
    </w:p>
    <w:p w14:paraId="074EB6B1">
      <w:pPr>
        <w:spacing w:line="312" w:lineRule="auto"/>
        <w:ind w:firstLine="480" w:firstLineChars="200"/>
        <w:rPr>
          <w:color w:val="auto"/>
          <w:sz w:val="24"/>
        </w:rPr>
      </w:pPr>
      <w:r>
        <w:rPr>
          <w:color w:val="auto"/>
          <w:sz w:val="24"/>
        </w:rPr>
        <w:t>2</w:t>
      </w:r>
      <w:r>
        <w:rPr>
          <w:rFonts w:hint="eastAsia"/>
          <w:color w:val="auto"/>
          <w:sz w:val="24"/>
        </w:rPr>
        <w:t>、保证遵守磋商文件中的有关规定和收费标准。</w:t>
      </w:r>
    </w:p>
    <w:p w14:paraId="31470CFE">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1621A8F">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471CD30B">
      <w:pPr>
        <w:pStyle w:val="28"/>
        <w:spacing w:line="312" w:lineRule="auto"/>
        <w:ind w:left="-27" w:firstLine="422"/>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D2AC8A9">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4A6A432">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0D22DAA6">
      <w:pPr>
        <w:pStyle w:val="28"/>
        <w:spacing w:line="312" w:lineRule="auto"/>
        <w:ind w:left="-27" w:firstLine="422"/>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67C2A866">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hint="eastAsia" w:ascii="Times New Roman" w:hAnsi="Times New Roman"/>
          <w:color w:val="auto"/>
          <w:sz w:val="24"/>
        </w:rPr>
        <w:t>9、与本响应有关的一切往来通讯请寄：</w:t>
      </w:r>
    </w:p>
    <w:p w14:paraId="61736C0F">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3566AF14">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2FF4D6B1">
      <w:pPr>
        <w:pStyle w:val="28"/>
        <w:spacing w:line="312" w:lineRule="auto"/>
        <w:ind w:left="-27" w:firstLine="422"/>
        <w:rPr>
          <w:rFonts w:ascii="Times New Roman" w:hAnsi="Times New Roman"/>
          <w:color w:val="auto"/>
          <w:sz w:val="24"/>
        </w:rPr>
      </w:pPr>
    </w:p>
    <w:p w14:paraId="5606141D">
      <w:pPr>
        <w:pStyle w:val="28"/>
        <w:spacing w:line="312" w:lineRule="auto"/>
        <w:ind w:left="-27" w:firstLine="422"/>
        <w:rPr>
          <w:rFonts w:ascii="Times New Roman" w:hAnsi="Times New Roman"/>
          <w:color w:val="auto"/>
          <w:sz w:val="24"/>
        </w:rPr>
      </w:pPr>
    </w:p>
    <w:p w14:paraId="6C8631E3">
      <w:pPr>
        <w:pStyle w:val="28"/>
        <w:spacing w:line="312" w:lineRule="auto"/>
        <w:ind w:left="-27" w:firstLine="480" w:firstLineChars="200"/>
        <w:rPr>
          <w:rFonts w:ascii="Times New Roman" w:hAnsi="Times New Roman"/>
          <w:color w:val="auto"/>
          <w:sz w:val="24"/>
        </w:rPr>
      </w:pPr>
    </w:p>
    <w:p w14:paraId="0DAD7702">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6D39471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DA28F12">
      <w:pPr>
        <w:spacing w:before="240" w:beforeLines="100" w:after="240" w:afterLines="100"/>
        <w:jc w:val="left"/>
        <w:rPr>
          <w:color w:val="auto"/>
          <w:sz w:val="24"/>
          <w:szCs w:val="24"/>
        </w:rPr>
      </w:pPr>
      <w:r>
        <w:rPr>
          <w:rFonts w:hint="eastAsia" w:ascii="宋体" w:hAnsi="宋体" w:cs="宋体"/>
          <w:color w:val="auto"/>
          <w:sz w:val="24"/>
        </w:rPr>
        <w:t>日期：      年   月   日</w:t>
      </w:r>
    </w:p>
    <w:p w14:paraId="49C05EE8">
      <w:pPr>
        <w:rPr>
          <w:color w:val="auto"/>
          <w:sz w:val="24"/>
          <w:szCs w:val="24"/>
        </w:rPr>
      </w:pPr>
    </w:p>
    <w:p w14:paraId="2EC7CFC6">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3B5364B3">
      <w:pPr>
        <w:pStyle w:val="6"/>
        <w:ind w:left="0" w:firstLine="0"/>
        <w:rPr>
          <w:color w:val="auto"/>
        </w:rPr>
      </w:pPr>
      <w:bookmarkStart w:id="681" w:name="_Toc1401"/>
      <w:bookmarkStart w:id="682" w:name="_Toc7411"/>
      <w:r>
        <w:rPr>
          <w:rFonts w:hint="eastAsia"/>
          <w:color w:val="auto"/>
        </w:rPr>
        <w:t>（2）法定代表人授权书（非法定代表人参加时提供）</w:t>
      </w:r>
      <w:bookmarkEnd w:id="681"/>
      <w:bookmarkEnd w:id="682"/>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37CD5443">
      <w:pPr>
        <w:pStyle w:val="28"/>
        <w:tabs>
          <w:tab w:val="left" w:pos="450"/>
        </w:tabs>
        <w:spacing w:line="400" w:lineRule="atLeast"/>
        <w:ind w:left="-27" w:firstLine="422"/>
        <w:rPr>
          <w:rFonts w:ascii="Times New Roman" w:hAnsi="Times New Roman"/>
          <w:color w:val="auto"/>
          <w:sz w:val="24"/>
          <w:szCs w:val="24"/>
        </w:rPr>
      </w:pPr>
    </w:p>
    <w:p w14:paraId="1EC3D00E">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4137DB6F">
      <w:pPr>
        <w:pStyle w:val="28"/>
        <w:spacing w:line="600" w:lineRule="atLeast"/>
        <w:ind w:left="-27" w:firstLine="493"/>
        <w:rPr>
          <w:rFonts w:ascii="Times New Roman" w:hAnsi="Times New Roman"/>
          <w:color w:val="auto"/>
          <w:sz w:val="28"/>
          <w:u w:val="single"/>
        </w:rPr>
      </w:pPr>
    </w:p>
    <w:p w14:paraId="6F8A00E1">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18079DF">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BC5A87D">
      <w:pPr>
        <w:pStyle w:val="28"/>
        <w:spacing w:line="600" w:lineRule="atLeast"/>
        <w:ind w:left="-27" w:firstLine="422"/>
        <w:rPr>
          <w:rFonts w:ascii="Times New Roman" w:hAnsi="Times New Roman"/>
          <w:color w:val="auto"/>
          <w:sz w:val="24"/>
          <w:szCs w:val="24"/>
        </w:rPr>
      </w:pPr>
    </w:p>
    <w:p w14:paraId="52C81773">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ascii="宋体" w:hAnsi="宋体"/>
          <w:b/>
          <w:bCs/>
          <w:color w:val="auto"/>
          <w:spacing w:val="-6"/>
          <w:sz w:val="24"/>
          <w:szCs w:val="24"/>
          <w:u w:val="single"/>
        </w:rPr>
        <w:t>3</w:t>
      </w:r>
      <w:r>
        <w:rPr>
          <w:rFonts w:hint="eastAsia" w:ascii="宋体" w:hAnsi="宋体"/>
          <w:b/>
          <w:bCs/>
          <w:color w:val="auto"/>
          <w:spacing w:val="-6"/>
          <w:sz w:val="24"/>
          <w:szCs w:val="24"/>
          <w:u w:val="single"/>
        </w:rPr>
        <w:t>年12月（含）以后任意一月社保缴纳证明。</w:t>
      </w:r>
    </w:p>
    <w:p w14:paraId="702C284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49B146B8">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05F972F">
      <w:pPr>
        <w:pStyle w:val="28"/>
        <w:spacing w:line="400" w:lineRule="atLeast"/>
        <w:ind w:left="-27" w:firstLine="422"/>
        <w:rPr>
          <w:rFonts w:ascii="Times New Roman" w:hAnsi="Times New Roman"/>
          <w:color w:val="auto"/>
          <w:sz w:val="24"/>
          <w:szCs w:val="24"/>
        </w:rPr>
      </w:pPr>
    </w:p>
    <w:p w14:paraId="27303481">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5E9984D1">
      <w:pPr>
        <w:pStyle w:val="28"/>
        <w:spacing w:line="400" w:lineRule="atLeast"/>
        <w:ind w:left="-27" w:firstLine="422"/>
        <w:rPr>
          <w:rFonts w:ascii="Times New Roman" w:hAnsi="Times New Roman"/>
          <w:color w:val="auto"/>
          <w:sz w:val="24"/>
          <w:szCs w:val="24"/>
        </w:rPr>
      </w:pPr>
    </w:p>
    <w:p w14:paraId="32F14C12">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4C26FC22">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54DE78B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267438D5">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231AB344">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3EE0F76">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70E5E8C0">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1C88906D">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BE6BCAB">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5386A4D">
      <w:pPr>
        <w:widowControl/>
        <w:ind w:firstLine="723" w:firstLineChars="225"/>
        <w:jc w:val="left"/>
        <w:rPr>
          <w:b/>
          <w:color w:val="auto"/>
          <w:sz w:val="32"/>
          <w:szCs w:val="32"/>
        </w:rPr>
      </w:pPr>
      <w:r>
        <w:rPr>
          <w:rFonts w:hint="eastAsia"/>
          <w:b/>
          <w:color w:val="auto"/>
          <w:sz w:val="32"/>
          <w:szCs w:val="32"/>
        </w:rPr>
        <w:t>法定代表人身份证复印件（正反面）</w:t>
      </w:r>
    </w:p>
    <w:p w14:paraId="58C8FF02">
      <w:pPr>
        <w:widowControl/>
        <w:ind w:firstLine="723" w:firstLineChars="225"/>
        <w:jc w:val="left"/>
        <w:rPr>
          <w:b/>
          <w:color w:val="auto"/>
          <w:sz w:val="32"/>
          <w:szCs w:val="32"/>
        </w:rPr>
      </w:pPr>
    </w:p>
    <w:p w14:paraId="4A5D493F">
      <w:pPr>
        <w:widowControl/>
        <w:ind w:firstLine="723" w:firstLineChars="225"/>
        <w:jc w:val="left"/>
        <w:rPr>
          <w:b/>
          <w:color w:val="auto"/>
          <w:sz w:val="32"/>
          <w:szCs w:val="32"/>
        </w:rPr>
      </w:pPr>
      <w:r>
        <w:rPr>
          <w:rFonts w:hint="eastAsia"/>
          <w:b/>
          <w:color w:val="auto"/>
          <w:sz w:val="32"/>
          <w:szCs w:val="32"/>
        </w:rPr>
        <w:t>授权代表人身份证复印件（正反面）</w:t>
      </w:r>
    </w:p>
    <w:p w14:paraId="135488B5">
      <w:pPr>
        <w:widowControl/>
        <w:ind w:firstLine="723" w:firstLineChars="225"/>
        <w:jc w:val="left"/>
        <w:rPr>
          <w:b/>
          <w:color w:val="auto"/>
          <w:sz w:val="32"/>
          <w:szCs w:val="32"/>
        </w:rPr>
      </w:pPr>
    </w:p>
    <w:p w14:paraId="38A68479">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C752C93">
      <w:pPr>
        <w:pStyle w:val="6"/>
        <w:ind w:left="0" w:firstLine="0"/>
        <w:rPr>
          <w:color w:val="auto"/>
        </w:rPr>
      </w:pPr>
      <w:bookmarkStart w:id="683" w:name="_Toc31457"/>
      <w:bookmarkStart w:id="684" w:name="_Toc21338"/>
      <w:r>
        <w:rPr>
          <w:rFonts w:hint="eastAsia"/>
          <w:color w:val="auto"/>
        </w:rPr>
        <w:t>（3）授权代表社保缴纳证明</w:t>
      </w:r>
      <w:bookmarkEnd w:id="683"/>
      <w:bookmarkEnd w:id="684"/>
    </w:p>
    <w:p w14:paraId="3F737D2D">
      <w:pPr>
        <w:rPr>
          <w:rFonts w:ascii="宋体" w:hAnsi="宋体" w:cs="宋体"/>
          <w:b/>
          <w:color w:val="auto"/>
          <w:spacing w:val="-6"/>
          <w:sz w:val="32"/>
          <w:szCs w:val="32"/>
        </w:rPr>
      </w:pPr>
    </w:p>
    <w:p w14:paraId="0566EA7A">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ascii="宋体" w:hAnsi="宋体" w:cs="宋体"/>
          <w:b/>
          <w:color w:val="auto"/>
          <w:spacing w:val="-6"/>
          <w:sz w:val="32"/>
          <w:szCs w:val="32"/>
        </w:rPr>
        <w:t>3</w:t>
      </w:r>
      <w:r>
        <w:rPr>
          <w:rFonts w:hint="eastAsia" w:ascii="宋体" w:hAnsi="宋体" w:cs="宋体"/>
          <w:b/>
          <w:color w:val="auto"/>
          <w:spacing w:val="-6"/>
          <w:sz w:val="32"/>
          <w:szCs w:val="32"/>
        </w:rPr>
        <w:t>年12月（含）以后任意一月授权代表社保缴纳证明</w:t>
      </w:r>
    </w:p>
    <w:p w14:paraId="6B6586CC">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3FCCC38">
      <w:pPr>
        <w:widowControl/>
        <w:ind w:firstLine="723" w:firstLineChars="225"/>
        <w:jc w:val="left"/>
        <w:rPr>
          <w:b/>
          <w:color w:val="auto"/>
          <w:sz w:val="32"/>
          <w:szCs w:val="32"/>
        </w:rPr>
      </w:pPr>
    </w:p>
    <w:p w14:paraId="54AA2933">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7A53046D">
      <w:pPr>
        <w:pStyle w:val="6"/>
        <w:ind w:left="0" w:firstLine="0"/>
        <w:rPr>
          <w:color w:val="auto"/>
        </w:rPr>
      </w:pPr>
      <w:bookmarkStart w:id="685" w:name="_Toc4883"/>
      <w:bookmarkStart w:id="686" w:name="_Toc26387"/>
      <w:bookmarkStart w:id="687" w:name="_Toc21021"/>
      <w:bookmarkStart w:id="688" w:name="_Toc23121"/>
      <w:bookmarkStart w:id="689" w:name="_Toc14222"/>
      <w:bookmarkStart w:id="690" w:name="_Toc30038"/>
      <w:bookmarkStart w:id="691" w:name="_Toc25890"/>
      <w:bookmarkStart w:id="692" w:name="_Toc25749"/>
      <w:bookmarkStart w:id="693" w:name="_Toc19676"/>
      <w:bookmarkStart w:id="694" w:name="_Toc2212"/>
      <w:bookmarkStart w:id="695" w:name="_Toc20470"/>
      <w:bookmarkStart w:id="696" w:name="_Toc19122"/>
      <w:bookmarkStart w:id="697" w:name="_Toc772"/>
      <w:bookmarkStart w:id="698" w:name="_Toc28598"/>
      <w:bookmarkStart w:id="699" w:name="_Toc31758"/>
      <w:bookmarkStart w:id="700" w:name="_Toc26242"/>
      <w:bookmarkStart w:id="701" w:name="_Toc24184"/>
      <w:bookmarkStart w:id="702" w:name="_Toc5481"/>
      <w:bookmarkStart w:id="703" w:name="_Toc11332"/>
      <w:bookmarkStart w:id="704" w:name="_Toc14198"/>
      <w:bookmarkStart w:id="705" w:name="_Toc2570"/>
      <w:bookmarkStart w:id="706" w:name="_Toc4577"/>
      <w:bookmarkStart w:id="707" w:name="_Toc30387"/>
      <w:bookmarkStart w:id="708" w:name="_Toc350"/>
      <w:bookmarkStart w:id="709" w:name="_Toc18481"/>
      <w:bookmarkStart w:id="710" w:name="_Toc31464"/>
      <w:bookmarkStart w:id="711" w:name="_Toc20129"/>
      <w:bookmarkStart w:id="712" w:name="_Toc11813"/>
      <w:bookmarkStart w:id="713" w:name="_Toc24848"/>
      <w:bookmarkStart w:id="714" w:name="_Toc14954"/>
      <w:bookmarkStart w:id="715" w:name="_Toc9338"/>
      <w:bookmarkStart w:id="716" w:name="_Toc12615"/>
      <w:bookmarkStart w:id="717" w:name="_Toc2974"/>
      <w:bookmarkStart w:id="718" w:name="_Toc14931"/>
      <w:bookmarkStart w:id="719" w:name="_Toc3968"/>
      <w:bookmarkStart w:id="720" w:name="_Toc32360"/>
      <w:bookmarkStart w:id="721" w:name="_Toc31568"/>
      <w:bookmarkStart w:id="722" w:name="_Toc26592"/>
      <w:bookmarkStart w:id="723" w:name="_Toc22103"/>
      <w:bookmarkStart w:id="724" w:name="_Toc20443"/>
      <w:r>
        <w:rPr>
          <w:rFonts w:hint="eastAsia"/>
          <w:color w:val="auto"/>
        </w:rPr>
        <w:t>（4）法定代表人资格证明书</w:t>
      </w:r>
      <w:bookmarkEnd w:id="685"/>
      <w:bookmarkEnd w:id="686"/>
      <w:bookmarkEnd w:id="687"/>
      <w:bookmarkEnd w:id="688"/>
      <w:bookmarkEnd w:id="689"/>
      <w:bookmarkEnd w:id="690"/>
      <w:bookmarkEnd w:id="691"/>
      <w:bookmarkEnd w:id="692"/>
      <w:bookmarkEnd w:id="693"/>
      <w:bookmarkEnd w:id="694"/>
      <w:r>
        <w:rPr>
          <w:rFonts w:hint="eastAsia"/>
          <w:color w:val="auto"/>
        </w:rPr>
        <w:t>（法定代表人参加时提供）</w:t>
      </w:r>
      <w:bookmarkEnd w:id="695"/>
      <w:bookmarkEnd w:id="696"/>
    </w:p>
    <w:p w14:paraId="1C26B566">
      <w:pPr>
        <w:pStyle w:val="23"/>
        <w:ind w:left="0" w:leftChars="0" w:firstLine="0" w:firstLineChars="0"/>
        <w:rPr>
          <w:color w:val="auto"/>
        </w:rPr>
      </w:pPr>
    </w:p>
    <w:p w14:paraId="70256DF6">
      <w:pPr>
        <w:pStyle w:val="28"/>
        <w:tabs>
          <w:tab w:val="left" w:pos="450"/>
        </w:tabs>
        <w:spacing w:line="400" w:lineRule="atLeast"/>
        <w:ind w:left="-27" w:firstLine="565"/>
        <w:jc w:val="center"/>
        <w:rPr>
          <w:rFonts w:ascii="Times New Roman" w:hAnsi="Times New Roman"/>
          <w:b/>
          <w:color w:val="auto"/>
          <w:sz w:val="32"/>
          <w:szCs w:val="32"/>
        </w:rPr>
      </w:pPr>
      <w:bookmarkStart w:id="725" w:name="_Toc10019"/>
      <w:r>
        <w:rPr>
          <w:rFonts w:hint="eastAsia" w:ascii="Times New Roman" w:hAnsi="Times New Roman"/>
          <w:b/>
          <w:color w:val="auto"/>
          <w:sz w:val="32"/>
          <w:szCs w:val="32"/>
        </w:rPr>
        <w:t>法定代表人资格证明书</w:t>
      </w:r>
      <w:bookmarkEnd w:id="725"/>
    </w:p>
    <w:p w14:paraId="66C7AE79">
      <w:pPr>
        <w:spacing w:line="360" w:lineRule="auto"/>
        <w:jc w:val="center"/>
        <w:rPr>
          <w:b/>
          <w:color w:val="auto"/>
          <w:spacing w:val="-6"/>
          <w:sz w:val="24"/>
        </w:rPr>
      </w:pPr>
    </w:p>
    <w:p w14:paraId="7D7602DE">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0B141C96">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CA17B43">
      <w:pPr>
        <w:spacing w:line="360" w:lineRule="auto"/>
        <w:ind w:firstLine="456" w:firstLineChars="200"/>
        <w:rPr>
          <w:bCs/>
          <w:color w:val="auto"/>
          <w:spacing w:val="-6"/>
          <w:sz w:val="24"/>
        </w:rPr>
      </w:pPr>
      <w:r>
        <w:rPr>
          <w:bCs/>
          <w:color w:val="auto"/>
          <w:spacing w:val="-6"/>
          <w:sz w:val="24"/>
        </w:rPr>
        <w:t>特此证明。</w:t>
      </w:r>
    </w:p>
    <w:p w14:paraId="6504B10B">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3362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77B073CB">
            <w:pPr>
              <w:jc w:val="center"/>
              <w:rPr>
                <w:color w:val="auto"/>
                <w:sz w:val="24"/>
              </w:rPr>
            </w:pPr>
            <w:r>
              <w:rPr>
                <w:color w:val="auto"/>
                <w:sz w:val="24"/>
              </w:rPr>
              <w:t>法定代表人身份证(正、反面)复印件粘贴处</w:t>
            </w:r>
          </w:p>
          <w:p w14:paraId="7C016C3C">
            <w:pPr>
              <w:spacing w:line="360" w:lineRule="auto"/>
              <w:jc w:val="center"/>
              <w:rPr>
                <w:bCs/>
                <w:color w:val="auto"/>
                <w:spacing w:val="-6"/>
                <w:sz w:val="24"/>
              </w:rPr>
            </w:pPr>
          </w:p>
        </w:tc>
      </w:tr>
    </w:tbl>
    <w:p w14:paraId="613CEAB4">
      <w:pPr>
        <w:spacing w:line="360" w:lineRule="auto"/>
        <w:rPr>
          <w:bCs/>
          <w:color w:val="auto"/>
          <w:spacing w:val="-6"/>
          <w:sz w:val="24"/>
        </w:rPr>
      </w:pPr>
    </w:p>
    <w:p w14:paraId="4B9A0FBD">
      <w:pPr>
        <w:spacing w:line="360" w:lineRule="auto"/>
        <w:ind w:right="456"/>
        <w:rPr>
          <w:b/>
          <w:bCs/>
          <w:color w:val="auto"/>
          <w:spacing w:val="-6"/>
          <w:sz w:val="24"/>
        </w:rPr>
      </w:pPr>
    </w:p>
    <w:p w14:paraId="3B44469E">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154B510F">
      <w:pPr>
        <w:pStyle w:val="28"/>
        <w:spacing w:line="400" w:lineRule="atLeast"/>
        <w:ind w:left="-27" w:firstLine="2530" w:firstLineChars="1050"/>
        <w:rPr>
          <w:rFonts w:ascii="Times New Roman" w:hAnsi="Times New Roman"/>
          <w:b/>
          <w:bCs/>
          <w:color w:val="auto"/>
          <w:sz w:val="24"/>
          <w:szCs w:val="24"/>
        </w:rPr>
      </w:pPr>
    </w:p>
    <w:p w14:paraId="189B7329">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EADA5C5">
      <w:pPr>
        <w:spacing w:line="360" w:lineRule="auto"/>
        <w:ind w:left="3578" w:leftChars="1704" w:right="456"/>
        <w:rPr>
          <w:b/>
          <w:bCs/>
          <w:color w:val="auto"/>
          <w:sz w:val="24"/>
          <w:szCs w:val="24"/>
        </w:rPr>
      </w:pPr>
      <w:r>
        <w:rPr>
          <w:rFonts w:hint="eastAsia"/>
          <w:b/>
          <w:bCs/>
          <w:color w:val="auto"/>
          <w:sz w:val="24"/>
          <w:szCs w:val="24"/>
        </w:rPr>
        <w:t xml:space="preserve"> </w:t>
      </w:r>
    </w:p>
    <w:p w14:paraId="2018F402">
      <w:pPr>
        <w:spacing w:line="360" w:lineRule="auto"/>
        <w:ind w:left="3360" w:leftChars="1600" w:right="456"/>
        <w:rPr>
          <w:color w:val="auto"/>
          <w:sz w:val="24"/>
          <w:szCs w:val="24"/>
        </w:rPr>
      </w:pPr>
    </w:p>
    <w:p w14:paraId="74171F44">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14:paraId="4B315273">
      <w:pPr>
        <w:pStyle w:val="6"/>
        <w:ind w:left="0" w:firstLine="0"/>
        <w:rPr>
          <w:color w:val="auto"/>
        </w:rPr>
      </w:pPr>
      <w:bookmarkStart w:id="726" w:name="_Toc30804"/>
      <w:bookmarkStart w:id="727" w:name="_Toc17054"/>
      <w:bookmarkStart w:id="728" w:name="_Toc23078"/>
      <w:bookmarkStart w:id="729" w:name="_Toc2218"/>
      <w:bookmarkStart w:id="730" w:name="_Toc21937"/>
      <w:bookmarkStart w:id="731" w:name="_Toc27347"/>
      <w:bookmarkStart w:id="732" w:name="_Toc21741"/>
      <w:bookmarkStart w:id="733" w:name="_Toc20480"/>
      <w:bookmarkStart w:id="734" w:name="_Toc11889"/>
      <w:bookmarkStart w:id="735" w:name="_Toc11492"/>
      <w:bookmarkStart w:id="736" w:name="_Toc30921"/>
      <w:bookmarkStart w:id="737" w:name="_Toc32465"/>
      <w:bookmarkStart w:id="738" w:name="_Toc15510"/>
      <w:bookmarkStart w:id="739" w:name="_Toc15720"/>
      <w:bookmarkStart w:id="740" w:name="_Toc1334"/>
      <w:bookmarkStart w:id="741" w:name="_Toc5970"/>
      <w:bookmarkStart w:id="742" w:name="_Toc25655"/>
      <w:bookmarkStart w:id="743" w:name="_Toc30022"/>
      <w:bookmarkStart w:id="744" w:name="_Toc24530"/>
      <w:bookmarkStart w:id="745" w:name="_Toc1553"/>
      <w:bookmarkStart w:id="746" w:name="_Toc30169"/>
      <w:bookmarkStart w:id="747" w:name="_Toc3893"/>
      <w:bookmarkStart w:id="748" w:name="_Toc26243"/>
      <w:bookmarkStart w:id="749" w:name="_Toc27024"/>
      <w:bookmarkStart w:id="750" w:name="_Toc3162"/>
      <w:bookmarkStart w:id="751" w:name="_Toc29343"/>
      <w:bookmarkStart w:id="752" w:name="_Toc6625"/>
      <w:bookmarkStart w:id="753" w:name="_Toc22052"/>
      <w:bookmarkStart w:id="754" w:name="_Toc24989"/>
      <w:bookmarkStart w:id="755" w:name="_Toc27945"/>
      <w:bookmarkStart w:id="756" w:name="_Toc17219"/>
      <w:bookmarkStart w:id="757" w:name="_Toc4163"/>
      <w:bookmarkStart w:id="758" w:name="_Toc441"/>
      <w:bookmarkStart w:id="759" w:name="_Toc16347"/>
      <w:bookmarkStart w:id="760" w:name="_Toc20101"/>
      <w:bookmarkStart w:id="761" w:name="_Toc17126"/>
      <w:bookmarkStart w:id="762" w:name="_Toc32367"/>
      <w:r>
        <w:rPr>
          <w:rFonts w:hint="eastAsia"/>
          <w:color w:val="auto"/>
        </w:rPr>
        <w:t>（5）采购需求偏离表</w:t>
      </w:r>
      <w:bookmarkEnd w:id="726"/>
      <w:bookmarkEnd w:id="727"/>
    </w:p>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14:paraId="0736F5B8">
      <w:pPr>
        <w:jc w:val="center"/>
        <w:rPr>
          <w:b/>
          <w:bCs/>
          <w:color w:val="auto"/>
          <w:sz w:val="32"/>
        </w:rPr>
      </w:pPr>
      <w:r>
        <w:rPr>
          <w:rFonts w:hint="eastAsia"/>
          <w:b/>
          <w:bCs/>
          <w:color w:val="auto"/>
          <w:sz w:val="32"/>
        </w:rPr>
        <w:t>采购需求偏离表</w:t>
      </w:r>
    </w:p>
    <w:p w14:paraId="2FE15449">
      <w:pPr>
        <w:rPr>
          <w:b/>
          <w:bCs/>
          <w:color w:val="auto"/>
          <w:sz w:val="32"/>
        </w:rPr>
      </w:pPr>
    </w:p>
    <w:p w14:paraId="436C9DF7">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5CACE0EB">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99B3CE6">
      <w:pPr>
        <w:pStyle w:val="28"/>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09F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AB13362">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4DA4DC33">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558A318">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2580391A">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5275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9960121">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75CB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7E883B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15C2DD3">
            <w:pPr>
              <w:rPr>
                <w:rFonts w:ascii="宋体" w:hAnsi="宋体" w:cs="宋体"/>
                <w:color w:val="auto"/>
                <w:szCs w:val="21"/>
              </w:rPr>
            </w:pPr>
          </w:p>
        </w:tc>
        <w:tc>
          <w:tcPr>
            <w:tcW w:w="2574" w:type="dxa"/>
            <w:vAlign w:val="center"/>
          </w:tcPr>
          <w:p w14:paraId="014A0C7F">
            <w:pPr>
              <w:rPr>
                <w:rFonts w:ascii="宋体" w:hAnsi="宋体" w:cs="宋体"/>
                <w:color w:val="auto"/>
                <w:szCs w:val="21"/>
              </w:rPr>
            </w:pPr>
          </w:p>
        </w:tc>
        <w:tc>
          <w:tcPr>
            <w:tcW w:w="2124" w:type="dxa"/>
            <w:vAlign w:val="center"/>
          </w:tcPr>
          <w:p w14:paraId="26AB448D">
            <w:pPr>
              <w:rPr>
                <w:rFonts w:ascii="宋体" w:hAnsi="宋体" w:cs="宋体"/>
                <w:color w:val="auto"/>
                <w:szCs w:val="21"/>
              </w:rPr>
            </w:pPr>
          </w:p>
        </w:tc>
      </w:tr>
      <w:tr w14:paraId="39EE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A4A96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5AF4EA7">
            <w:pPr>
              <w:rPr>
                <w:rFonts w:ascii="宋体" w:hAnsi="宋体" w:cs="宋体"/>
                <w:color w:val="auto"/>
                <w:szCs w:val="21"/>
              </w:rPr>
            </w:pPr>
          </w:p>
        </w:tc>
        <w:tc>
          <w:tcPr>
            <w:tcW w:w="2574" w:type="dxa"/>
            <w:vAlign w:val="center"/>
          </w:tcPr>
          <w:p w14:paraId="4A570AB7">
            <w:pPr>
              <w:rPr>
                <w:rFonts w:ascii="宋体" w:hAnsi="宋体" w:cs="宋体"/>
                <w:color w:val="auto"/>
                <w:szCs w:val="21"/>
              </w:rPr>
            </w:pPr>
          </w:p>
        </w:tc>
        <w:tc>
          <w:tcPr>
            <w:tcW w:w="2124" w:type="dxa"/>
            <w:vAlign w:val="center"/>
          </w:tcPr>
          <w:p w14:paraId="5369CAC6">
            <w:pPr>
              <w:rPr>
                <w:rFonts w:ascii="宋体" w:hAnsi="宋体" w:cs="宋体"/>
                <w:color w:val="auto"/>
                <w:szCs w:val="21"/>
              </w:rPr>
            </w:pPr>
          </w:p>
        </w:tc>
      </w:tr>
      <w:tr w14:paraId="0C67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722AE6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F030D1F">
            <w:pPr>
              <w:rPr>
                <w:rFonts w:ascii="宋体" w:hAnsi="宋体" w:cs="宋体"/>
                <w:color w:val="auto"/>
                <w:szCs w:val="21"/>
              </w:rPr>
            </w:pPr>
          </w:p>
        </w:tc>
        <w:tc>
          <w:tcPr>
            <w:tcW w:w="2574" w:type="dxa"/>
            <w:vAlign w:val="center"/>
          </w:tcPr>
          <w:p w14:paraId="5AA60696">
            <w:pPr>
              <w:rPr>
                <w:rFonts w:ascii="宋体" w:hAnsi="宋体" w:cs="宋体"/>
                <w:color w:val="auto"/>
                <w:szCs w:val="21"/>
              </w:rPr>
            </w:pPr>
          </w:p>
        </w:tc>
        <w:tc>
          <w:tcPr>
            <w:tcW w:w="2124" w:type="dxa"/>
            <w:vAlign w:val="center"/>
          </w:tcPr>
          <w:p w14:paraId="600A4CE9">
            <w:pPr>
              <w:rPr>
                <w:rFonts w:ascii="宋体" w:hAnsi="宋体" w:cs="宋体"/>
                <w:color w:val="auto"/>
                <w:szCs w:val="21"/>
              </w:rPr>
            </w:pPr>
          </w:p>
        </w:tc>
      </w:tr>
      <w:tr w14:paraId="3235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348BAC7">
            <w:pPr>
              <w:rPr>
                <w:rFonts w:ascii="宋体" w:hAnsi="宋体" w:cs="宋体"/>
                <w:color w:val="auto"/>
                <w:szCs w:val="21"/>
              </w:rPr>
            </w:pPr>
            <w:r>
              <w:rPr>
                <w:rFonts w:hint="eastAsia" w:ascii="宋体" w:hAnsi="宋体" w:cs="宋体"/>
                <w:b/>
                <w:bCs/>
                <w:color w:val="auto"/>
                <w:szCs w:val="21"/>
              </w:rPr>
              <w:t>技术参数、功能、服务等技术要求</w:t>
            </w:r>
          </w:p>
        </w:tc>
      </w:tr>
      <w:tr w14:paraId="6893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26A9C4">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B87D9F7">
            <w:pPr>
              <w:jc w:val="left"/>
              <w:rPr>
                <w:rFonts w:ascii="宋体" w:hAnsi="宋体" w:cs="宋体"/>
                <w:color w:val="auto"/>
                <w:szCs w:val="21"/>
              </w:rPr>
            </w:pPr>
          </w:p>
        </w:tc>
        <w:tc>
          <w:tcPr>
            <w:tcW w:w="2574" w:type="dxa"/>
            <w:vAlign w:val="center"/>
          </w:tcPr>
          <w:p w14:paraId="75B1DBD1">
            <w:pPr>
              <w:jc w:val="left"/>
              <w:rPr>
                <w:rFonts w:ascii="宋体" w:hAnsi="宋体" w:cs="宋体"/>
                <w:color w:val="auto"/>
                <w:szCs w:val="21"/>
              </w:rPr>
            </w:pPr>
          </w:p>
        </w:tc>
        <w:tc>
          <w:tcPr>
            <w:tcW w:w="2124" w:type="dxa"/>
            <w:vAlign w:val="center"/>
          </w:tcPr>
          <w:p w14:paraId="7A656C79">
            <w:pPr>
              <w:jc w:val="left"/>
              <w:rPr>
                <w:rFonts w:ascii="宋体" w:hAnsi="宋体" w:cs="宋体"/>
                <w:color w:val="auto"/>
                <w:szCs w:val="21"/>
              </w:rPr>
            </w:pPr>
          </w:p>
        </w:tc>
      </w:tr>
      <w:tr w14:paraId="2BA4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B51F46B">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B4AFFEF">
            <w:pPr>
              <w:jc w:val="left"/>
              <w:rPr>
                <w:rFonts w:ascii="宋体" w:hAnsi="宋体" w:cs="宋体"/>
                <w:color w:val="auto"/>
                <w:szCs w:val="21"/>
              </w:rPr>
            </w:pPr>
          </w:p>
        </w:tc>
        <w:tc>
          <w:tcPr>
            <w:tcW w:w="2574" w:type="dxa"/>
            <w:vAlign w:val="center"/>
          </w:tcPr>
          <w:p w14:paraId="2FD008C4">
            <w:pPr>
              <w:jc w:val="left"/>
              <w:rPr>
                <w:rFonts w:ascii="宋体" w:hAnsi="宋体" w:cs="宋体"/>
                <w:color w:val="auto"/>
                <w:szCs w:val="21"/>
              </w:rPr>
            </w:pPr>
          </w:p>
        </w:tc>
        <w:tc>
          <w:tcPr>
            <w:tcW w:w="2124" w:type="dxa"/>
            <w:vAlign w:val="center"/>
          </w:tcPr>
          <w:p w14:paraId="443FDD2B">
            <w:pPr>
              <w:jc w:val="left"/>
              <w:rPr>
                <w:rFonts w:ascii="宋体" w:hAnsi="宋体" w:cs="宋体"/>
                <w:color w:val="auto"/>
                <w:szCs w:val="21"/>
              </w:rPr>
            </w:pPr>
          </w:p>
        </w:tc>
      </w:tr>
      <w:tr w14:paraId="6304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EDE98BA">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8CE5543">
            <w:pPr>
              <w:jc w:val="left"/>
              <w:rPr>
                <w:rFonts w:ascii="宋体" w:hAnsi="宋体" w:cs="宋体"/>
                <w:color w:val="auto"/>
                <w:szCs w:val="21"/>
              </w:rPr>
            </w:pPr>
          </w:p>
        </w:tc>
        <w:tc>
          <w:tcPr>
            <w:tcW w:w="2574" w:type="dxa"/>
            <w:vAlign w:val="center"/>
          </w:tcPr>
          <w:p w14:paraId="09FB2EB6">
            <w:pPr>
              <w:jc w:val="left"/>
              <w:rPr>
                <w:rFonts w:ascii="宋体" w:hAnsi="宋体" w:cs="宋体"/>
                <w:color w:val="auto"/>
                <w:szCs w:val="21"/>
              </w:rPr>
            </w:pPr>
          </w:p>
        </w:tc>
        <w:tc>
          <w:tcPr>
            <w:tcW w:w="2124" w:type="dxa"/>
            <w:vAlign w:val="center"/>
          </w:tcPr>
          <w:p w14:paraId="79B6A356">
            <w:pPr>
              <w:jc w:val="left"/>
              <w:rPr>
                <w:rFonts w:ascii="宋体" w:hAnsi="宋体" w:cs="宋体"/>
                <w:color w:val="auto"/>
                <w:szCs w:val="21"/>
              </w:rPr>
            </w:pPr>
          </w:p>
        </w:tc>
      </w:tr>
    </w:tbl>
    <w:p w14:paraId="5FD85B60">
      <w:pPr>
        <w:spacing w:line="360" w:lineRule="auto"/>
        <w:rPr>
          <w:rFonts w:ascii="宋体" w:hAnsi="宋体"/>
          <w:b/>
          <w:bCs/>
          <w:color w:val="auto"/>
          <w:spacing w:val="-6"/>
          <w:szCs w:val="21"/>
        </w:rPr>
      </w:pPr>
    </w:p>
    <w:p w14:paraId="3BFEEDA8">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76CABC36">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66A0437">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22483C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242C551">
      <w:pPr>
        <w:pStyle w:val="28"/>
        <w:spacing w:line="400" w:lineRule="atLeast"/>
        <w:ind w:left="-27" w:firstLine="422"/>
        <w:rPr>
          <w:rFonts w:ascii="Times New Roman" w:hAnsi="Times New Roman"/>
          <w:color w:val="auto"/>
          <w:sz w:val="24"/>
        </w:rPr>
      </w:pPr>
    </w:p>
    <w:p w14:paraId="63166049">
      <w:pPr>
        <w:pStyle w:val="28"/>
        <w:spacing w:line="400" w:lineRule="atLeast"/>
        <w:ind w:left="-27" w:firstLine="422"/>
        <w:rPr>
          <w:rFonts w:ascii="Times New Roman" w:hAnsi="Times New Roman"/>
          <w:color w:val="auto"/>
          <w:sz w:val="24"/>
        </w:rPr>
      </w:pPr>
    </w:p>
    <w:p w14:paraId="3D8D1063">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22C5D4B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D28B1E0">
      <w:pPr>
        <w:spacing w:before="240" w:beforeLines="100" w:after="240" w:afterLines="100"/>
        <w:jc w:val="left"/>
        <w:rPr>
          <w:color w:val="auto"/>
          <w:sz w:val="24"/>
          <w:szCs w:val="24"/>
        </w:rPr>
      </w:pPr>
      <w:r>
        <w:rPr>
          <w:rFonts w:hint="eastAsia" w:ascii="宋体" w:hAnsi="宋体" w:cs="宋体"/>
          <w:color w:val="auto"/>
          <w:sz w:val="24"/>
        </w:rPr>
        <w:t>日期：      年   月   日</w:t>
      </w:r>
    </w:p>
    <w:p w14:paraId="05522B8C">
      <w:pPr>
        <w:pStyle w:val="28"/>
        <w:spacing w:line="400" w:lineRule="atLeast"/>
        <w:ind w:left="-27" w:firstLine="528"/>
        <w:rPr>
          <w:rFonts w:ascii="Times New Roman" w:hAnsi="Times New Roman"/>
          <w:color w:val="auto"/>
          <w:sz w:val="30"/>
        </w:rPr>
      </w:pPr>
    </w:p>
    <w:p w14:paraId="48570AD7">
      <w:pPr>
        <w:pStyle w:val="6"/>
        <w:ind w:left="0" w:firstLine="0"/>
        <w:rPr>
          <w:color w:val="auto"/>
        </w:rPr>
      </w:pPr>
      <w:r>
        <w:rPr>
          <w:bCs/>
          <w:color w:val="auto"/>
          <w:sz w:val="32"/>
        </w:rPr>
        <w:br w:type="page"/>
      </w:r>
      <w:bookmarkStart w:id="763" w:name="_Toc30767"/>
      <w:bookmarkStart w:id="764" w:name="_Toc29142"/>
      <w:bookmarkStart w:id="765" w:name="_Toc10611"/>
      <w:bookmarkStart w:id="766" w:name="_Toc21423"/>
      <w:bookmarkStart w:id="767" w:name="_Toc4311"/>
      <w:bookmarkStart w:id="768" w:name="_Toc23576"/>
      <w:bookmarkStart w:id="769" w:name="_Toc24720"/>
      <w:bookmarkStart w:id="770" w:name="_Toc31125"/>
      <w:bookmarkStart w:id="771" w:name="_Toc18959"/>
      <w:bookmarkStart w:id="772" w:name="_Toc28469"/>
      <w:bookmarkStart w:id="773" w:name="_Toc13064"/>
      <w:bookmarkStart w:id="774" w:name="_Toc12587"/>
      <w:bookmarkStart w:id="775" w:name="_Toc27033"/>
      <w:bookmarkStart w:id="776" w:name="_Toc27408"/>
      <w:bookmarkStart w:id="777" w:name="_Toc12636"/>
      <w:bookmarkStart w:id="778" w:name="_Toc32055"/>
      <w:bookmarkStart w:id="779" w:name="_Toc14028"/>
      <w:bookmarkStart w:id="780" w:name="_Toc13471"/>
      <w:bookmarkStart w:id="781" w:name="_Toc1162"/>
      <w:bookmarkStart w:id="782" w:name="_Toc29052"/>
      <w:bookmarkStart w:id="783" w:name="_Toc15291"/>
      <w:bookmarkStart w:id="784" w:name="_Toc21289"/>
      <w:bookmarkStart w:id="785" w:name="_Toc21842"/>
      <w:bookmarkStart w:id="786" w:name="_Toc5267"/>
      <w:bookmarkStart w:id="787" w:name="_Toc7973"/>
      <w:bookmarkStart w:id="788" w:name="_Toc2658"/>
      <w:bookmarkStart w:id="789" w:name="_Toc5417"/>
      <w:bookmarkStart w:id="790" w:name="_Toc8117"/>
      <w:bookmarkStart w:id="791" w:name="_Toc24911"/>
      <w:bookmarkStart w:id="792" w:name="_Toc31984"/>
      <w:bookmarkStart w:id="793" w:name="_Toc16944"/>
      <w:bookmarkStart w:id="794" w:name="_Toc21740"/>
      <w:bookmarkStart w:id="795" w:name="_Toc25833"/>
      <w:bookmarkStart w:id="796" w:name="_Toc19442"/>
      <w:bookmarkStart w:id="797" w:name="_Toc18149"/>
      <w:bookmarkStart w:id="798" w:name="_Toc5561"/>
      <w:bookmarkStart w:id="799" w:name="_Toc10664"/>
      <w:bookmarkStart w:id="800" w:name="_Toc32508"/>
      <w:bookmarkStart w:id="801" w:name="_Toc16423"/>
      <w:bookmarkStart w:id="802" w:name="_Toc17790"/>
      <w:bookmarkStart w:id="803" w:name="_Toc26450"/>
      <w:bookmarkStart w:id="804" w:name="_Toc12787"/>
      <w:bookmarkStart w:id="805" w:name="_Toc3061"/>
      <w:bookmarkStart w:id="806" w:name="_Toc23122"/>
      <w:bookmarkStart w:id="807" w:name="_Toc16502"/>
      <w:bookmarkStart w:id="808" w:name="_Toc15898"/>
      <w:bookmarkStart w:id="809" w:name="_Toc23923"/>
      <w:bookmarkStart w:id="810" w:name="_Toc22720"/>
      <w:bookmarkStart w:id="811" w:name="_Toc13985"/>
      <w:bookmarkStart w:id="812" w:name="_Toc1110"/>
      <w:bookmarkStart w:id="813" w:name="_Toc16636"/>
      <w:bookmarkStart w:id="814" w:name="_Toc25187"/>
      <w:bookmarkStart w:id="815" w:name="_Toc14653"/>
      <w:bookmarkStart w:id="816" w:name="_Toc9470"/>
      <w:bookmarkStart w:id="817" w:name="_Toc20418"/>
      <w:bookmarkStart w:id="818" w:name="_Toc3703"/>
      <w:bookmarkStart w:id="819" w:name="_Toc22794"/>
      <w:bookmarkStart w:id="820" w:name="_Toc26665"/>
      <w:bookmarkStart w:id="821" w:name="_Toc18451"/>
      <w:bookmarkStart w:id="822" w:name="_Toc19416"/>
      <w:bookmarkStart w:id="823" w:name="_Toc22688"/>
      <w:bookmarkStart w:id="824" w:name="_Toc27705"/>
      <w:r>
        <w:rPr>
          <w:rFonts w:hint="eastAsia"/>
          <w:color w:val="auto"/>
        </w:rPr>
        <w:t>（6）响应方基本情况表</w:t>
      </w:r>
      <w:bookmarkEnd w:id="763"/>
      <w:bookmarkEnd w:id="764"/>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14:paraId="73D71CC4">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24AE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1EC3F7C">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34C5A16C">
            <w:pPr>
              <w:spacing w:line="360" w:lineRule="auto"/>
              <w:rPr>
                <w:rFonts w:ascii="宋体" w:hAnsi="宋体" w:cs="宋体"/>
                <w:color w:val="auto"/>
                <w:szCs w:val="21"/>
              </w:rPr>
            </w:pPr>
            <w:r>
              <w:rPr>
                <w:rFonts w:hint="eastAsia" w:ascii="宋体" w:hAnsi="宋体" w:cs="宋体"/>
                <w:color w:val="auto"/>
                <w:szCs w:val="21"/>
              </w:rPr>
              <w:t>企业名称：</w:t>
            </w:r>
          </w:p>
        </w:tc>
      </w:tr>
      <w:tr w14:paraId="2E8E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8D72899">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758C307C">
            <w:pPr>
              <w:spacing w:line="360" w:lineRule="auto"/>
              <w:rPr>
                <w:rFonts w:ascii="宋体" w:hAnsi="宋体" w:cs="宋体"/>
                <w:color w:val="auto"/>
                <w:szCs w:val="21"/>
              </w:rPr>
            </w:pPr>
            <w:r>
              <w:rPr>
                <w:rFonts w:hint="eastAsia" w:ascii="宋体" w:hAnsi="宋体" w:cs="宋体"/>
                <w:color w:val="auto"/>
                <w:szCs w:val="21"/>
              </w:rPr>
              <w:t>总部地址：</w:t>
            </w:r>
          </w:p>
        </w:tc>
      </w:tr>
      <w:tr w14:paraId="4AD2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6856168">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1DDC1BFE">
            <w:pPr>
              <w:spacing w:line="360" w:lineRule="auto"/>
              <w:rPr>
                <w:rFonts w:ascii="宋体" w:hAnsi="宋体" w:cs="宋体"/>
                <w:color w:val="auto"/>
                <w:szCs w:val="21"/>
              </w:rPr>
            </w:pPr>
            <w:r>
              <w:rPr>
                <w:rFonts w:hint="eastAsia" w:ascii="宋体" w:hAnsi="宋体" w:cs="宋体"/>
                <w:color w:val="auto"/>
                <w:szCs w:val="21"/>
              </w:rPr>
              <w:t>当地代表处地址：</w:t>
            </w:r>
          </w:p>
        </w:tc>
      </w:tr>
      <w:tr w14:paraId="5CDD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51D3299">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3CD0E351">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703E931A">
            <w:pPr>
              <w:spacing w:line="360" w:lineRule="auto"/>
              <w:rPr>
                <w:rFonts w:ascii="宋体" w:hAnsi="宋体" w:cs="宋体"/>
                <w:color w:val="auto"/>
                <w:szCs w:val="21"/>
              </w:rPr>
            </w:pPr>
            <w:r>
              <w:rPr>
                <w:rFonts w:hint="eastAsia" w:ascii="宋体" w:hAnsi="宋体" w:cs="宋体"/>
                <w:color w:val="auto"/>
                <w:szCs w:val="21"/>
              </w:rPr>
              <w:t>联系人：</w:t>
            </w:r>
          </w:p>
        </w:tc>
      </w:tr>
      <w:tr w14:paraId="64AC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F4086AA">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6224704E">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077A6051">
            <w:pPr>
              <w:spacing w:line="360" w:lineRule="auto"/>
              <w:rPr>
                <w:rFonts w:ascii="宋体" w:hAnsi="宋体" w:cs="宋体"/>
                <w:color w:val="auto"/>
                <w:szCs w:val="21"/>
              </w:rPr>
            </w:pPr>
            <w:r>
              <w:rPr>
                <w:rFonts w:hint="eastAsia" w:ascii="宋体" w:hAnsi="宋体" w:cs="宋体"/>
                <w:color w:val="auto"/>
                <w:szCs w:val="21"/>
              </w:rPr>
              <w:t>电子信箱：</w:t>
            </w:r>
          </w:p>
        </w:tc>
      </w:tr>
      <w:tr w14:paraId="24BF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D20F0BF">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6C4A2B40">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444856F4">
            <w:pPr>
              <w:spacing w:line="360" w:lineRule="auto"/>
              <w:rPr>
                <w:rFonts w:ascii="宋体" w:hAnsi="宋体" w:cs="宋体"/>
                <w:color w:val="auto"/>
                <w:szCs w:val="21"/>
              </w:rPr>
            </w:pPr>
            <w:r>
              <w:rPr>
                <w:rFonts w:hint="eastAsia" w:ascii="宋体" w:hAnsi="宋体" w:cs="宋体"/>
                <w:color w:val="auto"/>
                <w:szCs w:val="21"/>
              </w:rPr>
              <w:t>注册年份：</w:t>
            </w:r>
          </w:p>
        </w:tc>
      </w:tr>
      <w:tr w14:paraId="3F4F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96ED07D">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6117D2ED">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74FD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91F062E">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7F401E09">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7F3A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CA82E65">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6DB53B82">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3432D265">
            <w:pPr>
              <w:spacing w:line="360" w:lineRule="auto"/>
              <w:rPr>
                <w:rFonts w:ascii="宋体" w:hAnsi="宋体" w:cs="宋体"/>
                <w:color w:val="auto"/>
                <w:szCs w:val="21"/>
              </w:rPr>
            </w:pPr>
          </w:p>
        </w:tc>
      </w:tr>
      <w:tr w14:paraId="136F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F5DD092">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43AC29AA">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4106DC07">
            <w:pPr>
              <w:spacing w:line="360" w:lineRule="auto"/>
              <w:rPr>
                <w:rFonts w:ascii="宋体" w:hAnsi="宋体" w:cs="宋体"/>
                <w:color w:val="auto"/>
                <w:szCs w:val="21"/>
              </w:rPr>
            </w:pPr>
          </w:p>
        </w:tc>
      </w:tr>
    </w:tbl>
    <w:p w14:paraId="52358DCF">
      <w:pPr>
        <w:spacing w:line="360" w:lineRule="auto"/>
        <w:ind w:firstLine="240" w:firstLineChars="100"/>
        <w:rPr>
          <w:color w:val="auto"/>
          <w:sz w:val="24"/>
          <w:szCs w:val="24"/>
        </w:rPr>
      </w:pPr>
      <w:r>
        <w:rPr>
          <w:rFonts w:hint="eastAsia"/>
          <w:color w:val="auto"/>
          <w:sz w:val="24"/>
          <w:szCs w:val="24"/>
        </w:rPr>
        <w:t>说明：</w:t>
      </w:r>
    </w:p>
    <w:p w14:paraId="4F5229CD">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70EA6FBC">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52C330E9">
      <w:pPr>
        <w:spacing w:line="360" w:lineRule="auto"/>
        <w:ind w:firstLine="360" w:firstLineChars="150"/>
        <w:jc w:val="left"/>
        <w:rPr>
          <w:color w:val="auto"/>
          <w:sz w:val="24"/>
          <w:szCs w:val="24"/>
        </w:rPr>
      </w:pPr>
    </w:p>
    <w:p w14:paraId="488C5587">
      <w:pPr>
        <w:spacing w:line="360" w:lineRule="auto"/>
        <w:ind w:firstLine="420"/>
        <w:jc w:val="left"/>
        <w:rPr>
          <w:color w:val="auto"/>
          <w:sz w:val="24"/>
          <w:szCs w:val="24"/>
        </w:rPr>
      </w:pPr>
    </w:p>
    <w:p w14:paraId="4CA0DBFE">
      <w:pPr>
        <w:spacing w:line="360" w:lineRule="auto"/>
        <w:ind w:firstLine="420"/>
        <w:jc w:val="left"/>
        <w:rPr>
          <w:color w:val="auto"/>
          <w:sz w:val="24"/>
          <w:szCs w:val="24"/>
        </w:rPr>
      </w:pPr>
    </w:p>
    <w:p w14:paraId="1DF1FAD4">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84F0E0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51BB5F2">
      <w:pPr>
        <w:spacing w:before="240" w:beforeLines="100" w:after="240" w:afterLines="100"/>
        <w:jc w:val="left"/>
        <w:rPr>
          <w:color w:val="auto"/>
          <w:sz w:val="24"/>
          <w:szCs w:val="24"/>
        </w:rPr>
      </w:pPr>
      <w:r>
        <w:rPr>
          <w:rFonts w:hint="eastAsia" w:ascii="宋体" w:hAnsi="宋体" w:cs="宋体"/>
          <w:color w:val="auto"/>
          <w:sz w:val="24"/>
        </w:rPr>
        <w:t>日期：      年   月   日</w:t>
      </w:r>
    </w:p>
    <w:p w14:paraId="71414D33">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E5ABDE1">
      <w:pPr>
        <w:pStyle w:val="6"/>
        <w:ind w:left="0" w:firstLine="0"/>
        <w:rPr>
          <w:color w:val="auto"/>
        </w:rPr>
      </w:pPr>
      <w:bookmarkStart w:id="825" w:name="_Toc1518"/>
      <w:bookmarkStart w:id="826" w:name="_Toc17707"/>
      <w:bookmarkStart w:id="827" w:name="_Toc21110"/>
      <w:bookmarkStart w:id="828" w:name="_Toc18777"/>
      <w:bookmarkStart w:id="829" w:name="_Toc24426"/>
      <w:bookmarkStart w:id="830" w:name="_Toc21767"/>
      <w:bookmarkStart w:id="831" w:name="_Toc3841"/>
      <w:bookmarkStart w:id="832" w:name="_Toc17265"/>
      <w:bookmarkStart w:id="833" w:name="_Toc20174"/>
      <w:bookmarkStart w:id="834" w:name="_Toc5024"/>
      <w:bookmarkStart w:id="835" w:name="_Toc3327"/>
      <w:bookmarkStart w:id="836" w:name="_Toc16592"/>
      <w:r>
        <w:rPr>
          <w:rFonts w:hint="eastAsia"/>
          <w:color w:val="auto"/>
        </w:rPr>
        <w:t>（7）供应商同类合同一览表</w:t>
      </w:r>
      <w:bookmarkEnd w:id="825"/>
      <w:bookmarkEnd w:id="826"/>
    </w:p>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7"/>
    <w:bookmarkEnd w:id="828"/>
    <w:bookmarkEnd w:id="829"/>
    <w:bookmarkEnd w:id="830"/>
    <w:bookmarkEnd w:id="831"/>
    <w:bookmarkEnd w:id="832"/>
    <w:bookmarkEnd w:id="833"/>
    <w:bookmarkEnd w:id="834"/>
    <w:bookmarkEnd w:id="835"/>
    <w:bookmarkEnd w:id="836"/>
    <w:p w14:paraId="18D43E6D">
      <w:pPr>
        <w:bidi w:val="0"/>
        <w:jc w:val="center"/>
        <w:rPr>
          <w:b/>
          <w:bCs/>
          <w:color w:val="auto"/>
          <w:sz w:val="28"/>
          <w:szCs w:val="28"/>
        </w:rPr>
      </w:pPr>
      <w:bookmarkStart w:id="837" w:name="_Toc32379"/>
      <w:bookmarkStart w:id="838" w:name="_Toc1052"/>
      <w:bookmarkStart w:id="839" w:name="_Toc18264"/>
      <w:r>
        <w:rPr>
          <w:rFonts w:hint="eastAsia"/>
          <w:b/>
          <w:bCs/>
          <w:color w:val="auto"/>
          <w:sz w:val="28"/>
          <w:szCs w:val="28"/>
        </w:rPr>
        <w:t>同类合同一览表</w:t>
      </w:r>
      <w:bookmarkEnd w:id="837"/>
      <w:bookmarkEnd w:id="838"/>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96B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4CEBA8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44C6BD46">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4B2F9781">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07A02952">
            <w:pPr>
              <w:adjustRightInd w:val="0"/>
              <w:snapToGrid w:val="0"/>
              <w:spacing w:line="288" w:lineRule="auto"/>
              <w:jc w:val="center"/>
              <w:rPr>
                <w:color w:val="auto"/>
                <w:sz w:val="24"/>
                <w:szCs w:val="24"/>
              </w:rPr>
            </w:pPr>
            <w:r>
              <w:rPr>
                <w:rFonts w:hint="eastAsia"/>
                <w:color w:val="auto"/>
                <w:sz w:val="24"/>
                <w:szCs w:val="24"/>
              </w:rPr>
              <w:t>合同金额</w:t>
            </w:r>
          </w:p>
          <w:p w14:paraId="3AA63785">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0D62C602">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5446E845">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16E764C">
            <w:pPr>
              <w:adjustRightInd w:val="0"/>
              <w:snapToGrid w:val="0"/>
              <w:spacing w:line="288" w:lineRule="auto"/>
              <w:jc w:val="center"/>
              <w:rPr>
                <w:color w:val="auto"/>
                <w:sz w:val="24"/>
                <w:szCs w:val="24"/>
              </w:rPr>
            </w:pPr>
            <w:r>
              <w:rPr>
                <w:rFonts w:hint="eastAsia"/>
                <w:color w:val="auto"/>
                <w:sz w:val="24"/>
                <w:szCs w:val="24"/>
              </w:rPr>
              <w:t>采购单位</w:t>
            </w:r>
          </w:p>
          <w:p w14:paraId="116BF2FD">
            <w:pPr>
              <w:adjustRightInd w:val="0"/>
              <w:snapToGrid w:val="0"/>
              <w:spacing w:line="288" w:lineRule="auto"/>
              <w:jc w:val="center"/>
              <w:rPr>
                <w:color w:val="auto"/>
                <w:sz w:val="24"/>
                <w:szCs w:val="24"/>
              </w:rPr>
            </w:pPr>
            <w:r>
              <w:rPr>
                <w:rFonts w:hint="eastAsia"/>
                <w:color w:val="auto"/>
                <w:sz w:val="24"/>
                <w:szCs w:val="24"/>
              </w:rPr>
              <w:t>联系人及电话</w:t>
            </w:r>
          </w:p>
        </w:tc>
      </w:tr>
      <w:tr w14:paraId="4102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F9D5DDA">
            <w:pPr>
              <w:adjustRightInd w:val="0"/>
              <w:snapToGrid w:val="0"/>
              <w:spacing w:line="288" w:lineRule="auto"/>
              <w:jc w:val="center"/>
              <w:rPr>
                <w:color w:val="auto"/>
                <w:sz w:val="24"/>
                <w:szCs w:val="24"/>
              </w:rPr>
            </w:pPr>
          </w:p>
        </w:tc>
        <w:tc>
          <w:tcPr>
            <w:tcW w:w="1380" w:type="dxa"/>
            <w:vAlign w:val="center"/>
          </w:tcPr>
          <w:p w14:paraId="305EE7BB">
            <w:pPr>
              <w:adjustRightInd w:val="0"/>
              <w:snapToGrid w:val="0"/>
              <w:spacing w:line="288" w:lineRule="auto"/>
              <w:jc w:val="center"/>
              <w:rPr>
                <w:color w:val="auto"/>
                <w:sz w:val="24"/>
                <w:szCs w:val="24"/>
              </w:rPr>
            </w:pPr>
          </w:p>
        </w:tc>
        <w:tc>
          <w:tcPr>
            <w:tcW w:w="1510" w:type="dxa"/>
            <w:vAlign w:val="center"/>
          </w:tcPr>
          <w:p w14:paraId="273C15C1">
            <w:pPr>
              <w:adjustRightInd w:val="0"/>
              <w:snapToGrid w:val="0"/>
              <w:spacing w:line="288" w:lineRule="auto"/>
              <w:jc w:val="center"/>
              <w:rPr>
                <w:color w:val="auto"/>
                <w:sz w:val="24"/>
                <w:szCs w:val="24"/>
              </w:rPr>
            </w:pPr>
          </w:p>
        </w:tc>
        <w:tc>
          <w:tcPr>
            <w:tcW w:w="1256" w:type="dxa"/>
            <w:vAlign w:val="center"/>
          </w:tcPr>
          <w:p w14:paraId="01A5310D">
            <w:pPr>
              <w:adjustRightInd w:val="0"/>
              <w:snapToGrid w:val="0"/>
              <w:spacing w:line="288" w:lineRule="auto"/>
              <w:jc w:val="center"/>
              <w:rPr>
                <w:color w:val="auto"/>
                <w:sz w:val="24"/>
                <w:szCs w:val="24"/>
              </w:rPr>
            </w:pPr>
          </w:p>
        </w:tc>
        <w:tc>
          <w:tcPr>
            <w:tcW w:w="732" w:type="dxa"/>
            <w:vAlign w:val="center"/>
          </w:tcPr>
          <w:p w14:paraId="395A7E2B">
            <w:pPr>
              <w:adjustRightInd w:val="0"/>
              <w:snapToGrid w:val="0"/>
              <w:spacing w:line="288" w:lineRule="auto"/>
              <w:jc w:val="center"/>
              <w:rPr>
                <w:color w:val="auto"/>
                <w:sz w:val="24"/>
                <w:szCs w:val="24"/>
              </w:rPr>
            </w:pPr>
          </w:p>
        </w:tc>
        <w:tc>
          <w:tcPr>
            <w:tcW w:w="1005" w:type="dxa"/>
            <w:vAlign w:val="center"/>
          </w:tcPr>
          <w:p w14:paraId="399F5185">
            <w:pPr>
              <w:adjustRightInd w:val="0"/>
              <w:snapToGrid w:val="0"/>
              <w:spacing w:line="288" w:lineRule="auto"/>
              <w:jc w:val="center"/>
              <w:rPr>
                <w:color w:val="auto"/>
                <w:sz w:val="24"/>
                <w:szCs w:val="24"/>
              </w:rPr>
            </w:pPr>
          </w:p>
        </w:tc>
        <w:tc>
          <w:tcPr>
            <w:tcW w:w="1675" w:type="dxa"/>
            <w:vAlign w:val="center"/>
          </w:tcPr>
          <w:p w14:paraId="37760292">
            <w:pPr>
              <w:adjustRightInd w:val="0"/>
              <w:snapToGrid w:val="0"/>
              <w:spacing w:line="288" w:lineRule="auto"/>
              <w:jc w:val="center"/>
              <w:rPr>
                <w:color w:val="auto"/>
                <w:sz w:val="24"/>
                <w:szCs w:val="24"/>
              </w:rPr>
            </w:pPr>
          </w:p>
        </w:tc>
      </w:tr>
      <w:tr w14:paraId="02A1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AD21B02">
            <w:pPr>
              <w:adjustRightInd w:val="0"/>
              <w:snapToGrid w:val="0"/>
              <w:spacing w:line="288" w:lineRule="auto"/>
              <w:jc w:val="center"/>
              <w:rPr>
                <w:color w:val="auto"/>
                <w:sz w:val="24"/>
                <w:szCs w:val="24"/>
              </w:rPr>
            </w:pPr>
          </w:p>
        </w:tc>
        <w:tc>
          <w:tcPr>
            <w:tcW w:w="1380" w:type="dxa"/>
            <w:vAlign w:val="center"/>
          </w:tcPr>
          <w:p w14:paraId="67EC0833">
            <w:pPr>
              <w:adjustRightInd w:val="0"/>
              <w:snapToGrid w:val="0"/>
              <w:spacing w:line="288" w:lineRule="auto"/>
              <w:jc w:val="center"/>
              <w:rPr>
                <w:color w:val="auto"/>
                <w:sz w:val="24"/>
                <w:szCs w:val="24"/>
              </w:rPr>
            </w:pPr>
          </w:p>
        </w:tc>
        <w:tc>
          <w:tcPr>
            <w:tcW w:w="1510" w:type="dxa"/>
            <w:vAlign w:val="center"/>
          </w:tcPr>
          <w:p w14:paraId="3E82B0DE">
            <w:pPr>
              <w:adjustRightInd w:val="0"/>
              <w:snapToGrid w:val="0"/>
              <w:spacing w:line="288" w:lineRule="auto"/>
              <w:jc w:val="center"/>
              <w:rPr>
                <w:color w:val="auto"/>
                <w:sz w:val="24"/>
                <w:szCs w:val="24"/>
              </w:rPr>
            </w:pPr>
          </w:p>
        </w:tc>
        <w:tc>
          <w:tcPr>
            <w:tcW w:w="1256" w:type="dxa"/>
            <w:vAlign w:val="center"/>
          </w:tcPr>
          <w:p w14:paraId="230D87A6">
            <w:pPr>
              <w:adjustRightInd w:val="0"/>
              <w:snapToGrid w:val="0"/>
              <w:spacing w:line="288" w:lineRule="auto"/>
              <w:jc w:val="center"/>
              <w:rPr>
                <w:color w:val="auto"/>
                <w:sz w:val="24"/>
                <w:szCs w:val="24"/>
              </w:rPr>
            </w:pPr>
          </w:p>
        </w:tc>
        <w:tc>
          <w:tcPr>
            <w:tcW w:w="732" w:type="dxa"/>
            <w:vAlign w:val="center"/>
          </w:tcPr>
          <w:p w14:paraId="619FAE2A">
            <w:pPr>
              <w:adjustRightInd w:val="0"/>
              <w:snapToGrid w:val="0"/>
              <w:spacing w:line="288" w:lineRule="auto"/>
              <w:jc w:val="center"/>
              <w:rPr>
                <w:color w:val="auto"/>
                <w:sz w:val="24"/>
                <w:szCs w:val="24"/>
              </w:rPr>
            </w:pPr>
          </w:p>
        </w:tc>
        <w:tc>
          <w:tcPr>
            <w:tcW w:w="1005" w:type="dxa"/>
            <w:vAlign w:val="center"/>
          </w:tcPr>
          <w:p w14:paraId="55C55E98">
            <w:pPr>
              <w:adjustRightInd w:val="0"/>
              <w:snapToGrid w:val="0"/>
              <w:spacing w:line="288" w:lineRule="auto"/>
              <w:jc w:val="center"/>
              <w:rPr>
                <w:color w:val="auto"/>
                <w:sz w:val="24"/>
                <w:szCs w:val="24"/>
              </w:rPr>
            </w:pPr>
          </w:p>
        </w:tc>
        <w:tc>
          <w:tcPr>
            <w:tcW w:w="1675" w:type="dxa"/>
            <w:vAlign w:val="center"/>
          </w:tcPr>
          <w:p w14:paraId="38963E2E">
            <w:pPr>
              <w:adjustRightInd w:val="0"/>
              <w:snapToGrid w:val="0"/>
              <w:spacing w:line="288" w:lineRule="auto"/>
              <w:jc w:val="center"/>
              <w:rPr>
                <w:color w:val="auto"/>
                <w:sz w:val="24"/>
                <w:szCs w:val="24"/>
              </w:rPr>
            </w:pPr>
          </w:p>
        </w:tc>
      </w:tr>
      <w:tr w14:paraId="260C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9A55F9C">
            <w:pPr>
              <w:adjustRightInd w:val="0"/>
              <w:snapToGrid w:val="0"/>
              <w:spacing w:line="288" w:lineRule="auto"/>
              <w:jc w:val="center"/>
              <w:rPr>
                <w:color w:val="auto"/>
                <w:sz w:val="24"/>
                <w:szCs w:val="24"/>
              </w:rPr>
            </w:pPr>
          </w:p>
        </w:tc>
        <w:tc>
          <w:tcPr>
            <w:tcW w:w="1380" w:type="dxa"/>
            <w:vAlign w:val="center"/>
          </w:tcPr>
          <w:p w14:paraId="197B3884">
            <w:pPr>
              <w:adjustRightInd w:val="0"/>
              <w:snapToGrid w:val="0"/>
              <w:spacing w:line="288" w:lineRule="auto"/>
              <w:jc w:val="center"/>
              <w:rPr>
                <w:color w:val="auto"/>
                <w:sz w:val="24"/>
                <w:szCs w:val="24"/>
              </w:rPr>
            </w:pPr>
          </w:p>
        </w:tc>
        <w:tc>
          <w:tcPr>
            <w:tcW w:w="1510" w:type="dxa"/>
            <w:vAlign w:val="center"/>
          </w:tcPr>
          <w:p w14:paraId="22B7C27F">
            <w:pPr>
              <w:adjustRightInd w:val="0"/>
              <w:snapToGrid w:val="0"/>
              <w:spacing w:line="288" w:lineRule="auto"/>
              <w:jc w:val="center"/>
              <w:rPr>
                <w:color w:val="auto"/>
                <w:sz w:val="24"/>
                <w:szCs w:val="24"/>
              </w:rPr>
            </w:pPr>
          </w:p>
        </w:tc>
        <w:tc>
          <w:tcPr>
            <w:tcW w:w="1256" w:type="dxa"/>
            <w:vAlign w:val="center"/>
          </w:tcPr>
          <w:p w14:paraId="5AA824F4">
            <w:pPr>
              <w:adjustRightInd w:val="0"/>
              <w:snapToGrid w:val="0"/>
              <w:spacing w:line="288" w:lineRule="auto"/>
              <w:jc w:val="center"/>
              <w:rPr>
                <w:color w:val="auto"/>
                <w:sz w:val="24"/>
                <w:szCs w:val="24"/>
              </w:rPr>
            </w:pPr>
          </w:p>
        </w:tc>
        <w:tc>
          <w:tcPr>
            <w:tcW w:w="732" w:type="dxa"/>
            <w:vAlign w:val="center"/>
          </w:tcPr>
          <w:p w14:paraId="20CB61ED">
            <w:pPr>
              <w:adjustRightInd w:val="0"/>
              <w:snapToGrid w:val="0"/>
              <w:spacing w:line="288" w:lineRule="auto"/>
              <w:jc w:val="center"/>
              <w:rPr>
                <w:color w:val="auto"/>
                <w:sz w:val="24"/>
                <w:szCs w:val="24"/>
              </w:rPr>
            </w:pPr>
          </w:p>
        </w:tc>
        <w:tc>
          <w:tcPr>
            <w:tcW w:w="1005" w:type="dxa"/>
            <w:vAlign w:val="center"/>
          </w:tcPr>
          <w:p w14:paraId="5F4DD3EC">
            <w:pPr>
              <w:adjustRightInd w:val="0"/>
              <w:snapToGrid w:val="0"/>
              <w:spacing w:line="288" w:lineRule="auto"/>
              <w:jc w:val="center"/>
              <w:rPr>
                <w:color w:val="auto"/>
                <w:sz w:val="24"/>
                <w:szCs w:val="24"/>
              </w:rPr>
            </w:pPr>
          </w:p>
        </w:tc>
        <w:tc>
          <w:tcPr>
            <w:tcW w:w="1675" w:type="dxa"/>
            <w:vAlign w:val="center"/>
          </w:tcPr>
          <w:p w14:paraId="25707322">
            <w:pPr>
              <w:adjustRightInd w:val="0"/>
              <w:snapToGrid w:val="0"/>
              <w:spacing w:line="288" w:lineRule="auto"/>
              <w:jc w:val="center"/>
              <w:rPr>
                <w:color w:val="auto"/>
                <w:sz w:val="24"/>
                <w:szCs w:val="24"/>
              </w:rPr>
            </w:pPr>
          </w:p>
        </w:tc>
      </w:tr>
      <w:tr w14:paraId="2FB0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3015A3F">
            <w:pPr>
              <w:adjustRightInd w:val="0"/>
              <w:snapToGrid w:val="0"/>
              <w:spacing w:line="288" w:lineRule="auto"/>
              <w:jc w:val="center"/>
              <w:rPr>
                <w:color w:val="auto"/>
                <w:sz w:val="24"/>
                <w:szCs w:val="24"/>
              </w:rPr>
            </w:pPr>
          </w:p>
        </w:tc>
        <w:tc>
          <w:tcPr>
            <w:tcW w:w="1380" w:type="dxa"/>
            <w:vAlign w:val="center"/>
          </w:tcPr>
          <w:p w14:paraId="636CC900">
            <w:pPr>
              <w:adjustRightInd w:val="0"/>
              <w:snapToGrid w:val="0"/>
              <w:spacing w:line="288" w:lineRule="auto"/>
              <w:jc w:val="center"/>
              <w:rPr>
                <w:color w:val="auto"/>
                <w:sz w:val="24"/>
                <w:szCs w:val="24"/>
              </w:rPr>
            </w:pPr>
          </w:p>
        </w:tc>
        <w:tc>
          <w:tcPr>
            <w:tcW w:w="1510" w:type="dxa"/>
            <w:vAlign w:val="center"/>
          </w:tcPr>
          <w:p w14:paraId="452CA847">
            <w:pPr>
              <w:adjustRightInd w:val="0"/>
              <w:snapToGrid w:val="0"/>
              <w:spacing w:line="288" w:lineRule="auto"/>
              <w:jc w:val="center"/>
              <w:rPr>
                <w:color w:val="auto"/>
                <w:sz w:val="24"/>
                <w:szCs w:val="24"/>
              </w:rPr>
            </w:pPr>
          </w:p>
        </w:tc>
        <w:tc>
          <w:tcPr>
            <w:tcW w:w="1256" w:type="dxa"/>
            <w:vAlign w:val="center"/>
          </w:tcPr>
          <w:p w14:paraId="2E0A44C6">
            <w:pPr>
              <w:adjustRightInd w:val="0"/>
              <w:snapToGrid w:val="0"/>
              <w:spacing w:line="288" w:lineRule="auto"/>
              <w:jc w:val="center"/>
              <w:rPr>
                <w:color w:val="auto"/>
                <w:sz w:val="24"/>
                <w:szCs w:val="24"/>
              </w:rPr>
            </w:pPr>
          </w:p>
        </w:tc>
        <w:tc>
          <w:tcPr>
            <w:tcW w:w="732" w:type="dxa"/>
            <w:vAlign w:val="center"/>
          </w:tcPr>
          <w:p w14:paraId="5C9EA7FF">
            <w:pPr>
              <w:adjustRightInd w:val="0"/>
              <w:snapToGrid w:val="0"/>
              <w:spacing w:line="288" w:lineRule="auto"/>
              <w:jc w:val="center"/>
              <w:rPr>
                <w:color w:val="auto"/>
                <w:sz w:val="24"/>
                <w:szCs w:val="24"/>
              </w:rPr>
            </w:pPr>
          </w:p>
        </w:tc>
        <w:tc>
          <w:tcPr>
            <w:tcW w:w="1005" w:type="dxa"/>
            <w:vAlign w:val="center"/>
          </w:tcPr>
          <w:p w14:paraId="27618451">
            <w:pPr>
              <w:adjustRightInd w:val="0"/>
              <w:snapToGrid w:val="0"/>
              <w:spacing w:line="288" w:lineRule="auto"/>
              <w:jc w:val="center"/>
              <w:rPr>
                <w:color w:val="auto"/>
                <w:sz w:val="24"/>
                <w:szCs w:val="24"/>
              </w:rPr>
            </w:pPr>
          </w:p>
        </w:tc>
        <w:tc>
          <w:tcPr>
            <w:tcW w:w="1675" w:type="dxa"/>
            <w:vAlign w:val="center"/>
          </w:tcPr>
          <w:p w14:paraId="6711AFE4">
            <w:pPr>
              <w:adjustRightInd w:val="0"/>
              <w:snapToGrid w:val="0"/>
              <w:spacing w:line="288" w:lineRule="auto"/>
              <w:jc w:val="center"/>
              <w:rPr>
                <w:color w:val="auto"/>
                <w:sz w:val="24"/>
                <w:szCs w:val="24"/>
              </w:rPr>
            </w:pPr>
          </w:p>
        </w:tc>
      </w:tr>
    </w:tbl>
    <w:p w14:paraId="614B43EB">
      <w:pPr>
        <w:adjustRightInd w:val="0"/>
        <w:snapToGrid w:val="0"/>
        <w:spacing w:line="288" w:lineRule="auto"/>
        <w:rPr>
          <w:color w:val="auto"/>
          <w:sz w:val="24"/>
          <w:szCs w:val="24"/>
        </w:rPr>
      </w:pPr>
    </w:p>
    <w:p w14:paraId="2FFC3ADA">
      <w:pPr>
        <w:adjustRightInd w:val="0"/>
        <w:snapToGrid w:val="0"/>
        <w:spacing w:line="288" w:lineRule="auto"/>
        <w:rPr>
          <w:color w:val="auto"/>
          <w:sz w:val="24"/>
          <w:szCs w:val="24"/>
        </w:rPr>
      </w:pPr>
      <w:r>
        <w:rPr>
          <w:rFonts w:hint="eastAsia"/>
          <w:color w:val="auto"/>
          <w:sz w:val="24"/>
          <w:szCs w:val="24"/>
        </w:rPr>
        <w:t>说明：</w:t>
      </w:r>
    </w:p>
    <w:p w14:paraId="413E1F6F">
      <w:pPr>
        <w:adjustRightInd w:val="0"/>
        <w:snapToGrid w:val="0"/>
        <w:spacing w:line="288" w:lineRule="auto"/>
        <w:rPr>
          <w:color w:val="auto"/>
          <w:sz w:val="24"/>
          <w:szCs w:val="24"/>
        </w:rPr>
      </w:pPr>
      <w:r>
        <w:rPr>
          <w:rFonts w:hint="eastAsia"/>
          <w:color w:val="auto"/>
          <w:sz w:val="24"/>
          <w:szCs w:val="24"/>
        </w:rPr>
        <w:t>1.供应商须提供上述业绩合同扫描件；</w:t>
      </w:r>
    </w:p>
    <w:p w14:paraId="29428E09">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C194ED2">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3668BE57">
      <w:pPr>
        <w:pStyle w:val="28"/>
        <w:spacing w:line="360" w:lineRule="auto"/>
        <w:ind w:left="-27" w:firstLine="424"/>
        <w:rPr>
          <w:rFonts w:ascii="Times New Roman" w:hAnsi="Times New Roman"/>
          <w:b/>
          <w:bCs/>
          <w:color w:val="auto"/>
          <w:sz w:val="24"/>
          <w:szCs w:val="24"/>
        </w:rPr>
      </w:pPr>
    </w:p>
    <w:p w14:paraId="3CF27BC9">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3E273E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6AAA7D9">
      <w:pPr>
        <w:spacing w:line="360" w:lineRule="auto"/>
        <w:rPr>
          <w:color w:val="auto"/>
          <w:sz w:val="24"/>
          <w:szCs w:val="24"/>
        </w:rPr>
      </w:pPr>
      <w:r>
        <w:rPr>
          <w:rFonts w:hint="eastAsia" w:ascii="宋体" w:hAnsi="宋体" w:cs="宋体"/>
          <w:color w:val="auto"/>
          <w:sz w:val="24"/>
        </w:rPr>
        <w:t>日期：      年   月   日</w:t>
      </w:r>
    </w:p>
    <w:p w14:paraId="47D332DB">
      <w:pPr>
        <w:rPr>
          <w:rFonts w:ascii="黑体" w:hAnsi="黑体" w:eastAsia="黑体" w:cs="黑体"/>
          <w:color w:val="auto"/>
          <w:sz w:val="28"/>
          <w:szCs w:val="28"/>
        </w:rPr>
      </w:pPr>
      <w:bookmarkStart w:id="840" w:name="_Toc27754"/>
      <w:bookmarkStart w:id="841" w:name="_Toc9100"/>
      <w:bookmarkStart w:id="842" w:name="_Toc12743"/>
      <w:bookmarkStart w:id="843" w:name="_Toc9428"/>
      <w:bookmarkStart w:id="844" w:name="_Toc16499"/>
      <w:bookmarkStart w:id="845" w:name="_Toc25395"/>
      <w:bookmarkStart w:id="846" w:name="_Toc27736"/>
      <w:bookmarkStart w:id="847" w:name="_Toc21474"/>
      <w:bookmarkStart w:id="848" w:name="_Toc20235"/>
      <w:bookmarkStart w:id="849" w:name="_Toc28010"/>
      <w:bookmarkStart w:id="850" w:name="_Toc1352"/>
      <w:bookmarkStart w:id="851" w:name="_Toc24884"/>
      <w:bookmarkStart w:id="852" w:name="_Toc8383"/>
      <w:bookmarkStart w:id="853" w:name="_Toc27924"/>
      <w:bookmarkStart w:id="854" w:name="_Toc26175"/>
      <w:bookmarkStart w:id="855" w:name="_Toc23972"/>
      <w:bookmarkStart w:id="856" w:name="_Toc29974"/>
      <w:bookmarkStart w:id="857" w:name="_Toc6410"/>
      <w:bookmarkStart w:id="858" w:name="_Toc30618"/>
      <w:bookmarkStart w:id="859" w:name="_Toc31965"/>
      <w:bookmarkStart w:id="860" w:name="_Toc21901"/>
      <w:bookmarkStart w:id="861" w:name="_Toc3809"/>
      <w:bookmarkStart w:id="862" w:name="_Toc9650"/>
      <w:bookmarkStart w:id="863" w:name="_Toc11435"/>
      <w:bookmarkStart w:id="864" w:name="_Toc25847"/>
      <w:bookmarkStart w:id="865" w:name="_Toc18122"/>
      <w:bookmarkStart w:id="866" w:name="_Toc32660"/>
      <w:bookmarkStart w:id="867" w:name="_Toc5640"/>
      <w:bookmarkStart w:id="868" w:name="_Toc29300"/>
      <w:bookmarkStart w:id="869" w:name="_Toc20421"/>
      <w:bookmarkStart w:id="870" w:name="_Toc22005"/>
      <w:r>
        <w:rPr>
          <w:rFonts w:hint="eastAsia" w:ascii="黑体" w:hAnsi="黑体" w:eastAsia="黑体" w:cs="黑体"/>
          <w:color w:val="auto"/>
          <w:sz w:val="28"/>
          <w:szCs w:val="28"/>
        </w:rPr>
        <w:br w:type="page"/>
      </w:r>
    </w:p>
    <w:p w14:paraId="75910A1A">
      <w:pPr>
        <w:pStyle w:val="6"/>
        <w:ind w:left="0" w:firstLine="0"/>
        <w:rPr>
          <w:color w:val="auto"/>
        </w:rPr>
      </w:pPr>
      <w:bookmarkStart w:id="871" w:name="_Toc18638"/>
      <w:bookmarkStart w:id="872" w:name="_Toc4674"/>
      <w:r>
        <w:rPr>
          <w:rFonts w:hint="eastAsia"/>
          <w:color w:val="auto"/>
        </w:rPr>
        <w:t>（8）</w:t>
      </w:r>
      <w:bookmarkEnd w:id="840"/>
      <w:bookmarkEnd w:id="841"/>
      <w:bookmarkEnd w:id="842"/>
      <w:r>
        <w:rPr>
          <w:rFonts w:hint="eastAsia"/>
          <w:color w:val="auto"/>
        </w:rPr>
        <w:t>详细技术和服务方案</w:t>
      </w:r>
      <w:bookmarkEnd w:id="843"/>
      <w:bookmarkEnd w:id="844"/>
      <w:bookmarkEnd w:id="845"/>
      <w:bookmarkEnd w:id="846"/>
      <w:bookmarkEnd w:id="847"/>
      <w:bookmarkEnd w:id="848"/>
      <w:bookmarkEnd w:id="849"/>
      <w:bookmarkEnd w:id="871"/>
      <w:bookmarkEnd w:id="872"/>
    </w:p>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14:paraId="33937FEA">
      <w:pPr>
        <w:spacing w:line="420" w:lineRule="exact"/>
        <w:rPr>
          <w:color w:val="auto"/>
          <w:sz w:val="24"/>
        </w:rPr>
      </w:pPr>
      <w:r>
        <w:rPr>
          <w:rFonts w:hint="eastAsia"/>
          <w:color w:val="auto"/>
          <w:sz w:val="24"/>
        </w:rPr>
        <w:t>（根据采购需求及评分标准要求编制）</w:t>
      </w:r>
    </w:p>
    <w:p w14:paraId="7448789E">
      <w:pPr>
        <w:pStyle w:val="28"/>
        <w:snapToGrid w:val="0"/>
        <w:spacing w:line="440" w:lineRule="exact"/>
        <w:ind w:left="-27" w:firstLine="422"/>
        <w:rPr>
          <w:rFonts w:asciiTheme="majorEastAsia" w:hAnsiTheme="majorEastAsia" w:eastAsiaTheme="majorEastAsia" w:cstheme="majorEastAsia"/>
          <w:color w:val="auto"/>
          <w:sz w:val="24"/>
          <w:szCs w:val="24"/>
        </w:rPr>
      </w:pPr>
    </w:p>
    <w:p w14:paraId="1E235D41">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4014E48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593E8FE">
      <w:pPr>
        <w:spacing w:before="312" w:beforeLines="100" w:after="312" w:afterLines="100"/>
        <w:jc w:val="left"/>
        <w:rPr>
          <w:color w:val="auto"/>
          <w:sz w:val="24"/>
          <w:szCs w:val="24"/>
        </w:rPr>
      </w:pPr>
      <w:r>
        <w:rPr>
          <w:rFonts w:hint="eastAsia" w:ascii="宋体" w:hAnsi="宋体" w:cs="宋体"/>
          <w:color w:val="auto"/>
          <w:sz w:val="24"/>
        </w:rPr>
        <w:t>日期：      年   月   日</w:t>
      </w:r>
    </w:p>
    <w:p w14:paraId="668EB053">
      <w:pPr>
        <w:rPr>
          <w:color w:val="auto"/>
        </w:rPr>
      </w:pPr>
    </w:p>
    <w:p w14:paraId="37E408CD">
      <w:pPr>
        <w:pStyle w:val="6"/>
        <w:ind w:left="0" w:firstLine="0"/>
        <w:rPr>
          <w:color w:val="auto"/>
        </w:rPr>
      </w:pPr>
      <w:bookmarkStart w:id="873" w:name="_Toc23685"/>
      <w:bookmarkStart w:id="874" w:name="_Toc19068"/>
      <w:bookmarkStart w:id="875" w:name="_Toc14897"/>
      <w:bookmarkStart w:id="876" w:name="_Toc10148"/>
      <w:bookmarkStart w:id="877" w:name="_Toc21017"/>
      <w:bookmarkStart w:id="878" w:name="_Toc23700"/>
      <w:bookmarkStart w:id="879" w:name="_Toc21572"/>
      <w:bookmarkStart w:id="880" w:name="_Toc13211"/>
      <w:bookmarkStart w:id="881" w:name="_Toc3089"/>
      <w:bookmarkStart w:id="882" w:name="_Toc19159"/>
      <w:bookmarkStart w:id="883" w:name="_Toc1664"/>
      <w:bookmarkStart w:id="884" w:name="_Toc1378"/>
      <w:r>
        <w:rPr>
          <w:rFonts w:hint="eastAsia"/>
          <w:color w:val="auto"/>
        </w:rPr>
        <w:t>（9）</w:t>
      </w:r>
      <w:bookmarkEnd w:id="873"/>
      <w:r>
        <w:rPr>
          <w:rFonts w:hint="eastAsia"/>
          <w:color w:val="auto"/>
        </w:rPr>
        <w:t>项目组成员一览表</w:t>
      </w:r>
      <w:bookmarkEnd w:id="874"/>
      <w:bookmarkEnd w:id="875"/>
      <w:bookmarkEnd w:id="876"/>
      <w:bookmarkEnd w:id="877"/>
      <w:bookmarkEnd w:id="878"/>
      <w:bookmarkEnd w:id="879"/>
      <w:bookmarkEnd w:id="880"/>
      <w:bookmarkEnd w:id="881"/>
      <w:bookmarkEnd w:id="882"/>
    </w:p>
    <w:bookmarkEnd w:id="883"/>
    <w:bookmarkEnd w:id="884"/>
    <w:tbl>
      <w:tblPr>
        <w:tblStyle w:val="47"/>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1515"/>
        <w:gridCol w:w="1230"/>
        <w:gridCol w:w="1395"/>
        <w:gridCol w:w="1680"/>
        <w:gridCol w:w="1648"/>
      </w:tblGrid>
      <w:tr w14:paraId="1D45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1AAD6C1E">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515" w:type="dxa"/>
          </w:tcPr>
          <w:p w14:paraId="2EAB43F3">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230" w:type="dxa"/>
          </w:tcPr>
          <w:p w14:paraId="56A29BC4">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95" w:type="dxa"/>
          </w:tcPr>
          <w:p w14:paraId="3B7424BA">
            <w:pPr>
              <w:pStyle w:val="28"/>
              <w:snapToGrid w:val="0"/>
              <w:spacing w:line="440" w:lineRule="exact"/>
              <w:ind w:left="-27" w:firstLine="370"/>
              <w:jc w:val="center"/>
              <w:rPr>
                <w:color w:val="auto"/>
                <w:sz w:val="21"/>
                <w:szCs w:val="21"/>
              </w:rPr>
            </w:pPr>
            <w:r>
              <w:rPr>
                <w:rFonts w:hint="eastAsia"/>
                <w:color w:val="auto"/>
                <w:sz w:val="21"/>
                <w:szCs w:val="21"/>
              </w:rPr>
              <w:t>证书编号</w:t>
            </w:r>
          </w:p>
        </w:tc>
        <w:tc>
          <w:tcPr>
            <w:tcW w:w="1680" w:type="dxa"/>
          </w:tcPr>
          <w:p w14:paraId="4C92E353">
            <w:pPr>
              <w:pStyle w:val="28"/>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54496CB4">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14:paraId="07B2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290EC2BA">
            <w:pPr>
              <w:pStyle w:val="28"/>
              <w:snapToGrid w:val="0"/>
              <w:spacing w:line="440" w:lineRule="exact"/>
              <w:ind w:left="-27" w:firstLine="370"/>
              <w:rPr>
                <w:color w:val="auto"/>
                <w:sz w:val="21"/>
                <w:szCs w:val="21"/>
              </w:rPr>
            </w:pPr>
          </w:p>
        </w:tc>
        <w:tc>
          <w:tcPr>
            <w:tcW w:w="1515" w:type="dxa"/>
          </w:tcPr>
          <w:p w14:paraId="3732A215">
            <w:pPr>
              <w:pStyle w:val="28"/>
              <w:snapToGrid w:val="0"/>
              <w:spacing w:line="440" w:lineRule="exact"/>
              <w:ind w:left="-27" w:firstLine="370"/>
              <w:rPr>
                <w:color w:val="auto"/>
                <w:sz w:val="21"/>
                <w:szCs w:val="21"/>
              </w:rPr>
            </w:pPr>
          </w:p>
        </w:tc>
        <w:tc>
          <w:tcPr>
            <w:tcW w:w="1230" w:type="dxa"/>
          </w:tcPr>
          <w:p w14:paraId="3B59353F">
            <w:pPr>
              <w:pStyle w:val="28"/>
              <w:snapToGrid w:val="0"/>
              <w:spacing w:line="440" w:lineRule="exact"/>
              <w:ind w:left="-27" w:firstLine="370"/>
              <w:rPr>
                <w:color w:val="auto"/>
                <w:sz w:val="21"/>
                <w:szCs w:val="21"/>
              </w:rPr>
            </w:pPr>
          </w:p>
        </w:tc>
        <w:tc>
          <w:tcPr>
            <w:tcW w:w="1395" w:type="dxa"/>
          </w:tcPr>
          <w:p w14:paraId="1F250721">
            <w:pPr>
              <w:pStyle w:val="28"/>
              <w:snapToGrid w:val="0"/>
              <w:spacing w:line="440" w:lineRule="exact"/>
              <w:ind w:left="-27" w:firstLine="370"/>
              <w:rPr>
                <w:color w:val="auto"/>
                <w:sz w:val="21"/>
                <w:szCs w:val="21"/>
              </w:rPr>
            </w:pPr>
          </w:p>
        </w:tc>
        <w:tc>
          <w:tcPr>
            <w:tcW w:w="1680" w:type="dxa"/>
          </w:tcPr>
          <w:p w14:paraId="2C1A720F">
            <w:pPr>
              <w:pStyle w:val="28"/>
              <w:snapToGrid w:val="0"/>
              <w:spacing w:line="440" w:lineRule="exact"/>
              <w:ind w:left="-27" w:firstLine="370"/>
              <w:rPr>
                <w:color w:val="auto"/>
                <w:sz w:val="21"/>
                <w:szCs w:val="21"/>
              </w:rPr>
            </w:pPr>
          </w:p>
        </w:tc>
        <w:tc>
          <w:tcPr>
            <w:tcW w:w="1648" w:type="dxa"/>
          </w:tcPr>
          <w:p w14:paraId="0E9995DF">
            <w:pPr>
              <w:pStyle w:val="28"/>
              <w:snapToGrid w:val="0"/>
              <w:spacing w:line="440" w:lineRule="exact"/>
              <w:ind w:left="-27" w:firstLine="370"/>
              <w:rPr>
                <w:color w:val="auto"/>
                <w:sz w:val="21"/>
                <w:szCs w:val="21"/>
              </w:rPr>
            </w:pPr>
          </w:p>
        </w:tc>
      </w:tr>
      <w:tr w14:paraId="1C46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7681DC47">
            <w:pPr>
              <w:pStyle w:val="28"/>
              <w:snapToGrid w:val="0"/>
              <w:spacing w:line="440" w:lineRule="exact"/>
              <w:ind w:left="-27" w:firstLine="370"/>
              <w:rPr>
                <w:color w:val="auto"/>
                <w:sz w:val="21"/>
                <w:szCs w:val="21"/>
              </w:rPr>
            </w:pPr>
          </w:p>
        </w:tc>
        <w:tc>
          <w:tcPr>
            <w:tcW w:w="1515" w:type="dxa"/>
          </w:tcPr>
          <w:p w14:paraId="5227B511">
            <w:pPr>
              <w:pStyle w:val="28"/>
              <w:snapToGrid w:val="0"/>
              <w:spacing w:line="440" w:lineRule="exact"/>
              <w:ind w:left="-27" w:firstLine="370"/>
              <w:rPr>
                <w:color w:val="auto"/>
                <w:sz w:val="21"/>
                <w:szCs w:val="21"/>
              </w:rPr>
            </w:pPr>
          </w:p>
        </w:tc>
        <w:tc>
          <w:tcPr>
            <w:tcW w:w="1230" w:type="dxa"/>
          </w:tcPr>
          <w:p w14:paraId="72175F06">
            <w:pPr>
              <w:pStyle w:val="28"/>
              <w:snapToGrid w:val="0"/>
              <w:spacing w:line="440" w:lineRule="exact"/>
              <w:ind w:left="-27" w:firstLine="370"/>
              <w:rPr>
                <w:color w:val="auto"/>
                <w:sz w:val="21"/>
                <w:szCs w:val="21"/>
              </w:rPr>
            </w:pPr>
          </w:p>
        </w:tc>
        <w:tc>
          <w:tcPr>
            <w:tcW w:w="1395" w:type="dxa"/>
          </w:tcPr>
          <w:p w14:paraId="46DA6C26">
            <w:pPr>
              <w:pStyle w:val="28"/>
              <w:snapToGrid w:val="0"/>
              <w:spacing w:line="440" w:lineRule="exact"/>
              <w:ind w:left="-27" w:firstLine="370"/>
              <w:rPr>
                <w:color w:val="auto"/>
                <w:sz w:val="21"/>
                <w:szCs w:val="21"/>
              </w:rPr>
            </w:pPr>
          </w:p>
        </w:tc>
        <w:tc>
          <w:tcPr>
            <w:tcW w:w="1680" w:type="dxa"/>
          </w:tcPr>
          <w:p w14:paraId="171EDADB">
            <w:pPr>
              <w:pStyle w:val="28"/>
              <w:snapToGrid w:val="0"/>
              <w:spacing w:line="440" w:lineRule="exact"/>
              <w:ind w:left="-27" w:firstLine="370"/>
              <w:rPr>
                <w:color w:val="auto"/>
                <w:sz w:val="21"/>
                <w:szCs w:val="21"/>
              </w:rPr>
            </w:pPr>
          </w:p>
        </w:tc>
        <w:tc>
          <w:tcPr>
            <w:tcW w:w="1648" w:type="dxa"/>
          </w:tcPr>
          <w:p w14:paraId="112D27CB">
            <w:pPr>
              <w:pStyle w:val="28"/>
              <w:snapToGrid w:val="0"/>
              <w:spacing w:line="440" w:lineRule="exact"/>
              <w:ind w:left="-27" w:firstLine="370"/>
              <w:rPr>
                <w:color w:val="auto"/>
                <w:sz w:val="21"/>
                <w:szCs w:val="21"/>
              </w:rPr>
            </w:pPr>
          </w:p>
        </w:tc>
      </w:tr>
      <w:tr w14:paraId="0A30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40BC4FC5">
            <w:pPr>
              <w:pStyle w:val="28"/>
              <w:snapToGrid w:val="0"/>
              <w:spacing w:line="440" w:lineRule="exact"/>
              <w:ind w:left="-27" w:firstLine="370"/>
              <w:rPr>
                <w:color w:val="auto"/>
                <w:sz w:val="21"/>
                <w:szCs w:val="21"/>
              </w:rPr>
            </w:pPr>
          </w:p>
        </w:tc>
        <w:tc>
          <w:tcPr>
            <w:tcW w:w="1515" w:type="dxa"/>
          </w:tcPr>
          <w:p w14:paraId="65973E7F">
            <w:pPr>
              <w:pStyle w:val="28"/>
              <w:snapToGrid w:val="0"/>
              <w:spacing w:line="440" w:lineRule="exact"/>
              <w:ind w:left="-27" w:firstLine="370"/>
              <w:rPr>
                <w:color w:val="auto"/>
                <w:sz w:val="21"/>
                <w:szCs w:val="21"/>
              </w:rPr>
            </w:pPr>
          </w:p>
        </w:tc>
        <w:tc>
          <w:tcPr>
            <w:tcW w:w="1230" w:type="dxa"/>
          </w:tcPr>
          <w:p w14:paraId="7503E46B">
            <w:pPr>
              <w:pStyle w:val="28"/>
              <w:snapToGrid w:val="0"/>
              <w:spacing w:line="440" w:lineRule="exact"/>
              <w:ind w:left="-27" w:firstLine="370"/>
              <w:rPr>
                <w:color w:val="auto"/>
                <w:sz w:val="21"/>
                <w:szCs w:val="21"/>
              </w:rPr>
            </w:pPr>
          </w:p>
        </w:tc>
        <w:tc>
          <w:tcPr>
            <w:tcW w:w="1395" w:type="dxa"/>
          </w:tcPr>
          <w:p w14:paraId="42309779">
            <w:pPr>
              <w:pStyle w:val="28"/>
              <w:snapToGrid w:val="0"/>
              <w:spacing w:line="440" w:lineRule="exact"/>
              <w:ind w:left="-27" w:firstLine="370"/>
              <w:rPr>
                <w:color w:val="auto"/>
                <w:sz w:val="21"/>
                <w:szCs w:val="21"/>
              </w:rPr>
            </w:pPr>
          </w:p>
        </w:tc>
        <w:tc>
          <w:tcPr>
            <w:tcW w:w="1680" w:type="dxa"/>
          </w:tcPr>
          <w:p w14:paraId="46526B38">
            <w:pPr>
              <w:pStyle w:val="28"/>
              <w:snapToGrid w:val="0"/>
              <w:spacing w:line="440" w:lineRule="exact"/>
              <w:ind w:left="-27" w:firstLine="370"/>
              <w:rPr>
                <w:color w:val="auto"/>
                <w:sz w:val="21"/>
                <w:szCs w:val="21"/>
              </w:rPr>
            </w:pPr>
          </w:p>
        </w:tc>
        <w:tc>
          <w:tcPr>
            <w:tcW w:w="1648" w:type="dxa"/>
          </w:tcPr>
          <w:p w14:paraId="22ABBE80">
            <w:pPr>
              <w:pStyle w:val="28"/>
              <w:snapToGrid w:val="0"/>
              <w:spacing w:line="440" w:lineRule="exact"/>
              <w:ind w:left="-27" w:firstLine="370"/>
              <w:rPr>
                <w:color w:val="auto"/>
                <w:sz w:val="21"/>
                <w:szCs w:val="21"/>
              </w:rPr>
            </w:pPr>
          </w:p>
        </w:tc>
      </w:tr>
      <w:tr w14:paraId="3097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6EA57C15">
            <w:pPr>
              <w:pStyle w:val="28"/>
              <w:snapToGrid w:val="0"/>
              <w:spacing w:line="440" w:lineRule="exact"/>
              <w:ind w:left="-27" w:firstLine="370"/>
              <w:rPr>
                <w:color w:val="auto"/>
                <w:sz w:val="21"/>
                <w:szCs w:val="21"/>
              </w:rPr>
            </w:pPr>
          </w:p>
        </w:tc>
        <w:tc>
          <w:tcPr>
            <w:tcW w:w="1515" w:type="dxa"/>
          </w:tcPr>
          <w:p w14:paraId="010802D9">
            <w:pPr>
              <w:pStyle w:val="28"/>
              <w:snapToGrid w:val="0"/>
              <w:spacing w:line="440" w:lineRule="exact"/>
              <w:ind w:left="-27" w:firstLine="370"/>
              <w:rPr>
                <w:color w:val="auto"/>
                <w:sz w:val="21"/>
                <w:szCs w:val="21"/>
              </w:rPr>
            </w:pPr>
          </w:p>
        </w:tc>
        <w:tc>
          <w:tcPr>
            <w:tcW w:w="1230" w:type="dxa"/>
          </w:tcPr>
          <w:p w14:paraId="0F837A6A">
            <w:pPr>
              <w:pStyle w:val="28"/>
              <w:snapToGrid w:val="0"/>
              <w:spacing w:line="440" w:lineRule="exact"/>
              <w:ind w:left="-27" w:firstLine="370"/>
              <w:rPr>
                <w:color w:val="auto"/>
                <w:sz w:val="21"/>
                <w:szCs w:val="21"/>
              </w:rPr>
            </w:pPr>
          </w:p>
        </w:tc>
        <w:tc>
          <w:tcPr>
            <w:tcW w:w="1395" w:type="dxa"/>
          </w:tcPr>
          <w:p w14:paraId="3C035387">
            <w:pPr>
              <w:pStyle w:val="28"/>
              <w:snapToGrid w:val="0"/>
              <w:spacing w:line="440" w:lineRule="exact"/>
              <w:ind w:left="-27" w:firstLine="370"/>
              <w:rPr>
                <w:color w:val="auto"/>
                <w:sz w:val="21"/>
                <w:szCs w:val="21"/>
              </w:rPr>
            </w:pPr>
          </w:p>
        </w:tc>
        <w:tc>
          <w:tcPr>
            <w:tcW w:w="1680" w:type="dxa"/>
          </w:tcPr>
          <w:p w14:paraId="54407684">
            <w:pPr>
              <w:pStyle w:val="28"/>
              <w:snapToGrid w:val="0"/>
              <w:spacing w:line="440" w:lineRule="exact"/>
              <w:ind w:left="-27" w:firstLine="370"/>
              <w:rPr>
                <w:color w:val="auto"/>
                <w:sz w:val="21"/>
                <w:szCs w:val="21"/>
              </w:rPr>
            </w:pPr>
          </w:p>
        </w:tc>
        <w:tc>
          <w:tcPr>
            <w:tcW w:w="1648" w:type="dxa"/>
          </w:tcPr>
          <w:p w14:paraId="609D2895">
            <w:pPr>
              <w:pStyle w:val="28"/>
              <w:snapToGrid w:val="0"/>
              <w:spacing w:line="440" w:lineRule="exact"/>
              <w:ind w:left="-27" w:firstLine="370"/>
              <w:rPr>
                <w:color w:val="auto"/>
                <w:sz w:val="21"/>
                <w:szCs w:val="21"/>
              </w:rPr>
            </w:pPr>
          </w:p>
        </w:tc>
      </w:tr>
      <w:tr w14:paraId="1813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1" w:type="dxa"/>
          </w:tcPr>
          <w:p w14:paraId="25C99445">
            <w:pPr>
              <w:pStyle w:val="28"/>
              <w:snapToGrid w:val="0"/>
              <w:spacing w:line="440" w:lineRule="exact"/>
              <w:ind w:left="-27" w:firstLine="370"/>
              <w:rPr>
                <w:color w:val="auto"/>
                <w:sz w:val="21"/>
                <w:szCs w:val="21"/>
              </w:rPr>
            </w:pPr>
          </w:p>
        </w:tc>
        <w:tc>
          <w:tcPr>
            <w:tcW w:w="1515" w:type="dxa"/>
          </w:tcPr>
          <w:p w14:paraId="695D83EE">
            <w:pPr>
              <w:pStyle w:val="28"/>
              <w:snapToGrid w:val="0"/>
              <w:spacing w:line="440" w:lineRule="exact"/>
              <w:ind w:left="-27" w:firstLine="370"/>
              <w:rPr>
                <w:color w:val="auto"/>
                <w:sz w:val="21"/>
                <w:szCs w:val="21"/>
              </w:rPr>
            </w:pPr>
          </w:p>
        </w:tc>
        <w:tc>
          <w:tcPr>
            <w:tcW w:w="1230" w:type="dxa"/>
          </w:tcPr>
          <w:p w14:paraId="5BC834BF">
            <w:pPr>
              <w:pStyle w:val="28"/>
              <w:snapToGrid w:val="0"/>
              <w:spacing w:line="440" w:lineRule="exact"/>
              <w:ind w:left="-27" w:firstLine="370"/>
              <w:rPr>
                <w:color w:val="auto"/>
                <w:sz w:val="21"/>
                <w:szCs w:val="21"/>
              </w:rPr>
            </w:pPr>
          </w:p>
        </w:tc>
        <w:tc>
          <w:tcPr>
            <w:tcW w:w="1395" w:type="dxa"/>
          </w:tcPr>
          <w:p w14:paraId="35F7317C">
            <w:pPr>
              <w:pStyle w:val="28"/>
              <w:snapToGrid w:val="0"/>
              <w:spacing w:line="440" w:lineRule="exact"/>
              <w:ind w:left="-27" w:firstLine="370"/>
              <w:rPr>
                <w:color w:val="auto"/>
                <w:sz w:val="21"/>
                <w:szCs w:val="21"/>
              </w:rPr>
            </w:pPr>
          </w:p>
        </w:tc>
        <w:tc>
          <w:tcPr>
            <w:tcW w:w="1680" w:type="dxa"/>
          </w:tcPr>
          <w:p w14:paraId="60BAD9C6">
            <w:pPr>
              <w:pStyle w:val="28"/>
              <w:snapToGrid w:val="0"/>
              <w:spacing w:line="440" w:lineRule="exact"/>
              <w:ind w:left="-27" w:firstLine="370"/>
              <w:rPr>
                <w:color w:val="auto"/>
                <w:sz w:val="21"/>
                <w:szCs w:val="21"/>
              </w:rPr>
            </w:pPr>
          </w:p>
        </w:tc>
        <w:tc>
          <w:tcPr>
            <w:tcW w:w="1648" w:type="dxa"/>
          </w:tcPr>
          <w:p w14:paraId="08AE2BCF">
            <w:pPr>
              <w:pStyle w:val="28"/>
              <w:snapToGrid w:val="0"/>
              <w:spacing w:line="440" w:lineRule="exact"/>
              <w:ind w:left="-27" w:firstLine="370"/>
              <w:rPr>
                <w:color w:val="auto"/>
                <w:sz w:val="21"/>
                <w:szCs w:val="21"/>
              </w:rPr>
            </w:pPr>
          </w:p>
        </w:tc>
      </w:tr>
    </w:tbl>
    <w:p w14:paraId="00C417D0">
      <w:pPr>
        <w:pStyle w:val="28"/>
        <w:snapToGrid w:val="0"/>
        <w:spacing w:line="440" w:lineRule="exact"/>
        <w:ind w:left="-27" w:firstLine="370"/>
        <w:rPr>
          <w:color w:val="auto"/>
          <w:sz w:val="21"/>
          <w:szCs w:val="21"/>
        </w:rPr>
      </w:pPr>
      <w:r>
        <w:rPr>
          <w:rFonts w:hint="eastAsia"/>
          <w:color w:val="auto"/>
          <w:sz w:val="21"/>
          <w:szCs w:val="21"/>
        </w:rPr>
        <w:t>注：</w:t>
      </w:r>
      <w:r>
        <w:rPr>
          <w:rFonts w:hint="eastAsia"/>
          <w:color w:val="auto"/>
          <w:sz w:val="21"/>
          <w:szCs w:val="21"/>
          <w:lang w:eastAsia="zh-CN"/>
        </w:rPr>
        <w:t>（</w:t>
      </w:r>
      <w:r>
        <w:rPr>
          <w:rFonts w:hint="eastAsia"/>
          <w:color w:val="auto"/>
          <w:sz w:val="21"/>
          <w:szCs w:val="21"/>
          <w:lang w:val="en-US" w:eastAsia="zh-CN"/>
        </w:rPr>
        <w:t>1</w:t>
      </w:r>
      <w:r>
        <w:rPr>
          <w:rFonts w:hint="eastAsia"/>
          <w:color w:val="auto"/>
          <w:sz w:val="21"/>
          <w:szCs w:val="21"/>
          <w:lang w:eastAsia="zh-CN"/>
        </w:rPr>
        <w:t>）</w:t>
      </w:r>
      <w:r>
        <w:rPr>
          <w:rFonts w:hint="eastAsia"/>
          <w:color w:val="auto"/>
          <w:sz w:val="21"/>
          <w:szCs w:val="21"/>
        </w:rPr>
        <w:t>附学历职称证书复印件、与用人单位签订的劳动合同复印件（含个人基本资料、批准项目内容）。</w:t>
      </w:r>
    </w:p>
    <w:p w14:paraId="2717D85B">
      <w:pPr>
        <w:pStyle w:val="28"/>
        <w:snapToGrid w:val="0"/>
        <w:spacing w:line="440" w:lineRule="exact"/>
        <w:ind w:left="-27" w:firstLine="370"/>
        <w:rPr>
          <w:rFonts w:hint="eastAsia"/>
          <w:b/>
          <w:bCs/>
          <w:color w:val="auto"/>
          <w:sz w:val="21"/>
          <w:szCs w:val="21"/>
          <w:lang w:eastAsia="zh-CN"/>
        </w:rPr>
      </w:pPr>
      <w:r>
        <w:rPr>
          <w:rFonts w:hint="eastAsia"/>
          <w:b/>
          <w:bCs/>
          <w:color w:val="auto"/>
          <w:sz w:val="21"/>
          <w:szCs w:val="21"/>
          <w:lang w:eastAsia="zh-CN"/>
        </w:rPr>
        <w:t>（</w:t>
      </w:r>
      <w:r>
        <w:rPr>
          <w:rFonts w:hint="eastAsia"/>
          <w:b/>
          <w:bCs/>
          <w:color w:val="auto"/>
          <w:sz w:val="21"/>
          <w:szCs w:val="21"/>
          <w:lang w:val="en-US" w:eastAsia="zh-CN"/>
        </w:rPr>
        <w:t>2</w:t>
      </w:r>
      <w:r>
        <w:rPr>
          <w:rFonts w:hint="eastAsia"/>
          <w:b/>
          <w:bCs/>
          <w:color w:val="auto"/>
          <w:sz w:val="21"/>
          <w:szCs w:val="21"/>
          <w:lang w:eastAsia="zh-CN"/>
        </w:rPr>
        <w:t>）</w:t>
      </w:r>
      <w:r>
        <w:rPr>
          <w:rFonts w:hint="eastAsia"/>
          <w:b/>
          <w:bCs/>
          <w:color w:val="auto"/>
          <w:sz w:val="21"/>
          <w:szCs w:val="21"/>
          <w:lang w:val="en-US" w:eastAsia="zh-CN"/>
        </w:rPr>
        <w:t>可</w:t>
      </w:r>
      <w:r>
        <w:rPr>
          <w:rFonts w:hint="eastAsia"/>
          <w:b/>
          <w:bCs/>
          <w:color w:val="auto"/>
          <w:sz w:val="21"/>
          <w:szCs w:val="21"/>
          <w:lang w:eastAsia="zh-CN"/>
        </w:rPr>
        <w:t>根据采购需求及评分标准要求</w:t>
      </w:r>
      <w:r>
        <w:rPr>
          <w:rFonts w:hint="eastAsia"/>
          <w:b/>
          <w:bCs/>
          <w:color w:val="auto"/>
          <w:sz w:val="21"/>
          <w:szCs w:val="21"/>
          <w:lang w:val="en-US" w:eastAsia="zh-CN"/>
        </w:rPr>
        <w:t>自行调整表格内容</w:t>
      </w:r>
    </w:p>
    <w:p w14:paraId="56B818B4">
      <w:pPr>
        <w:pStyle w:val="28"/>
        <w:spacing w:line="360" w:lineRule="auto"/>
        <w:ind w:left="-27" w:firstLine="424"/>
        <w:rPr>
          <w:rFonts w:hint="eastAsia" w:hAnsi="宋体" w:cs="宋体"/>
          <w:b/>
          <w:bCs/>
          <w:color w:val="auto"/>
          <w:sz w:val="24"/>
        </w:rPr>
      </w:pPr>
    </w:p>
    <w:p w14:paraId="448304CE">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1A6456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BF7CE28">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FE5A722">
      <w:pPr>
        <w:pStyle w:val="6"/>
        <w:ind w:left="0" w:firstLine="0"/>
        <w:jc w:val="left"/>
        <w:rPr>
          <w:rFonts w:ascii="黑体" w:hAnsi="黑体" w:eastAsia="黑体" w:cs="黑体"/>
          <w:color w:val="auto"/>
          <w:sz w:val="24"/>
          <w:szCs w:val="24"/>
        </w:rPr>
      </w:pPr>
    </w:p>
    <w:p w14:paraId="182AC773">
      <w:pPr>
        <w:pStyle w:val="6"/>
        <w:ind w:left="0" w:firstLine="0"/>
        <w:rPr>
          <w:color w:val="auto"/>
        </w:rPr>
      </w:pPr>
      <w:bookmarkStart w:id="885" w:name="_Toc20288"/>
      <w:bookmarkStart w:id="886" w:name="_Toc13735"/>
      <w:bookmarkStart w:id="887" w:name="_Toc2145"/>
      <w:bookmarkStart w:id="888" w:name="_Toc2271"/>
      <w:bookmarkStart w:id="889" w:name="_Toc30223"/>
      <w:bookmarkStart w:id="890" w:name="_Toc10021"/>
      <w:bookmarkStart w:id="891" w:name="_Toc31661"/>
      <w:bookmarkStart w:id="892" w:name="_Toc14194"/>
      <w:bookmarkStart w:id="893" w:name="_Toc29121"/>
      <w:bookmarkStart w:id="894" w:name="_Toc16591"/>
      <w:bookmarkStart w:id="895" w:name="_Toc15835"/>
      <w:bookmarkStart w:id="896" w:name="_Toc3296"/>
      <w:r>
        <w:rPr>
          <w:rFonts w:hint="eastAsia"/>
          <w:color w:val="auto"/>
        </w:rPr>
        <w:t>（10）关于对磋商文件中有关条款的拒绝声明</w:t>
      </w:r>
      <w:bookmarkEnd w:id="839"/>
      <w:r>
        <w:rPr>
          <w:rFonts w:hint="eastAsia"/>
          <w:color w:val="auto"/>
        </w:rPr>
        <w:t>(如有)</w:t>
      </w:r>
      <w:bookmarkEnd w:id="885"/>
      <w:bookmarkEnd w:id="886"/>
      <w:bookmarkEnd w:id="887"/>
      <w:bookmarkEnd w:id="888"/>
      <w:bookmarkEnd w:id="889"/>
      <w:bookmarkEnd w:id="890"/>
      <w:bookmarkEnd w:id="891"/>
      <w:bookmarkEnd w:id="892"/>
      <w:bookmarkEnd w:id="893"/>
      <w:bookmarkEnd w:id="894"/>
      <w:bookmarkEnd w:id="895"/>
      <w:bookmarkEnd w:id="896"/>
      <w:r>
        <w:rPr>
          <w:rFonts w:hint="eastAsia"/>
          <w:color w:val="auto"/>
        </w:rPr>
        <w:t xml:space="preserve"> </w:t>
      </w:r>
    </w:p>
    <w:bookmarkEnd w:id="0"/>
    <w:bookmarkEnd w:id="261"/>
    <w:bookmarkEnd w:id="678"/>
    <w:p w14:paraId="3A90DA33">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5E5C79B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E581509">
      <w:pPr>
        <w:spacing w:before="312" w:beforeLines="100" w:after="312" w:afterLines="100"/>
        <w:jc w:val="left"/>
        <w:rPr>
          <w:color w:val="auto"/>
          <w:sz w:val="24"/>
        </w:rPr>
      </w:pPr>
      <w:r>
        <w:rPr>
          <w:rFonts w:hint="eastAsia" w:ascii="宋体" w:hAnsi="宋体" w:cs="宋体"/>
          <w:color w:val="auto"/>
          <w:sz w:val="24"/>
        </w:rPr>
        <w:t>日期：      年   月   日</w:t>
      </w:r>
    </w:p>
    <w:p w14:paraId="66B8AE49">
      <w:pPr>
        <w:pStyle w:val="6"/>
        <w:ind w:left="0" w:firstLine="0"/>
        <w:jc w:val="left"/>
        <w:rPr>
          <w:color w:val="auto"/>
        </w:rPr>
      </w:pPr>
      <w:bookmarkStart w:id="897" w:name="_Toc27023"/>
      <w:bookmarkStart w:id="898" w:name="_Toc19825"/>
      <w:r>
        <w:rPr>
          <w:rFonts w:hint="eastAsia"/>
          <w:color w:val="auto"/>
        </w:rPr>
        <w:t>评分标准索引表</w:t>
      </w:r>
      <w:bookmarkEnd w:id="897"/>
      <w:bookmarkEnd w:id="898"/>
    </w:p>
    <w:p w14:paraId="67D5E3D3">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31691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485DFCB4">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280A5C3">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39124E10">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04E75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E8185BC">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19C86A22">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5F69C4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CED66A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D12572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1D8BC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6D1EC84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7EE21B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7A80D0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04C35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FE5C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A1506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53AA57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076934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0A223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6EE5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105E7C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B2EEA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FA56BF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2EB813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FB307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EB557F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EC5BD0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CDC9AD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8A093A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26B6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F2F89E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12C4EE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0C6DE2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A549D4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E174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1C7633B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69F000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2F8F1E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4F2C53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A664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5F17CF2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279377F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DF9E14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73E45AD">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339B6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6A172F3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8443719">
            <w:pPr>
              <w:rPr>
                <w:color w:val="auto"/>
                <w:sz w:val="24"/>
                <w:szCs w:val="24"/>
              </w:rPr>
            </w:pPr>
          </w:p>
          <w:p w14:paraId="2B3CA79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346FDC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7567622">
            <w:pPr>
              <w:jc w:val="left"/>
              <w:rPr>
                <w:rFonts w:ascii="楷体_GB2312" w:eastAsia="楷体_GB2312"/>
                <w:color w:val="auto"/>
                <w:sz w:val="24"/>
                <w:szCs w:val="24"/>
              </w:rPr>
            </w:pPr>
            <w:r>
              <w:rPr>
                <w:rFonts w:hint="eastAsia" w:ascii="仿宋_GB2312" w:eastAsia="仿宋_GB2312"/>
                <w:color w:val="auto"/>
                <w:sz w:val="24"/>
                <w:szCs w:val="24"/>
              </w:rPr>
              <w:t>……</w:t>
            </w:r>
          </w:p>
        </w:tc>
      </w:tr>
      <w:tr w14:paraId="29B8F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82C3EA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056BEC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82B5C5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33ABD75">
            <w:pPr>
              <w:jc w:val="left"/>
              <w:rPr>
                <w:rFonts w:ascii="楷体_GB2312" w:eastAsia="楷体_GB2312"/>
                <w:color w:val="auto"/>
                <w:sz w:val="24"/>
                <w:szCs w:val="24"/>
              </w:rPr>
            </w:pPr>
          </w:p>
        </w:tc>
      </w:tr>
      <w:tr w14:paraId="6DC33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705868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7E388AC">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64B3F2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EA22EBA">
            <w:pPr>
              <w:jc w:val="left"/>
              <w:rPr>
                <w:rFonts w:ascii="楷体_GB2312" w:eastAsia="楷体_GB2312"/>
                <w:color w:val="auto"/>
                <w:sz w:val="24"/>
                <w:szCs w:val="24"/>
              </w:rPr>
            </w:pPr>
          </w:p>
        </w:tc>
      </w:tr>
      <w:tr w14:paraId="20D67B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1FF9D10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903C19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5771B9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C1F06AE">
            <w:pPr>
              <w:jc w:val="left"/>
              <w:rPr>
                <w:rFonts w:ascii="楷体_GB2312" w:eastAsia="楷体_GB2312"/>
                <w:color w:val="auto"/>
                <w:sz w:val="24"/>
                <w:szCs w:val="24"/>
              </w:rPr>
            </w:pPr>
          </w:p>
        </w:tc>
      </w:tr>
      <w:tr w14:paraId="39F231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AC5840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027CB2A">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D64504D">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82F5094">
            <w:pPr>
              <w:jc w:val="left"/>
              <w:rPr>
                <w:rFonts w:ascii="楷体_GB2312" w:eastAsia="楷体_GB2312"/>
                <w:color w:val="auto"/>
                <w:sz w:val="24"/>
                <w:szCs w:val="24"/>
              </w:rPr>
            </w:pPr>
          </w:p>
        </w:tc>
      </w:tr>
      <w:tr w14:paraId="18198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D403BA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78D7D4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3138ED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88EE68C">
            <w:pPr>
              <w:jc w:val="left"/>
              <w:rPr>
                <w:rFonts w:ascii="楷体_GB2312" w:eastAsia="楷体_GB2312"/>
                <w:color w:val="auto"/>
                <w:sz w:val="24"/>
                <w:szCs w:val="24"/>
              </w:rPr>
            </w:pPr>
          </w:p>
        </w:tc>
      </w:tr>
    </w:tbl>
    <w:p w14:paraId="7DC90276">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134" w:right="1247" w:bottom="124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85DA9">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3B187971">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223FA1B6">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5796732D">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680F4859">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28CC0859">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16AEE7BF">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04D417D4">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BA641">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3D2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676C64"/>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D0E93"/>
    <w:rsid w:val="14576DE3"/>
    <w:rsid w:val="147B3BEE"/>
    <w:rsid w:val="148003C6"/>
    <w:rsid w:val="148E7F8B"/>
    <w:rsid w:val="149D0920"/>
    <w:rsid w:val="151956DA"/>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CF3674"/>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BC7598E"/>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4E1E7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923538"/>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4F74598"/>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0F39"/>
    <w:rsid w:val="7B5E1D50"/>
    <w:rsid w:val="7B636AFA"/>
    <w:rsid w:val="7B7760C9"/>
    <w:rsid w:val="7B8414B2"/>
    <w:rsid w:val="7C376D58"/>
    <w:rsid w:val="7C6F730C"/>
    <w:rsid w:val="7C9020F0"/>
    <w:rsid w:val="7CCB17EF"/>
    <w:rsid w:val="7CD82E9A"/>
    <w:rsid w:val="7D00550F"/>
    <w:rsid w:val="7D344D95"/>
    <w:rsid w:val="7D450117"/>
    <w:rsid w:val="7D5052A6"/>
    <w:rsid w:val="7E19511B"/>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43</Pages>
  <Words>27863</Words>
  <Characters>29056</Characters>
  <Lines>257</Lines>
  <Paragraphs>72</Paragraphs>
  <TotalTime>56</TotalTime>
  <ScaleCrop>false</ScaleCrop>
  <LinksUpToDate>false</LinksUpToDate>
  <CharactersWithSpaces>30549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2024-11-26T08:34:11Z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8EDFB732A38A4CAC96E18AD3A56F0EB4</vt:lpwstr>
  </property>
</Properties>
</file>