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3"/>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0"/>
      </w:tblGrid>
      <w:tr w14:paraId="752EA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0" w:hRule="atLeast"/>
        </w:trPr>
        <w:tc>
          <w:tcPr>
            <w:tcW w:w="9300" w:type="dxa"/>
            <w:tcBorders>
              <w:top w:val="single" w:color="auto" w:sz="4" w:space="0"/>
              <w:left w:val="single" w:color="auto" w:sz="4" w:space="0"/>
              <w:bottom w:val="single" w:color="auto" w:sz="4" w:space="0"/>
              <w:right w:val="single" w:color="auto" w:sz="4" w:space="0"/>
            </w:tcBorders>
          </w:tcPr>
          <w:p w14:paraId="561734EA">
            <w:pPr>
              <w:numPr>
                <w:ilvl w:val="0"/>
                <w:numId w:val="1"/>
              </w:numPr>
              <w:spacing w:line="400" w:lineRule="exact"/>
              <w:rPr>
                <w:rFonts w:hint="eastAsia" w:ascii="宋体" w:hAnsi="宋体" w:cs="宋体"/>
                <w:b/>
                <w:bCs/>
                <w:szCs w:val="21"/>
                <w:highlight w:val="none"/>
              </w:rPr>
            </w:pPr>
            <w:r>
              <w:rPr>
                <w:rFonts w:hint="eastAsia" w:ascii="宋体" w:hAnsi="宋体" w:cs="宋体"/>
                <w:b/>
                <w:bCs/>
                <w:szCs w:val="21"/>
                <w:highlight w:val="none"/>
              </w:rPr>
              <w:t>工程概况</w:t>
            </w:r>
          </w:p>
          <w:p w14:paraId="452386CA">
            <w:pPr>
              <w:numPr>
                <w:ilvl w:val="0"/>
                <w:numId w:val="0"/>
              </w:numPr>
              <w:spacing w:line="400" w:lineRule="exact"/>
              <w:ind w:firstLine="420" w:firstLineChars="200"/>
              <w:rPr>
                <w:rFonts w:hint="eastAsia" w:ascii="宋体" w:hAnsi="宋体" w:eastAsia="宋体" w:cs="宋体"/>
                <w:bCs/>
                <w:szCs w:val="21"/>
                <w:highlight w:val="none"/>
                <w:lang w:val="en-US" w:eastAsia="zh-CN"/>
              </w:rPr>
            </w:pPr>
            <w:r>
              <w:rPr>
                <w:rFonts w:hint="eastAsia" w:ascii="宋体" w:hAnsi="宋体" w:eastAsia="宋体" w:cs="宋体"/>
                <w:bCs/>
                <w:szCs w:val="21"/>
                <w:highlight w:val="none"/>
                <w:lang w:val="en-US" w:eastAsia="zh-CN"/>
              </w:rPr>
              <w:t>本工程为杭州电子科技大学文一校区五号楼除险保安工程，位于杭州电子科技大学文一校区</w:t>
            </w:r>
            <w:r>
              <w:rPr>
                <w:rFonts w:hint="eastAsia" w:ascii="宋体" w:hAnsi="宋体" w:eastAsia="宋体" w:cs="宋体"/>
                <w:color w:val="auto"/>
                <w:sz w:val="21"/>
                <w:szCs w:val="21"/>
                <w:highlight w:val="none"/>
              </w:rPr>
              <w:t>。</w:t>
            </w:r>
          </w:p>
          <w:p w14:paraId="7EFAE312">
            <w:pPr>
              <w:numPr>
                <w:ilvl w:val="0"/>
                <w:numId w:val="0"/>
              </w:numPr>
              <w:spacing w:line="400" w:lineRule="exact"/>
              <w:rPr>
                <w:rFonts w:hint="eastAsia" w:ascii="宋体" w:hAnsi="宋体" w:eastAsia="宋体" w:cs="宋体"/>
                <w:bCs/>
                <w:szCs w:val="21"/>
                <w:highlight w:val="none"/>
                <w:lang w:val="en-US" w:eastAsia="zh-CN"/>
              </w:rPr>
            </w:pPr>
            <w:r>
              <w:rPr>
                <w:rFonts w:hint="eastAsia" w:ascii="宋体" w:hAnsi="宋体" w:eastAsia="宋体" w:cs="宋体"/>
                <w:bCs/>
                <w:szCs w:val="21"/>
                <w:highlight w:val="none"/>
                <w:lang w:val="en-US" w:eastAsia="zh-CN"/>
              </w:rPr>
              <w:t>建筑面积约2006.04 ㎡，主要包含5号楼的拆除原本装修、新建墙体、室</w:t>
            </w:r>
            <w:r>
              <w:rPr>
                <w:rFonts w:hint="eastAsia" w:ascii="宋体" w:hAnsi="宋体" w:eastAsia="宋体" w:cs="宋体"/>
                <w:szCs w:val="22"/>
                <w:highlight w:val="none"/>
                <w:lang w:val="en-US" w:eastAsia="zh-CN"/>
              </w:rPr>
              <w:t>内装修改造、基础加固、水电改造等工作</w:t>
            </w:r>
            <w:r>
              <w:rPr>
                <w:rFonts w:hint="eastAsia" w:ascii="宋体" w:hAnsi="宋体" w:eastAsia="宋体" w:cs="宋体"/>
                <w:szCs w:val="22"/>
                <w:highlight w:val="none"/>
                <w:lang w:eastAsia="zh-CN"/>
              </w:rPr>
              <w:t>。</w:t>
            </w:r>
          </w:p>
          <w:p w14:paraId="0493CA57">
            <w:pPr>
              <w:numPr>
                <w:ilvl w:val="0"/>
                <w:numId w:val="1"/>
              </w:numPr>
              <w:spacing w:line="400" w:lineRule="exact"/>
              <w:rPr>
                <w:rFonts w:hint="eastAsia" w:ascii="宋体" w:hAnsi="宋体" w:cs="宋体"/>
                <w:b/>
                <w:bCs/>
                <w:szCs w:val="21"/>
                <w:highlight w:val="none"/>
              </w:rPr>
            </w:pPr>
            <w:r>
              <w:rPr>
                <w:rFonts w:hint="eastAsia" w:ascii="宋体" w:hAnsi="宋体" w:cs="宋体"/>
                <w:b/>
                <w:bCs/>
                <w:szCs w:val="21"/>
                <w:highlight w:val="none"/>
              </w:rPr>
              <w:t>招标范围</w:t>
            </w:r>
          </w:p>
          <w:p w14:paraId="5EBCF2CE">
            <w:pPr>
              <w:spacing w:line="400" w:lineRule="exact"/>
              <w:ind w:left="0"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详见招标文件。</w:t>
            </w:r>
          </w:p>
          <w:p w14:paraId="0E681653">
            <w:pPr>
              <w:numPr>
                <w:ilvl w:val="0"/>
                <w:numId w:val="1"/>
              </w:numPr>
              <w:spacing w:line="400" w:lineRule="exact"/>
              <w:rPr>
                <w:rFonts w:hint="eastAsia" w:ascii="宋体" w:hAnsi="宋体" w:cs="宋体"/>
                <w:b/>
                <w:bCs/>
                <w:szCs w:val="21"/>
                <w:highlight w:val="none"/>
              </w:rPr>
            </w:pPr>
            <w:r>
              <w:rPr>
                <w:rFonts w:hint="eastAsia" w:ascii="宋体" w:hAnsi="宋体" w:cs="宋体"/>
                <w:b/>
                <w:bCs/>
                <w:szCs w:val="21"/>
                <w:highlight w:val="none"/>
              </w:rPr>
              <w:t>编制依据</w:t>
            </w:r>
          </w:p>
          <w:p w14:paraId="0F9B7353">
            <w:pPr>
              <w:numPr>
                <w:ilvl w:val="0"/>
                <w:numId w:val="2"/>
              </w:numPr>
              <w:spacing w:line="400" w:lineRule="exact"/>
              <w:ind w:firstLine="420" w:firstLineChars="200"/>
              <w:rPr>
                <w:rFonts w:hint="eastAsia" w:ascii="宋体" w:hAnsi="宋体" w:eastAsia="宋体" w:cs="宋体"/>
                <w:bCs/>
                <w:szCs w:val="21"/>
                <w:highlight w:val="none"/>
                <w:lang w:val="en-US" w:eastAsia="zh-CN"/>
              </w:rPr>
            </w:pPr>
            <w:r>
              <w:rPr>
                <w:rFonts w:hint="eastAsia" w:ascii="宋体" w:hAnsi="宋体" w:eastAsia="宋体" w:cs="宋体"/>
                <w:bCs/>
                <w:szCs w:val="21"/>
                <w:highlight w:val="none"/>
                <w:lang w:val="en-US" w:eastAsia="zh-CN"/>
              </w:rPr>
              <w:t>杭州电子科技大学文一校区5#楼除险保安改造工程原始平面图。</w:t>
            </w:r>
          </w:p>
          <w:p w14:paraId="64F6A069">
            <w:pPr>
              <w:numPr>
                <w:ilvl w:val="0"/>
                <w:numId w:val="2"/>
              </w:numPr>
              <w:spacing w:line="400" w:lineRule="exact"/>
              <w:ind w:firstLine="420" w:firstLineChars="200"/>
              <w:rPr>
                <w:rFonts w:hint="eastAsia" w:ascii="宋体" w:hAnsi="宋体" w:eastAsia="宋体" w:cs="宋体"/>
                <w:bCs/>
                <w:szCs w:val="21"/>
                <w:highlight w:val="none"/>
                <w:lang w:val="en-US" w:eastAsia="zh-CN"/>
              </w:rPr>
            </w:pPr>
            <w:r>
              <w:rPr>
                <w:rFonts w:hint="eastAsia" w:ascii="宋体" w:hAnsi="宋体" w:eastAsia="宋体" w:cs="宋体"/>
                <w:bCs/>
                <w:szCs w:val="21"/>
                <w:highlight w:val="none"/>
                <w:lang w:val="en-US" w:eastAsia="zh-CN"/>
              </w:rPr>
              <w:t>浙江省成套招标代理有限公司编制的招标文件及《发包人要求》。</w:t>
            </w:r>
          </w:p>
          <w:p w14:paraId="59B83840">
            <w:pPr>
              <w:numPr>
                <w:ilvl w:val="0"/>
                <w:numId w:val="2"/>
              </w:numPr>
              <w:spacing w:line="400" w:lineRule="exact"/>
              <w:ind w:firstLine="420" w:firstLineChars="200"/>
              <w:rPr>
                <w:rFonts w:hint="eastAsia" w:ascii="宋体" w:hAnsi="宋体" w:eastAsia="宋体" w:cs="宋体"/>
                <w:bCs/>
                <w:szCs w:val="21"/>
                <w:highlight w:val="none"/>
                <w:lang w:val="en-US" w:eastAsia="zh-CN"/>
              </w:rPr>
            </w:pPr>
            <w:r>
              <w:rPr>
                <w:rFonts w:hint="eastAsia" w:ascii="宋体" w:hAnsi="宋体" w:eastAsia="宋体" w:cs="宋体"/>
                <w:bCs/>
                <w:szCs w:val="21"/>
                <w:highlight w:val="none"/>
                <w:lang w:val="en-US" w:eastAsia="zh-CN"/>
              </w:rPr>
              <w:t>《浙江省房屋建筑和市政基础设施项目工程总承包计价规则》(2018版)。</w:t>
            </w:r>
          </w:p>
          <w:p w14:paraId="30552276">
            <w:pPr>
              <w:numPr>
                <w:ilvl w:val="0"/>
                <w:numId w:val="2"/>
              </w:numPr>
              <w:spacing w:line="400" w:lineRule="exact"/>
              <w:ind w:firstLine="420" w:firstLineChars="200"/>
              <w:rPr>
                <w:rFonts w:hint="eastAsia" w:ascii="宋体" w:hAnsi="宋体" w:eastAsia="宋体" w:cs="宋体"/>
                <w:bCs/>
                <w:szCs w:val="21"/>
                <w:highlight w:val="none"/>
                <w:lang w:val="en-US" w:eastAsia="zh-CN"/>
              </w:rPr>
            </w:pPr>
            <w:r>
              <w:rPr>
                <w:rFonts w:hint="eastAsia" w:ascii="宋体" w:hAnsi="宋体" w:eastAsia="宋体" w:cs="宋体"/>
                <w:bCs/>
                <w:szCs w:val="21"/>
                <w:highlight w:val="none"/>
                <w:lang w:val="en-US" w:eastAsia="zh-CN"/>
              </w:rPr>
              <w:t>建设单位提供的本项目概算文件。</w:t>
            </w:r>
          </w:p>
          <w:p w14:paraId="73E70307">
            <w:pPr>
              <w:numPr>
                <w:ilvl w:val="0"/>
                <w:numId w:val="2"/>
              </w:numPr>
              <w:spacing w:line="400" w:lineRule="exact"/>
              <w:ind w:firstLine="420" w:firstLineChars="200"/>
              <w:rPr>
                <w:rFonts w:hint="eastAsia" w:ascii="宋体" w:hAnsi="宋体" w:eastAsia="宋体" w:cs="宋体"/>
                <w:kern w:val="28"/>
                <w:szCs w:val="21"/>
                <w:highlight w:val="none"/>
              </w:rPr>
            </w:pPr>
            <w:r>
              <w:rPr>
                <w:rFonts w:hint="eastAsia" w:ascii="宋体" w:hAnsi="宋体" w:eastAsia="宋体" w:cs="宋体"/>
                <w:bCs/>
                <w:szCs w:val="21"/>
                <w:highlight w:val="none"/>
                <w:lang w:val="en-US" w:eastAsia="zh-CN"/>
              </w:rPr>
              <w:t>《关于营改增后浙江省建设工程材料价格信息发布工作调整的通知》（浙建站信[2016]25号）、《关于增值税调整后我省建设工程计价依据增值税税率及有关计价调整的通知》（浙建建发[2019]92号）等政策文件、《省建设厅关于调整建筑工程安全文明施工费的通知》（浙建建发〔2022〕37 号）、《应急管理部关于进一步规范和加强安全生产责任保险工作的通知》（应急〔2022〕102号）、《浙江省应急管理厅关于进一步深化安全生产责任保险工作机制建设的通知》（浙应急法规〔2022〕133号）、《杭州市住房和城乡建设局关于全面推广应用承插型盘扣式模板支架的通知》等政策文件，本工程按文件要求使用工具式模板支撑架及承插型盘扣式脚手架，相关费用在投标报价中考虑。其他与建设项目有关的标准、规范、技术资料及相关规定。</w:t>
            </w:r>
          </w:p>
          <w:p w14:paraId="4282C8DC">
            <w:pPr>
              <w:tabs>
                <w:tab w:val="left" w:pos="540"/>
              </w:tabs>
              <w:autoSpaceDE w:val="0"/>
              <w:autoSpaceDN w:val="0"/>
              <w:adjustRightInd w:val="0"/>
              <w:snapToGrid w:val="0"/>
              <w:spacing w:line="400" w:lineRule="exact"/>
              <w:ind w:left="178" w:leftChars="85" w:right="48" w:firstLine="261" w:firstLineChars="124"/>
              <w:rPr>
                <w:rFonts w:hint="eastAsia"/>
                <w:b/>
                <w:szCs w:val="21"/>
                <w:highlight w:val="none"/>
              </w:rPr>
            </w:pPr>
            <w:r>
              <w:rPr>
                <w:rFonts w:hint="eastAsia"/>
                <w:b/>
                <w:szCs w:val="21"/>
                <w:highlight w:val="none"/>
              </w:rPr>
              <w:t>四、工程质量、工期、材料、施工等达到招标文件及相关规范要求。</w:t>
            </w:r>
          </w:p>
          <w:p w14:paraId="0BE1E9E8">
            <w:pPr>
              <w:spacing w:line="400" w:lineRule="exact"/>
              <w:ind w:firstLine="420" w:firstLineChars="200"/>
              <w:rPr>
                <w:rFonts w:hint="eastAsia"/>
                <w:b/>
                <w:color w:val="000000"/>
                <w:szCs w:val="21"/>
                <w:highlight w:val="none"/>
              </w:rPr>
            </w:pPr>
            <w:r>
              <w:rPr>
                <w:rFonts w:hint="eastAsia"/>
                <w:b/>
                <w:color w:val="000000"/>
                <w:szCs w:val="21"/>
                <w:highlight w:val="none"/>
              </w:rPr>
              <w:t>五、</w:t>
            </w:r>
            <w:r>
              <w:rPr>
                <w:rFonts w:hint="eastAsia"/>
                <w:b/>
                <w:color w:val="000000"/>
                <w:szCs w:val="21"/>
                <w:highlight w:val="none"/>
                <w:lang w:val="en-US" w:eastAsia="zh-CN"/>
              </w:rPr>
              <w:t>暂列金额、暂估价、税金</w:t>
            </w:r>
            <w:r>
              <w:rPr>
                <w:rFonts w:hint="eastAsia"/>
                <w:b/>
                <w:color w:val="000000"/>
                <w:szCs w:val="21"/>
                <w:highlight w:val="none"/>
              </w:rPr>
              <w:t>等</w:t>
            </w:r>
            <w:r>
              <w:rPr>
                <w:rFonts w:hint="eastAsia"/>
                <w:b/>
                <w:color w:val="000000"/>
                <w:szCs w:val="21"/>
                <w:highlight w:val="none"/>
                <w:lang w:val="en-US" w:eastAsia="zh-CN"/>
              </w:rPr>
              <w:t>费用说明</w:t>
            </w:r>
            <w:r>
              <w:rPr>
                <w:rFonts w:hint="eastAsia"/>
                <w:b/>
                <w:color w:val="000000"/>
                <w:szCs w:val="21"/>
                <w:highlight w:val="none"/>
              </w:rPr>
              <w:t>：</w:t>
            </w:r>
          </w:p>
          <w:p w14:paraId="20AFD4F9">
            <w:pPr>
              <w:numPr>
                <w:ilvl w:val="0"/>
                <w:numId w:val="3"/>
              </w:numPr>
              <w:spacing w:line="400" w:lineRule="exact"/>
              <w:rPr>
                <w:rFonts w:hint="eastAsia" w:ascii="宋体" w:hAnsi="宋体" w:eastAsia="宋体" w:cs="宋体"/>
                <w:szCs w:val="21"/>
                <w:highlight w:val="none"/>
                <w:shd w:val="clear" w:color="auto" w:fill="FFFF00"/>
              </w:rPr>
            </w:pPr>
            <w:r>
              <w:rPr>
                <w:rFonts w:hint="eastAsia" w:ascii="宋体" w:hAnsi="宋体" w:eastAsia="宋体" w:cs="宋体"/>
                <w:b w:val="0"/>
                <w:bCs w:val="0"/>
                <w:color w:val="auto"/>
                <w:kern w:val="0"/>
                <w:szCs w:val="21"/>
                <w:lang w:val="en-US" w:eastAsia="zh-CN"/>
              </w:rPr>
              <w:t>不创标化工地，不考虑</w:t>
            </w:r>
            <w:r>
              <w:rPr>
                <w:rFonts w:hint="eastAsia" w:ascii="宋体" w:hAnsi="宋体" w:eastAsia="宋体" w:cs="宋体"/>
                <w:b w:val="0"/>
                <w:bCs w:val="0"/>
                <w:color w:val="auto"/>
                <w:kern w:val="0"/>
                <w:szCs w:val="21"/>
              </w:rPr>
              <w:t>标化工地增加费</w:t>
            </w:r>
            <w:r>
              <w:rPr>
                <w:rFonts w:hint="eastAsia" w:ascii="宋体" w:hAnsi="宋体" w:eastAsia="宋体" w:cs="宋体"/>
                <w:szCs w:val="21"/>
                <w:highlight w:val="none"/>
                <w:shd w:val="clear" w:color="auto" w:fill="auto"/>
              </w:rPr>
              <w:t>。</w:t>
            </w:r>
          </w:p>
          <w:p w14:paraId="796F7C1C">
            <w:pPr>
              <w:spacing w:line="400" w:lineRule="exact"/>
              <w:ind w:left="0"/>
              <w:rPr>
                <w:rFonts w:hint="eastAsia" w:ascii="宋体" w:hAnsi="宋体" w:eastAsia="宋体" w:cs="宋体"/>
                <w:color w:val="auto"/>
                <w:szCs w:val="21"/>
                <w:highlight w:val="none"/>
                <w:shd w:val="clear" w:color="auto" w:fill="auto"/>
                <w:lang w:val="en-US" w:eastAsia="zh-CN"/>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en-US" w:eastAsia="zh-CN"/>
              </w:rPr>
              <w:t xml:space="preserve">  2、</w:t>
            </w:r>
            <w:r>
              <w:rPr>
                <w:rFonts w:hint="eastAsia" w:ascii="宋体" w:hAnsi="宋体" w:eastAsia="宋体" w:cs="宋体"/>
                <w:color w:val="auto"/>
                <w:szCs w:val="21"/>
                <w:highlight w:val="none"/>
                <w:shd w:val="clear" w:color="auto" w:fill="auto"/>
                <w:lang w:val="en-US" w:eastAsia="zh-CN"/>
              </w:rPr>
              <w:t>安全生产责任保险费用按照0.33%计取。</w:t>
            </w:r>
          </w:p>
          <w:p w14:paraId="23D39CD8">
            <w:pPr>
              <w:pBdr>
                <w:bottom w:val="none" w:color="auto" w:sz="0" w:space="0"/>
              </w:pBdr>
              <w:spacing w:line="400" w:lineRule="exact"/>
              <w:ind w:left="0"/>
              <w:rPr>
                <w:rFonts w:hint="eastAsia" w:ascii="宋体" w:hAnsi="宋体" w:eastAsia="宋体" w:cs="宋体"/>
                <w:color w:val="auto"/>
                <w:szCs w:val="21"/>
                <w:highlight w:val="none"/>
                <w:shd w:val="clear"/>
              </w:rPr>
            </w:pPr>
            <w:r>
              <w:rPr>
                <w:rFonts w:hint="eastAsia" w:ascii="宋体" w:hAnsi="宋体" w:eastAsia="宋体" w:cs="宋体"/>
                <w:color w:val="auto"/>
                <w:szCs w:val="21"/>
                <w:highlight w:val="none"/>
                <w:shd w:val="clear"/>
                <w:lang w:val="en-US" w:eastAsia="zh-CN"/>
              </w:rPr>
              <w:t xml:space="preserve">    3、本工程无暂列金额。</w:t>
            </w:r>
          </w:p>
          <w:p w14:paraId="0CDA5155">
            <w:pPr>
              <w:spacing w:line="400" w:lineRule="exact"/>
              <w:ind w:firstLine="420" w:firstLineChars="200"/>
              <w:rPr>
                <w:rFonts w:hint="eastAsia" w:ascii="宋体" w:hAnsi="宋体" w:eastAsia="宋体" w:cs="宋体"/>
                <w:color w:val="auto"/>
                <w:szCs w:val="21"/>
                <w:highlight w:val="none"/>
                <w:shd w:val="clear"/>
                <w:lang w:val="en-US" w:eastAsia="zh-CN"/>
              </w:rPr>
            </w:pPr>
            <w:r>
              <w:rPr>
                <w:rFonts w:hint="eastAsia" w:ascii="宋体" w:hAnsi="宋体" w:eastAsia="宋体" w:cs="宋体"/>
                <w:color w:val="auto"/>
                <w:szCs w:val="21"/>
                <w:highlight w:val="none"/>
                <w:shd w:val="clear"/>
                <w:lang w:val="en-US" w:eastAsia="zh-CN"/>
              </w:rPr>
              <w:t>4</w:t>
            </w:r>
            <w:r>
              <w:rPr>
                <w:rFonts w:hint="eastAsia" w:ascii="宋体" w:hAnsi="宋体" w:eastAsia="宋体" w:cs="宋体"/>
                <w:color w:val="auto"/>
                <w:szCs w:val="21"/>
                <w:highlight w:val="none"/>
                <w:shd w:val="clear"/>
              </w:rPr>
              <w:t>、</w:t>
            </w:r>
            <w:r>
              <w:rPr>
                <w:rFonts w:hint="eastAsia" w:ascii="宋体" w:hAnsi="宋体" w:eastAsia="宋体" w:cs="宋体"/>
                <w:color w:val="auto"/>
                <w:szCs w:val="21"/>
                <w:highlight w:val="none"/>
                <w:shd w:val="clear"/>
                <w:lang w:val="en-US" w:eastAsia="zh-CN"/>
              </w:rPr>
              <w:t>本工程无暂估价金额。</w:t>
            </w:r>
          </w:p>
          <w:p w14:paraId="5E1BF9E1">
            <w:pPr>
              <w:spacing w:line="400" w:lineRule="exact"/>
              <w:ind w:firstLine="420" w:firstLineChars="200"/>
              <w:rPr>
                <w:rFonts w:hint="eastAsia" w:ascii="宋体" w:hAnsi="宋体" w:eastAsia="宋体" w:cs="宋体"/>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、建筑安装工程费税金费</w:t>
            </w:r>
            <w:r>
              <w:rPr>
                <w:rFonts w:hint="eastAsia" w:ascii="宋体" w:hAnsi="宋体" w:eastAsia="宋体" w:cs="宋体"/>
                <w:szCs w:val="21"/>
                <w:highlight w:val="none"/>
              </w:rPr>
              <w:t>率为9%，不得竞争。</w:t>
            </w:r>
          </w:p>
          <w:p w14:paraId="2052EA91">
            <w:pPr>
              <w:spacing w:line="400" w:lineRule="exact"/>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val="en-US" w:eastAsia="zh-CN"/>
              </w:rPr>
              <w:t>6</w:t>
            </w:r>
            <w:r>
              <w:rPr>
                <w:rFonts w:hint="eastAsia" w:ascii="宋体" w:hAnsi="宋体" w:eastAsia="宋体" w:cs="宋体"/>
                <w:b w:val="0"/>
                <w:bCs w:val="0"/>
                <w:color w:val="auto"/>
                <w:szCs w:val="21"/>
                <w:highlight w:val="none"/>
              </w:rPr>
              <w:t>、安全文明施工基本费不得低于投标报价中工程费用1.5%。</w:t>
            </w:r>
          </w:p>
          <w:p w14:paraId="2D2861C4">
            <w:pPr>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lang w:val="en-US" w:eastAsia="zh-CN"/>
              </w:rPr>
              <w:t>7</w:t>
            </w:r>
            <w:r>
              <w:rPr>
                <w:rFonts w:hint="eastAsia" w:ascii="宋体" w:hAnsi="宋体" w:eastAsia="宋体" w:cs="宋体"/>
                <w:szCs w:val="21"/>
                <w:highlight w:val="none"/>
              </w:rPr>
              <w:t>、安全生产责任保险费由投标人结合工程实际和企业信用状况进行自主报价。</w:t>
            </w:r>
          </w:p>
          <w:p w14:paraId="174DEDE7">
            <w:pPr>
              <w:spacing w:line="400" w:lineRule="exact"/>
              <w:ind w:firstLine="420" w:firstLineChars="200"/>
              <w:rPr>
                <w:rFonts w:hint="eastAsia"/>
                <w:b/>
                <w:szCs w:val="21"/>
                <w:highlight w:val="none"/>
              </w:rPr>
            </w:pPr>
            <w:r>
              <w:rPr>
                <w:rFonts w:hint="eastAsia" w:ascii="宋体" w:hAnsi="宋体" w:cs="宋体"/>
                <w:b/>
                <w:bCs/>
                <w:szCs w:val="21"/>
                <w:highlight w:val="none"/>
              </w:rPr>
              <w:t>六、</w:t>
            </w:r>
            <w:r>
              <w:rPr>
                <w:rFonts w:hint="eastAsia"/>
                <w:b/>
                <w:szCs w:val="21"/>
                <w:highlight w:val="none"/>
              </w:rPr>
              <w:t>投标报价注意事项：</w:t>
            </w:r>
          </w:p>
          <w:p w14:paraId="13EBD261">
            <w:pPr>
              <w:numPr>
                <w:ilvl w:val="0"/>
                <w:numId w:val="4"/>
              </w:numPr>
              <w:adjustRightInd w:val="0"/>
              <w:snapToGrid w:val="0"/>
              <w:spacing w:line="400" w:lineRule="exact"/>
              <w:ind w:firstLine="420" w:firstLineChars="200"/>
              <w:rPr>
                <w:rFonts w:hint="eastAsia" w:ascii="宋体" w:hAnsi="宋体" w:eastAsia="宋体" w:cs="宋体"/>
                <w:szCs w:val="21"/>
                <w:highlight w:val="none"/>
                <w:u w:val="none"/>
                <w:lang w:bidi="ar"/>
              </w:rPr>
            </w:pPr>
            <w:r>
              <w:rPr>
                <w:rFonts w:hint="eastAsia" w:ascii="宋体" w:hAnsi="宋体" w:eastAsia="宋体" w:cs="宋体"/>
                <w:szCs w:val="21"/>
                <w:highlight w:val="none"/>
                <w:u w:val="none"/>
                <w:lang w:bidi="ar"/>
              </w:rPr>
              <w:t>工程总承包项目的投标报价依据招标文件以及招标人提供的工程总承包项目清单、设计文件、发包人要求等，并结合工程特点、市场因素及企业自身情况进行编制，投标人不得修改项目清单的数量和内容，但可根据工程</w:t>
            </w:r>
            <w:r>
              <w:rPr>
                <w:rFonts w:hint="eastAsia" w:ascii="宋体" w:hAnsi="宋体" w:eastAsia="宋体" w:cs="宋体"/>
                <w:color w:val="000000"/>
                <w:szCs w:val="21"/>
                <w:highlight w:val="none"/>
                <w:u w:val="none"/>
                <w:lang w:bidi="ar"/>
              </w:rPr>
              <w:t>项目的设计和施工组织方案，通过单独增列清单项目进行调整（包括对招标人提供项目清单的增减）。</w:t>
            </w:r>
          </w:p>
          <w:p w14:paraId="32C5056B">
            <w:pPr>
              <w:numPr>
                <w:ilvl w:val="0"/>
                <w:numId w:val="4"/>
              </w:numPr>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none"/>
                <w:lang w:bidi="ar"/>
              </w:rPr>
              <w:t>根据</w:t>
            </w:r>
            <w:r>
              <w:rPr>
                <w:rFonts w:hint="eastAsia" w:ascii="宋体" w:hAnsi="宋体" w:eastAsia="宋体" w:cs="宋体"/>
                <w:color w:val="auto"/>
                <w:szCs w:val="21"/>
                <w:highlight w:val="none"/>
              </w:rPr>
              <w:t>浙江省住房和城乡建设厅关于印发《浙江省建筑施工安全生产标准化管理优良工地考评实施办法》的通知(浙建〔2022〕4号)</w:t>
            </w:r>
            <w:r>
              <w:rPr>
                <w:rFonts w:hint="eastAsia" w:ascii="宋体" w:hAnsi="宋体" w:eastAsia="宋体" w:cs="宋体"/>
                <w:color w:val="auto"/>
                <w:szCs w:val="21"/>
                <w:highlight w:val="none"/>
                <w:u w:val="none"/>
                <w:lang w:bidi="ar"/>
              </w:rPr>
              <w:t>、</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杭</w:t>
            </w:r>
            <w:r>
              <w:rPr>
                <w:rFonts w:hint="eastAsia" w:ascii="宋体" w:hAnsi="宋体" w:eastAsia="宋体" w:cs="宋体"/>
                <w:color w:val="auto"/>
                <w:szCs w:val="21"/>
                <w:highlight w:val="none"/>
              </w:rPr>
              <w:t>州市住房和城乡建设局关于全面推广应用承插型盘扣式模板支架的通知》</w:t>
            </w:r>
            <w:r>
              <w:rPr>
                <w:rFonts w:hint="eastAsia" w:ascii="宋体" w:hAnsi="宋体" w:eastAsia="宋体" w:cs="宋体"/>
                <w:color w:val="auto"/>
                <w:szCs w:val="21"/>
                <w:highlight w:val="none"/>
                <w:u w:val="none"/>
                <w:lang w:bidi="ar"/>
              </w:rPr>
              <w:t>，</w:t>
            </w:r>
            <w:r>
              <w:rPr>
                <w:rFonts w:hint="eastAsia" w:ascii="宋体" w:hAnsi="宋体" w:eastAsia="宋体" w:cs="宋体"/>
                <w:color w:val="auto"/>
                <w:szCs w:val="21"/>
                <w:highlight w:val="none"/>
              </w:rPr>
              <w:t>本工程按文件要求使用工具式模板支撑架及承插型盘扣式脚手架</w:t>
            </w:r>
            <w:r>
              <w:rPr>
                <w:rFonts w:hint="eastAsia" w:ascii="宋体" w:hAnsi="宋体" w:eastAsia="宋体" w:cs="宋体"/>
                <w:color w:val="auto"/>
                <w:szCs w:val="21"/>
                <w:highlight w:val="none"/>
                <w:u w:val="none"/>
                <w:lang w:bidi="ar"/>
              </w:rPr>
              <w:t>，相关费用在投标报价中考虑。</w:t>
            </w:r>
          </w:p>
          <w:p w14:paraId="16FEEBF8">
            <w:pPr>
              <w:spacing w:line="400" w:lineRule="exact"/>
              <w:ind w:left="0" w:firstLine="421" w:firstLineChars="0"/>
              <w:rPr>
                <w:rFonts w:hint="eastAsia" w:ascii="宋体" w:hAnsi="宋体" w:eastAsia="宋体" w:cs="宋体"/>
                <w:b/>
                <w:bCs/>
                <w:szCs w:val="21"/>
                <w:highlight w:val="none"/>
              </w:rPr>
            </w:pPr>
            <w:r>
              <w:rPr>
                <w:rFonts w:hint="eastAsia" w:ascii="宋体" w:hAnsi="宋体" w:eastAsia="宋体" w:cs="宋体"/>
                <w:b/>
                <w:bCs/>
                <w:szCs w:val="21"/>
                <w:highlight w:val="none"/>
              </w:rPr>
              <w:t>七、编制口径</w:t>
            </w:r>
          </w:p>
          <w:p w14:paraId="5977948C">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bCs/>
                <w:kern w:val="2"/>
                <w:sz w:val="21"/>
                <w:szCs w:val="21"/>
                <w:lang w:val="en-US" w:eastAsia="zh-CN" w:bidi="ar"/>
              </w:rPr>
            </w:pPr>
            <w:r>
              <w:rPr>
                <w:rFonts w:hint="eastAsia" w:ascii="宋体" w:hAnsi="宋体" w:eastAsia="宋体" w:cs="宋体"/>
                <w:bCs/>
                <w:kern w:val="2"/>
                <w:sz w:val="21"/>
                <w:szCs w:val="21"/>
                <w:lang w:val="en-US" w:eastAsia="zh-CN" w:bidi="ar"/>
              </w:rPr>
              <w:t>（一）土建工程</w:t>
            </w:r>
          </w:p>
          <w:p w14:paraId="237BED04">
            <w:pPr>
              <w:keepNext w:val="0"/>
              <w:keepLines w:val="0"/>
              <w:widowControl w:val="0"/>
              <w:suppressLineNumbers w:val="0"/>
              <w:spacing w:before="0" w:beforeAutospacing="0" w:after="0" w:afterAutospacing="0" w:line="360" w:lineRule="auto"/>
              <w:ind w:left="0" w:right="0" w:firstLine="420" w:firstLineChars="200"/>
              <w:jc w:val="both"/>
              <w:rPr>
                <w:rFonts w:hint="default" w:ascii="宋体" w:hAnsi="宋体" w:eastAsia="宋体" w:cs="宋体"/>
                <w:bCs/>
                <w:kern w:val="2"/>
                <w:sz w:val="21"/>
                <w:szCs w:val="21"/>
                <w:lang w:val="en-US" w:eastAsia="zh-CN" w:bidi="ar"/>
              </w:rPr>
            </w:pPr>
            <w:r>
              <w:rPr>
                <w:rFonts w:hint="eastAsia" w:ascii="宋体" w:hAnsi="宋体" w:eastAsia="宋体" w:cs="宋体"/>
                <w:bCs/>
                <w:kern w:val="2"/>
                <w:sz w:val="21"/>
                <w:szCs w:val="21"/>
                <w:lang w:val="en-US" w:eastAsia="zh-CN" w:bidi="ar"/>
              </w:rPr>
              <w:t>1、经业主明确，需新增卫生间墙体和基础，新建基础暂按混凝土实心砖基础计入。</w:t>
            </w:r>
          </w:p>
          <w:p w14:paraId="68042D4B">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bCs/>
                <w:kern w:val="2"/>
                <w:sz w:val="21"/>
                <w:szCs w:val="21"/>
                <w:lang w:val="en-US" w:eastAsia="zh-CN" w:bidi="ar"/>
              </w:rPr>
            </w:pPr>
            <w:r>
              <w:rPr>
                <w:rFonts w:hint="eastAsia" w:ascii="宋体" w:hAnsi="宋体" w:eastAsia="宋体" w:cs="宋体"/>
                <w:bCs/>
                <w:kern w:val="2"/>
                <w:sz w:val="21"/>
                <w:szCs w:val="21"/>
                <w:lang w:val="en-US" w:eastAsia="zh-CN" w:bidi="ar"/>
              </w:rPr>
              <w:t>2、经业主明确，需新增卫生间墙体和基础，新建墙体暂按混凝土多孔砖墙计入。</w:t>
            </w:r>
          </w:p>
          <w:p w14:paraId="4EA272C1">
            <w:pPr>
              <w:keepNext w:val="0"/>
              <w:keepLines w:val="0"/>
              <w:widowControl w:val="0"/>
              <w:suppressLineNumbers w:val="0"/>
              <w:spacing w:before="0" w:beforeAutospacing="0" w:after="0" w:afterAutospacing="0" w:line="360" w:lineRule="auto"/>
              <w:ind w:left="0" w:right="0" w:firstLine="420" w:firstLineChars="200"/>
              <w:jc w:val="both"/>
              <w:rPr>
                <w:rFonts w:hint="default" w:ascii="宋体" w:hAnsi="宋体" w:eastAsia="宋体" w:cs="宋体"/>
                <w:bCs/>
                <w:kern w:val="2"/>
                <w:sz w:val="21"/>
                <w:szCs w:val="21"/>
                <w:lang w:val="en-US" w:eastAsia="zh-CN" w:bidi="ar"/>
              </w:rPr>
            </w:pPr>
            <w:r>
              <w:rPr>
                <w:rFonts w:hint="eastAsia" w:ascii="宋体" w:hAnsi="宋体" w:eastAsia="宋体" w:cs="宋体"/>
                <w:bCs/>
                <w:kern w:val="2"/>
                <w:sz w:val="21"/>
                <w:szCs w:val="21"/>
                <w:lang w:val="en-US" w:eastAsia="zh-CN" w:bidi="ar"/>
              </w:rPr>
              <w:t>3、本工程门高度按</w:t>
            </w:r>
            <w:r>
              <w:rPr>
                <w:rFonts w:hint="eastAsia" w:ascii="宋体" w:hAnsi="宋体" w:eastAsia="宋体" w:cs="宋体"/>
                <w:color w:val="000000"/>
                <w:sz w:val="21"/>
                <w:szCs w:val="21"/>
                <w:lang w:val="en-US" w:eastAsia="zh-CN"/>
              </w:rPr>
              <w:t>2.6m计入。</w:t>
            </w:r>
          </w:p>
          <w:p w14:paraId="6192F343">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bCs/>
                <w:kern w:val="2"/>
                <w:sz w:val="21"/>
                <w:szCs w:val="21"/>
                <w:lang w:val="en-US" w:eastAsia="zh-CN" w:bidi="ar"/>
              </w:rPr>
            </w:pPr>
            <w:r>
              <w:rPr>
                <w:rFonts w:hint="eastAsia" w:ascii="宋体" w:hAnsi="宋体" w:eastAsia="宋体" w:cs="宋体"/>
                <w:bCs/>
                <w:kern w:val="2"/>
                <w:sz w:val="21"/>
                <w:szCs w:val="21"/>
                <w:lang w:val="en-US" w:eastAsia="zh-CN" w:bidi="ar"/>
              </w:rPr>
              <w:t>（二）安装工程</w:t>
            </w:r>
          </w:p>
          <w:p w14:paraId="15953F0A">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bCs/>
                <w:kern w:val="2"/>
                <w:sz w:val="21"/>
                <w:szCs w:val="21"/>
                <w:lang w:val="en-US" w:eastAsia="zh-CN" w:bidi="ar"/>
              </w:rPr>
            </w:pPr>
            <w:r>
              <w:rPr>
                <w:rFonts w:hint="eastAsia" w:ascii="宋体" w:hAnsi="宋体" w:eastAsia="宋体" w:cs="宋体"/>
                <w:bCs/>
                <w:kern w:val="2"/>
                <w:sz w:val="21"/>
                <w:szCs w:val="21"/>
                <w:lang w:val="en-US" w:eastAsia="zh-CN" w:bidi="ar"/>
              </w:rPr>
              <w:t>1、通风管材质规格用常规镀锌钢板矩200*200。</w:t>
            </w:r>
          </w:p>
          <w:p w14:paraId="68002E2D">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bCs/>
                <w:kern w:val="2"/>
                <w:sz w:val="21"/>
                <w:szCs w:val="21"/>
                <w:lang w:val="en-US" w:eastAsia="zh-CN" w:bidi="ar"/>
              </w:rPr>
            </w:pPr>
            <w:r>
              <w:rPr>
                <w:rFonts w:hint="eastAsia" w:ascii="宋体" w:hAnsi="宋体" w:eastAsia="宋体" w:cs="宋体"/>
                <w:bCs/>
                <w:kern w:val="2"/>
                <w:sz w:val="21"/>
                <w:szCs w:val="21"/>
                <w:lang w:val="en-US" w:eastAsia="zh-CN" w:bidi="ar"/>
              </w:rPr>
              <w:t>2、照明配管使用常规JDG20镀锌线管。</w:t>
            </w:r>
          </w:p>
          <w:p w14:paraId="0058E6D5">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bCs/>
                <w:kern w:val="2"/>
                <w:sz w:val="21"/>
                <w:szCs w:val="21"/>
                <w:lang w:val="en-US" w:eastAsia="zh-CN" w:bidi="ar"/>
              </w:rPr>
            </w:pPr>
            <w:r>
              <w:rPr>
                <w:rFonts w:hint="eastAsia" w:ascii="宋体" w:hAnsi="宋体" w:eastAsia="宋体" w:cs="宋体"/>
                <w:bCs/>
                <w:kern w:val="2"/>
                <w:sz w:val="21"/>
                <w:szCs w:val="21"/>
                <w:lang w:val="en-US" w:eastAsia="zh-CN" w:bidi="ar"/>
              </w:rPr>
              <w:t>3、排水管使用常规UPVC管。</w:t>
            </w:r>
          </w:p>
          <w:p w14:paraId="2D0661E9">
            <w:pPr>
              <w:keepNext w:val="0"/>
              <w:keepLines w:val="0"/>
              <w:widowControl w:val="0"/>
              <w:suppressLineNumbers w:val="0"/>
              <w:spacing w:before="0" w:beforeAutospacing="0" w:after="0" w:afterAutospacing="0" w:line="360" w:lineRule="auto"/>
              <w:ind w:left="0" w:right="0" w:firstLine="420" w:firstLineChars="200"/>
              <w:jc w:val="both"/>
              <w:rPr>
                <w:rFonts w:hint="default" w:ascii="宋体" w:hAnsi="宋体" w:eastAsia="宋体" w:cs="宋体"/>
                <w:bCs/>
                <w:kern w:val="2"/>
                <w:sz w:val="21"/>
                <w:szCs w:val="21"/>
                <w:lang w:val="en-US" w:eastAsia="zh-CN" w:bidi="ar"/>
              </w:rPr>
            </w:pPr>
            <w:r>
              <w:rPr>
                <w:rFonts w:hint="eastAsia" w:ascii="宋体" w:hAnsi="宋体" w:eastAsia="宋体" w:cs="宋体"/>
                <w:bCs/>
                <w:kern w:val="2"/>
                <w:sz w:val="21"/>
                <w:szCs w:val="21"/>
                <w:lang w:val="en-US" w:eastAsia="zh-CN" w:bidi="ar"/>
              </w:rPr>
              <w:t>4、</w:t>
            </w:r>
            <w:r>
              <w:rPr>
                <w:rFonts w:hint="eastAsia" w:ascii="Times New Roman" w:hAnsi="Times New Roman" w:eastAsia="宋体" w:cs="Times New Roman"/>
                <w:szCs w:val="22"/>
                <w:highlight w:val="none"/>
                <w:lang w:val="en-US" w:eastAsia="zh-CN"/>
              </w:rPr>
              <w:t>经业主明确，给水系统不在本次招标范围内。</w:t>
            </w:r>
          </w:p>
          <w:p w14:paraId="03E76356">
            <w:pPr>
              <w:numPr>
                <w:ilvl w:val="0"/>
                <w:numId w:val="0"/>
              </w:numPr>
              <w:spacing w:line="400" w:lineRule="exact"/>
              <w:ind w:firstLine="420" w:firstLineChars="200"/>
              <w:rPr>
                <w:rFonts w:hint="eastAsia" w:ascii="宋体" w:hAnsi="宋体" w:cs="宋体"/>
                <w:b/>
                <w:bCs/>
                <w:szCs w:val="21"/>
                <w:highlight w:val="none"/>
              </w:rPr>
            </w:pPr>
            <w:r>
              <w:rPr>
                <w:rFonts w:hint="eastAsia" w:ascii="宋体" w:hAnsi="宋体" w:cs="宋体"/>
                <w:b/>
                <w:bCs/>
                <w:szCs w:val="21"/>
                <w:highlight w:val="none"/>
              </w:rPr>
              <w:t>八、主要材料（设备）品牌与要求：</w:t>
            </w:r>
          </w:p>
          <w:p w14:paraId="7D16D907">
            <w:pPr>
              <w:numPr>
                <w:ilvl w:val="0"/>
                <w:numId w:val="0"/>
              </w:numPr>
              <w:spacing w:line="400" w:lineRule="exact"/>
              <w:ind w:firstLine="42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所有材料设备必须符合设计及招标人的要求，投标人应选择《主要设备材料品牌表》提供的品牌中的之一或相当于的品牌进入报价，并在“主要材料选用品牌一览表”中注明所选品牌。若未根据要求而未填报或漏填报品牌的投标文件在中标后，招标人有权在推荐品牌中指定任一品牌作为施工使用品牌且投标单位不得有异议，价格不变；若提供了招标人推荐品牌外的产品，应同时提供相当于招标人推荐品牌产品的证明材料。未作特别要求的材料都必须采用中档以上品牌或国内知名厂家生产。所有材料设备在采购前根据招标人规定的流程确认。</w:t>
            </w:r>
          </w:p>
          <w:p w14:paraId="5F9FD38D">
            <w:pPr>
              <w:numPr>
                <w:ilvl w:val="0"/>
                <w:numId w:val="0"/>
              </w:numPr>
              <w:spacing w:line="400" w:lineRule="exact"/>
              <w:ind w:firstLine="42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若在项目实施过程中，因实际需要，招标人可在招标文件规定范围外选择同档次的材料品牌。中标人采购材料需选取优等品。精装修施工前投标人采购的品牌需由招标人备案认可否则不能进场；所有材料必须符合设计要求。招标人未作品牌要求的材料，承包人采购材料前，需向招标人、监理单位提供材料品牌、规格、型号及相关材料质量证明文件，材料需得到招标人认可，否则不能进场（招标人有权任选品牌并前往材料厂家考察，考察费用由承包人承担，报价不变）。未作品牌要求的材料都必须采用在行业内有一定知名度的品牌及国内知名厂家生产，中档或以上产品档次，建筑材料要求材料生产厂家必须通过ISO质量认证，并符合环保要求。投标人如中标，今后因未按要求采购材料引起的损失及责任由投标人自行承担。</w:t>
            </w:r>
          </w:p>
          <w:p w14:paraId="35242678">
            <w:pPr>
              <w:numPr>
                <w:ilvl w:val="0"/>
                <w:numId w:val="0"/>
              </w:numPr>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w:t>
            </w:r>
            <w:r>
              <w:rPr>
                <w:rFonts w:hint="eastAsia" w:ascii="宋体" w:hAnsi="宋体" w:eastAsia="宋体" w:cs="宋体"/>
                <w:color w:val="000000"/>
                <w:szCs w:val="21"/>
                <w:highlight w:val="none"/>
              </w:rPr>
              <w:t>主要设备材料品牌</w:t>
            </w:r>
            <w:bookmarkStart w:id="0" w:name="_GoBack"/>
            <w:bookmarkEnd w:id="0"/>
            <w:r>
              <w:rPr>
                <w:rFonts w:hint="eastAsia" w:ascii="宋体" w:hAnsi="宋体" w:eastAsia="宋体" w:cs="宋体"/>
                <w:color w:val="000000"/>
                <w:szCs w:val="21"/>
                <w:highlight w:val="none"/>
              </w:rPr>
              <w:t>表</w:t>
            </w:r>
          </w:p>
          <w:tbl>
            <w:tblPr>
              <w:tblStyle w:val="13"/>
              <w:tblpPr w:leftFromText="180" w:rightFromText="180" w:vertAnchor="text" w:horzAnchor="page" w:tblpX="552" w:tblpY="141"/>
              <w:tblOverlap w:val="never"/>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772"/>
              <w:gridCol w:w="4860"/>
            </w:tblGrid>
            <w:tr w14:paraId="5CF80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0"/>
                  <w:vAlign w:val="top"/>
                </w:tcPr>
                <w:p w14:paraId="0E229E7C">
                  <w:pPr>
                    <w:spacing w:line="360" w:lineRule="auto"/>
                    <w:jc w:val="center"/>
                    <w:rPr>
                      <w:rFonts w:hint="eastAsia" w:ascii="宋体" w:hAnsi="宋体" w:eastAsia="宋体" w:cs="宋体"/>
                      <w:szCs w:val="21"/>
                    </w:rPr>
                  </w:pPr>
                  <w:r>
                    <w:rPr>
                      <w:rFonts w:hint="eastAsia" w:ascii="宋体" w:hAnsi="宋体" w:eastAsia="宋体" w:cs="宋体"/>
                      <w:szCs w:val="21"/>
                    </w:rPr>
                    <w:t>序号</w:t>
                  </w:r>
                </w:p>
              </w:tc>
              <w:tc>
                <w:tcPr>
                  <w:tcW w:w="2772" w:type="dxa"/>
                  <w:noWrap w:val="0"/>
                  <w:vAlign w:val="top"/>
                </w:tcPr>
                <w:p w14:paraId="66F70A09">
                  <w:pPr>
                    <w:spacing w:line="360" w:lineRule="auto"/>
                    <w:jc w:val="center"/>
                    <w:rPr>
                      <w:rFonts w:hint="eastAsia" w:ascii="宋体" w:hAnsi="宋体" w:eastAsia="宋体" w:cs="宋体"/>
                      <w:szCs w:val="21"/>
                    </w:rPr>
                  </w:pPr>
                  <w:r>
                    <w:rPr>
                      <w:rFonts w:hint="eastAsia" w:ascii="宋体" w:hAnsi="宋体" w:eastAsia="宋体" w:cs="宋体"/>
                      <w:szCs w:val="21"/>
                    </w:rPr>
                    <w:t>主要设备材料名称</w:t>
                  </w:r>
                </w:p>
              </w:tc>
              <w:tc>
                <w:tcPr>
                  <w:tcW w:w="4860" w:type="dxa"/>
                  <w:noWrap w:val="0"/>
                  <w:vAlign w:val="top"/>
                </w:tcPr>
                <w:p w14:paraId="61F290CD">
                  <w:pPr>
                    <w:spacing w:line="360" w:lineRule="auto"/>
                    <w:jc w:val="center"/>
                    <w:rPr>
                      <w:rFonts w:hint="eastAsia" w:ascii="宋体" w:hAnsi="宋体" w:eastAsia="宋体" w:cs="宋体"/>
                      <w:szCs w:val="21"/>
                    </w:rPr>
                  </w:pPr>
                  <w:r>
                    <w:rPr>
                      <w:rFonts w:hint="eastAsia" w:ascii="宋体" w:hAnsi="宋体" w:eastAsia="宋体" w:cs="宋体"/>
                      <w:szCs w:val="21"/>
                    </w:rPr>
                    <w:t>推荐品牌</w:t>
                  </w:r>
                </w:p>
              </w:tc>
            </w:tr>
            <w:tr w14:paraId="1C8CD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3"/>
                  <w:noWrap w:val="0"/>
                  <w:vAlign w:val="top"/>
                </w:tcPr>
                <w:p w14:paraId="456870F1">
                  <w:pPr>
                    <w:tabs>
                      <w:tab w:val="left" w:pos="1032"/>
                    </w:tabs>
                    <w:spacing w:line="360" w:lineRule="auto"/>
                    <w:jc w:val="left"/>
                    <w:rPr>
                      <w:rFonts w:hint="eastAsia" w:ascii="宋体" w:hAnsi="宋体" w:eastAsia="宋体" w:cs="宋体"/>
                      <w:szCs w:val="21"/>
                    </w:rPr>
                  </w:pPr>
                  <w:r>
                    <w:rPr>
                      <w:rFonts w:hint="eastAsia" w:ascii="宋体" w:hAnsi="宋体" w:eastAsia="宋体" w:cs="宋体"/>
                      <w:szCs w:val="21"/>
                    </w:rPr>
                    <w:tab/>
                  </w:r>
                  <w:r>
                    <w:rPr>
                      <w:rFonts w:hint="eastAsia" w:ascii="宋体" w:hAnsi="宋体" w:eastAsia="宋体" w:cs="宋体"/>
                      <w:szCs w:val="21"/>
                    </w:rPr>
                    <w:t>装饰工程</w:t>
                  </w:r>
                </w:p>
              </w:tc>
            </w:tr>
            <w:tr w14:paraId="5B8F8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0"/>
                  <w:vAlign w:val="top"/>
                </w:tcPr>
                <w:p w14:paraId="11D1E732">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w:t>
                  </w:r>
                </w:p>
              </w:tc>
              <w:tc>
                <w:tcPr>
                  <w:tcW w:w="2772" w:type="dxa"/>
                  <w:noWrap w:val="0"/>
                  <w:vAlign w:val="top"/>
                </w:tcPr>
                <w:p w14:paraId="458CCE6D">
                  <w:pPr>
                    <w:spacing w:line="360" w:lineRule="auto"/>
                    <w:jc w:val="left"/>
                    <w:rPr>
                      <w:rFonts w:hint="eastAsia" w:ascii="宋体" w:hAnsi="宋体" w:eastAsia="宋体" w:cs="宋体"/>
                      <w:color w:val="auto"/>
                      <w:szCs w:val="21"/>
                    </w:rPr>
                  </w:pPr>
                  <w:r>
                    <w:rPr>
                      <w:rFonts w:hint="eastAsia" w:ascii="宋体" w:hAnsi="宋体" w:eastAsia="宋体" w:cs="宋体"/>
                      <w:color w:val="auto"/>
                      <w:szCs w:val="21"/>
                    </w:rPr>
                    <w:t>涂料、乳胶漆</w:t>
                  </w:r>
                </w:p>
              </w:tc>
              <w:tc>
                <w:tcPr>
                  <w:tcW w:w="4860" w:type="dxa"/>
                  <w:noWrap w:val="0"/>
                  <w:vAlign w:val="top"/>
                </w:tcPr>
                <w:p w14:paraId="71823ABD">
                  <w:pPr>
                    <w:spacing w:line="360" w:lineRule="auto"/>
                    <w:jc w:val="left"/>
                    <w:rPr>
                      <w:rFonts w:hint="eastAsia" w:ascii="宋体" w:hAnsi="宋体" w:eastAsia="宋体" w:cs="宋体"/>
                      <w:color w:val="auto"/>
                      <w:szCs w:val="21"/>
                    </w:rPr>
                  </w:pPr>
                  <w:r>
                    <w:rPr>
                      <w:rFonts w:hint="eastAsia" w:ascii="宋体" w:hAnsi="宋体" w:eastAsia="宋体" w:cs="宋体"/>
                      <w:color w:val="auto"/>
                      <w:szCs w:val="21"/>
                    </w:rPr>
                    <w:t>华润、立邦、多乐士或相当于同档次</w:t>
                  </w:r>
                </w:p>
              </w:tc>
            </w:tr>
            <w:tr w14:paraId="186BF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0"/>
                  <w:vAlign w:val="top"/>
                </w:tcPr>
                <w:p w14:paraId="3FEAD5D9">
                  <w:pPr>
                    <w:spacing w:line="360" w:lineRule="auto"/>
                    <w:jc w:val="center"/>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2</w:t>
                  </w:r>
                </w:p>
              </w:tc>
              <w:tc>
                <w:tcPr>
                  <w:tcW w:w="2772" w:type="dxa"/>
                  <w:noWrap w:val="0"/>
                  <w:vAlign w:val="top"/>
                </w:tcPr>
                <w:p w14:paraId="0AF1CA9A">
                  <w:pPr>
                    <w:spacing w:line="360" w:lineRule="auto"/>
                    <w:jc w:val="left"/>
                    <w:rPr>
                      <w:rFonts w:hint="eastAsia" w:ascii="宋体" w:hAnsi="宋体" w:eastAsia="宋体" w:cs="宋体"/>
                      <w:color w:val="auto"/>
                      <w:szCs w:val="21"/>
                    </w:rPr>
                  </w:pPr>
                  <w:r>
                    <w:rPr>
                      <w:rFonts w:hint="eastAsia" w:ascii="宋体" w:hAnsi="宋体" w:eastAsia="宋体" w:cs="宋体"/>
                      <w:color w:val="auto"/>
                    </w:rPr>
                    <w:t>防水涂料、防水卷材</w:t>
                  </w:r>
                </w:p>
              </w:tc>
              <w:tc>
                <w:tcPr>
                  <w:tcW w:w="4860" w:type="dxa"/>
                  <w:noWrap w:val="0"/>
                  <w:vAlign w:val="top"/>
                </w:tcPr>
                <w:p w14:paraId="72857F04">
                  <w:pPr>
                    <w:spacing w:line="360" w:lineRule="auto"/>
                    <w:jc w:val="left"/>
                    <w:rPr>
                      <w:rFonts w:hint="eastAsia" w:ascii="宋体" w:hAnsi="宋体" w:eastAsia="宋体" w:cs="宋体"/>
                      <w:color w:val="auto"/>
                      <w:szCs w:val="21"/>
                    </w:rPr>
                  </w:pPr>
                  <w:r>
                    <w:rPr>
                      <w:rFonts w:hint="eastAsia" w:ascii="宋体" w:hAnsi="宋体" w:eastAsia="宋体" w:cs="宋体"/>
                      <w:color w:val="auto"/>
                    </w:rPr>
                    <w:t>宏源、卓宝、禹王或同档次及以上</w:t>
                  </w:r>
                </w:p>
              </w:tc>
            </w:tr>
            <w:tr w14:paraId="6DC1A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0"/>
                  <w:vAlign w:val="top"/>
                </w:tcPr>
                <w:p w14:paraId="2AA77DBD">
                  <w:pPr>
                    <w:spacing w:line="360" w:lineRule="auto"/>
                    <w:jc w:val="center"/>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3</w:t>
                  </w:r>
                </w:p>
              </w:tc>
              <w:tc>
                <w:tcPr>
                  <w:tcW w:w="2772" w:type="dxa"/>
                  <w:noWrap w:val="0"/>
                  <w:vAlign w:val="top"/>
                </w:tcPr>
                <w:p w14:paraId="56A5F367">
                  <w:pPr>
                    <w:spacing w:line="360" w:lineRule="auto"/>
                    <w:jc w:val="left"/>
                    <w:rPr>
                      <w:rFonts w:hint="eastAsia" w:ascii="宋体" w:hAnsi="宋体" w:eastAsia="宋体" w:cs="宋体"/>
                      <w:color w:val="auto"/>
                      <w:szCs w:val="21"/>
                    </w:rPr>
                  </w:pPr>
                  <w:r>
                    <w:rPr>
                      <w:rFonts w:hint="eastAsia" w:ascii="宋体" w:hAnsi="宋体" w:eastAsia="宋体" w:cs="宋体"/>
                      <w:color w:val="auto"/>
                      <w:szCs w:val="21"/>
                    </w:rPr>
                    <w:t>PVC和PPR管</w:t>
                  </w:r>
                </w:p>
              </w:tc>
              <w:tc>
                <w:tcPr>
                  <w:tcW w:w="4860" w:type="dxa"/>
                  <w:noWrap w:val="0"/>
                  <w:vAlign w:val="top"/>
                </w:tcPr>
                <w:p w14:paraId="251527D9">
                  <w:pPr>
                    <w:spacing w:line="360" w:lineRule="auto"/>
                    <w:jc w:val="left"/>
                    <w:rPr>
                      <w:rFonts w:hint="eastAsia" w:ascii="宋体" w:hAnsi="宋体" w:eastAsia="宋体" w:cs="宋体"/>
                      <w:color w:val="auto"/>
                      <w:szCs w:val="21"/>
                    </w:rPr>
                  </w:pPr>
                  <w:r>
                    <w:rPr>
                      <w:rFonts w:hint="eastAsia" w:ascii="宋体" w:hAnsi="宋体" w:eastAsia="宋体" w:cs="宋体"/>
                      <w:color w:val="auto"/>
                      <w:szCs w:val="21"/>
                    </w:rPr>
                    <w:t>鸿雁、中财、波达或同档次及以上</w:t>
                  </w:r>
                </w:p>
              </w:tc>
            </w:tr>
            <w:tr w14:paraId="24FC4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0"/>
                  <w:vAlign w:val="top"/>
                </w:tcPr>
                <w:p w14:paraId="284D6169">
                  <w:pPr>
                    <w:spacing w:line="360" w:lineRule="auto"/>
                    <w:jc w:val="center"/>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4</w:t>
                  </w:r>
                </w:p>
              </w:tc>
              <w:tc>
                <w:tcPr>
                  <w:tcW w:w="2772" w:type="dxa"/>
                  <w:noWrap w:val="0"/>
                  <w:vAlign w:val="top"/>
                </w:tcPr>
                <w:p w14:paraId="212AC494">
                  <w:pPr>
                    <w:spacing w:line="360" w:lineRule="auto"/>
                    <w:jc w:val="left"/>
                    <w:rPr>
                      <w:rFonts w:hint="eastAsia" w:ascii="宋体" w:hAnsi="宋体" w:eastAsia="宋体" w:cs="宋体"/>
                      <w:color w:val="auto"/>
                      <w:szCs w:val="21"/>
                    </w:rPr>
                  </w:pPr>
                  <w:r>
                    <w:rPr>
                      <w:rFonts w:hint="eastAsia" w:ascii="宋体" w:hAnsi="宋体" w:eastAsia="宋体" w:cs="宋体"/>
                      <w:color w:val="auto"/>
                      <w:szCs w:val="21"/>
                    </w:rPr>
                    <w:t>卫浴洁具、面盆</w:t>
                  </w:r>
                </w:p>
              </w:tc>
              <w:tc>
                <w:tcPr>
                  <w:tcW w:w="4860" w:type="dxa"/>
                  <w:noWrap w:val="0"/>
                  <w:vAlign w:val="top"/>
                </w:tcPr>
                <w:p w14:paraId="23CD8ACC">
                  <w:pPr>
                    <w:spacing w:line="360" w:lineRule="auto"/>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东鹏、九牧、四维</w:t>
                  </w:r>
                  <w:r>
                    <w:rPr>
                      <w:rFonts w:hint="eastAsia" w:ascii="宋体" w:hAnsi="宋体" w:eastAsia="宋体" w:cs="宋体"/>
                      <w:color w:val="auto"/>
                      <w:szCs w:val="21"/>
                    </w:rPr>
                    <w:t>或同档次及以上</w:t>
                  </w:r>
                </w:p>
              </w:tc>
            </w:tr>
          </w:tbl>
          <w:p w14:paraId="5C7AB762">
            <w:pPr>
              <w:numPr>
                <w:ilvl w:val="0"/>
                <w:numId w:val="0"/>
              </w:numPr>
              <w:spacing w:line="400" w:lineRule="exact"/>
              <w:ind w:firstLine="420" w:firstLineChars="200"/>
              <w:rPr>
                <w:rFonts w:hint="eastAsia" w:ascii="宋体" w:hAnsi="宋体" w:cs="宋体"/>
                <w:szCs w:val="21"/>
                <w:highlight w:val="none"/>
              </w:rPr>
            </w:pPr>
          </w:p>
        </w:tc>
      </w:tr>
    </w:tbl>
    <w:p w14:paraId="47E5028F">
      <w:pPr>
        <w:spacing w:line="400" w:lineRule="exact"/>
        <w:ind w:right="315"/>
        <w:jc w:val="right"/>
        <w:rPr>
          <w:rFonts w:hint="default" w:eastAsiaTheme="minorEastAsia"/>
          <w:szCs w:val="21"/>
          <w:lang w:val="en-US" w:eastAsia="zh-CN"/>
        </w:rPr>
      </w:pPr>
      <w:r>
        <w:rPr>
          <w:rFonts w:hint="eastAsia"/>
          <w:szCs w:val="21"/>
        </w:rPr>
        <w:t>编制单位：</w:t>
      </w:r>
      <w:r>
        <w:rPr>
          <w:rFonts w:hint="eastAsia"/>
          <w:szCs w:val="21"/>
          <w:lang w:val="en-US" w:eastAsia="zh-CN"/>
        </w:rPr>
        <w:t>浙江省成套招标代理有限公司</w:t>
      </w:r>
    </w:p>
    <w:p w14:paraId="678FE0F0">
      <w:pPr>
        <w:spacing w:line="400" w:lineRule="exact"/>
        <w:ind w:right="420"/>
        <w:rPr>
          <w:rFonts w:hint="eastAsia"/>
          <w:szCs w:val="21"/>
        </w:rPr>
      </w:pPr>
      <w:r>
        <w:rPr>
          <w:rFonts w:hint="eastAsia"/>
          <w:szCs w:val="21"/>
        </w:rPr>
        <w:t xml:space="preserve">                                                               </w:t>
      </w:r>
      <w:r>
        <w:rPr>
          <w:rFonts w:hint="eastAsia"/>
          <w:szCs w:val="21"/>
          <w:lang w:val="en-US" w:eastAsia="zh-CN"/>
        </w:rPr>
        <w:t>2024</w:t>
      </w:r>
      <w:r>
        <w:rPr>
          <w:rFonts w:hint="eastAsia"/>
          <w:szCs w:val="21"/>
        </w:rPr>
        <w:t>年</w:t>
      </w:r>
      <w:r>
        <w:rPr>
          <w:rFonts w:hint="eastAsia"/>
          <w:szCs w:val="21"/>
          <w:lang w:val="en-US" w:eastAsia="zh-CN"/>
        </w:rPr>
        <w:t>7</w:t>
      </w:r>
      <w:r>
        <w:rPr>
          <w:rFonts w:hint="eastAsia"/>
          <w:szCs w:val="21"/>
        </w:rPr>
        <w:t>月</w:t>
      </w:r>
      <w:r>
        <w:rPr>
          <w:rFonts w:hint="eastAsia"/>
          <w:szCs w:val="21"/>
          <w:lang w:val="en-US" w:eastAsia="zh-CN"/>
        </w:rPr>
        <w:t>17</w:t>
      </w:r>
      <w:r>
        <w:rPr>
          <w:rFonts w:hint="eastAsia"/>
          <w:szCs w:val="21"/>
        </w:rPr>
        <w:t>日</w:t>
      </w:r>
    </w:p>
    <w:p w14:paraId="123C00C0">
      <w:pPr>
        <w:pStyle w:val="6"/>
        <w:tabs>
          <w:tab w:val="left" w:pos="0"/>
        </w:tabs>
        <w:ind w:right="960"/>
        <w:rPr>
          <w:rFonts w:hint="eastAsia"/>
        </w:rPr>
      </w:pPr>
    </w:p>
    <w:sectPr>
      <w:headerReference r:id="rId3" w:type="default"/>
      <w:footerReference r:id="rId4" w:type="default"/>
      <w:pgSz w:w="11906" w:h="16838"/>
      <w:pgMar w:top="1440" w:right="1287" w:bottom="1440" w:left="1797" w:header="851" w:footer="992" w:gutter="0"/>
      <w:pgNumType w:start="1"/>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59149">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62dd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A424117">
                          <w:pPr>
                            <w:pStyle w:val="8"/>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wrap="none"/>
                  </wps:wsp>
                </a:graphicData>
              </a:graphic>
            </wp:anchor>
          </w:drawing>
        </mc:Choice>
        <mc:Fallback>
          <w:pict>
            <v:shape id="62dd2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&#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BUPY5e1AAAAAUBAAAPAAAAAAAAAAEAIAAAACIAAABk&#10;cnMvZG93bnJldi54bWxQSwECFAAUAAAACACHTuJA/A89VJgBAABKAwAADgAAAAAAAAABACAAAAAj&#10;AQAAZHJzL2Uyb0RvYy54bWxQSwUGAAAAAAYABgBZAQAALQUAAAAA&#10;">
              <v:fill on="f" focussize="0,0"/>
              <v:stroke on="f"/>
              <v:imagedata o:title=""/>
              <o:lock v:ext="edit" aspectratio="f"/>
              <v:textbox>
                <w:txbxContent>
                  <w:p w14:paraId="6A424117">
                    <w:pPr>
                      <w:pStyle w:val="8"/>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0EB0C">
    <w:pPr>
      <w:pStyle w:val="9"/>
      <w:pBdr>
        <w:bottom w:val="none" w:color="auto" w:sz="0" w:space="0"/>
      </w:pBdr>
      <w:jc w:val="center"/>
      <w:rPr>
        <w:rFonts w:hint="eastAsia"/>
        <w:b/>
        <w:bCs/>
        <w:sz w:val="44"/>
        <w:szCs w:val="44"/>
      </w:rPr>
    </w:pPr>
    <w:r>
      <w:pict>
        <v:shape id="8825d2" o:spid="_x0000_s4097" o:spt="202" type="#_x0000_t202" style="position:absolute;left:0pt;margin-left:131.05pt;margin-top:3.1pt;height:144pt;width:69.7pt;mso-position-horizontal-relative:margin;z-index:251659264;mso-width-relative:page;mso-height-relative:page;" filled="f" stroked="f" coordsize="21600,21600">
          <v:path/>
          <v:fill on="f" focussize="0,0"/>
          <v:stroke on="f"/>
          <v:imagedata o:title=""/>
          <o:lock v:ext="edit" aspectratio="f"/>
          <v:textbox inset="0mm,0mm,0mm,0mm" style="mso-fit-shape-to-text:t;"/>
        </v:shape>
      </w:pict>
    </w:r>
    <w:r>
      <w:rPr>
        <w:rFonts w:hint="eastAsia"/>
        <w:sz w:val="36"/>
        <w:szCs w:val="36"/>
      </w:rPr>
      <w:t>工程量清单编制说明</w:t>
    </w:r>
  </w:p>
  <w:p w14:paraId="63A21437">
    <w:pPr>
      <w:spacing w:line="300" w:lineRule="exact"/>
      <w:rPr>
        <w:rFonts w:hint="eastAsia" w:ascii="宋体" w:hAnsi="宋体" w:cs="宋体"/>
        <w:bCs/>
        <w:szCs w:val="21"/>
        <w:highlight w:val="none"/>
        <w:lang w:val="en-US" w:eastAsia="zh-CN"/>
      </w:rPr>
    </w:pPr>
    <w:r>
      <w:rPr>
        <w:rFonts w:hint="eastAsia"/>
        <w:b/>
        <w:bCs/>
        <w:szCs w:val="21"/>
      </w:rPr>
      <w:t>工程名称：</w:t>
    </w:r>
    <w:r>
      <w:rPr>
        <w:rFonts w:hint="eastAsia" w:ascii="宋体" w:hAnsi="宋体" w:cs="宋体"/>
        <w:bCs/>
        <w:szCs w:val="21"/>
        <w:highlight w:val="none"/>
        <w:lang w:val="en-US" w:eastAsia="zh-CN"/>
      </w:rPr>
      <w:t>杭州电子科技大学文一校区五号楼除险保安工程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38C215"/>
    <w:multiLevelType w:val="singleLevel"/>
    <w:tmpl w:val="8638C215"/>
    <w:lvl w:ilvl="0" w:tentative="0">
      <w:start w:val="1"/>
      <w:numFmt w:val="decimal"/>
      <w:suff w:val="nothing"/>
      <w:lvlText w:val="%1、"/>
      <w:lvlJc w:val="left"/>
    </w:lvl>
  </w:abstractNum>
  <w:abstractNum w:abstractNumId="1">
    <w:nsid w:val="0053208E"/>
    <w:multiLevelType w:val="multilevel"/>
    <w:tmpl w:val="0053208E"/>
    <w:lvl w:ilvl="0" w:tentative="0">
      <w:start w:val="1"/>
      <w:numFmt w:val="decimal"/>
      <w:lvlText w:val="%1、"/>
      <w:lvlJc w:val="left"/>
      <w:pPr>
        <w:ind w:left="756" w:hanging="336"/>
      </w:pPr>
    </w:lvl>
    <w:lvl w:ilvl="1" w:tentative="0">
      <w:start w:val="1"/>
      <w:numFmt w:val="lowerLetter"/>
      <w:lvlText w:val="%2)"/>
      <w:lvlJc w:val="left"/>
      <w:pPr>
        <w:ind w:left="1176" w:hanging="336"/>
      </w:pPr>
    </w:lvl>
    <w:lvl w:ilvl="2" w:tentative="0">
      <w:start w:val="1"/>
      <w:numFmt w:val="lowerRoman"/>
      <w:lvlText w:val="%3)"/>
      <w:lvlJc w:val="left"/>
      <w:pPr>
        <w:ind w:left="1596" w:hanging="336"/>
      </w:pPr>
    </w:lvl>
    <w:lvl w:ilvl="3" w:tentative="0">
      <w:start w:val="1"/>
      <w:numFmt w:val="decimal"/>
      <w:lvlText w:val="%4、"/>
      <w:lvlJc w:val="left"/>
      <w:pPr>
        <w:ind w:left="2016" w:hanging="336"/>
      </w:pPr>
    </w:lvl>
    <w:lvl w:ilvl="4" w:tentative="0">
      <w:start w:val="1"/>
      <w:numFmt w:val="lowerLetter"/>
      <w:lvlText w:val="%5)"/>
      <w:lvlJc w:val="left"/>
      <w:pPr>
        <w:ind w:left="2436" w:hanging="336"/>
      </w:pPr>
    </w:lvl>
    <w:lvl w:ilvl="5" w:tentative="0">
      <w:start w:val="1"/>
      <w:numFmt w:val="lowerRoman"/>
      <w:lvlText w:val="%6)"/>
      <w:lvlJc w:val="left"/>
      <w:pPr>
        <w:ind w:left="2856" w:hanging="336"/>
      </w:pPr>
    </w:lvl>
    <w:lvl w:ilvl="6" w:tentative="0">
      <w:start w:val="1"/>
      <w:numFmt w:val="decimal"/>
      <w:lvlText w:val="%7、"/>
      <w:lvlJc w:val="left"/>
      <w:pPr>
        <w:ind w:left="3276" w:hanging="336"/>
      </w:pPr>
    </w:lvl>
    <w:lvl w:ilvl="7" w:tentative="0">
      <w:start w:val="1"/>
      <w:numFmt w:val="lowerLetter"/>
      <w:lvlText w:val="%8)"/>
      <w:lvlJc w:val="left"/>
      <w:pPr>
        <w:ind w:left="3696" w:hanging="336"/>
      </w:pPr>
    </w:lvl>
  </w:abstractNum>
  <w:abstractNum w:abstractNumId="2">
    <w:nsid w:val="2FF26428"/>
    <w:multiLevelType w:val="singleLevel"/>
    <w:tmpl w:val="2FF26428"/>
    <w:lvl w:ilvl="0" w:tentative="0">
      <w:start w:val="1"/>
      <w:numFmt w:val="chineseCounting"/>
      <w:suff w:val="nothing"/>
      <w:lvlText w:val="%1、"/>
      <w:lvlJc w:val="left"/>
      <w:pPr>
        <w:ind w:left="420"/>
      </w:pPr>
      <w:rPr>
        <w:rFonts w:hint="eastAsia"/>
      </w:rPr>
    </w:lvl>
  </w:abstractNum>
  <w:abstractNum w:abstractNumId="3">
    <w:nsid w:val="317ED545"/>
    <w:multiLevelType w:val="singleLevel"/>
    <w:tmpl w:val="317ED545"/>
    <w:lvl w:ilvl="0" w:tentative="0">
      <w:start w:val="1"/>
      <w:numFmt w:val="decimal"/>
      <w:suff w:val="nothing"/>
      <w:lvlText w:val="%1、"/>
      <w:lvlJc w:val="left"/>
      <w:rPr>
        <w:rFonts w:hint="default"/>
        <w:sz w:val="21"/>
        <w:szCs w:val="21"/>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VhMDk2MmIzODQ0Y2Y0YTI5YWYzOTQxNzlhMjJlMzQifQ=="/>
  </w:docVars>
  <w:rsids>
    <w:rsidRoot w:val="00172A27"/>
    <w:rsid w:val="00016135"/>
    <w:rsid w:val="00033CC4"/>
    <w:rsid w:val="000379E7"/>
    <w:rsid w:val="000438E0"/>
    <w:rsid w:val="00066828"/>
    <w:rsid w:val="00066B96"/>
    <w:rsid w:val="000C2796"/>
    <w:rsid w:val="000E033A"/>
    <w:rsid w:val="000E58CF"/>
    <w:rsid w:val="000F4ECA"/>
    <w:rsid w:val="000F68FA"/>
    <w:rsid w:val="001132C9"/>
    <w:rsid w:val="00113966"/>
    <w:rsid w:val="00114AA6"/>
    <w:rsid w:val="00120590"/>
    <w:rsid w:val="0013282A"/>
    <w:rsid w:val="00133B8D"/>
    <w:rsid w:val="00141751"/>
    <w:rsid w:val="00162B87"/>
    <w:rsid w:val="00171315"/>
    <w:rsid w:val="00173F6B"/>
    <w:rsid w:val="00177818"/>
    <w:rsid w:val="001968BC"/>
    <w:rsid w:val="001D13F9"/>
    <w:rsid w:val="001E4A43"/>
    <w:rsid w:val="00217407"/>
    <w:rsid w:val="002231BA"/>
    <w:rsid w:val="00223E47"/>
    <w:rsid w:val="00240424"/>
    <w:rsid w:val="00247191"/>
    <w:rsid w:val="002501A3"/>
    <w:rsid w:val="00252EBC"/>
    <w:rsid w:val="00277332"/>
    <w:rsid w:val="002B1336"/>
    <w:rsid w:val="002B199F"/>
    <w:rsid w:val="002B4403"/>
    <w:rsid w:val="002C35B8"/>
    <w:rsid w:val="002C49FF"/>
    <w:rsid w:val="00314660"/>
    <w:rsid w:val="00330505"/>
    <w:rsid w:val="0035412A"/>
    <w:rsid w:val="00357D43"/>
    <w:rsid w:val="0036682F"/>
    <w:rsid w:val="003869AA"/>
    <w:rsid w:val="0039262C"/>
    <w:rsid w:val="003A513B"/>
    <w:rsid w:val="003B029B"/>
    <w:rsid w:val="003C2B82"/>
    <w:rsid w:val="003C4AA9"/>
    <w:rsid w:val="003E561E"/>
    <w:rsid w:val="003E7549"/>
    <w:rsid w:val="003F1826"/>
    <w:rsid w:val="003F183B"/>
    <w:rsid w:val="00407746"/>
    <w:rsid w:val="004112F1"/>
    <w:rsid w:val="00417341"/>
    <w:rsid w:val="00417603"/>
    <w:rsid w:val="00424003"/>
    <w:rsid w:val="00480329"/>
    <w:rsid w:val="00484600"/>
    <w:rsid w:val="004A67D4"/>
    <w:rsid w:val="004B2AE4"/>
    <w:rsid w:val="004B5F3A"/>
    <w:rsid w:val="004D25C6"/>
    <w:rsid w:val="004E7C06"/>
    <w:rsid w:val="005016A1"/>
    <w:rsid w:val="0051304F"/>
    <w:rsid w:val="005209F8"/>
    <w:rsid w:val="00522CC8"/>
    <w:rsid w:val="00531001"/>
    <w:rsid w:val="00533F49"/>
    <w:rsid w:val="00545244"/>
    <w:rsid w:val="005764CA"/>
    <w:rsid w:val="00591141"/>
    <w:rsid w:val="00591C36"/>
    <w:rsid w:val="005A237D"/>
    <w:rsid w:val="005B0B9B"/>
    <w:rsid w:val="005C7355"/>
    <w:rsid w:val="005D7632"/>
    <w:rsid w:val="005F2644"/>
    <w:rsid w:val="00603494"/>
    <w:rsid w:val="00605576"/>
    <w:rsid w:val="00607CE3"/>
    <w:rsid w:val="0062719D"/>
    <w:rsid w:val="006350CB"/>
    <w:rsid w:val="006370AF"/>
    <w:rsid w:val="00647162"/>
    <w:rsid w:val="006471E9"/>
    <w:rsid w:val="0064759A"/>
    <w:rsid w:val="006532CF"/>
    <w:rsid w:val="0066727B"/>
    <w:rsid w:val="006735DA"/>
    <w:rsid w:val="006845C6"/>
    <w:rsid w:val="006B1994"/>
    <w:rsid w:val="006B43D6"/>
    <w:rsid w:val="006B4ED5"/>
    <w:rsid w:val="006C2F9D"/>
    <w:rsid w:val="006C770B"/>
    <w:rsid w:val="006D6DD7"/>
    <w:rsid w:val="007003B1"/>
    <w:rsid w:val="00711621"/>
    <w:rsid w:val="00715A69"/>
    <w:rsid w:val="0073615C"/>
    <w:rsid w:val="00741F08"/>
    <w:rsid w:val="00751E5E"/>
    <w:rsid w:val="00760478"/>
    <w:rsid w:val="007610E4"/>
    <w:rsid w:val="00761AFE"/>
    <w:rsid w:val="00777D69"/>
    <w:rsid w:val="00791005"/>
    <w:rsid w:val="00792F53"/>
    <w:rsid w:val="007960A8"/>
    <w:rsid w:val="007A5D52"/>
    <w:rsid w:val="007B032B"/>
    <w:rsid w:val="007B051B"/>
    <w:rsid w:val="007B57C4"/>
    <w:rsid w:val="007C5CC5"/>
    <w:rsid w:val="007C732C"/>
    <w:rsid w:val="007D4F4A"/>
    <w:rsid w:val="007D7A05"/>
    <w:rsid w:val="007E137A"/>
    <w:rsid w:val="007E1826"/>
    <w:rsid w:val="0080783F"/>
    <w:rsid w:val="008466DE"/>
    <w:rsid w:val="00855EED"/>
    <w:rsid w:val="008617DF"/>
    <w:rsid w:val="00861FD7"/>
    <w:rsid w:val="00870046"/>
    <w:rsid w:val="00873ACC"/>
    <w:rsid w:val="008842BB"/>
    <w:rsid w:val="008862B2"/>
    <w:rsid w:val="008878B9"/>
    <w:rsid w:val="00890581"/>
    <w:rsid w:val="008975EE"/>
    <w:rsid w:val="008B0F28"/>
    <w:rsid w:val="008E0D46"/>
    <w:rsid w:val="00902E37"/>
    <w:rsid w:val="00912530"/>
    <w:rsid w:val="00914C99"/>
    <w:rsid w:val="00921397"/>
    <w:rsid w:val="00953A1B"/>
    <w:rsid w:val="009546C6"/>
    <w:rsid w:val="0097569C"/>
    <w:rsid w:val="00980D9D"/>
    <w:rsid w:val="009C5BBA"/>
    <w:rsid w:val="009C7239"/>
    <w:rsid w:val="009D0EFE"/>
    <w:rsid w:val="009D48D2"/>
    <w:rsid w:val="009E3297"/>
    <w:rsid w:val="009F1C96"/>
    <w:rsid w:val="009F6B03"/>
    <w:rsid w:val="00A20A50"/>
    <w:rsid w:val="00A23A02"/>
    <w:rsid w:val="00A353C5"/>
    <w:rsid w:val="00A45720"/>
    <w:rsid w:val="00A46CCC"/>
    <w:rsid w:val="00A70B3D"/>
    <w:rsid w:val="00A73098"/>
    <w:rsid w:val="00A81758"/>
    <w:rsid w:val="00A95D04"/>
    <w:rsid w:val="00AA1AB2"/>
    <w:rsid w:val="00AA5EA0"/>
    <w:rsid w:val="00AB04A5"/>
    <w:rsid w:val="00AB3931"/>
    <w:rsid w:val="00AB3D30"/>
    <w:rsid w:val="00AC6A3C"/>
    <w:rsid w:val="00AE0D6A"/>
    <w:rsid w:val="00AE6935"/>
    <w:rsid w:val="00B23D66"/>
    <w:rsid w:val="00B33FD9"/>
    <w:rsid w:val="00B34BDE"/>
    <w:rsid w:val="00B41A28"/>
    <w:rsid w:val="00B50D88"/>
    <w:rsid w:val="00B75C01"/>
    <w:rsid w:val="00B8712D"/>
    <w:rsid w:val="00BC3010"/>
    <w:rsid w:val="00BC3374"/>
    <w:rsid w:val="00BC3783"/>
    <w:rsid w:val="00BD488C"/>
    <w:rsid w:val="00BE0848"/>
    <w:rsid w:val="00BE287C"/>
    <w:rsid w:val="00BE7317"/>
    <w:rsid w:val="00C0799B"/>
    <w:rsid w:val="00C17D86"/>
    <w:rsid w:val="00C22481"/>
    <w:rsid w:val="00C232D8"/>
    <w:rsid w:val="00C24A69"/>
    <w:rsid w:val="00C333AC"/>
    <w:rsid w:val="00C46361"/>
    <w:rsid w:val="00C51F2F"/>
    <w:rsid w:val="00C64A42"/>
    <w:rsid w:val="00C916CE"/>
    <w:rsid w:val="00C96F82"/>
    <w:rsid w:val="00CA10D2"/>
    <w:rsid w:val="00CA1998"/>
    <w:rsid w:val="00CA1C25"/>
    <w:rsid w:val="00CB443D"/>
    <w:rsid w:val="00CB798A"/>
    <w:rsid w:val="00CC5C03"/>
    <w:rsid w:val="00CC707F"/>
    <w:rsid w:val="00CC7ED6"/>
    <w:rsid w:val="00CD0C6E"/>
    <w:rsid w:val="00CE0227"/>
    <w:rsid w:val="00CE4B12"/>
    <w:rsid w:val="00CF0086"/>
    <w:rsid w:val="00D03520"/>
    <w:rsid w:val="00D04DEA"/>
    <w:rsid w:val="00D1747A"/>
    <w:rsid w:val="00D323A5"/>
    <w:rsid w:val="00D46B56"/>
    <w:rsid w:val="00D4747D"/>
    <w:rsid w:val="00D564CE"/>
    <w:rsid w:val="00D65A80"/>
    <w:rsid w:val="00D7293D"/>
    <w:rsid w:val="00D80F0A"/>
    <w:rsid w:val="00D81096"/>
    <w:rsid w:val="00D91238"/>
    <w:rsid w:val="00D92B4D"/>
    <w:rsid w:val="00D96BDE"/>
    <w:rsid w:val="00DA1233"/>
    <w:rsid w:val="00DB3613"/>
    <w:rsid w:val="00DD0BC4"/>
    <w:rsid w:val="00DD3535"/>
    <w:rsid w:val="00DD78B9"/>
    <w:rsid w:val="00DD7CC1"/>
    <w:rsid w:val="00DF2BA3"/>
    <w:rsid w:val="00E07F96"/>
    <w:rsid w:val="00E11286"/>
    <w:rsid w:val="00E50778"/>
    <w:rsid w:val="00E50799"/>
    <w:rsid w:val="00E51DA6"/>
    <w:rsid w:val="00E558BB"/>
    <w:rsid w:val="00E6428B"/>
    <w:rsid w:val="00E6450C"/>
    <w:rsid w:val="00E65542"/>
    <w:rsid w:val="00E70AE0"/>
    <w:rsid w:val="00E7556B"/>
    <w:rsid w:val="00EA20D7"/>
    <w:rsid w:val="00EA3C5F"/>
    <w:rsid w:val="00EA4DB6"/>
    <w:rsid w:val="00EB492B"/>
    <w:rsid w:val="00F001DD"/>
    <w:rsid w:val="00F0581E"/>
    <w:rsid w:val="00F0771A"/>
    <w:rsid w:val="00F14FEA"/>
    <w:rsid w:val="00F15CAB"/>
    <w:rsid w:val="00F31887"/>
    <w:rsid w:val="00F45088"/>
    <w:rsid w:val="00F46CD9"/>
    <w:rsid w:val="00F62388"/>
    <w:rsid w:val="00F65C00"/>
    <w:rsid w:val="00F80EB4"/>
    <w:rsid w:val="00F92B29"/>
    <w:rsid w:val="00FA0955"/>
    <w:rsid w:val="00FD2D30"/>
    <w:rsid w:val="00FE496B"/>
    <w:rsid w:val="00FF58E4"/>
    <w:rsid w:val="012850BD"/>
    <w:rsid w:val="01427318"/>
    <w:rsid w:val="01BA57B7"/>
    <w:rsid w:val="022110E1"/>
    <w:rsid w:val="02740EA8"/>
    <w:rsid w:val="02A6727B"/>
    <w:rsid w:val="02D64563"/>
    <w:rsid w:val="02F60CAB"/>
    <w:rsid w:val="02FC6246"/>
    <w:rsid w:val="03F12ACF"/>
    <w:rsid w:val="041804CE"/>
    <w:rsid w:val="04A07A12"/>
    <w:rsid w:val="04D84D86"/>
    <w:rsid w:val="0571384B"/>
    <w:rsid w:val="05D57A3E"/>
    <w:rsid w:val="0616772D"/>
    <w:rsid w:val="06686D21"/>
    <w:rsid w:val="07022721"/>
    <w:rsid w:val="0702587B"/>
    <w:rsid w:val="08447900"/>
    <w:rsid w:val="08564759"/>
    <w:rsid w:val="08A726DC"/>
    <w:rsid w:val="08D36E84"/>
    <w:rsid w:val="0932430D"/>
    <w:rsid w:val="09427B27"/>
    <w:rsid w:val="09DD57E2"/>
    <w:rsid w:val="0A8B61A3"/>
    <w:rsid w:val="0B740073"/>
    <w:rsid w:val="0B97132B"/>
    <w:rsid w:val="0BEA5A6B"/>
    <w:rsid w:val="0BFE3278"/>
    <w:rsid w:val="0C375214"/>
    <w:rsid w:val="0C4C1998"/>
    <w:rsid w:val="0D766BBB"/>
    <w:rsid w:val="0D983C06"/>
    <w:rsid w:val="0EA06E9E"/>
    <w:rsid w:val="0F64493F"/>
    <w:rsid w:val="0F8A612C"/>
    <w:rsid w:val="10D03D9E"/>
    <w:rsid w:val="10E61D6A"/>
    <w:rsid w:val="129C1E59"/>
    <w:rsid w:val="12A9642F"/>
    <w:rsid w:val="12DC3C11"/>
    <w:rsid w:val="136C5618"/>
    <w:rsid w:val="13A166CC"/>
    <w:rsid w:val="13E45B55"/>
    <w:rsid w:val="140F283A"/>
    <w:rsid w:val="15CC0B7E"/>
    <w:rsid w:val="16156C7D"/>
    <w:rsid w:val="16462016"/>
    <w:rsid w:val="165474CF"/>
    <w:rsid w:val="16B06D93"/>
    <w:rsid w:val="176D1F25"/>
    <w:rsid w:val="17B35EBB"/>
    <w:rsid w:val="17CD5CDC"/>
    <w:rsid w:val="187B0909"/>
    <w:rsid w:val="18CD6371"/>
    <w:rsid w:val="193059E0"/>
    <w:rsid w:val="1A263C98"/>
    <w:rsid w:val="1A764217"/>
    <w:rsid w:val="1B844E47"/>
    <w:rsid w:val="1C2B1D70"/>
    <w:rsid w:val="1DF10EB0"/>
    <w:rsid w:val="1E582FEF"/>
    <w:rsid w:val="1E5E42DD"/>
    <w:rsid w:val="1E5F74D4"/>
    <w:rsid w:val="1F1C4484"/>
    <w:rsid w:val="1F2578FB"/>
    <w:rsid w:val="1F8B3219"/>
    <w:rsid w:val="2144143B"/>
    <w:rsid w:val="221B6805"/>
    <w:rsid w:val="223D6032"/>
    <w:rsid w:val="22FF6CEF"/>
    <w:rsid w:val="236470BE"/>
    <w:rsid w:val="237970BA"/>
    <w:rsid w:val="24AE7B3E"/>
    <w:rsid w:val="24B76AB3"/>
    <w:rsid w:val="24D81EA3"/>
    <w:rsid w:val="24F366DD"/>
    <w:rsid w:val="254B25DB"/>
    <w:rsid w:val="25C86AD8"/>
    <w:rsid w:val="26E36977"/>
    <w:rsid w:val="27EA5007"/>
    <w:rsid w:val="28475A12"/>
    <w:rsid w:val="28D5131F"/>
    <w:rsid w:val="2A29247D"/>
    <w:rsid w:val="2A7A551A"/>
    <w:rsid w:val="2A9C0F9E"/>
    <w:rsid w:val="2B681789"/>
    <w:rsid w:val="2CAD392C"/>
    <w:rsid w:val="2CB07285"/>
    <w:rsid w:val="2CD4464A"/>
    <w:rsid w:val="2CE53129"/>
    <w:rsid w:val="2D1925B9"/>
    <w:rsid w:val="2E6F03C5"/>
    <w:rsid w:val="2ECF318B"/>
    <w:rsid w:val="2EDE658A"/>
    <w:rsid w:val="2EE72AE8"/>
    <w:rsid w:val="2F790A31"/>
    <w:rsid w:val="30ED08D0"/>
    <w:rsid w:val="31DD331D"/>
    <w:rsid w:val="32435707"/>
    <w:rsid w:val="327701E8"/>
    <w:rsid w:val="33332EEB"/>
    <w:rsid w:val="33A81028"/>
    <w:rsid w:val="3423256B"/>
    <w:rsid w:val="34A42225"/>
    <w:rsid w:val="36621914"/>
    <w:rsid w:val="36AC59DF"/>
    <w:rsid w:val="371C0492"/>
    <w:rsid w:val="372E639A"/>
    <w:rsid w:val="37504B2B"/>
    <w:rsid w:val="379C5628"/>
    <w:rsid w:val="38444EFE"/>
    <w:rsid w:val="38507AB4"/>
    <w:rsid w:val="390D0BC0"/>
    <w:rsid w:val="397A632C"/>
    <w:rsid w:val="39C452EC"/>
    <w:rsid w:val="3A702177"/>
    <w:rsid w:val="3BDA4362"/>
    <w:rsid w:val="3BEF170F"/>
    <w:rsid w:val="3C8F1E31"/>
    <w:rsid w:val="3C8F4531"/>
    <w:rsid w:val="3CBF6340"/>
    <w:rsid w:val="3CE35DFC"/>
    <w:rsid w:val="3D130D56"/>
    <w:rsid w:val="3D67055A"/>
    <w:rsid w:val="3D7D55ED"/>
    <w:rsid w:val="3E307BCA"/>
    <w:rsid w:val="3E5154A3"/>
    <w:rsid w:val="3EA7506E"/>
    <w:rsid w:val="3EE57141"/>
    <w:rsid w:val="3F347A16"/>
    <w:rsid w:val="3F991C1E"/>
    <w:rsid w:val="3FFC2C69"/>
    <w:rsid w:val="4029055E"/>
    <w:rsid w:val="40A15427"/>
    <w:rsid w:val="40A315E2"/>
    <w:rsid w:val="40C116F9"/>
    <w:rsid w:val="40D1017A"/>
    <w:rsid w:val="40EA315D"/>
    <w:rsid w:val="415A1FF2"/>
    <w:rsid w:val="418715B2"/>
    <w:rsid w:val="425D02CF"/>
    <w:rsid w:val="435F7FF3"/>
    <w:rsid w:val="436206E7"/>
    <w:rsid w:val="44370C37"/>
    <w:rsid w:val="44FD5CBE"/>
    <w:rsid w:val="45B57996"/>
    <w:rsid w:val="46F004A8"/>
    <w:rsid w:val="479B2E39"/>
    <w:rsid w:val="47AA5523"/>
    <w:rsid w:val="48457012"/>
    <w:rsid w:val="487F07C0"/>
    <w:rsid w:val="4A8B73F3"/>
    <w:rsid w:val="4AFA4B39"/>
    <w:rsid w:val="4BA10994"/>
    <w:rsid w:val="4BDA3645"/>
    <w:rsid w:val="4BDB55A9"/>
    <w:rsid w:val="4C4D7D95"/>
    <w:rsid w:val="4CF92B91"/>
    <w:rsid w:val="4D0B183F"/>
    <w:rsid w:val="4E477779"/>
    <w:rsid w:val="4E82359A"/>
    <w:rsid w:val="4F6F1858"/>
    <w:rsid w:val="4FB2696A"/>
    <w:rsid w:val="4FC81DBA"/>
    <w:rsid w:val="50F1187A"/>
    <w:rsid w:val="51BC6C86"/>
    <w:rsid w:val="51E90E31"/>
    <w:rsid w:val="53150C0D"/>
    <w:rsid w:val="535B5B4E"/>
    <w:rsid w:val="55B34802"/>
    <w:rsid w:val="577B1659"/>
    <w:rsid w:val="57ED5C2D"/>
    <w:rsid w:val="580806FE"/>
    <w:rsid w:val="583B26AD"/>
    <w:rsid w:val="584927A0"/>
    <w:rsid w:val="58AE691E"/>
    <w:rsid w:val="58BD7036"/>
    <w:rsid w:val="591F6172"/>
    <w:rsid w:val="59A96808"/>
    <w:rsid w:val="59E951EC"/>
    <w:rsid w:val="5AC0600C"/>
    <w:rsid w:val="5AC6602B"/>
    <w:rsid w:val="5B236F9B"/>
    <w:rsid w:val="5BCB5A9A"/>
    <w:rsid w:val="5C4A14D3"/>
    <w:rsid w:val="5C6779ED"/>
    <w:rsid w:val="5D3612F9"/>
    <w:rsid w:val="5DEA0A34"/>
    <w:rsid w:val="5E7D5094"/>
    <w:rsid w:val="5F0D0623"/>
    <w:rsid w:val="5F834D1B"/>
    <w:rsid w:val="5F9D1CA6"/>
    <w:rsid w:val="624E5DF2"/>
    <w:rsid w:val="6277027F"/>
    <w:rsid w:val="62AE788E"/>
    <w:rsid w:val="63D7336C"/>
    <w:rsid w:val="646A0640"/>
    <w:rsid w:val="65340995"/>
    <w:rsid w:val="65803D0A"/>
    <w:rsid w:val="65E00D1F"/>
    <w:rsid w:val="66E676D9"/>
    <w:rsid w:val="67CB5E46"/>
    <w:rsid w:val="685C4DB5"/>
    <w:rsid w:val="68B50009"/>
    <w:rsid w:val="68F33889"/>
    <w:rsid w:val="69797A8D"/>
    <w:rsid w:val="6A544DFC"/>
    <w:rsid w:val="6AD317CE"/>
    <w:rsid w:val="6ADB43CB"/>
    <w:rsid w:val="6B3325D5"/>
    <w:rsid w:val="6B8B78CC"/>
    <w:rsid w:val="6BB65DED"/>
    <w:rsid w:val="6C432FB3"/>
    <w:rsid w:val="6DFF3A4C"/>
    <w:rsid w:val="6E000CAD"/>
    <w:rsid w:val="6E7957F8"/>
    <w:rsid w:val="6E922A67"/>
    <w:rsid w:val="6EA35991"/>
    <w:rsid w:val="6EDD6A74"/>
    <w:rsid w:val="6FDD7E74"/>
    <w:rsid w:val="70191097"/>
    <w:rsid w:val="713A21D2"/>
    <w:rsid w:val="71740FB5"/>
    <w:rsid w:val="72135643"/>
    <w:rsid w:val="724A4EA2"/>
    <w:rsid w:val="72C575F5"/>
    <w:rsid w:val="73714974"/>
    <w:rsid w:val="743D1264"/>
    <w:rsid w:val="75A7508C"/>
    <w:rsid w:val="76B9001B"/>
    <w:rsid w:val="76E53286"/>
    <w:rsid w:val="772C0FA5"/>
    <w:rsid w:val="775870F3"/>
    <w:rsid w:val="77740271"/>
    <w:rsid w:val="78253DAF"/>
    <w:rsid w:val="79875AD4"/>
    <w:rsid w:val="79EC1CDC"/>
    <w:rsid w:val="7A4304B6"/>
    <w:rsid w:val="7AEC680F"/>
    <w:rsid w:val="7B8815BD"/>
    <w:rsid w:val="7BF10D76"/>
    <w:rsid w:val="7C8E0B12"/>
    <w:rsid w:val="7D276B1C"/>
    <w:rsid w:val="7D3A5462"/>
    <w:rsid w:val="7D467566"/>
    <w:rsid w:val="7DFC70B3"/>
    <w:rsid w:val="7E403EA9"/>
    <w:rsid w:val="7EAD28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4">
    <w:name w:val="Default Paragraph Font"/>
    <w:semiHidden/>
    <w:unhideWhenUsed/>
    <w:qFormat/>
    <w:uiPriority w:val="1"/>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unhideWhenUsed/>
    <w:qFormat/>
    <w:uiPriority w:val="39"/>
  </w:style>
  <w:style w:type="paragraph" w:styleId="3">
    <w:name w:val="annotation text"/>
    <w:basedOn w:val="1"/>
    <w:autoRedefine/>
    <w:semiHidden/>
    <w:qFormat/>
    <w:uiPriority w:val="0"/>
    <w:pPr>
      <w:jc w:val="left"/>
    </w:pPr>
    <w:rPr>
      <w:rFonts w:eastAsia="仿宋_GB2312"/>
      <w:sz w:val="30"/>
      <w:szCs w:val="20"/>
    </w:rPr>
  </w:style>
  <w:style w:type="paragraph" w:styleId="4">
    <w:name w:val="Body Text"/>
    <w:basedOn w:val="1"/>
    <w:autoRedefine/>
    <w:qFormat/>
    <w:uiPriority w:val="0"/>
    <w:pPr>
      <w:spacing w:after="120"/>
    </w:pPr>
    <w:rPr>
      <w:szCs w:val="20"/>
    </w:rPr>
  </w:style>
  <w:style w:type="paragraph" w:styleId="5">
    <w:name w:val="Body Text Indent"/>
    <w:basedOn w:val="1"/>
    <w:autoRedefine/>
    <w:qFormat/>
    <w:uiPriority w:val="0"/>
    <w:pPr>
      <w:ind w:left="360"/>
      <w:jc w:val="center"/>
    </w:pPr>
    <w:rPr>
      <w:rFonts w:eastAsia="楷体_GB2312"/>
      <w:sz w:val="44"/>
    </w:rPr>
  </w:style>
  <w:style w:type="paragraph" w:styleId="6">
    <w:name w:val="Plain Text"/>
    <w:basedOn w:val="1"/>
    <w:link w:val="17"/>
    <w:autoRedefine/>
    <w:qFormat/>
    <w:uiPriority w:val="0"/>
    <w:rPr>
      <w:rFonts w:ascii="宋体" w:hAnsi="Courier New"/>
      <w:szCs w:val="21"/>
    </w:rPr>
  </w:style>
  <w:style w:type="paragraph" w:styleId="7">
    <w:name w:val="Balloon Text"/>
    <w:basedOn w:val="1"/>
    <w:autoRedefine/>
    <w:qFormat/>
    <w:uiPriority w:val="0"/>
    <w:rPr>
      <w:sz w:val="18"/>
      <w:szCs w:val="18"/>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Subtitle"/>
    <w:basedOn w:val="1"/>
    <w:next w:val="1"/>
    <w:autoRedefine/>
    <w:qFormat/>
    <w:uiPriority w:val="11"/>
    <w:pPr>
      <w:spacing w:before="240" w:after="60" w:line="312" w:lineRule="auto"/>
      <w:jc w:val="center"/>
      <w:outlineLvl w:val="1"/>
    </w:pPr>
    <w:rPr>
      <w:b/>
      <w:bCs/>
      <w:kern w:val="28"/>
      <w:sz w:val="32"/>
      <w:szCs w:val="32"/>
    </w:rPr>
  </w:style>
  <w:style w:type="paragraph" w:styleId="11">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12">
    <w:name w:val="Body Text First Indent"/>
    <w:basedOn w:val="4"/>
    <w:autoRedefine/>
    <w:qFormat/>
    <w:uiPriority w:val="0"/>
    <w:pPr>
      <w:keepNext w:val="0"/>
      <w:keepLines w:val="0"/>
      <w:widowControl w:val="0"/>
      <w:suppressLineNumbers w:val="0"/>
      <w:spacing w:before="0" w:beforeAutospacing="0" w:after="120" w:afterAutospacing="0"/>
      <w:ind w:left="0" w:right="0" w:firstLine="420" w:firstLineChars="100"/>
      <w:jc w:val="both"/>
    </w:pPr>
    <w:rPr>
      <w:rFonts w:hint="default" w:ascii="Times New Roman" w:hAnsi="Times New Roman" w:eastAsia="宋体" w:cs="Times New Roman"/>
      <w:kern w:val="2"/>
      <w:sz w:val="21"/>
      <w:szCs w:val="24"/>
      <w:lang w:val="en-US" w:eastAsia="zh-CN" w:bidi="ar"/>
    </w:rPr>
  </w:style>
  <w:style w:type="character" w:styleId="15">
    <w:name w:val="page number"/>
    <w:basedOn w:val="14"/>
    <w:autoRedefine/>
    <w:qFormat/>
    <w:uiPriority w:val="0"/>
  </w:style>
  <w:style w:type="character" w:styleId="16">
    <w:name w:val="annotation reference"/>
    <w:autoRedefine/>
    <w:semiHidden/>
    <w:qFormat/>
    <w:uiPriority w:val="0"/>
    <w:rPr>
      <w:sz w:val="21"/>
      <w:szCs w:val="21"/>
    </w:rPr>
  </w:style>
  <w:style w:type="character" w:customStyle="1" w:styleId="17">
    <w:name w:val="纯文本 Char"/>
    <w:link w:val="6"/>
    <w:autoRedefine/>
    <w:qFormat/>
    <w:uiPriority w:val="0"/>
    <w:rPr>
      <w:rFonts w:ascii="宋体" w:hAnsi="Courier New" w:cs="Courier New"/>
      <w:kern w:val="2"/>
      <w:sz w:val="21"/>
      <w:szCs w:val="21"/>
    </w:rPr>
  </w:style>
  <w:style w:type="paragraph" w:customStyle="1" w:styleId="18">
    <w:name w:val="Default"/>
    <w:autoRedefine/>
    <w:qFormat/>
    <w:uiPriority w:val="0"/>
    <w:pPr>
      <w:widowControl w:val="0"/>
      <w:autoSpaceDE w:val="0"/>
      <w:autoSpaceDN w:val="0"/>
      <w:adjustRightInd w:val="0"/>
    </w:pPr>
    <w:rPr>
      <w:rFonts w:ascii="宋体" w:hAnsi="Calibri" w:eastAsia="等线" w:cs="宋体"/>
      <w:color w:val="000000"/>
      <w:kern w:val="2"/>
      <w:sz w:val="24"/>
      <w:szCs w:val="24"/>
      <w:lang w:val="en-US" w:eastAsia="zh-CN" w:bidi="ar-SA"/>
    </w:rPr>
  </w:style>
  <w:style w:type="paragraph" w:customStyle="1" w:styleId="19">
    <w:name w:val="Pa7"/>
    <w:basedOn w:val="18"/>
    <w:next w:val="18"/>
    <w:autoRedefine/>
    <w:unhideWhenUsed/>
    <w:qFormat/>
    <w:uiPriority w:val="99"/>
    <w:pPr>
      <w:spacing w:beforeLines="0" w:afterLines="0" w:line="241" w:lineRule="atLeast"/>
    </w:pPr>
    <w:rPr>
      <w:rFonts w:hint="default"/>
      <w:sz w:val="24"/>
    </w:rPr>
  </w:style>
  <w:style w:type="paragraph" w:customStyle="1" w:styleId="20">
    <w:name w:val="样式3"/>
    <w:basedOn w:val="1"/>
    <w:autoRedefine/>
    <w:qFormat/>
    <w:uiPriority w:val="0"/>
    <w:pPr>
      <w:spacing w:line="440" w:lineRule="exact"/>
      <w:ind w:firstLine="416" w:firstLineChars="198"/>
    </w:pPr>
    <w:rPr>
      <w:rFonts w:ascii="宋体" w:hAnsi="宋体"/>
      <w:bCs/>
      <w:szCs w:val="21"/>
    </w:rPr>
  </w:style>
  <w:style w:type="paragraph" w:customStyle="1" w:styleId="21">
    <w:name w:val="p0"/>
    <w:basedOn w:val="1"/>
    <w:autoRedefine/>
    <w:qFormat/>
    <w:uiPriority w:val="0"/>
    <w:pPr>
      <w:widowControl/>
    </w:pPr>
    <w:rPr>
      <w:kern w:val="0"/>
      <w:szCs w:val="21"/>
    </w:rPr>
  </w:style>
  <w:style w:type="character" w:customStyle="1" w:styleId="22">
    <w:name w:val="A1"/>
    <w:autoRedefine/>
    <w:unhideWhenUsed/>
    <w:qFormat/>
    <w:uiPriority w:val="99"/>
    <w:rPr>
      <w:rFonts w:hint="eastAsia"/>
      <w:color w:val="211D1E"/>
      <w:sz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Pages>
  <Words>1803</Words>
  <Characters>1877</Characters>
  <TotalTime>2</TotalTime>
  <ScaleCrop>false</ScaleCrop>
  <LinksUpToDate>false</LinksUpToDate>
  <CharactersWithSpaces>1950</CharactersWithSpaces>
  <Application>WPS Office_12.1.0.17147_F1E327BC-269C-435d-A152-05C5408002CA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2022-09-29T17:40:00Z</dcterms:created>
  <dc:creator>联想</dc:creator>
  <cp:lastModifiedBy>张幸</cp:lastModifiedBy>
  <dcterms:modified xsi:type="dcterms:W3CDTF">2024-07-18T11:21:48Z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D1FC7E36C6F040D596E85C35CC300192_13</vt:lpwstr>
  </property>
</Properties>
</file>