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0D8FD6F">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3FF842DD">
      <w:pPr>
        <w:pStyle w:val="145"/>
        <w:widowControl w:val="0"/>
        <w:snapToGrid w:val="0"/>
        <w:spacing w:line="470" w:lineRule="atLeast"/>
        <w:ind w:firstLine="0"/>
        <w:jc w:val="center"/>
        <w:rPr>
          <w:rFonts w:ascii="黑体" w:hAnsi="宋体" w:eastAsia="黑体"/>
          <w:b w:val="0"/>
          <w:color w:val="auto"/>
          <w:sz w:val="32"/>
        </w:rPr>
      </w:pPr>
    </w:p>
    <w:p w14:paraId="782A6088">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2EDD24F6">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面向算网融合的跨域算力动态迁移机制研究服务项目</w:t>
      </w:r>
    </w:p>
    <w:p w14:paraId="55E6F0C8">
      <w:pPr>
        <w:pStyle w:val="145"/>
        <w:widowControl w:val="0"/>
        <w:snapToGrid w:val="0"/>
        <w:spacing w:line="470" w:lineRule="atLeast"/>
        <w:ind w:firstLine="0"/>
        <w:jc w:val="center"/>
        <w:rPr>
          <w:rFonts w:ascii="黑体" w:eastAsia="黑体"/>
          <w:b w:val="0"/>
          <w:color w:val="auto"/>
          <w:sz w:val="36"/>
          <w:szCs w:val="36"/>
        </w:rPr>
      </w:pPr>
    </w:p>
    <w:p w14:paraId="65B947A4">
      <w:pPr>
        <w:pStyle w:val="145"/>
        <w:widowControl w:val="0"/>
        <w:snapToGrid w:val="0"/>
        <w:spacing w:line="470" w:lineRule="atLeast"/>
        <w:ind w:firstLine="0"/>
        <w:jc w:val="center"/>
        <w:rPr>
          <w:rFonts w:ascii="黑体" w:eastAsia="黑体"/>
          <w:b w:val="0"/>
          <w:color w:val="auto"/>
          <w:sz w:val="36"/>
        </w:rPr>
      </w:pPr>
    </w:p>
    <w:p w14:paraId="44B39169">
      <w:pPr>
        <w:pStyle w:val="145"/>
        <w:widowControl w:val="0"/>
        <w:snapToGrid w:val="0"/>
        <w:spacing w:line="470" w:lineRule="atLeast"/>
        <w:ind w:firstLine="0"/>
        <w:jc w:val="center"/>
        <w:rPr>
          <w:rFonts w:ascii="黑体" w:eastAsia="黑体"/>
          <w:b w:val="0"/>
          <w:color w:val="auto"/>
          <w:sz w:val="36"/>
        </w:rPr>
      </w:pPr>
    </w:p>
    <w:p w14:paraId="32305851">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311B3D3A">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17CF3DC2">
      <w:pPr>
        <w:pStyle w:val="145"/>
        <w:widowControl w:val="0"/>
        <w:snapToGrid w:val="0"/>
        <w:spacing w:line="360" w:lineRule="auto"/>
        <w:ind w:firstLine="2400" w:firstLineChars="750"/>
        <w:rPr>
          <w:rFonts w:ascii="黑体" w:hAnsi="宋体" w:eastAsia="黑体"/>
          <w:b w:val="0"/>
          <w:color w:val="auto"/>
          <w:sz w:val="32"/>
        </w:rPr>
      </w:pPr>
    </w:p>
    <w:p w14:paraId="06E254C2">
      <w:pPr>
        <w:pStyle w:val="145"/>
        <w:widowControl w:val="0"/>
        <w:snapToGrid w:val="0"/>
        <w:spacing w:line="360" w:lineRule="auto"/>
        <w:ind w:firstLine="2400" w:firstLineChars="750"/>
        <w:rPr>
          <w:rFonts w:hint="eastAsia" w:ascii="黑体" w:hAnsi="宋体" w:eastAsia="黑体"/>
          <w:b w:val="0"/>
          <w:color w:val="auto"/>
          <w:sz w:val="32"/>
          <w:u w:val="single"/>
          <w:lang w:eastAsia="zh-CN"/>
        </w:rPr>
      </w:pPr>
      <w:r>
        <w:rPr>
          <w:rFonts w:hint="eastAsia" w:ascii="黑体" w:hAnsi="宋体" w:eastAsia="黑体"/>
          <w:b w:val="0"/>
          <w:color w:val="auto"/>
          <w:sz w:val="32"/>
        </w:rPr>
        <w:t>项目编号：2025-JH-CS0</w:t>
      </w:r>
      <w:r>
        <w:rPr>
          <w:rFonts w:hint="eastAsia" w:ascii="黑体" w:hAnsi="宋体" w:eastAsia="黑体"/>
          <w:b w:val="0"/>
          <w:color w:val="auto"/>
          <w:sz w:val="32"/>
          <w:lang w:val="en-US" w:eastAsia="zh-CN"/>
        </w:rPr>
        <w:t>8</w:t>
      </w:r>
    </w:p>
    <w:p w14:paraId="76A2B9D1">
      <w:pPr>
        <w:pStyle w:val="145"/>
        <w:widowControl w:val="0"/>
        <w:snapToGrid w:val="0"/>
        <w:spacing w:line="470" w:lineRule="atLeast"/>
        <w:ind w:firstLine="0"/>
        <w:jc w:val="center"/>
        <w:rPr>
          <w:color w:val="auto"/>
        </w:rPr>
      </w:pPr>
    </w:p>
    <w:p w14:paraId="4AAB7880">
      <w:pPr>
        <w:pStyle w:val="145"/>
        <w:widowControl w:val="0"/>
        <w:snapToGrid w:val="0"/>
        <w:spacing w:line="470" w:lineRule="atLeast"/>
        <w:ind w:firstLine="0"/>
        <w:jc w:val="center"/>
        <w:rPr>
          <w:color w:val="auto"/>
        </w:rPr>
      </w:pPr>
    </w:p>
    <w:p w14:paraId="604CC4B1">
      <w:pPr>
        <w:pStyle w:val="145"/>
        <w:widowControl w:val="0"/>
        <w:snapToGrid w:val="0"/>
        <w:spacing w:line="470" w:lineRule="atLeast"/>
        <w:ind w:firstLine="0"/>
        <w:jc w:val="center"/>
        <w:rPr>
          <w:color w:val="auto"/>
        </w:rPr>
      </w:pPr>
    </w:p>
    <w:p w14:paraId="50FE23D5">
      <w:pPr>
        <w:pStyle w:val="145"/>
        <w:widowControl w:val="0"/>
        <w:snapToGrid w:val="0"/>
        <w:spacing w:line="470" w:lineRule="atLeast"/>
        <w:ind w:firstLine="0"/>
        <w:jc w:val="center"/>
        <w:rPr>
          <w:color w:val="auto"/>
        </w:rPr>
      </w:pPr>
    </w:p>
    <w:p w14:paraId="2B0BD8BB">
      <w:pPr>
        <w:pStyle w:val="145"/>
        <w:widowControl w:val="0"/>
        <w:snapToGrid w:val="0"/>
        <w:spacing w:line="470" w:lineRule="atLeast"/>
        <w:ind w:firstLine="0"/>
        <w:jc w:val="center"/>
        <w:rPr>
          <w:color w:val="auto"/>
        </w:rPr>
      </w:pPr>
    </w:p>
    <w:p w14:paraId="145BD532">
      <w:pPr>
        <w:pStyle w:val="145"/>
        <w:widowControl w:val="0"/>
        <w:snapToGrid w:val="0"/>
        <w:spacing w:line="470" w:lineRule="atLeast"/>
        <w:ind w:firstLine="0"/>
        <w:jc w:val="center"/>
        <w:rPr>
          <w:color w:val="auto"/>
        </w:rPr>
      </w:pPr>
    </w:p>
    <w:p w14:paraId="5BF6E442">
      <w:pPr>
        <w:pStyle w:val="145"/>
        <w:widowControl w:val="0"/>
        <w:snapToGrid w:val="0"/>
        <w:spacing w:line="470" w:lineRule="atLeast"/>
        <w:ind w:firstLine="0"/>
        <w:jc w:val="center"/>
        <w:rPr>
          <w:color w:val="auto"/>
        </w:rPr>
      </w:pPr>
    </w:p>
    <w:p w14:paraId="58DFD1F6">
      <w:pPr>
        <w:pStyle w:val="145"/>
        <w:widowControl w:val="0"/>
        <w:snapToGrid w:val="0"/>
        <w:spacing w:line="470" w:lineRule="atLeast"/>
        <w:ind w:firstLine="0"/>
        <w:jc w:val="center"/>
        <w:rPr>
          <w:color w:val="auto"/>
        </w:rPr>
      </w:pPr>
    </w:p>
    <w:p w14:paraId="48E89EDE">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1953FA3E">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eastAsia" w:ascii="黑体" w:eastAsia="黑体"/>
          <w:b w:val="0"/>
          <w:color w:val="auto"/>
          <w:sz w:val="32"/>
          <w:szCs w:val="32"/>
          <w:lang w:val="en-US" w:eastAsia="zh-CN"/>
        </w:rPr>
        <w:t>9</w:t>
      </w:r>
      <w:r>
        <w:rPr>
          <w:rFonts w:hint="eastAsia" w:ascii="黑体" w:eastAsia="黑体"/>
          <w:b w:val="0"/>
          <w:color w:val="auto"/>
          <w:sz w:val="32"/>
          <w:szCs w:val="32"/>
        </w:rPr>
        <w:t>月</w:t>
      </w:r>
      <w:r>
        <w:rPr>
          <w:rFonts w:hint="eastAsia" w:ascii="黑体" w:eastAsia="黑体"/>
          <w:b w:val="0"/>
          <w:color w:val="auto"/>
          <w:sz w:val="32"/>
          <w:szCs w:val="32"/>
          <w:lang w:val="en-US" w:eastAsia="zh-CN"/>
        </w:rPr>
        <w:t>9</w:t>
      </w:r>
      <w:r>
        <w:rPr>
          <w:rFonts w:hint="eastAsia" w:ascii="黑体" w:eastAsia="黑体"/>
          <w:b w:val="0"/>
          <w:color w:val="auto"/>
          <w:sz w:val="32"/>
          <w:szCs w:val="32"/>
        </w:rPr>
        <w:t>日</w:t>
      </w:r>
    </w:p>
    <w:p w14:paraId="30860653">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3C83545E">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6D9DB881">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_Toc30135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_Toc30135 \h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fldChar w:fldCharType="end"/>
      </w:r>
    </w:p>
    <w:p w14:paraId="42295B22">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_Toc30727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_Toc30727 \h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2B7D80C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_Toc21980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_Toc21980 \h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683F0DDE">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_Toc11494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_Toc11494 \h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6429811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_Toc31919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_Toc31919 \h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01134E5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_Toc16517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_Toc16517 \h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54F03AC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_Toc32478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_Toc32478 \h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14:paraId="57A962F2">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_Toc31733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_Toc31733 \h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555BFF4C">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_Toc6967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_Toc6967 \h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4A4F690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_Toc32012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_Toc32012 \h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30D049B5">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_Toc20269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_Toc20269 \h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59BDF31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_Toc3739 </w:instrText>
      </w:r>
      <w:r>
        <w:rPr>
          <w:color w:val="auto"/>
          <w:sz w:val="24"/>
          <w:szCs w:val="24"/>
        </w:rPr>
        <w:fldChar w:fldCharType="separate"/>
      </w:r>
      <w:r>
        <w:rPr>
          <w:rFonts w:hint="eastAsia"/>
          <w:color w:val="auto"/>
          <w:sz w:val="24"/>
          <w:szCs w:val="24"/>
        </w:rPr>
        <w:t>一、概况</w:t>
      </w:r>
      <w:r>
        <w:rPr>
          <w:color w:val="auto"/>
          <w:sz w:val="24"/>
          <w:szCs w:val="24"/>
        </w:rPr>
        <w:tab/>
      </w:r>
      <w:r>
        <w:rPr>
          <w:color w:val="auto"/>
          <w:sz w:val="24"/>
          <w:szCs w:val="24"/>
        </w:rPr>
        <w:fldChar w:fldCharType="begin"/>
      </w:r>
      <w:r>
        <w:rPr>
          <w:color w:val="auto"/>
          <w:sz w:val="24"/>
          <w:szCs w:val="24"/>
        </w:rPr>
        <w:instrText xml:space="preserve"> PAGEREF _Toc3739 \h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40AABEF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_Toc6349 </w:instrText>
      </w:r>
      <w:r>
        <w:rPr>
          <w:color w:val="auto"/>
          <w:sz w:val="24"/>
          <w:szCs w:val="24"/>
        </w:rPr>
        <w:fldChar w:fldCharType="separate"/>
      </w:r>
      <w:r>
        <w:rPr>
          <w:rFonts w:hint="eastAsia"/>
          <w:color w:val="auto"/>
          <w:sz w:val="24"/>
          <w:szCs w:val="24"/>
        </w:rPr>
        <w:t>二、服务内容和详细要求、双方权利和义务</w:t>
      </w:r>
      <w:r>
        <w:rPr>
          <w:color w:val="auto"/>
          <w:sz w:val="24"/>
          <w:szCs w:val="24"/>
        </w:rPr>
        <w:tab/>
      </w:r>
      <w:r>
        <w:rPr>
          <w:color w:val="auto"/>
          <w:sz w:val="24"/>
          <w:szCs w:val="24"/>
        </w:rPr>
        <w:fldChar w:fldCharType="begin"/>
      </w:r>
      <w:r>
        <w:rPr>
          <w:color w:val="auto"/>
          <w:sz w:val="24"/>
          <w:szCs w:val="24"/>
        </w:rPr>
        <w:instrText xml:space="preserve"> PAGEREF _Toc6349 \h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4CC9FAD2">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_Toc8949 </w:instrText>
      </w:r>
      <w:r>
        <w:rPr>
          <w:color w:val="auto"/>
          <w:sz w:val="24"/>
          <w:szCs w:val="24"/>
        </w:rPr>
        <w:fldChar w:fldCharType="separate"/>
      </w:r>
      <w:r>
        <w:rPr>
          <w:rFonts w:hint="eastAsia"/>
          <w:color w:val="auto"/>
          <w:sz w:val="24"/>
          <w:szCs w:val="24"/>
          <w:lang w:val="en-US" w:eastAsia="zh-CN"/>
        </w:rPr>
        <w:t>三</w:t>
      </w:r>
      <w:r>
        <w:rPr>
          <w:rFonts w:hint="eastAsia"/>
          <w:color w:val="auto"/>
          <w:sz w:val="24"/>
          <w:szCs w:val="24"/>
        </w:rPr>
        <w:t>、</w:t>
      </w:r>
      <w:r>
        <w:rPr>
          <w:rFonts w:hint="eastAsia"/>
          <w:bCs/>
          <w:color w:val="auto"/>
          <w:sz w:val="24"/>
          <w:szCs w:val="24"/>
        </w:rPr>
        <w:t>▲</w:t>
      </w:r>
      <w:r>
        <w:rPr>
          <w:rFonts w:hint="eastAsia"/>
          <w:color w:val="auto"/>
          <w:sz w:val="24"/>
          <w:szCs w:val="24"/>
        </w:rPr>
        <w:t>商务要求</w:t>
      </w:r>
      <w:r>
        <w:rPr>
          <w:color w:val="auto"/>
          <w:sz w:val="24"/>
          <w:szCs w:val="24"/>
        </w:rPr>
        <w:tab/>
      </w:r>
      <w:r>
        <w:rPr>
          <w:color w:val="auto"/>
          <w:sz w:val="24"/>
          <w:szCs w:val="24"/>
        </w:rPr>
        <w:fldChar w:fldCharType="begin"/>
      </w:r>
      <w:r>
        <w:rPr>
          <w:color w:val="auto"/>
          <w:sz w:val="24"/>
          <w:szCs w:val="24"/>
        </w:rPr>
        <w:instrText xml:space="preserve"> PAGEREF _Toc8949 \h </w:instrText>
      </w:r>
      <w:r>
        <w:rPr>
          <w:color w:val="auto"/>
          <w:sz w:val="24"/>
          <w:szCs w:val="24"/>
        </w:rPr>
        <w:fldChar w:fldCharType="separate"/>
      </w:r>
      <w:r>
        <w:rPr>
          <w:color w:val="auto"/>
          <w:sz w:val="24"/>
          <w:szCs w:val="24"/>
        </w:rPr>
        <w:t>16</w:t>
      </w:r>
      <w:r>
        <w:rPr>
          <w:color w:val="auto"/>
          <w:sz w:val="24"/>
          <w:szCs w:val="24"/>
        </w:rPr>
        <w:fldChar w:fldCharType="end"/>
      </w:r>
      <w:r>
        <w:rPr>
          <w:color w:val="auto"/>
          <w:sz w:val="24"/>
          <w:szCs w:val="24"/>
        </w:rPr>
        <w:fldChar w:fldCharType="end"/>
      </w:r>
    </w:p>
    <w:p w14:paraId="42B11DD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_Toc17327 </w:instrText>
      </w:r>
      <w:r>
        <w:rPr>
          <w:color w:val="auto"/>
          <w:sz w:val="24"/>
          <w:szCs w:val="24"/>
        </w:rPr>
        <w:fldChar w:fldCharType="separate"/>
      </w:r>
      <w:r>
        <w:rPr>
          <w:rFonts w:hint="eastAsia"/>
          <w:color w:val="auto"/>
          <w:sz w:val="24"/>
          <w:szCs w:val="24"/>
          <w:lang w:val="en-US" w:eastAsia="zh-CN"/>
        </w:rPr>
        <w:t>四</w:t>
      </w:r>
      <w:r>
        <w:rPr>
          <w:rFonts w:hint="eastAsia"/>
          <w:color w:val="auto"/>
          <w:sz w:val="24"/>
          <w:szCs w:val="24"/>
        </w:rPr>
        <w:t>、评分标准及</w:t>
      </w:r>
      <w:r>
        <w:rPr>
          <w:rFonts w:hint="eastAsia"/>
          <w:color w:val="auto"/>
          <w:sz w:val="24"/>
          <w:szCs w:val="24"/>
          <w:lang w:val="en-US" w:eastAsia="zh-CN"/>
        </w:rPr>
        <w:t>合同基本条款</w:t>
      </w:r>
      <w:r>
        <w:rPr>
          <w:rFonts w:hint="eastAsia"/>
          <w:color w:val="auto"/>
          <w:sz w:val="24"/>
          <w:szCs w:val="24"/>
        </w:rPr>
        <w:t>中明确的其它相关要求</w:t>
      </w:r>
      <w:r>
        <w:rPr>
          <w:color w:val="auto"/>
          <w:sz w:val="24"/>
          <w:szCs w:val="24"/>
        </w:rPr>
        <w:tab/>
      </w:r>
      <w:r>
        <w:rPr>
          <w:color w:val="auto"/>
          <w:sz w:val="24"/>
          <w:szCs w:val="24"/>
        </w:rPr>
        <w:fldChar w:fldCharType="begin"/>
      </w:r>
      <w:r>
        <w:rPr>
          <w:color w:val="auto"/>
          <w:sz w:val="24"/>
          <w:szCs w:val="24"/>
        </w:rPr>
        <w:instrText xml:space="preserve"> PAGEREF _Toc17327 \h </w:instrText>
      </w:r>
      <w:r>
        <w:rPr>
          <w:color w:val="auto"/>
          <w:sz w:val="24"/>
          <w:szCs w:val="24"/>
        </w:rPr>
        <w:fldChar w:fldCharType="separate"/>
      </w:r>
      <w:r>
        <w:rPr>
          <w:color w:val="auto"/>
          <w:sz w:val="24"/>
          <w:szCs w:val="24"/>
        </w:rPr>
        <w:t>16</w:t>
      </w:r>
      <w:r>
        <w:rPr>
          <w:color w:val="auto"/>
          <w:sz w:val="24"/>
          <w:szCs w:val="24"/>
        </w:rPr>
        <w:fldChar w:fldCharType="end"/>
      </w:r>
      <w:r>
        <w:rPr>
          <w:color w:val="auto"/>
          <w:sz w:val="24"/>
          <w:szCs w:val="24"/>
        </w:rPr>
        <w:fldChar w:fldCharType="end"/>
      </w:r>
    </w:p>
    <w:p w14:paraId="2EFB8467">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_Toc14239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_Toc14239 \h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44076DA8">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_Toc24170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_Toc24170 \h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37333372">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_Toc4970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_Toc4970 \h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0C97C4C9">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_Toc9400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_Toc9400 \h </w:instrText>
      </w:r>
      <w:r>
        <w:rPr>
          <w:color w:val="auto"/>
          <w:sz w:val="24"/>
          <w:szCs w:val="24"/>
        </w:rPr>
        <w:fldChar w:fldCharType="separate"/>
      </w:r>
      <w:r>
        <w:rPr>
          <w:color w:val="auto"/>
          <w:sz w:val="24"/>
          <w:szCs w:val="24"/>
        </w:rPr>
        <w:t>20</w:t>
      </w:r>
      <w:r>
        <w:rPr>
          <w:color w:val="auto"/>
          <w:sz w:val="24"/>
          <w:szCs w:val="24"/>
        </w:rPr>
        <w:fldChar w:fldCharType="end"/>
      </w:r>
      <w:r>
        <w:rPr>
          <w:color w:val="auto"/>
          <w:sz w:val="24"/>
          <w:szCs w:val="24"/>
        </w:rPr>
        <w:fldChar w:fldCharType="end"/>
      </w:r>
    </w:p>
    <w:p w14:paraId="317BF026">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_Toc6799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_Toc6799 \h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34FF8C43">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_Toc19377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_Toc19377 \h </w:instrText>
      </w:r>
      <w:r>
        <w:rPr>
          <w:color w:val="auto"/>
          <w:sz w:val="24"/>
          <w:szCs w:val="24"/>
        </w:rPr>
        <w:fldChar w:fldCharType="separate"/>
      </w:r>
      <w:r>
        <w:rPr>
          <w:color w:val="auto"/>
          <w:sz w:val="24"/>
          <w:szCs w:val="24"/>
        </w:rPr>
        <w:t>25</w:t>
      </w:r>
      <w:r>
        <w:rPr>
          <w:color w:val="auto"/>
          <w:sz w:val="24"/>
          <w:szCs w:val="24"/>
        </w:rPr>
        <w:fldChar w:fldCharType="end"/>
      </w:r>
      <w:r>
        <w:rPr>
          <w:color w:val="auto"/>
          <w:sz w:val="24"/>
          <w:szCs w:val="24"/>
        </w:rPr>
        <w:fldChar w:fldCharType="end"/>
      </w:r>
    </w:p>
    <w:p w14:paraId="42624A6D">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_Toc4234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_Toc4234 \h </w:instrText>
      </w:r>
      <w:r>
        <w:rPr>
          <w:color w:val="auto"/>
          <w:sz w:val="24"/>
          <w:szCs w:val="24"/>
        </w:rPr>
        <w:fldChar w:fldCharType="separate"/>
      </w:r>
      <w:r>
        <w:rPr>
          <w:color w:val="auto"/>
          <w:sz w:val="24"/>
          <w:szCs w:val="24"/>
        </w:rPr>
        <w:t>25</w:t>
      </w:r>
      <w:r>
        <w:rPr>
          <w:color w:val="auto"/>
          <w:sz w:val="24"/>
          <w:szCs w:val="24"/>
        </w:rPr>
        <w:fldChar w:fldCharType="end"/>
      </w:r>
      <w:r>
        <w:rPr>
          <w:color w:val="auto"/>
          <w:sz w:val="24"/>
          <w:szCs w:val="24"/>
        </w:rPr>
        <w:fldChar w:fldCharType="end"/>
      </w:r>
    </w:p>
    <w:p w14:paraId="354F8B2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_Toc18615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_Toc18615 \h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7816E81C">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_Toc7605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_Toc7605 \h </w:instrText>
      </w:r>
      <w:r>
        <w:rPr>
          <w:color w:val="auto"/>
          <w:sz w:val="24"/>
          <w:szCs w:val="24"/>
        </w:rPr>
        <w:fldChar w:fldCharType="separate"/>
      </w:r>
      <w:r>
        <w:rPr>
          <w:color w:val="auto"/>
          <w:sz w:val="24"/>
          <w:szCs w:val="24"/>
        </w:rPr>
        <w:t>27</w:t>
      </w:r>
      <w:r>
        <w:rPr>
          <w:color w:val="auto"/>
          <w:sz w:val="24"/>
          <w:szCs w:val="24"/>
        </w:rPr>
        <w:fldChar w:fldCharType="end"/>
      </w:r>
      <w:r>
        <w:rPr>
          <w:color w:val="auto"/>
          <w:sz w:val="24"/>
          <w:szCs w:val="24"/>
        </w:rPr>
        <w:fldChar w:fldCharType="end"/>
      </w:r>
    </w:p>
    <w:p w14:paraId="470C501C">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_Toc12569 </w:instrText>
      </w:r>
      <w:r>
        <w:rPr>
          <w:color w:val="auto"/>
          <w:sz w:val="24"/>
          <w:szCs w:val="24"/>
        </w:rPr>
        <w:fldChar w:fldCharType="separate"/>
      </w:r>
      <w:r>
        <w:rPr>
          <w:rFonts w:hint="eastAsia"/>
          <w:color w:val="auto"/>
          <w:sz w:val="24"/>
          <w:szCs w:val="24"/>
        </w:rPr>
        <w:t>（1）初次报价一览表、初次报价明细表</w:t>
      </w:r>
      <w:r>
        <w:rPr>
          <w:color w:val="auto"/>
          <w:sz w:val="24"/>
          <w:szCs w:val="24"/>
        </w:rPr>
        <w:tab/>
      </w:r>
      <w:r>
        <w:rPr>
          <w:color w:val="auto"/>
          <w:sz w:val="24"/>
          <w:szCs w:val="24"/>
        </w:rPr>
        <w:fldChar w:fldCharType="begin"/>
      </w:r>
      <w:r>
        <w:rPr>
          <w:color w:val="auto"/>
          <w:sz w:val="24"/>
          <w:szCs w:val="24"/>
        </w:rPr>
        <w:instrText xml:space="preserve"> PAGEREF _Toc12569 \h </w:instrText>
      </w:r>
      <w:r>
        <w:rPr>
          <w:color w:val="auto"/>
          <w:sz w:val="24"/>
          <w:szCs w:val="24"/>
        </w:rPr>
        <w:fldChar w:fldCharType="separate"/>
      </w:r>
      <w:r>
        <w:rPr>
          <w:color w:val="auto"/>
          <w:sz w:val="24"/>
          <w:szCs w:val="24"/>
        </w:rPr>
        <w:t>27</w:t>
      </w:r>
      <w:r>
        <w:rPr>
          <w:color w:val="auto"/>
          <w:sz w:val="24"/>
          <w:szCs w:val="24"/>
        </w:rPr>
        <w:fldChar w:fldCharType="end"/>
      </w:r>
      <w:r>
        <w:rPr>
          <w:color w:val="auto"/>
          <w:sz w:val="24"/>
          <w:szCs w:val="24"/>
        </w:rPr>
        <w:fldChar w:fldCharType="end"/>
      </w:r>
    </w:p>
    <w:p w14:paraId="182E525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_Toc24323 </w:instrText>
      </w:r>
      <w:r>
        <w:rPr>
          <w:color w:val="auto"/>
          <w:sz w:val="24"/>
          <w:szCs w:val="24"/>
        </w:rPr>
        <w:fldChar w:fldCharType="separate"/>
      </w:r>
      <w:r>
        <w:rPr>
          <w:rFonts w:hint="eastAsia"/>
          <w:color w:val="auto"/>
          <w:sz w:val="24"/>
          <w:szCs w:val="24"/>
        </w:rPr>
        <w:t>（2）中小企业声明函（若属于中小企业）</w:t>
      </w:r>
      <w:r>
        <w:rPr>
          <w:color w:val="auto"/>
          <w:sz w:val="24"/>
          <w:szCs w:val="24"/>
        </w:rPr>
        <w:tab/>
      </w:r>
      <w:r>
        <w:rPr>
          <w:color w:val="auto"/>
          <w:sz w:val="24"/>
          <w:szCs w:val="24"/>
        </w:rPr>
        <w:fldChar w:fldCharType="begin"/>
      </w:r>
      <w:r>
        <w:rPr>
          <w:color w:val="auto"/>
          <w:sz w:val="24"/>
          <w:szCs w:val="24"/>
        </w:rPr>
        <w:instrText xml:space="preserve"> PAGEREF _Toc24323 \h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1C1CAC3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_Toc32627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_Toc32627 \h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1D7FE1B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_Toc14407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_Toc14407 \h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0CC4B3EF">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_Toc13646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_Toc13646 \h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13DBE40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_Toc9699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_Toc9699 \h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3A9D5F9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_Toc17045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_Toc17045 \h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15A4E04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_Toc28894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_Toc28894 \h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47A86ED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_Toc10709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_Toc10709 \h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28F508D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_Toc171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_Toc171 \h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3D57F36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_Toc20327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_Toc20327 \h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163F75E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_Toc8233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_Toc8233 \h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1CD239A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_Toc4847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_Toc4847 \h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16EB544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_Toc30629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_Toc30629 \h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1960B82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_Toc3547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_Toc3547 \h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061675A2">
      <w:pPr>
        <w:pStyle w:val="25"/>
        <w:tabs>
          <w:tab w:val="right" w:leader="dot" w:pos="9413"/>
        </w:tabs>
        <w:ind w:left="420" w:leftChars="200" w:firstLine="0" w:firstLineChars="0"/>
        <w:rPr>
          <w:color w:val="auto"/>
        </w:rPr>
      </w:pPr>
      <w:r>
        <w:rPr>
          <w:color w:val="auto"/>
          <w:sz w:val="24"/>
          <w:szCs w:val="24"/>
        </w:rPr>
        <w:fldChar w:fldCharType="begin"/>
      </w:r>
      <w:r>
        <w:rPr>
          <w:color w:val="auto"/>
          <w:sz w:val="24"/>
          <w:szCs w:val="24"/>
        </w:rPr>
        <w:instrText xml:space="preserve"> HYPERLINK \l _Toc19427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_Toc19427 \h </w:instrText>
      </w:r>
      <w:r>
        <w:rPr>
          <w:color w:val="auto"/>
          <w:sz w:val="24"/>
          <w:szCs w:val="24"/>
        </w:rPr>
        <w:fldChar w:fldCharType="separate"/>
      </w:r>
      <w:r>
        <w:rPr>
          <w:color w:val="auto"/>
          <w:sz w:val="24"/>
          <w:szCs w:val="24"/>
        </w:rPr>
        <w:t>41</w:t>
      </w:r>
      <w:r>
        <w:rPr>
          <w:color w:val="auto"/>
          <w:sz w:val="24"/>
          <w:szCs w:val="24"/>
        </w:rPr>
        <w:fldChar w:fldCharType="end"/>
      </w:r>
      <w:r>
        <w:rPr>
          <w:color w:val="auto"/>
          <w:sz w:val="24"/>
          <w:szCs w:val="24"/>
        </w:rPr>
        <w:fldChar w:fldCharType="end"/>
      </w:r>
      <w:r>
        <w:rPr>
          <w:color w:val="auto"/>
          <w:sz w:val="24"/>
          <w:szCs w:val="24"/>
        </w:rPr>
        <w:fldChar w:fldCharType="end"/>
      </w:r>
    </w:p>
    <w:p w14:paraId="27DEC399">
      <w:pPr>
        <w:pStyle w:val="4"/>
        <w:tabs>
          <w:tab w:val="right" w:leader="dot" w:pos="9000"/>
        </w:tabs>
        <w:snapToGrid w:val="0"/>
        <w:spacing w:before="0" w:after="0"/>
        <w:rPr>
          <w:rStyle w:val="56"/>
          <w:b w:val="0"/>
          <w:color w:val="auto"/>
        </w:rPr>
      </w:pPr>
      <w:r>
        <w:rPr>
          <w:color w:val="auto"/>
          <w:sz w:val="24"/>
        </w:rPr>
        <w:br w:type="page"/>
      </w:r>
      <w:bookmarkStart w:id="1" w:name="_Toc118516209"/>
      <w:bookmarkStart w:id="2" w:name="_Toc171394907"/>
      <w:bookmarkStart w:id="3" w:name="_Toc433537961"/>
      <w:bookmarkStart w:id="4" w:name="_Toc15311"/>
      <w:bookmarkStart w:id="5" w:name="_Toc32381"/>
      <w:bookmarkStart w:id="6" w:name="_Toc32496"/>
      <w:bookmarkStart w:id="7" w:name="_Toc29876"/>
      <w:bookmarkStart w:id="8" w:name="_Toc3034"/>
      <w:bookmarkStart w:id="9" w:name="_Toc14280"/>
      <w:bookmarkStart w:id="10" w:name="_Toc23298"/>
      <w:bookmarkStart w:id="11" w:name="_Toc17969"/>
      <w:bookmarkStart w:id="12" w:name="_Toc20259"/>
      <w:bookmarkStart w:id="13" w:name="_Toc938"/>
      <w:bookmarkStart w:id="14" w:name="_Toc440"/>
      <w:bookmarkStart w:id="15" w:name="_Toc3154"/>
      <w:bookmarkStart w:id="16" w:name="_Toc25841"/>
      <w:bookmarkStart w:id="17" w:name="_Toc14546"/>
      <w:bookmarkStart w:id="18" w:name="_Toc29438"/>
      <w:bookmarkStart w:id="19" w:name="_Toc16674"/>
      <w:bookmarkStart w:id="20" w:name="_Toc9280"/>
      <w:bookmarkStart w:id="21" w:name="_Toc27478"/>
      <w:bookmarkStart w:id="22" w:name="_Toc10391"/>
      <w:bookmarkStart w:id="23" w:name="_Toc4547"/>
      <w:bookmarkStart w:id="24" w:name="_Toc13062"/>
      <w:bookmarkStart w:id="25" w:name="_Toc9372"/>
      <w:bookmarkStart w:id="26" w:name="_Toc12052"/>
      <w:bookmarkStart w:id="27" w:name="_Toc7321"/>
      <w:bookmarkStart w:id="28" w:name="_Toc30135"/>
      <w:bookmarkStart w:id="29" w:name="_Toc9769"/>
      <w:bookmarkStart w:id="30" w:name="_Toc7090"/>
      <w:bookmarkStart w:id="31" w:name="_Toc24330"/>
      <w:bookmarkStart w:id="32" w:name="_Toc12840"/>
      <w:bookmarkStart w:id="33" w:name="_Toc6441"/>
      <w:bookmarkStart w:id="34" w:name="_Toc25143"/>
      <w:bookmarkStart w:id="35" w:name="_Toc4488"/>
      <w:bookmarkStart w:id="36" w:name="_Toc10026"/>
      <w:r>
        <w:rPr>
          <w:rStyle w:val="56"/>
          <w:rFonts w:hint="eastAsia"/>
          <w:b w:val="0"/>
          <w:color w:val="auto"/>
        </w:rPr>
        <w:t>第一部分</w:t>
      </w:r>
      <w:bookmarkEnd w:id="1"/>
      <w:r>
        <w:rPr>
          <w:rStyle w:val="56"/>
          <w:b w:val="0"/>
          <w:color w:val="auto"/>
        </w:rPr>
        <w:t xml:space="preserve">  </w:t>
      </w:r>
      <w:r>
        <w:rPr>
          <w:rStyle w:val="56"/>
          <w:rFonts w:hint="eastAsia"/>
          <w:b w:val="0"/>
          <w:color w:val="auto"/>
        </w:rPr>
        <w:t>竞争性磋商</w:t>
      </w:r>
      <w:bookmarkEnd w:id="2"/>
      <w:r>
        <w:rPr>
          <w:rStyle w:val="56"/>
          <w:rFonts w:hint="eastAsia"/>
          <w:b w:val="0"/>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36FC289B">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171394910"/>
      <w:bookmarkStart w:id="39"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w:t>
      </w:r>
      <w:r>
        <w:rPr>
          <w:rFonts w:hint="eastAsia" w:asciiTheme="minorEastAsia" w:hAnsiTheme="minorEastAsia" w:eastAsiaTheme="minorEastAsia" w:cstheme="minorEastAsia"/>
          <w:color w:val="auto"/>
          <w:sz w:val="24"/>
          <w:szCs w:val="24"/>
        </w:rPr>
        <w:t>政府采购法实施条例》、《政府采购竞争性磋商采购方式管理暂行办法》、《浙江省政府采购活动现场组织管理办法》等法律法规部分相关条款，现就杭州电子科技大学面向算网融合的跨域算力动态迁移机制研究服务项目进行竞争性磋商(简称磋商)采购，欢迎国内合格的供应商前来参加。</w:t>
      </w:r>
    </w:p>
    <w:p w14:paraId="304858A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0" w:name="_Toc21083"/>
      <w:bookmarkStart w:id="41" w:name="_Toc25225"/>
      <w:bookmarkStart w:id="42" w:name="_Toc12969"/>
      <w:bookmarkStart w:id="43" w:name="_Toc28017"/>
      <w:bookmarkStart w:id="44" w:name="_Toc6517"/>
      <w:bookmarkStart w:id="45" w:name="_Toc19591"/>
      <w:bookmarkStart w:id="46" w:name="_Toc10031"/>
      <w:bookmarkStart w:id="47" w:name="_Toc183786415"/>
      <w:bookmarkStart w:id="48" w:name="_Toc433537963"/>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：2025-JH-CS08</w:t>
      </w:r>
    </w:p>
    <w:p w14:paraId="3157F043">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2BABAD5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3645"/>
        <w:gridCol w:w="1905"/>
        <w:gridCol w:w="2520"/>
      </w:tblGrid>
      <w:tr w14:paraId="43007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57" w:type="dxa"/>
            <w:vAlign w:val="center"/>
          </w:tcPr>
          <w:p w14:paraId="57E26EB2">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3645" w:type="dxa"/>
            <w:tcBorders>
              <w:right w:val="single" w:color="000000" w:sz="4" w:space="0"/>
            </w:tcBorders>
            <w:vAlign w:val="center"/>
          </w:tcPr>
          <w:p w14:paraId="4C01BFD4">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1905" w:type="dxa"/>
            <w:tcBorders>
              <w:right w:val="single" w:color="000000" w:sz="4" w:space="0"/>
            </w:tcBorders>
            <w:vAlign w:val="center"/>
          </w:tcPr>
          <w:p w14:paraId="20DBE120">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2520" w:type="dxa"/>
            <w:vAlign w:val="center"/>
          </w:tcPr>
          <w:p w14:paraId="78E48D22">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14:paraId="182D5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957" w:type="dxa"/>
            <w:vAlign w:val="center"/>
          </w:tcPr>
          <w:p w14:paraId="6A632BD1">
            <w:pPr>
              <w:spacing w:line="420" w:lineRule="exact"/>
              <w:jc w:val="center"/>
              <w:rPr>
                <w:rFonts w:ascii="宋体" w:hAnsi="宋体"/>
                <w:color w:val="auto"/>
                <w:sz w:val="24"/>
                <w:szCs w:val="24"/>
              </w:rPr>
            </w:pPr>
            <w:r>
              <w:rPr>
                <w:rFonts w:hint="eastAsia" w:ascii="宋体" w:hAnsi="宋体"/>
                <w:color w:val="auto"/>
                <w:sz w:val="24"/>
                <w:szCs w:val="24"/>
              </w:rPr>
              <w:t>1</w:t>
            </w:r>
          </w:p>
        </w:tc>
        <w:tc>
          <w:tcPr>
            <w:tcW w:w="3645" w:type="dxa"/>
            <w:tcBorders>
              <w:right w:val="single" w:color="000000" w:sz="4" w:space="0"/>
            </w:tcBorders>
            <w:vAlign w:val="center"/>
          </w:tcPr>
          <w:p w14:paraId="4EEA9F31">
            <w:pPr>
              <w:spacing w:line="420" w:lineRule="exact"/>
              <w:jc w:val="center"/>
              <w:rPr>
                <w:rFonts w:ascii="宋体" w:hAnsi="宋体"/>
                <w:color w:val="auto"/>
                <w:sz w:val="24"/>
                <w:szCs w:val="24"/>
              </w:rPr>
            </w:pPr>
            <w:r>
              <w:rPr>
                <w:rFonts w:hint="eastAsia" w:ascii="宋体" w:hAnsi="宋体"/>
                <w:color w:val="auto"/>
                <w:sz w:val="24"/>
                <w:szCs w:val="24"/>
              </w:rPr>
              <w:t>面向算网融合的跨域算力动态迁移机制研究服务</w:t>
            </w:r>
          </w:p>
        </w:tc>
        <w:tc>
          <w:tcPr>
            <w:tcW w:w="1905" w:type="dxa"/>
            <w:tcBorders>
              <w:right w:val="single" w:color="000000" w:sz="4" w:space="0"/>
            </w:tcBorders>
            <w:vAlign w:val="center"/>
          </w:tcPr>
          <w:p w14:paraId="24760A31">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详见采购需求</w:t>
            </w:r>
          </w:p>
        </w:tc>
        <w:tc>
          <w:tcPr>
            <w:tcW w:w="2520" w:type="dxa"/>
            <w:vAlign w:val="center"/>
          </w:tcPr>
          <w:p w14:paraId="13DB3C93">
            <w:pPr>
              <w:spacing w:line="420" w:lineRule="exact"/>
              <w:jc w:val="center"/>
              <w:rPr>
                <w:rFonts w:ascii="宋体" w:hAnsi="宋体"/>
                <w:color w:val="auto"/>
                <w:sz w:val="24"/>
                <w:szCs w:val="24"/>
              </w:rPr>
            </w:pPr>
            <w:r>
              <w:rPr>
                <w:rFonts w:hint="eastAsia" w:ascii="宋体" w:hAnsi="宋体" w:cs="宋体"/>
                <w:color w:val="auto"/>
                <w:sz w:val="24"/>
              </w:rPr>
              <w:t>400000</w:t>
            </w:r>
          </w:p>
        </w:tc>
      </w:tr>
    </w:tbl>
    <w:p w14:paraId="2F846AA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75A16DA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635B1B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2.落实政府采购政策需满足的资格要求：无。</w:t>
      </w:r>
    </w:p>
    <w:p w14:paraId="2C8FE24A">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33F7EE7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69FA6DA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9</w:t>
      </w:r>
      <w:r>
        <w:rPr>
          <w:rFonts w:hint="eastAsia" w:ascii="宋体" w:hAnsi="宋体"/>
          <w:color w:val="auto"/>
          <w:sz w:val="24"/>
          <w:szCs w:val="24"/>
        </w:rPr>
        <w:t>月</w:t>
      </w:r>
      <w:r>
        <w:rPr>
          <w:rFonts w:hint="eastAsia" w:ascii="宋体" w:hAnsi="宋体"/>
          <w:color w:val="auto"/>
          <w:sz w:val="24"/>
          <w:szCs w:val="24"/>
          <w:lang w:val="en-US" w:eastAsia="zh-CN"/>
        </w:rPr>
        <w:t>9</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9</w:t>
      </w:r>
      <w:r>
        <w:rPr>
          <w:rFonts w:hint="eastAsia" w:ascii="宋体" w:hAnsi="宋体"/>
          <w:color w:val="auto"/>
          <w:sz w:val="24"/>
          <w:szCs w:val="24"/>
        </w:rPr>
        <w:t>月</w:t>
      </w:r>
      <w:r>
        <w:rPr>
          <w:rFonts w:hint="eastAsia" w:ascii="宋体" w:hAnsi="宋体"/>
          <w:color w:val="auto"/>
          <w:sz w:val="24"/>
          <w:szCs w:val="24"/>
          <w:lang w:val="en-US" w:eastAsia="zh-CN"/>
        </w:rPr>
        <w:t>18</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7507F024">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3ABD7F4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2D40BA77">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rPr>
        <w:t>杜老师</w:t>
      </w:r>
      <w:r>
        <w:rPr>
          <w:rFonts w:hint="eastAsia" w:ascii="宋体" w:hAnsi="宋体"/>
          <w:color w:val="auto"/>
          <w:sz w:val="24"/>
          <w:szCs w:val="24"/>
        </w:rPr>
        <w:t>；联系方式：</w:t>
      </w:r>
      <w:r>
        <w:rPr>
          <w:rFonts w:hint="eastAsia" w:ascii="宋体" w:hAnsi="宋体"/>
          <w:color w:val="auto"/>
          <w:sz w:val="24"/>
          <w:szCs w:val="24"/>
        </w:rPr>
        <w:t>0571-87713548；邮箱：20230069@hdu.edu.cn。</w:t>
      </w:r>
    </w:p>
    <w:p w14:paraId="116844B4">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3259E7CD">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9</w:t>
      </w:r>
      <w:r>
        <w:rPr>
          <w:rFonts w:hint="eastAsia" w:ascii="宋体" w:hAnsi="宋体"/>
          <w:b/>
          <w:bCs/>
          <w:color w:val="auto"/>
          <w:sz w:val="24"/>
          <w:szCs w:val="24"/>
        </w:rPr>
        <w:t>月</w:t>
      </w:r>
      <w:r>
        <w:rPr>
          <w:rFonts w:hint="eastAsia" w:ascii="宋体" w:hAnsi="宋体"/>
          <w:b/>
          <w:bCs/>
          <w:color w:val="auto"/>
          <w:sz w:val="24"/>
          <w:szCs w:val="24"/>
          <w:lang w:val="en-US" w:eastAsia="zh-CN"/>
        </w:rPr>
        <w:t>18</w:t>
      </w:r>
      <w:r>
        <w:rPr>
          <w:rFonts w:hint="eastAsia" w:ascii="宋体" w:hAnsi="宋体"/>
          <w:b/>
          <w:bCs/>
          <w:color w:val="auto"/>
          <w:sz w:val="24"/>
          <w:szCs w:val="24"/>
        </w:rPr>
        <w:t>日上午9点前</w:t>
      </w:r>
      <w:r>
        <w:rPr>
          <w:rFonts w:hint="eastAsia" w:ascii="宋体" w:hAnsi="宋体"/>
          <w:b/>
          <w:bCs/>
          <w:color w:val="auto"/>
          <w:sz w:val="24"/>
          <w:szCs w:val="24"/>
        </w:rPr>
        <w:t>将书面文件以邮件方式</w:t>
      </w:r>
      <w:bookmarkStart w:id="50" w:name="_Hlk180574599"/>
      <w:r>
        <w:rPr>
          <w:rFonts w:hint="eastAsia" w:ascii="宋体" w:hAnsi="宋体"/>
          <w:b/>
          <w:bCs/>
          <w:color w:val="auto"/>
          <w:sz w:val="24"/>
          <w:szCs w:val="24"/>
        </w:rPr>
        <w:t>告</w:t>
      </w:r>
      <w:bookmarkEnd w:id="50"/>
      <w:r>
        <w:rPr>
          <w:rFonts w:hint="eastAsia" w:ascii="宋体" w:hAnsi="宋体"/>
          <w:b/>
          <w:bCs/>
          <w:color w:val="auto"/>
          <w:sz w:val="24"/>
          <w:szCs w:val="24"/>
        </w:rPr>
        <w:t>知采购方（邮箱：</w:t>
      </w:r>
      <w:r>
        <w:rPr>
          <w:rFonts w:hint="eastAsia" w:ascii="宋体" w:hAnsi="宋体"/>
          <w:b/>
          <w:bCs/>
          <w:color w:val="auto"/>
          <w:sz w:val="24"/>
          <w:szCs w:val="24"/>
        </w:rPr>
        <w:t>20230069@hdu.edu.cn</w:t>
      </w:r>
      <w:r>
        <w:rPr>
          <w:rFonts w:hint="eastAsia" w:ascii="宋体" w:hAnsi="宋体"/>
          <w:b/>
          <w:bCs/>
          <w:color w:val="auto"/>
          <w:sz w:val="24"/>
          <w:szCs w:val="24"/>
        </w:rPr>
        <w:t>）是否参加本次响应。</w:t>
      </w:r>
    </w:p>
    <w:p w14:paraId="4D69B29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000CB80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28E6F91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9</w:t>
      </w:r>
      <w:r>
        <w:rPr>
          <w:rFonts w:hint="eastAsia" w:ascii="宋体" w:hAnsi="宋体"/>
          <w:b/>
          <w:bCs/>
          <w:color w:val="auto"/>
          <w:sz w:val="24"/>
          <w:szCs w:val="24"/>
        </w:rPr>
        <w:t>月</w:t>
      </w:r>
      <w:r>
        <w:rPr>
          <w:rFonts w:hint="eastAsia" w:ascii="宋体" w:hAnsi="宋体"/>
          <w:b/>
          <w:bCs/>
          <w:color w:val="auto"/>
          <w:sz w:val="24"/>
          <w:szCs w:val="24"/>
          <w:lang w:val="en-US" w:eastAsia="zh-CN"/>
        </w:rPr>
        <w:t>19</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09568D2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7E8E68C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405776A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2025年9月19日</w:t>
      </w:r>
      <w:r>
        <w:rPr>
          <w:rFonts w:hint="eastAsia" w:ascii="宋体" w:hAnsi="宋体"/>
          <w:b/>
          <w:bCs/>
          <w:color w:val="auto"/>
          <w:sz w:val="24"/>
          <w:szCs w:val="24"/>
          <w:lang w:val="en-US" w:eastAsia="zh-CN"/>
        </w:rPr>
        <w:t xml:space="preserve">上午9时整 </w:t>
      </w:r>
    </w:p>
    <w:p w14:paraId="4B790A1F">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2CCE2A9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7095EEF4">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426E553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6414E268">
      <w:pPr>
        <w:widowControl/>
        <w:spacing w:line="288" w:lineRule="auto"/>
        <w:ind w:firstLine="480" w:firstLineChars="200"/>
        <w:jc w:val="left"/>
        <w:rPr>
          <w:rFonts w:hint="default" w:ascii="宋体" w:eastAsia="宋体"/>
          <w:color w:val="auto"/>
          <w:sz w:val="24"/>
          <w:szCs w:val="24"/>
          <w:lang w:val="en-US" w:eastAsia="zh-CN"/>
        </w:rPr>
      </w:pPr>
      <w:r>
        <w:rPr>
          <w:rFonts w:hint="eastAsia" w:ascii="宋体" w:hAnsi="宋体"/>
          <w:color w:val="auto"/>
          <w:sz w:val="24"/>
          <w:szCs w:val="24"/>
        </w:rPr>
        <w:t>采购人用户</w:t>
      </w:r>
      <w:r>
        <w:rPr>
          <w:rFonts w:hint="eastAsia" w:ascii="宋体" w:hAnsi="宋体"/>
          <w:color w:val="auto"/>
          <w:sz w:val="24"/>
          <w:szCs w:val="24"/>
        </w:rPr>
        <w:t>部门：杭州电子科技大学</w:t>
      </w:r>
      <w:r>
        <w:rPr>
          <w:rFonts w:hint="eastAsia" w:ascii="宋体" w:hAnsi="宋体"/>
          <w:color w:val="auto"/>
          <w:sz w:val="24"/>
          <w:szCs w:val="24"/>
          <w:lang w:val="en-US" w:eastAsia="zh-CN"/>
        </w:rPr>
        <w:t>信息技术中心</w:t>
      </w:r>
    </w:p>
    <w:p w14:paraId="42A91389">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刘</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15957198415</w:t>
      </w:r>
    </w:p>
    <w:p w14:paraId="16204D98">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2A44A9A3">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4BCC8D90">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杜</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3B9473EC">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21B9493D">
      <w:pPr>
        <w:pStyle w:val="54"/>
        <w:rPr>
          <w:color w:val="auto"/>
        </w:rPr>
      </w:pPr>
    </w:p>
    <w:p w14:paraId="3B7F73C4">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213BDD68">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136CAB5F">
      <w:pPr>
        <w:pStyle w:val="2"/>
        <w:rPr>
          <w:color w:val="auto"/>
        </w:rPr>
      </w:pPr>
    </w:p>
    <w:p w14:paraId="5319AF4F">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7A4497FD">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9</w:t>
      </w:r>
      <w:r>
        <w:rPr>
          <w:rFonts w:hint="eastAsia" w:ascii="宋体" w:hAnsi="宋体"/>
          <w:color w:val="auto"/>
          <w:sz w:val="24"/>
          <w:szCs w:val="24"/>
        </w:rPr>
        <w:t>月</w:t>
      </w:r>
      <w:r>
        <w:rPr>
          <w:rFonts w:hint="eastAsia" w:ascii="宋体" w:hAnsi="宋体"/>
          <w:color w:val="auto"/>
          <w:sz w:val="24"/>
          <w:szCs w:val="24"/>
          <w:lang w:val="en-US" w:eastAsia="zh-CN"/>
        </w:rPr>
        <w:t>9</w:t>
      </w:r>
      <w:r>
        <w:rPr>
          <w:rFonts w:hint="eastAsia" w:ascii="宋体" w:hAnsi="宋体"/>
          <w:color w:val="auto"/>
          <w:sz w:val="24"/>
          <w:szCs w:val="24"/>
        </w:rPr>
        <w:t>日</w:t>
      </w:r>
    </w:p>
    <w:p w14:paraId="24B5CF0E">
      <w:pPr>
        <w:wordWrap w:val="0"/>
        <w:adjustRightInd w:val="0"/>
        <w:snapToGrid w:val="0"/>
        <w:spacing w:line="420" w:lineRule="exact"/>
        <w:ind w:left="31" w:right="480" w:hanging="31" w:hangingChars="13"/>
        <w:jc w:val="right"/>
        <w:rPr>
          <w:rFonts w:ascii="宋体"/>
          <w:color w:val="auto"/>
          <w:sz w:val="24"/>
          <w:szCs w:val="24"/>
        </w:rPr>
      </w:pPr>
    </w:p>
    <w:p w14:paraId="392A93A5">
      <w:pPr>
        <w:adjustRightInd w:val="0"/>
        <w:snapToGrid w:val="0"/>
        <w:spacing w:before="120" w:beforeLines="50" w:after="120" w:afterLines="50" w:line="420" w:lineRule="exact"/>
        <w:ind w:right="480"/>
        <w:jc w:val="center"/>
        <w:rPr>
          <w:rStyle w:val="56"/>
          <w:color w:val="auto"/>
        </w:rPr>
      </w:pPr>
      <w:r>
        <w:rPr>
          <w:rStyle w:val="111"/>
          <w:b w:val="0"/>
          <w:snapToGrid/>
          <w:color w:val="auto"/>
          <w:sz w:val="24"/>
          <w:szCs w:val="24"/>
        </w:rPr>
        <w:br w:type="page"/>
      </w:r>
      <w:bookmarkStart w:id="51" w:name="_Toc28369"/>
      <w:bookmarkStart w:id="52" w:name="_Toc14371"/>
      <w:bookmarkStart w:id="53" w:name="_Toc30939"/>
      <w:bookmarkStart w:id="54" w:name="_Toc27007"/>
      <w:bookmarkStart w:id="55" w:name="_Toc21096"/>
      <w:bookmarkStart w:id="56" w:name="_Toc8774"/>
      <w:bookmarkStart w:id="57" w:name="_Toc5412"/>
      <w:bookmarkStart w:id="58" w:name="_Toc9474"/>
      <w:bookmarkStart w:id="59" w:name="_Toc27564"/>
      <w:bookmarkStart w:id="60" w:name="_Toc6139"/>
      <w:bookmarkStart w:id="61" w:name="_Toc11189"/>
      <w:bookmarkStart w:id="62" w:name="_Toc16190"/>
      <w:bookmarkStart w:id="63" w:name="_Toc31424"/>
      <w:bookmarkStart w:id="64" w:name="_Toc25903"/>
      <w:bookmarkStart w:id="65" w:name="_Toc14615"/>
      <w:bookmarkStart w:id="66" w:name="_Toc30984"/>
      <w:bookmarkStart w:id="67" w:name="_Toc19935"/>
      <w:bookmarkStart w:id="68" w:name="_Toc30727"/>
      <w:bookmarkStart w:id="69" w:name="_Toc20151"/>
      <w:bookmarkStart w:id="70" w:name="_Toc13468"/>
      <w:bookmarkStart w:id="71" w:name="_Toc20175"/>
      <w:bookmarkStart w:id="72" w:name="_Toc8413"/>
      <w:bookmarkStart w:id="73" w:name="_Toc7205"/>
      <w:bookmarkStart w:id="74" w:name="_Toc31607"/>
      <w:bookmarkStart w:id="75" w:name="_Toc8923"/>
      <w:bookmarkStart w:id="76" w:name="_Toc13359"/>
      <w:bookmarkStart w:id="77" w:name="_Toc10682"/>
      <w:bookmarkStart w:id="78" w:name="_Toc18447"/>
      <w:bookmarkStart w:id="79" w:name="_Toc30864"/>
      <w:bookmarkStart w:id="80" w:name="_Toc31392"/>
      <w:bookmarkStart w:id="81" w:name="_Toc14015"/>
      <w:bookmarkStart w:id="82" w:name="_Toc25493"/>
      <w:bookmarkStart w:id="83" w:name="_Toc15380"/>
      <w:r>
        <w:rPr>
          <w:rStyle w:val="56"/>
          <w:rFonts w:hint="eastAsia"/>
          <w:color w:val="auto"/>
        </w:rPr>
        <w:t>第二部分</w:t>
      </w:r>
      <w:r>
        <w:rPr>
          <w:rStyle w:val="56"/>
          <w:color w:val="auto"/>
        </w:rPr>
        <w:t xml:space="preserve">  </w:t>
      </w:r>
      <w:r>
        <w:rPr>
          <w:rStyle w:val="56"/>
          <w:rFonts w:hint="eastAsia"/>
          <w:color w:val="auto"/>
        </w:rPr>
        <w:t>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51F9559D">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4" w:name="_Toc1743"/>
      <w:bookmarkStart w:id="85" w:name="_Toc9123"/>
      <w:bookmarkStart w:id="86" w:name="_Toc29458"/>
      <w:bookmarkStart w:id="87" w:name="_Toc29793"/>
      <w:bookmarkStart w:id="88" w:name="_Toc20573"/>
      <w:bookmarkStart w:id="89" w:name="_Toc3269"/>
      <w:bookmarkStart w:id="90" w:name="_Toc4505"/>
      <w:bookmarkStart w:id="91" w:name="_Toc6421"/>
      <w:bookmarkStart w:id="92" w:name="_Toc30159"/>
      <w:bookmarkStart w:id="93" w:name="_Toc16998"/>
      <w:bookmarkStart w:id="94" w:name="_Toc26073"/>
      <w:bookmarkStart w:id="95" w:name="_Toc26853"/>
      <w:bookmarkStart w:id="96" w:name="_Toc9778"/>
      <w:bookmarkStart w:id="97" w:name="_Toc17697"/>
      <w:bookmarkStart w:id="98" w:name="_Toc10414"/>
      <w:bookmarkStart w:id="99" w:name="_Toc10657"/>
      <w:bookmarkStart w:id="100" w:name="_Toc23359"/>
      <w:bookmarkStart w:id="101" w:name="_Toc26025"/>
      <w:bookmarkStart w:id="102" w:name="_Toc31880"/>
      <w:bookmarkStart w:id="103" w:name="_Toc1714"/>
      <w:bookmarkStart w:id="104" w:name="_Toc22339"/>
      <w:bookmarkStart w:id="105" w:name="_Toc12644"/>
      <w:bookmarkStart w:id="106" w:name="_Toc10518"/>
      <w:bookmarkStart w:id="107" w:name="_Toc21980"/>
      <w:bookmarkStart w:id="108" w:name="_Toc20565"/>
      <w:bookmarkStart w:id="109" w:name="_Toc23420"/>
      <w:bookmarkStart w:id="110" w:name="_Toc6715"/>
      <w:bookmarkStart w:id="111" w:name="_Toc28079"/>
      <w:bookmarkStart w:id="112" w:name="_Toc27500"/>
      <w:bookmarkStart w:id="113" w:name="_Toc23155"/>
      <w:bookmarkStart w:id="114" w:name="_Toc28026"/>
      <w:bookmarkStart w:id="115" w:name="_Toc483"/>
      <w:bookmarkStart w:id="116" w:name="_Toc32596"/>
      <w:r>
        <w:rPr>
          <w:rFonts w:hint="eastAsia" w:ascii="楷体" w:hAnsi="楷体" w:eastAsia="楷体" w:cs="楷体"/>
          <w:snapToGrid w:val="0"/>
          <w:color w:val="auto"/>
          <w:kern w:val="44"/>
          <w:sz w:val="32"/>
          <w:szCs w:val="32"/>
        </w:rPr>
        <w:t>前附表</w:t>
      </w:r>
      <w:bookmarkEnd w:id="4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5887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7DF101D0">
            <w:pPr>
              <w:rPr>
                <w:rFonts w:ascii="宋体"/>
                <w:b/>
                <w:color w:val="auto"/>
                <w:sz w:val="24"/>
                <w:szCs w:val="24"/>
              </w:rPr>
            </w:pPr>
            <w:r>
              <w:rPr>
                <w:rFonts w:hint="eastAsia" w:ascii="宋体" w:hAnsi="宋体"/>
                <w:b/>
                <w:color w:val="auto"/>
                <w:sz w:val="24"/>
                <w:szCs w:val="24"/>
              </w:rPr>
              <w:t>序号</w:t>
            </w:r>
          </w:p>
        </w:tc>
        <w:tc>
          <w:tcPr>
            <w:tcW w:w="2043" w:type="dxa"/>
            <w:vAlign w:val="center"/>
          </w:tcPr>
          <w:p w14:paraId="1E7937C9">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757477F6">
            <w:pPr>
              <w:jc w:val="center"/>
              <w:rPr>
                <w:rFonts w:ascii="宋体"/>
                <w:b/>
                <w:color w:val="auto"/>
                <w:sz w:val="24"/>
                <w:szCs w:val="24"/>
              </w:rPr>
            </w:pPr>
            <w:r>
              <w:rPr>
                <w:rFonts w:hint="eastAsia" w:ascii="宋体" w:hAnsi="宋体"/>
                <w:b/>
                <w:color w:val="auto"/>
                <w:sz w:val="24"/>
                <w:szCs w:val="24"/>
              </w:rPr>
              <w:t>内容</w:t>
            </w:r>
          </w:p>
        </w:tc>
      </w:tr>
      <w:tr w14:paraId="1A3C8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D5F9EB5">
            <w:pPr>
              <w:pStyle w:val="181"/>
              <w:adjustRightInd/>
              <w:spacing w:line="240" w:lineRule="auto"/>
              <w:rPr>
                <w:color w:val="auto"/>
                <w:szCs w:val="24"/>
              </w:rPr>
            </w:pPr>
            <w:r>
              <w:rPr>
                <w:rFonts w:hint="eastAsia"/>
                <w:color w:val="auto"/>
                <w:szCs w:val="24"/>
              </w:rPr>
              <w:t>1</w:t>
            </w:r>
          </w:p>
        </w:tc>
        <w:tc>
          <w:tcPr>
            <w:tcW w:w="2043" w:type="dxa"/>
            <w:vAlign w:val="center"/>
          </w:tcPr>
          <w:p w14:paraId="373FC3DF">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0D8DDDC3">
            <w:pPr>
              <w:rPr>
                <w:rFonts w:ascii="宋体"/>
                <w:color w:val="auto"/>
                <w:sz w:val="24"/>
                <w:szCs w:val="24"/>
              </w:rPr>
            </w:pPr>
            <w:r>
              <w:rPr>
                <w:rFonts w:hint="eastAsia" w:ascii="宋体" w:hAnsi="宋体"/>
                <w:color w:val="auto"/>
                <w:sz w:val="24"/>
                <w:szCs w:val="24"/>
              </w:rPr>
              <w:t>面向算网融合的跨域算力动态迁移机制研究服务</w:t>
            </w:r>
          </w:p>
        </w:tc>
      </w:tr>
      <w:tr w14:paraId="124D8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031B0AC">
            <w:pPr>
              <w:jc w:val="center"/>
              <w:rPr>
                <w:rFonts w:ascii="宋体" w:hAnsi="宋体"/>
                <w:color w:val="auto"/>
                <w:sz w:val="24"/>
                <w:szCs w:val="24"/>
              </w:rPr>
            </w:pPr>
          </w:p>
        </w:tc>
        <w:tc>
          <w:tcPr>
            <w:tcW w:w="2043" w:type="dxa"/>
            <w:vAlign w:val="center"/>
          </w:tcPr>
          <w:p w14:paraId="19ABB655">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6DB8B8C3">
            <w:pPr>
              <w:rPr>
                <w:rFonts w:ascii="宋体" w:hAnsi="宋体"/>
                <w:color w:val="auto"/>
                <w:sz w:val="24"/>
                <w:szCs w:val="24"/>
              </w:rPr>
            </w:pPr>
            <w:r>
              <w:rPr>
                <w:rFonts w:hint="eastAsia" w:ascii="宋体" w:hAnsi="宋体" w:cs="宋体"/>
                <w:color w:val="auto"/>
                <w:szCs w:val="21"/>
              </w:rPr>
              <w:t>本项目对应的中小企业划分标准所属行业为：</w:t>
            </w:r>
            <w:bookmarkStart w:id="118" w:name="OLE_LINK8"/>
            <w:r>
              <w:rPr>
                <w:rFonts w:hint="eastAsia" w:ascii="宋体" w:hAnsi="宋体" w:cs="宋体"/>
                <w:b/>
                <w:bCs/>
                <w:color w:val="auto"/>
                <w:szCs w:val="21"/>
                <w:u w:val="single"/>
              </w:rPr>
              <w:t>软件和信息技术服务业。</w:t>
            </w:r>
            <w:bookmarkEnd w:id="118"/>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5146B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2E401F7">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7FAD9A4E">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02650422">
            <w:pPr>
              <w:rPr>
                <w:rFonts w:ascii="宋体"/>
                <w:color w:val="auto"/>
                <w:sz w:val="24"/>
                <w:szCs w:val="24"/>
              </w:rPr>
            </w:pPr>
            <w:r>
              <w:rPr>
                <w:rFonts w:hint="eastAsia" w:ascii="宋体" w:hAnsi="宋体"/>
                <w:color w:val="auto"/>
                <w:sz w:val="24"/>
                <w:szCs w:val="24"/>
              </w:rPr>
              <w:t>2025-JH-CS08</w:t>
            </w:r>
          </w:p>
        </w:tc>
      </w:tr>
      <w:tr w14:paraId="2238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691D48A">
            <w:pPr>
              <w:jc w:val="center"/>
              <w:rPr>
                <w:rFonts w:ascii="宋体"/>
                <w:color w:val="auto"/>
                <w:sz w:val="24"/>
                <w:szCs w:val="24"/>
              </w:rPr>
            </w:pPr>
          </w:p>
        </w:tc>
        <w:tc>
          <w:tcPr>
            <w:tcW w:w="2043" w:type="dxa"/>
            <w:vAlign w:val="center"/>
          </w:tcPr>
          <w:p w14:paraId="3D5C8874">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587EEF20">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5E3D6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1B0B983">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10469D53">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1F767BF6">
            <w:pPr>
              <w:pStyle w:val="28"/>
              <w:ind w:left="0" w:leftChars="0"/>
              <w:rPr>
                <w:color w:val="auto"/>
                <w:szCs w:val="24"/>
              </w:rPr>
            </w:pPr>
            <w:r>
              <w:rPr>
                <w:rFonts w:hint="eastAsia"/>
                <w:color w:val="auto"/>
                <w:szCs w:val="24"/>
              </w:rPr>
              <w:t>杭州电子科技大学</w:t>
            </w:r>
            <w:r>
              <w:rPr>
                <w:rFonts w:hint="eastAsia"/>
                <w:color w:val="auto"/>
                <w:kern w:val="0"/>
                <w:szCs w:val="24"/>
              </w:rPr>
              <w:t>信息技术中心</w:t>
            </w:r>
          </w:p>
        </w:tc>
      </w:tr>
      <w:tr w14:paraId="52B7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50DFD19">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5002F5A8">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092A2B76">
            <w:pPr>
              <w:rPr>
                <w:rFonts w:ascii="宋体"/>
                <w:color w:val="auto"/>
                <w:sz w:val="24"/>
                <w:szCs w:val="24"/>
              </w:rPr>
            </w:pPr>
            <w:r>
              <w:rPr>
                <w:rFonts w:hint="eastAsia" w:ascii="宋体" w:hAnsi="宋体"/>
                <w:color w:val="auto"/>
                <w:sz w:val="24"/>
                <w:szCs w:val="24"/>
              </w:rPr>
              <w:t>详见第三部分采购需求</w:t>
            </w:r>
          </w:p>
        </w:tc>
      </w:tr>
      <w:tr w14:paraId="104B6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89C2925">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6DA46AF4">
            <w:pPr>
              <w:jc w:val="center"/>
              <w:rPr>
                <w:color w:val="auto"/>
                <w:sz w:val="24"/>
              </w:rPr>
            </w:pPr>
            <w:r>
              <w:rPr>
                <w:rFonts w:hint="eastAsia"/>
                <w:color w:val="auto"/>
                <w:sz w:val="24"/>
              </w:rPr>
              <w:t>磋商报价及费用</w:t>
            </w:r>
          </w:p>
        </w:tc>
        <w:tc>
          <w:tcPr>
            <w:tcW w:w="6348" w:type="dxa"/>
            <w:vAlign w:val="center"/>
          </w:tcPr>
          <w:p w14:paraId="1F627FAA">
            <w:pPr>
              <w:rPr>
                <w:color w:val="auto"/>
                <w:sz w:val="24"/>
              </w:rPr>
            </w:pPr>
            <w:r>
              <w:rPr>
                <w:rFonts w:hint="eastAsia"/>
                <w:color w:val="auto"/>
                <w:sz w:val="24"/>
              </w:rPr>
              <w:t>详见采购文件第二部分第三节第（三）点报价内容。</w:t>
            </w:r>
          </w:p>
        </w:tc>
      </w:tr>
      <w:tr w14:paraId="2A87D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A3837B0">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42E68BA9">
            <w:pPr>
              <w:jc w:val="center"/>
              <w:rPr>
                <w:rFonts w:ascii="宋体"/>
                <w:color w:val="auto"/>
                <w:sz w:val="24"/>
                <w:szCs w:val="24"/>
              </w:rPr>
            </w:pPr>
            <w:r>
              <w:rPr>
                <w:rFonts w:hint="eastAsia"/>
                <w:color w:val="auto"/>
                <w:sz w:val="24"/>
              </w:rPr>
              <w:t>磋商响应有效期</w:t>
            </w:r>
          </w:p>
        </w:tc>
        <w:tc>
          <w:tcPr>
            <w:tcW w:w="6348" w:type="dxa"/>
            <w:vAlign w:val="center"/>
          </w:tcPr>
          <w:p w14:paraId="3D78A4C3">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09CC0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E0A0F5E">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071EE9C5">
            <w:pPr>
              <w:jc w:val="center"/>
              <w:rPr>
                <w:rFonts w:ascii="宋体"/>
                <w:color w:val="auto"/>
                <w:sz w:val="24"/>
                <w:szCs w:val="24"/>
              </w:rPr>
            </w:pPr>
            <w:r>
              <w:rPr>
                <w:rFonts w:hint="eastAsia"/>
                <w:color w:val="auto"/>
                <w:sz w:val="24"/>
              </w:rPr>
              <w:t>磋商文件答疑</w:t>
            </w:r>
          </w:p>
        </w:tc>
        <w:tc>
          <w:tcPr>
            <w:tcW w:w="6348" w:type="dxa"/>
            <w:vAlign w:val="center"/>
          </w:tcPr>
          <w:p w14:paraId="167444A9">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9</w:t>
            </w:r>
            <w:r>
              <w:rPr>
                <w:rFonts w:hint="eastAsia"/>
                <w:color w:val="auto"/>
                <w:sz w:val="24"/>
                <w:u w:val="single"/>
              </w:rPr>
              <w:t>月</w:t>
            </w:r>
            <w:r>
              <w:rPr>
                <w:rFonts w:hint="eastAsia"/>
                <w:color w:val="auto"/>
                <w:sz w:val="24"/>
                <w:u w:val="single"/>
                <w:lang w:val="en-US" w:eastAsia="zh-CN"/>
              </w:rPr>
              <w:t>18</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9</w:t>
            </w:r>
            <w:r>
              <w:rPr>
                <w:rFonts w:hint="eastAsia"/>
                <w:color w:val="auto"/>
                <w:sz w:val="24"/>
                <w:u w:val="single"/>
              </w:rPr>
              <w:t>月</w:t>
            </w:r>
            <w:r>
              <w:rPr>
                <w:rFonts w:hint="eastAsia"/>
                <w:color w:val="auto"/>
                <w:sz w:val="24"/>
                <w:u w:val="single"/>
                <w:lang w:val="en-US" w:eastAsia="zh-CN"/>
              </w:rPr>
              <w:t>18</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6FA6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F00AC34">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5E919C1B">
            <w:pPr>
              <w:jc w:val="center"/>
              <w:rPr>
                <w:rFonts w:hint="default" w:ascii="宋体" w:eastAsia="宋体"/>
                <w:color w:val="auto"/>
                <w:sz w:val="24"/>
                <w:szCs w:val="24"/>
                <w:lang w:val="en-US" w:eastAsia="zh-CN"/>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5525FC70">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w:t>
            </w:r>
            <w:r>
              <w:rPr>
                <w:rFonts w:hint="eastAsia"/>
                <w:b/>
                <w:bCs/>
                <w:color w:val="auto"/>
                <w:sz w:val="24"/>
                <w:lang w:eastAsia="zh-CN"/>
              </w:rPr>
              <w:t>、</w:t>
            </w:r>
            <w:r>
              <w:rPr>
                <w:rFonts w:hint="eastAsia"/>
                <w:b/>
                <w:bCs/>
                <w:color w:val="auto"/>
                <w:sz w:val="24"/>
                <w:lang w:val="en-US" w:eastAsia="zh-CN"/>
              </w:rPr>
              <w:t>演示视频</w:t>
            </w:r>
            <w:r>
              <w:rPr>
                <w:rFonts w:hint="eastAsia"/>
                <w:b/>
                <w:bCs/>
                <w:color w:val="auto"/>
                <w:sz w:val="24"/>
              </w:rPr>
              <w:t>：密封包装后EMS或顺丰邮寄形式递交一份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43B251DC">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76CBC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2E3E360">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1B35B580">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5F5463FA">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28C73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81D2E6B">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7843BD8F">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47F805EA">
            <w:pPr>
              <w:jc w:val="left"/>
              <w:rPr>
                <w:rFonts w:ascii="宋体"/>
                <w:color w:val="auto"/>
                <w:sz w:val="24"/>
                <w:szCs w:val="24"/>
              </w:rPr>
            </w:pPr>
            <w:r>
              <w:rPr>
                <w:rFonts w:hint="eastAsia"/>
                <w:color w:val="auto"/>
                <w:sz w:val="24"/>
              </w:rPr>
              <w:t>综合评分法</w:t>
            </w:r>
          </w:p>
        </w:tc>
      </w:tr>
      <w:tr w14:paraId="0A6D0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6C0B662">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2F57B4D3">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644A9C63">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46018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AFB3B21">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616D86D4">
            <w:pPr>
              <w:jc w:val="center"/>
              <w:rPr>
                <w:rFonts w:ascii="宋体"/>
                <w:color w:val="auto"/>
                <w:sz w:val="24"/>
                <w:szCs w:val="24"/>
              </w:rPr>
            </w:pPr>
            <w:r>
              <w:rPr>
                <w:rFonts w:hint="eastAsia"/>
                <w:color w:val="auto"/>
                <w:sz w:val="24"/>
              </w:rPr>
              <w:t>解释</w:t>
            </w:r>
          </w:p>
        </w:tc>
        <w:tc>
          <w:tcPr>
            <w:tcW w:w="6348" w:type="dxa"/>
            <w:vAlign w:val="center"/>
          </w:tcPr>
          <w:p w14:paraId="2AB89C1A">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6775B7F3">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17"/>
      <w:bookmarkStart w:id="119" w:name="_Toc15369"/>
      <w:bookmarkStart w:id="120" w:name="_Toc30371"/>
      <w:bookmarkStart w:id="121" w:name="_Toc24333"/>
      <w:bookmarkStart w:id="122" w:name="_Toc20897"/>
      <w:bookmarkStart w:id="123" w:name="_Toc67"/>
      <w:bookmarkStart w:id="124" w:name="_Toc1492"/>
      <w:bookmarkStart w:id="125" w:name="_Toc3922"/>
      <w:bookmarkStart w:id="126" w:name="_Toc3209"/>
      <w:bookmarkStart w:id="127" w:name="_Toc23407"/>
      <w:bookmarkStart w:id="128" w:name="_Toc19879"/>
      <w:bookmarkStart w:id="129" w:name="_Toc26898"/>
      <w:bookmarkStart w:id="130" w:name="_Toc6501"/>
      <w:bookmarkStart w:id="131" w:name="_Toc24686"/>
      <w:bookmarkStart w:id="132" w:name="_Toc7947"/>
      <w:bookmarkStart w:id="133" w:name="_Toc6991"/>
      <w:bookmarkStart w:id="134" w:name="_Toc1408"/>
      <w:bookmarkStart w:id="135" w:name="_Toc22060"/>
      <w:bookmarkStart w:id="136" w:name="_Toc6802"/>
      <w:bookmarkStart w:id="137" w:name="_Toc11494"/>
      <w:bookmarkStart w:id="138" w:name="_Toc19375"/>
      <w:bookmarkStart w:id="139" w:name="_Toc14022"/>
      <w:bookmarkStart w:id="140" w:name="_Toc12127"/>
      <w:bookmarkStart w:id="141" w:name="_Toc689"/>
      <w:bookmarkStart w:id="142" w:name="_Toc6841"/>
      <w:bookmarkStart w:id="143" w:name="_Toc18182"/>
      <w:bookmarkStart w:id="144" w:name="_Toc27769"/>
      <w:bookmarkStart w:id="145" w:name="_Toc9017"/>
      <w:bookmarkStart w:id="146" w:name="_Toc6934"/>
      <w:bookmarkStart w:id="147" w:name="_Toc20458"/>
      <w:bookmarkStart w:id="148" w:name="_Toc15936"/>
      <w:bookmarkStart w:id="149" w:name="_Toc2257"/>
      <w:bookmarkStart w:id="150" w:name="_Toc15091"/>
      <w:bookmarkStart w:id="151" w:name="_Toc7875"/>
      <w:bookmarkStart w:id="152" w:name="_Toc18556"/>
      <w:bookmarkStart w:id="153" w:name="_Toc11583"/>
      <w:bookmarkStart w:id="154" w:name="_Toc11749"/>
      <w:r>
        <w:rPr>
          <w:rFonts w:hint="eastAsia" w:ascii="楷体" w:hAnsi="楷体" w:eastAsia="楷体" w:cs="楷体"/>
          <w:snapToGrid w:val="0"/>
          <w:color w:val="auto"/>
          <w:kern w:val="44"/>
          <w:sz w:val="32"/>
          <w:szCs w:val="32"/>
        </w:rPr>
        <w:t>一、磋商说明</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41B8A075">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362048E4">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5ECC11D0">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28E7EDEC">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164ADE40">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233AFE1D">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75DA549A">
      <w:pPr>
        <w:spacing w:line="288" w:lineRule="auto"/>
        <w:ind w:firstLine="420" w:firstLineChars="175"/>
        <w:rPr>
          <w:color w:val="auto"/>
          <w:sz w:val="24"/>
        </w:rPr>
      </w:pPr>
      <w:r>
        <w:rPr>
          <w:rFonts w:hint="eastAsia"/>
          <w:color w:val="auto"/>
          <w:sz w:val="24"/>
        </w:rPr>
        <w:t>（2）被质疑投诉，经证实情况严重的；</w:t>
      </w:r>
    </w:p>
    <w:p w14:paraId="76A0DCC8">
      <w:pPr>
        <w:spacing w:line="288" w:lineRule="auto"/>
        <w:ind w:firstLine="420" w:firstLineChars="175"/>
        <w:rPr>
          <w:color w:val="auto"/>
          <w:sz w:val="24"/>
        </w:rPr>
      </w:pPr>
      <w:r>
        <w:rPr>
          <w:rFonts w:hint="eastAsia"/>
          <w:color w:val="auto"/>
          <w:sz w:val="24"/>
        </w:rPr>
        <w:t>（3）使用不正当竞争手段，影响采购人正常采购活动的；</w:t>
      </w:r>
    </w:p>
    <w:p w14:paraId="0F1A527A">
      <w:pPr>
        <w:spacing w:line="288" w:lineRule="auto"/>
        <w:ind w:firstLine="420" w:firstLineChars="175"/>
        <w:rPr>
          <w:color w:val="auto"/>
          <w:sz w:val="24"/>
        </w:rPr>
      </w:pPr>
      <w:r>
        <w:rPr>
          <w:rFonts w:hint="eastAsia"/>
          <w:color w:val="auto"/>
          <w:sz w:val="24"/>
        </w:rPr>
        <w:t>（4）响应方串通投标的；</w:t>
      </w:r>
    </w:p>
    <w:p w14:paraId="0FEE1726">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70140B04">
      <w:pPr>
        <w:spacing w:line="288" w:lineRule="auto"/>
        <w:ind w:firstLine="420" w:firstLineChars="175"/>
        <w:rPr>
          <w:color w:val="auto"/>
          <w:sz w:val="24"/>
        </w:rPr>
      </w:pPr>
      <w:r>
        <w:rPr>
          <w:rFonts w:hint="eastAsia"/>
          <w:color w:val="auto"/>
          <w:sz w:val="24"/>
        </w:rPr>
        <w:t>（6）响应方在投标中弄虚作假，提供虚假材料的；</w:t>
      </w:r>
    </w:p>
    <w:p w14:paraId="66C1E9C6">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40E69BA0">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111BF2F3">
      <w:pPr>
        <w:spacing w:line="288" w:lineRule="auto"/>
        <w:ind w:firstLine="420" w:firstLineChars="175"/>
        <w:rPr>
          <w:color w:val="auto"/>
          <w:sz w:val="24"/>
        </w:rPr>
      </w:pPr>
      <w:r>
        <w:rPr>
          <w:rFonts w:hint="eastAsia"/>
          <w:color w:val="auto"/>
          <w:sz w:val="24"/>
        </w:rPr>
        <w:t>（9）其他严重扰乱磋商程序的；</w:t>
      </w:r>
    </w:p>
    <w:p w14:paraId="159F3F19">
      <w:pPr>
        <w:spacing w:line="288" w:lineRule="auto"/>
        <w:ind w:firstLine="420" w:firstLineChars="175"/>
        <w:rPr>
          <w:color w:val="auto"/>
          <w:sz w:val="24"/>
        </w:rPr>
      </w:pPr>
      <w:r>
        <w:rPr>
          <w:rFonts w:hint="eastAsia"/>
          <w:color w:val="auto"/>
          <w:sz w:val="24"/>
        </w:rPr>
        <w:t>（10）未成交供应商恶意质疑、投诉的。</w:t>
      </w:r>
    </w:p>
    <w:p w14:paraId="2D6F852D">
      <w:pPr>
        <w:spacing w:line="288" w:lineRule="auto"/>
        <w:ind w:firstLine="420" w:firstLineChars="175"/>
        <w:rPr>
          <w:color w:val="auto"/>
          <w:sz w:val="24"/>
        </w:rPr>
      </w:pPr>
      <w:r>
        <w:rPr>
          <w:rFonts w:hint="eastAsia"/>
          <w:color w:val="auto"/>
          <w:sz w:val="24"/>
        </w:rPr>
        <w:t>（11）违反法律法规和合同约定的其他情形的。</w:t>
      </w:r>
    </w:p>
    <w:p w14:paraId="571D51CA">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10255E7A">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09C94E59">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信息技术中心</w:t>
      </w:r>
      <w:r>
        <w:rPr>
          <w:rFonts w:hint="eastAsia"/>
          <w:color w:val="auto"/>
          <w:sz w:val="24"/>
        </w:rPr>
        <w:t>。</w:t>
      </w:r>
    </w:p>
    <w:p w14:paraId="2F210A49">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03F3D629">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3984BE52">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65714DDB">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3106FBE3">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7006684C">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4672CE2E">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45E90068">
      <w:pPr>
        <w:spacing w:line="288" w:lineRule="auto"/>
        <w:ind w:firstLine="477" w:firstLineChars="199"/>
        <w:rPr>
          <w:color w:val="auto"/>
          <w:sz w:val="24"/>
        </w:rPr>
      </w:pPr>
      <w:r>
        <w:rPr>
          <w:rFonts w:hint="eastAsia"/>
          <w:color w:val="auto"/>
          <w:sz w:val="24"/>
        </w:rPr>
        <w:t>磋商文件对响应文件签署、盖章的要求适用于电子签名。</w:t>
      </w:r>
    </w:p>
    <w:p w14:paraId="31351F5A">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542C08F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5" w:name="_Toc4587"/>
      <w:bookmarkStart w:id="156" w:name="_Toc10460"/>
      <w:bookmarkStart w:id="157" w:name="_Toc7225"/>
      <w:bookmarkStart w:id="158" w:name="_Toc13352"/>
      <w:bookmarkStart w:id="159" w:name="_Toc12934"/>
      <w:bookmarkStart w:id="160" w:name="_Toc16259"/>
      <w:bookmarkStart w:id="161" w:name="_Toc10503"/>
      <w:bookmarkStart w:id="162" w:name="_Toc4054"/>
      <w:bookmarkStart w:id="163" w:name="_Toc23441"/>
      <w:bookmarkStart w:id="164" w:name="_Toc25249"/>
      <w:bookmarkStart w:id="165" w:name="_Toc14905"/>
      <w:bookmarkStart w:id="166" w:name="_Toc12939"/>
      <w:bookmarkStart w:id="167" w:name="_Toc6681"/>
      <w:bookmarkStart w:id="168" w:name="_Toc15004"/>
      <w:bookmarkStart w:id="169" w:name="_Toc30356"/>
      <w:bookmarkStart w:id="170" w:name="_Toc31919"/>
      <w:bookmarkStart w:id="171" w:name="_Toc12746"/>
      <w:bookmarkStart w:id="172" w:name="_Toc29315"/>
      <w:bookmarkStart w:id="173" w:name="_Toc17024"/>
      <w:bookmarkStart w:id="174" w:name="_Toc23883"/>
      <w:bookmarkStart w:id="175" w:name="_Toc30651"/>
      <w:bookmarkStart w:id="176" w:name="_Toc32029"/>
      <w:bookmarkStart w:id="177" w:name="_Toc25478"/>
      <w:bookmarkStart w:id="178" w:name="_Toc14339"/>
      <w:bookmarkStart w:id="179" w:name="_Toc2692"/>
      <w:bookmarkStart w:id="180" w:name="_Toc16623"/>
      <w:bookmarkStart w:id="181" w:name="_Toc17921"/>
      <w:bookmarkStart w:id="182" w:name="_Toc11863"/>
      <w:r>
        <w:rPr>
          <w:rFonts w:hint="eastAsia" w:ascii="楷体" w:hAnsi="楷体" w:eastAsia="楷体" w:cs="楷体"/>
          <w:snapToGrid w:val="0"/>
          <w:color w:val="auto"/>
          <w:kern w:val="44"/>
          <w:sz w:val="32"/>
          <w:szCs w:val="32"/>
        </w:rPr>
        <w:t>二、磋商文件</w:t>
      </w:r>
      <w:bookmarkEnd w:id="40"/>
      <w:bookmarkEnd w:id="41"/>
      <w:bookmarkEnd w:id="42"/>
      <w:bookmarkEnd w:id="43"/>
      <w:bookmarkEnd w:id="44"/>
      <w:bookmarkEnd w:id="45"/>
      <w:bookmarkEnd w:id="46"/>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60D1E2F8">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23567D55">
      <w:pPr>
        <w:spacing w:line="288" w:lineRule="auto"/>
        <w:ind w:firstLine="360" w:firstLineChars="150"/>
        <w:rPr>
          <w:color w:val="auto"/>
          <w:sz w:val="24"/>
        </w:rPr>
      </w:pPr>
      <w:r>
        <w:rPr>
          <w:color w:val="auto"/>
          <w:sz w:val="24"/>
        </w:rPr>
        <w:t>1</w:t>
      </w:r>
      <w:r>
        <w:rPr>
          <w:rFonts w:hint="eastAsia"/>
          <w:color w:val="auto"/>
          <w:sz w:val="24"/>
        </w:rPr>
        <w:t>、磋商公告</w:t>
      </w:r>
    </w:p>
    <w:p w14:paraId="03A6D6B6">
      <w:pPr>
        <w:spacing w:line="288" w:lineRule="auto"/>
        <w:ind w:firstLine="360" w:firstLineChars="150"/>
        <w:rPr>
          <w:color w:val="auto"/>
          <w:sz w:val="24"/>
        </w:rPr>
      </w:pPr>
      <w:r>
        <w:rPr>
          <w:color w:val="auto"/>
          <w:sz w:val="24"/>
        </w:rPr>
        <w:t>2</w:t>
      </w:r>
      <w:r>
        <w:rPr>
          <w:rFonts w:hint="eastAsia"/>
          <w:color w:val="auto"/>
          <w:sz w:val="24"/>
        </w:rPr>
        <w:t>、响应方须知</w:t>
      </w:r>
    </w:p>
    <w:p w14:paraId="1A815A4E">
      <w:pPr>
        <w:spacing w:line="288" w:lineRule="auto"/>
        <w:ind w:firstLine="360" w:firstLineChars="150"/>
        <w:rPr>
          <w:color w:val="auto"/>
          <w:sz w:val="24"/>
        </w:rPr>
      </w:pPr>
      <w:r>
        <w:rPr>
          <w:color w:val="auto"/>
          <w:sz w:val="24"/>
        </w:rPr>
        <w:t>3</w:t>
      </w:r>
      <w:r>
        <w:rPr>
          <w:rFonts w:hint="eastAsia"/>
          <w:color w:val="auto"/>
          <w:sz w:val="24"/>
        </w:rPr>
        <w:t>、采购要求</w:t>
      </w:r>
    </w:p>
    <w:p w14:paraId="62C9863C">
      <w:pPr>
        <w:spacing w:line="288" w:lineRule="auto"/>
        <w:ind w:firstLine="360" w:firstLineChars="150"/>
        <w:rPr>
          <w:color w:val="auto"/>
          <w:sz w:val="24"/>
        </w:rPr>
      </w:pPr>
      <w:r>
        <w:rPr>
          <w:color w:val="auto"/>
          <w:sz w:val="24"/>
        </w:rPr>
        <w:t>4</w:t>
      </w:r>
      <w:r>
        <w:rPr>
          <w:rFonts w:hint="eastAsia"/>
          <w:color w:val="auto"/>
          <w:sz w:val="24"/>
        </w:rPr>
        <w:t>、评审办法及评分标准</w:t>
      </w:r>
    </w:p>
    <w:p w14:paraId="6C2277E1">
      <w:pPr>
        <w:spacing w:line="288" w:lineRule="auto"/>
        <w:ind w:firstLine="360" w:firstLineChars="150"/>
        <w:rPr>
          <w:color w:val="auto"/>
          <w:sz w:val="24"/>
        </w:rPr>
      </w:pPr>
      <w:r>
        <w:rPr>
          <w:color w:val="auto"/>
          <w:sz w:val="24"/>
        </w:rPr>
        <w:t>5</w:t>
      </w:r>
      <w:r>
        <w:rPr>
          <w:rFonts w:hint="eastAsia"/>
          <w:color w:val="auto"/>
          <w:sz w:val="24"/>
        </w:rPr>
        <w:t>、合同主要条款</w:t>
      </w:r>
    </w:p>
    <w:p w14:paraId="78B501CE">
      <w:pPr>
        <w:spacing w:line="288" w:lineRule="auto"/>
        <w:ind w:firstLine="360" w:firstLineChars="150"/>
        <w:rPr>
          <w:color w:val="auto"/>
          <w:sz w:val="24"/>
        </w:rPr>
      </w:pPr>
      <w:r>
        <w:rPr>
          <w:color w:val="auto"/>
          <w:sz w:val="24"/>
        </w:rPr>
        <w:t>6</w:t>
      </w:r>
      <w:r>
        <w:rPr>
          <w:rFonts w:hint="eastAsia"/>
          <w:color w:val="auto"/>
          <w:sz w:val="24"/>
        </w:rPr>
        <w:t>、响应文件格式</w:t>
      </w:r>
    </w:p>
    <w:p w14:paraId="6C23450F">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78BF5620">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2776EDEA">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088956B9">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3EF64012">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5957DC0E">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63F1AF1E">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3" w:name="_Toc32051"/>
      <w:bookmarkStart w:id="184" w:name="_Toc15772"/>
      <w:bookmarkStart w:id="185" w:name="_Toc32494"/>
      <w:bookmarkStart w:id="186" w:name="_Toc2334"/>
      <w:bookmarkStart w:id="187" w:name="_Toc28201"/>
      <w:bookmarkStart w:id="188" w:name="_Toc4055"/>
      <w:bookmarkStart w:id="189" w:name="_Toc28569"/>
      <w:bookmarkStart w:id="190" w:name="_Toc16752"/>
      <w:bookmarkStart w:id="191" w:name="_Toc6503"/>
      <w:bookmarkStart w:id="192" w:name="_Toc4837"/>
      <w:bookmarkStart w:id="193" w:name="_Toc6322"/>
      <w:bookmarkStart w:id="194" w:name="_Toc19339"/>
      <w:bookmarkStart w:id="195" w:name="_Toc3328"/>
      <w:bookmarkStart w:id="196" w:name="_Toc13358"/>
      <w:bookmarkStart w:id="197" w:name="_Toc14673"/>
      <w:bookmarkStart w:id="198" w:name="_Toc21890"/>
      <w:bookmarkStart w:id="199" w:name="_Toc25502"/>
      <w:bookmarkStart w:id="200" w:name="_Toc21501"/>
      <w:bookmarkStart w:id="201" w:name="_Toc15797"/>
      <w:bookmarkStart w:id="202" w:name="_Toc22140"/>
      <w:bookmarkStart w:id="203" w:name="_Toc7450"/>
      <w:bookmarkStart w:id="204" w:name="_Toc24465"/>
      <w:bookmarkStart w:id="205" w:name="_Toc805"/>
      <w:bookmarkStart w:id="206" w:name="_Toc17035"/>
      <w:bookmarkStart w:id="207" w:name="_Toc7515"/>
      <w:bookmarkStart w:id="208" w:name="_Toc25933"/>
      <w:bookmarkStart w:id="209" w:name="_Toc30772"/>
      <w:bookmarkStart w:id="210" w:name="_Toc9434"/>
      <w:bookmarkStart w:id="211" w:name="_Toc8035"/>
      <w:bookmarkStart w:id="212" w:name="_Toc26634"/>
      <w:bookmarkStart w:id="213" w:name="_Toc789"/>
      <w:bookmarkStart w:id="214" w:name="_Toc22572"/>
      <w:bookmarkStart w:id="215" w:name="_Toc11900"/>
      <w:bookmarkStart w:id="216" w:name="_Toc10605"/>
      <w:bookmarkStart w:id="217" w:name="_Toc16517"/>
      <w:r>
        <w:rPr>
          <w:rFonts w:hint="eastAsia" w:ascii="楷体" w:hAnsi="楷体" w:eastAsia="楷体" w:cs="楷体"/>
          <w:snapToGrid w:val="0"/>
          <w:color w:val="auto"/>
          <w:kern w:val="44"/>
          <w:sz w:val="32"/>
          <w:szCs w:val="32"/>
        </w:rPr>
        <w:t>三、响应文件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hint="eastAsia" w:ascii="楷体" w:hAnsi="楷体" w:eastAsia="楷体" w:cs="楷体"/>
          <w:snapToGrid w:val="0"/>
          <w:color w:val="auto"/>
          <w:kern w:val="44"/>
          <w:sz w:val="32"/>
          <w:szCs w:val="32"/>
        </w:rPr>
        <w:t>的编制</w:t>
      </w:r>
      <w:bookmarkEnd w:id="217"/>
    </w:p>
    <w:p w14:paraId="6EE5C4DE">
      <w:pPr>
        <w:spacing w:line="288" w:lineRule="auto"/>
        <w:rPr>
          <w:b/>
          <w:bCs/>
          <w:color w:val="auto"/>
          <w:sz w:val="24"/>
        </w:rPr>
      </w:pPr>
      <w:r>
        <w:rPr>
          <w:rFonts w:hint="eastAsia"/>
          <w:b/>
          <w:bCs/>
          <w:color w:val="auto"/>
          <w:sz w:val="24"/>
        </w:rPr>
        <w:t>（一）响应文件的组成</w:t>
      </w:r>
    </w:p>
    <w:p w14:paraId="154CA77B">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09DFAB40">
      <w:pPr>
        <w:spacing w:line="288" w:lineRule="auto"/>
        <w:ind w:firstLine="422" w:firstLineChars="175"/>
        <w:rPr>
          <w:color w:val="auto"/>
          <w:sz w:val="24"/>
        </w:rPr>
      </w:pPr>
      <w:r>
        <w:rPr>
          <w:rFonts w:hint="eastAsia"/>
          <w:b/>
          <w:bCs/>
          <w:color w:val="auto"/>
          <w:sz w:val="24"/>
        </w:rPr>
        <w:t>响应文件组成：详见“第六部分  响应文件格式”目录</w:t>
      </w:r>
    </w:p>
    <w:p w14:paraId="574712D6">
      <w:pPr>
        <w:spacing w:line="288" w:lineRule="auto"/>
        <w:rPr>
          <w:b/>
          <w:bCs/>
          <w:color w:val="auto"/>
          <w:sz w:val="24"/>
        </w:rPr>
      </w:pPr>
      <w:r>
        <w:rPr>
          <w:rFonts w:hint="eastAsia"/>
          <w:b/>
          <w:bCs/>
          <w:color w:val="auto"/>
          <w:sz w:val="24"/>
        </w:rPr>
        <w:t>（二）响应文件的签署和份数</w:t>
      </w:r>
    </w:p>
    <w:p w14:paraId="240AC45E">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50EFA0F9">
      <w:pPr>
        <w:spacing w:line="288" w:lineRule="auto"/>
        <w:ind w:firstLine="420" w:firstLineChars="175"/>
        <w:rPr>
          <w:color w:val="auto"/>
          <w:sz w:val="24"/>
        </w:rPr>
      </w:pPr>
      <w:r>
        <w:rPr>
          <w:rFonts w:hint="eastAsia"/>
          <w:color w:val="auto"/>
          <w:sz w:val="24"/>
        </w:rPr>
        <w:t>2.响应文件须由供应商在规定位置加盖公章</w:t>
      </w:r>
      <w:bookmarkStart w:id="218" w:name="_Hlk96329193"/>
      <w:r>
        <w:rPr>
          <w:rFonts w:hint="eastAsia"/>
          <w:color w:val="auto"/>
          <w:sz w:val="24"/>
        </w:rPr>
        <w:t>，供应商应写全称。</w:t>
      </w:r>
      <w:bookmarkEnd w:id="218"/>
    </w:p>
    <w:p w14:paraId="0A6D1414">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444B5D99">
      <w:pPr>
        <w:spacing w:line="288" w:lineRule="auto"/>
        <w:ind w:firstLine="420" w:firstLineChars="175"/>
        <w:rPr>
          <w:color w:val="auto"/>
          <w:sz w:val="24"/>
        </w:rPr>
      </w:pPr>
      <w:r>
        <w:rPr>
          <w:rFonts w:hint="eastAsia"/>
          <w:color w:val="auto"/>
          <w:sz w:val="24"/>
        </w:rPr>
        <w:t>4.响应文件份数：</w:t>
      </w:r>
    </w:p>
    <w:p w14:paraId="46E9ECF9">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64F7353F">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0825185D">
      <w:pPr>
        <w:spacing w:line="288" w:lineRule="auto"/>
        <w:rPr>
          <w:b/>
          <w:bCs/>
          <w:color w:val="auto"/>
          <w:sz w:val="24"/>
        </w:rPr>
      </w:pPr>
      <w:r>
        <w:rPr>
          <w:rFonts w:hint="eastAsia"/>
          <w:b/>
          <w:bCs/>
          <w:color w:val="auto"/>
          <w:sz w:val="24"/>
        </w:rPr>
        <w:t>（三）响应文件的上传、递交、修改和撤回</w:t>
      </w:r>
    </w:p>
    <w:p w14:paraId="45959AA3">
      <w:pPr>
        <w:spacing w:line="288" w:lineRule="auto"/>
        <w:ind w:firstLine="422" w:firstLineChars="175"/>
        <w:rPr>
          <w:b/>
          <w:bCs/>
          <w:color w:val="auto"/>
          <w:sz w:val="24"/>
        </w:rPr>
      </w:pPr>
      <w:r>
        <w:rPr>
          <w:rFonts w:hint="eastAsia"/>
          <w:b/>
          <w:bCs/>
          <w:color w:val="auto"/>
          <w:sz w:val="24"/>
        </w:rPr>
        <w:t>1.响应文件的上传、递交：</w:t>
      </w:r>
    </w:p>
    <w:p w14:paraId="1DA7913C">
      <w:pPr>
        <w:spacing w:line="288" w:lineRule="auto"/>
        <w:ind w:firstLine="420" w:firstLineChars="175"/>
        <w:rPr>
          <w:color w:val="auto"/>
          <w:sz w:val="24"/>
        </w:rPr>
      </w:pPr>
      <w:r>
        <w:rPr>
          <w:rFonts w:hint="eastAsia"/>
          <w:color w:val="auto"/>
          <w:sz w:val="24"/>
        </w:rPr>
        <w:t>（1）电子加密响应文件的上传：</w:t>
      </w:r>
    </w:p>
    <w:p w14:paraId="1AD22683">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1BF9FFFD">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04D7587B">
      <w:pPr>
        <w:spacing w:line="288" w:lineRule="auto"/>
        <w:ind w:firstLine="420" w:firstLineChars="175"/>
        <w:rPr>
          <w:color w:val="auto"/>
          <w:sz w:val="24"/>
        </w:rPr>
      </w:pPr>
      <w:r>
        <w:rPr>
          <w:rFonts w:hint="eastAsia"/>
          <w:color w:val="auto"/>
          <w:sz w:val="24"/>
        </w:rPr>
        <w:t>（2）备份响应文件的密封包装、递交：</w:t>
      </w:r>
    </w:p>
    <w:p w14:paraId="16BA4B0F">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01E4ED84">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3E539EBF">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30B0CF2D">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01C2983C">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7311C435">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370188E8">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47CA2AE9">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7B16CCCC">
      <w:pPr>
        <w:spacing w:line="288" w:lineRule="auto"/>
        <w:rPr>
          <w:b/>
          <w:bCs/>
          <w:color w:val="auto"/>
          <w:sz w:val="24"/>
        </w:rPr>
      </w:pPr>
      <w:r>
        <w:rPr>
          <w:rFonts w:hint="eastAsia"/>
          <w:b/>
          <w:bCs/>
          <w:color w:val="auto"/>
          <w:sz w:val="24"/>
        </w:rPr>
        <w:t>（四）响应文件的语言及计量</w:t>
      </w:r>
    </w:p>
    <w:p w14:paraId="640570F6">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5393A0FB">
      <w:pPr>
        <w:spacing w:line="288" w:lineRule="auto"/>
        <w:rPr>
          <w:b/>
          <w:bCs/>
          <w:color w:val="auto"/>
          <w:sz w:val="24"/>
        </w:rPr>
      </w:pPr>
      <w:r>
        <w:rPr>
          <w:rFonts w:hint="eastAsia"/>
          <w:b/>
          <w:bCs/>
          <w:color w:val="auto"/>
          <w:sz w:val="24"/>
        </w:rPr>
        <w:t>（五）磋商报价</w:t>
      </w:r>
    </w:p>
    <w:p w14:paraId="149BFFE1">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408C6A5F">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767B38BE">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646C6277">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6EF6EAD0">
      <w:pPr>
        <w:spacing w:line="288" w:lineRule="auto"/>
        <w:rPr>
          <w:b/>
          <w:bCs/>
          <w:color w:val="auto"/>
          <w:sz w:val="24"/>
        </w:rPr>
      </w:pPr>
      <w:r>
        <w:rPr>
          <w:rFonts w:hint="eastAsia"/>
          <w:b/>
          <w:bCs/>
          <w:color w:val="auto"/>
          <w:sz w:val="24"/>
        </w:rPr>
        <w:t>（六）响应有效期</w:t>
      </w:r>
    </w:p>
    <w:p w14:paraId="2319C927">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6E0871B9">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9" w:name="_Toc32478"/>
      <w:r>
        <w:rPr>
          <w:rFonts w:hint="eastAsia" w:ascii="楷体" w:hAnsi="楷体" w:eastAsia="楷体" w:cs="楷体"/>
          <w:snapToGrid w:val="0"/>
          <w:color w:val="auto"/>
          <w:kern w:val="44"/>
          <w:sz w:val="32"/>
          <w:szCs w:val="32"/>
        </w:rPr>
        <w:t>四、响应无效的情形</w:t>
      </w:r>
      <w:bookmarkEnd w:id="219"/>
    </w:p>
    <w:p w14:paraId="5309375F">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3BAED61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6B7890D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612234E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66BB6F1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5891F97E">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7047430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4127370C">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07308287">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3）根据电子评标程序规则的需要，资格证明材料必须放在资格文件中，放在其它地方视为无效。</w:t>
      </w:r>
    </w:p>
    <w:p w14:paraId="6114A152">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0ACF086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7C55F94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773F7E2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6427C1C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5863C196">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1415FE6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6D0ECCB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235D182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30D3E7E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2E109E09">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732BFA27">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1EF0F44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7F636EA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16C3992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77310E7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7F8AD74E">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47AADAF0">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4941FAD5">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7E959ADE">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390F6C17">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p w14:paraId="5D096016">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4D9E8F2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08EC656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5F7368A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7"/>
    <w:bookmarkEnd w:id="48"/>
    <w:p w14:paraId="498EB53D">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0" w:name="_Toc17194"/>
      <w:bookmarkStart w:id="221" w:name="_Toc14125"/>
      <w:bookmarkStart w:id="222" w:name="_Toc6290"/>
      <w:bookmarkStart w:id="223" w:name="_Toc200"/>
      <w:bookmarkStart w:id="224" w:name="_Toc24793"/>
      <w:bookmarkStart w:id="225" w:name="_Toc26820"/>
      <w:bookmarkStart w:id="226" w:name="_Toc31733"/>
      <w:bookmarkStart w:id="227" w:name="_Toc6009"/>
      <w:bookmarkStart w:id="228" w:name="_Toc22208"/>
      <w:bookmarkStart w:id="229" w:name="_Toc25705"/>
      <w:bookmarkStart w:id="230" w:name="_Toc433537967"/>
      <w:bookmarkStart w:id="231" w:name="_Toc30706"/>
      <w:bookmarkStart w:id="232" w:name="_Toc467"/>
      <w:bookmarkStart w:id="233" w:name="_Toc20654"/>
      <w:bookmarkStart w:id="234" w:name="_Toc13917"/>
      <w:bookmarkStart w:id="235" w:name="_Toc9444"/>
      <w:bookmarkStart w:id="236" w:name="_Toc11828"/>
      <w:bookmarkStart w:id="237" w:name="_Toc6184"/>
      <w:bookmarkStart w:id="238" w:name="_Toc8275"/>
      <w:bookmarkStart w:id="239" w:name="_Toc32590"/>
      <w:bookmarkStart w:id="240" w:name="_Toc20980"/>
      <w:bookmarkStart w:id="241" w:name="_Toc27001"/>
      <w:bookmarkStart w:id="242" w:name="_Toc4601"/>
      <w:bookmarkStart w:id="243" w:name="_Toc11859"/>
      <w:bookmarkStart w:id="244" w:name="_Toc24390"/>
      <w:bookmarkStart w:id="245" w:name="_Toc14837"/>
      <w:bookmarkStart w:id="246" w:name="_Toc8571"/>
      <w:bookmarkStart w:id="247" w:name="_Toc23374"/>
      <w:bookmarkStart w:id="248" w:name="_Toc11365"/>
      <w:bookmarkStart w:id="249" w:name="_Toc207550884"/>
      <w:bookmarkStart w:id="250" w:name="_Toc8057"/>
      <w:bookmarkStart w:id="251" w:name="_Toc6013"/>
      <w:bookmarkStart w:id="252" w:name="_Toc12201"/>
      <w:bookmarkStart w:id="253" w:name="_Toc28358"/>
      <w:bookmarkStart w:id="254" w:name="_Toc183786419"/>
      <w:r>
        <w:rPr>
          <w:rFonts w:hint="eastAsia" w:ascii="楷体" w:hAnsi="楷体" w:eastAsia="楷体" w:cs="楷体"/>
          <w:snapToGrid w:val="0"/>
          <w:color w:val="auto"/>
          <w:kern w:val="44"/>
          <w:sz w:val="32"/>
          <w:szCs w:val="32"/>
        </w:rPr>
        <w:t>五、开启响应文件</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68C101A5">
      <w:pPr>
        <w:spacing w:line="288" w:lineRule="auto"/>
        <w:ind w:firstLine="482"/>
        <w:rPr>
          <w:color w:val="auto"/>
          <w:sz w:val="24"/>
        </w:rPr>
      </w:pPr>
      <w:bookmarkStart w:id="255" w:name="_Toc12629"/>
      <w:bookmarkStart w:id="256" w:name="_Toc841"/>
      <w:bookmarkStart w:id="257" w:name="_Toc26833"/>
      <w:bookmarkStart w:id="258" w:name="_Toc22017"/>
      <w:bookmarkStart w:id="259" w:name="_Toc9028"/>
      <w:bookmarkStart w:id="260" w:name="_Toc25227"/>
      <w:bookmarkStart w:id="261" w:name="_Toc12021"/>
      <w:bookmarkStart w:id="262" w:name="_Toc667"/>
      <w:bookmarkStart w:id="263" w:name="_Toc18007"/>
      <w:bookmarkStart w:id="264" w:name="_Toc26778"/>
      <w:bookmarkStart w:id="265" w:name="_Toc4789"/>
      <w:bookmarkStart w:id="266" w:name="_Toc29445"/>
      <w:bookmarkStart w:id="267" w:name="_Toc30360"/>
      <w:bookmarkStart w:id="268" w:name="_Toc6558"/>
      <w:bookmarkStart w:id="269" w:name="_Toc29181"/>
      <w:bookmarkStart w:id="270" w:name="_Toc30679"/>
      <w:bookmarkStart w:id="271" w:name="_Toc10561"/>
      <w:bookmarkStart w:id="272" w:name="_Toc10251"/>
      <w:bookmarkStart w:id="273" w:name="_Toc902"/>
      <w:bookmarkStart w:id="274" w:name="_Toc650"/>
      <w:bookmarkStart w:id="275" w:name="_Toc10811"/>
      <w:bookmarkStart w:id="276" w:name="_Toc5075"/>
      <w:bookmarkStart w:id="277" w:name="_Toc13314"/>
      <w:bookmarkStart w:id="278" w:name="_Toc8052"/>
      <w:bookmarkStart w:id="279" w:name="_Toc15608"/>
      <w:bookmarkStart w:id="280" w:name="_Toc11659"/>
      <w:bookmarkStart w:id="281" w:name="_Toc20003"/>
      <w:bookmarkStart w:id="282" w:name="_Toc7609"/>
      <w:bookmarkStart w:id="283" w:name="_Toc28057"/>
      <w:bookmarkStart w:id="284" w:name="_Toc8181"/>
      <w:bookmarkStart w:id="285" w:name="_Toc22094"/>
      <w:bookmarkStart w:id="286" w:name="_Toc27046"/>
      <w:bookmarkStart w:id="287" w:name="_Toc32220"/>
      <w:bookmarkStart w:id="288" w:name="_Toc18579"/>
      <w:r>
        <w:rPr>
          <w:rFonts w:hint="eastAsia"/>
          <w:color w:val="auto"/>
          <w:sz w:val="24"/>
        </w:rPr>
        <w:t>采购机构按照磋商文件规定的时间通过电子交易平台组织开启，所有供应商均应当准时在线参加。供应商不足3家的，不得开启。</w:t>
      </w:r>
    </w:p>
    <w:p w14:paraId="15508084">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2E3829AF">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63B26A0A">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3D2F17EF">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9" w:name="_Toc6967"/>
      <w:r>
        <w:rPr>
          <w:rFonts w:hint="eastAsia" w:ascii="楷体" w:hAnsi="楷体" w:eastAsia="楷体" w:cs="楷体"/>
          <w:snapToGrid w:val="0"/>
          <w:color w:val="auto"/>
          <w:kern w:val="44"/>
          <w:sz w:val="32"/>
          <w:szCs w:val="32"/>
        </w:rPr>
        <w:t>六、</w:t>
      </w:r>
      <w:bookmarkEnd w:id="255"/>
      <w:bookmarkEnd w:id="256"/>
      <w:bookmarkEnd w:id="257"/>
      <w:r>
        <w:rPr>
          <w:rFonts w:hint="eastAsia" w:ascii="楷体" w:hAnsi="楷体" w:eastAsia="楷体" w:cs="楷体"/>
          <w:snapToGrid w:val="0"/>
          <w:color w:val="auto"/>
          <w:kern w:val="44"/>
          <w:sz w:val="32"/>
          <w:szCs w:val="32"/>
        </w:rPr>
        <w:t>评审和磋商</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47367CA6">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（一）磋商小组</w:t>
      </w:r>
    </w:p>
    <w:p w14:paraId="6AFFF030">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3F82D0C9">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（二）响应文件实质性响应的确定</w:t>
      </w:r>
    </w:p>
    <w:p w14:paraId="7AB0163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20B72AF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51C9D19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3B2796B0">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（三）响应文件的详细评审和进一步磋商</w:t>
      </w:r>
    </w:p>
    <w:p w14:paraId="065922B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715AB39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48C14FF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E998C1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344CC0E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0B31E3F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20230069@hdu.edu.cn</w:t>
      </w:r>
      <w:r>
        <w:rPr>
          <w:rFonts w:hint="eastAsia"/>
          <w:color w:val="auto"/>
          <w:sz w:val="24"/>
        </w:rPr>
        <w:t>）提交。</w:t>
      </w:r>
    </w:p>
    <w:p w14:paraId="0EC3FA9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（四）最后报价</w:t>
      </w:r>
    </w:p>
    <w:p w14:paraId="3066AC6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4D3D608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698FF4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5EBB3774">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（五）错误修正</w:t>
      </w:r>
    </w:p>
    <w:p w14:paraId="1B823F3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431DFCC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6266B1A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33C498B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08253C1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43511A5B">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36B01A9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（六）综合评分</w:t>
      </w:r>
    </w:p>
    <w:p w14:paraId="192502A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3B2304E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028AC39A">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（七）汇总商务技术得分</w:t>
      </w:r>
    </w:p>
    <w:p w14:paraId="4E59886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269148D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4988511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（八）排序与推荐</w:t>
      </w:r>
    </w:p>
    <w:p w14:paraId="6687A75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45EAE35A">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（九）编写评审报告</w:t>
      </w:r>
    </w:p>
    <w:p w14:paraId="6A0B7F9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6E2D84A9">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（十）磋商评审过程的保密性</w:t>
      </w:r>
    </w:p>
    <w:p w14:paraId="4014F3A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29F49BD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616B3277">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0" w:name="_Toc26288"/>
      <w:bookmarkStart w:id="291" w:name="_Toc28002"/>
      <w:bookmarkStart w:id="292" w:name="_Toc14468"/>
      <w:bookmarkStart w:id="293" w:name="_Toc12279"/>
      <w:bookmarkStart w:id="294" w:name="_Toc32012"/>
      <w:bookmarkStart w:id="295" w:name="_Toc326"/>
      <w:bookmarkStart w:id="296" w:name="_Toc22665"/>
      <w:bookmarkStart w:id="297" w:name="_Toc29029"/>
      <w:bookmarkStart w:id="298" w:name="_Toc22706"/>
      <w:bookmarkStart w:id="299" w:name="_Toc30041"/>
      <w:bookmarkStart w:id="300" w:name="_Toc3813"/>
      <w:bookmarkStart w:id="301" w:name="_Toc9496"/>
      <w:bookmarkStart w:id="302" w:name="_Toc16451"/>
      <w:bookmarkStart w:id="303" w:name="_Toc8603"/>
      <w:bookmarkStart w:id="304" w:name="_Toc7256"/>
      <w:bookmarkStart w:id="305" w:name="_Toc10879"/>
      <w:bookmarkStart w:id="306" w:name="_Toc18073"/>
      <w:bookmarkStart w:id="307" w:name="_Toc2251"/>
      <w:bookmarkStart w:id="308" w:name="_Toc17917"/>
      <w:bookmarkStart w:id="309" w:name="_Toc17524"/>
      <w:bookmarkStart w:id="310" w:name="_Toc27426"/>
      <w:bookmarkStart w:id="311" w:name="_Toc21433"/>
      <w:bookmarkStart w:id="312" w:name="_Toc26757"/>
      <w:bookmarkStart w:id="313" w:name="_Toc30131"/>
      <w:bookmarkStart w:id="314" w:name="_Toc21515"/>
      <w:bookmarkStart w:id="315" w:name="_Toc4483"/>
      <w:bookmarkStart w:id="316" w:name="_Toc29830"/>
      <w:bookmarkStart w:id="317" w:name="_Toc5340"/>
      <w:bookmarkStart w:id="318" w:name="_Toc26044"/>
      <w:bookmarkStart w:id="319" w:name="_Toc6273"/>
      <w:bookmarkStart w:id="320" w:name="_Toc13854"/>
      <w:bookmarkStart w:id="321" w:name="_Toc20162"/>
      <w:bookmarkStart w:id="322" w:name="_Toc32587"/>
      <w:bookmarkStart w:id="323" w:name="_Toc15767"/>
      <w:bookmarkStart w:id="324" w:name="_Toc5529"/>
      <w:r>
        <w:rPr>
          <w:rFonts w:hint="eastAsia" w:ascii="楷体" w:hAnsi="楷体" w:eastAsia="楷体" w:cs="楷体"/>
          <w:snapToGrid w:val="0"/>
          <w:color w:val="auto"/>
          <w:kern w:val="44"/>
          <w:sz w:val="32"/>
          <w:szCs w:val="32"/>
        </w:rPr>
        <w:t>七、合同授予</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500B729F">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（一）资格最终审查</w:t>
      </w:r>
    </w:p>
    <w:p w14:paraId="188FC56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采购方将审查最佳成交候选人的财务、技术、生产及供货能力、信誉，确定其是否能圆满地履行合同。</w:t>
      </w:r>
    </w:p>
    <w:p w14:paraId="1520B4D4">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（二）接受和拒绝部分或所有磋商内容的权力</w:t>
      </w:r>
    </w:p>
    <w:p w14:paraId="1603E48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6FFF99F6">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（三）成交通知书</w:t>
      </w:r>
    </w:p>
    <w:p w14:paraId="2CF1C7B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48BADB57">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42065ECA">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309EA37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（四）授予合同时变更数量的权力</w:t>
      </w:r>
    </w:p>
    <w:p w14:paraId="695B8A09">
      <w:pPr>
        <w:pStyle w:val="26"/>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2B87D45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（五）签订合同</w:t>
      </w:r>
    </w:p>
    <w:p w14:paraId="00B90490">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61EF9ED9">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730ED6C7">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2F5E2183">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4D738BE2">
      <w:pPr>
        <w:pStyle w:val="26"/>
        <w:spacing w:before="120" w:beforeLines="50" w:after="120" w:afterLines="50" w:line="360" w:lineRule="auto"/>
        <w:ind w:left="-27" w:firstLine="636"/>
        <w:jc w:val="center"/>
        <w:rPr>
          <w:rStyle w:val="56"/>
          <w:rFonts w:ascii="Times New Roman" w:hAnsi="Times New Roman"/>
          <w:snapToGrid w:val="0"/>
          <w:color w:val="auto"/>
        </w:rPr>
      </w:pPr>
      <w:bookmarkStart w:id="325" w:name="_Toc18478"/>
      <w:bookmarkStart w:id="326" w:name="_Toc31754"/>
      <w:bookmarkStart w:id="327" w:name="_Toc27094"/>
      <w:bookmarkStart w:id="328" w:name="_Toc24700"/>
      <w:bookmarkStart w:id="329" w:name="_Toc11599"/>
      <w:bookmarkStart w:id="330" w:name="_Toc30987"/>
      <w:bookmarkStart w:id="331" w:name="_Toc10023"/>
      <w:r>
        <w:rPr>
          <w:rStyle w:val="56"/>
          <w:rFonts w:ascii="Times New Roman" w:hAnsi="Times New Roman"/>
          <w:snapToGrid w:val="0"/>
          <w:color w:val="auto"/>
        </w:rPr>
        <w:br w:type="page"/>
      </w:r>
      <w:bookmarkStart w:id="332" w:name="_Toc20593"/>
      <w:bookmarkStart w:id="333" w:name="_Toc14406"/>
      <w:bookmarkStart w:id="334" w:name="_Toc27525"/>
      <w:bookmarkStart w:id="335" w:name="_Toc20269"/>
      <w:bookmarkStart w:id="336" w:name="_Toc3282"/>
      <w:bookmarkStart w:id="337" w:name="_Toc26169"/>
      <w:bookmarkStart w:id="338" w:name="_Toc5470"/>
      <w:bookmarkStart w:id="339" w:name="_Toc14142"/>
      <w:bookmarkStart w:id="340" w:name="_Toc17708"/>
      <w:bookmarkStart w:id="341" w:name="_Toc15038"/>
      <w:bookmarkStart w:id="342" w:name="_Toc8630"/>
      <w:bookmarkStart w:id="343" w:name="_Toc32035"/>
      <w:bookmarkStart w:id="344" w:name="_Toc17768"/>
      <w:bookmarkStart w:id="345" w:name="_Toc9109"/>
      <w:bookmarkStart w:id="346" w:name="_Toc26100"/>
      <w:bookmarkStart w:id="347" w:name="_Toc12012"/>
      <w:bookmarkStart w:id="348" w:name="_Toc22180"/>
      <w:bookmarkStart w:id="349" w:name="_Toc7338"/>
      <w:bookmarkStart w:id="350" w:name="_Toc365"/>
      <w:bookmarkStart w:id="351" w:name="_Toc7293"/>
      <w:bookmarkStart w:id="352" w:name="_Toc15832"/>
      <w:bookmarkStart w:id="353" w:name="_Toc30158"/>
      <w:bookmarkStart w:id="354" w:name="_Toc23632"/>
      <w:bookmarkStart w:id="355" w:name="_Toc23225"/>
      <w:bookmarkStart w:id="356" w:name="_Toc27781"/>
      <w:bookmarkStart w:id="357" w:name="_Toc30301"/>
      <w:bookmarkStart w:id="358" w:name="_Toc646"/>
      <w:bookmarkStart w:id="359" w:name="_Toc16902"/>
      <w:bookmarkStart w:id="360" w:name="_Toc6438"/>
      <w:bookmarkStart w:id="361" w:name="_Toc10406"/>
      <w:bookmarkStart w:id="362" w:name="_Toc12347"/>
      <w:bookmarkStart w:id="363" w:name="_Toc24396"/>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14:paraId="6E36C8C3">
      <w:pPr>
        <w:pStyle w:val="6"/>
        <w:ind w:left="0" w:firstLine="0"/>
        <w:rPr>
          <w:rFonts w:hint="eastAsia"/>
          <w:color w:val="auto"/>
        </w:rPr>
      </w:pPr>
      <w:bookmarkStart w:id="364" w:name="_Toc3739"/>
      <w:bookmarkStart w:id="365" w:name="_Toc31434"/>
      <w:bookmarkStart w:id="366" w:name="_Toc14512"/>
      <w:bookmarkStart w:id="367" w:name="_Toc29510"/>
      <w:bookmarkStart w:id="368" w:name="_Toc3691"/>
      <w:bookmarkStart w:id="369" w:name="_Toc21296"/>
      <w:bookmarkStart w:id="370" w:name="_Toc20153"/>
      <w:bookmarkStart w:id="371" w:name="_Toc1660"/>
      <w:bookmarkStart w:id="372" w:name="_Toc3711"/>
      <w:bookmarkStart w:id="373" w:name="_Toc27955"/>
      <w:r>
        <w:rPr>
          <w:rFonts w:hint="eastAsia"/>
          <w:color w:val="auto"/>
        </w:rPr>
        <w:t>一、概况</w:t>
      </w:r>
      <w:bookmarkEnd w:id="364"/>
    </w:p>
    <w:p w14:paraId="4BB9DEA6">
      <w:pPr>
        <w:spacing w:line="360" w:lineRule="auto"/>
        <w:ind w:firstLine="420" w:firstLineChars="175"/>
        <w:rPr>
          <w:color w:val="auto"/>
          <w:sz w:val="24"/>
        </w:rPr>
      </w:pPr>
      <w:r>
        <w:rPr>
          <w:rFonts w:hint="eastAsia"/>
          <w:color w:val="auto"/>
          <w:sz w:val="24"/>
        </w:rPr>
        <w:t>随着人工智能、大数据、云计算、边缘计算等新兴技术的快速发展，新型智能计算基础设施已逐渐成为支撑国家战略、产业升级和社会应用的重要底座。然而，在现有算力体系中仍存在区域分布不均衡、时间负载不均衡、资源调度效率不足、能耗与成本压力增大等问题。</w:t>
      </w:r>
    </w:p>
    <w:p w14:paraId="6F6F3821">
      <w:pPr>
        <w:spacing w:line="360" w:lineRule="auto"/>
        <w:ind w:firstLine="420" w:firstLineChars="175"/>
        <w:rPr>
          <w:rFonts w:hint="eastAsia"/>
          <w:color w:val="auto"/>
          <w:sz w:val="24"/>
        </w:rPr>
      </w:pPr>
      <w:r>
        <w:rPr>
          <w:rFonts w:hint="eastAsia"/>
          <w:color w:val="auto"/>
          <w:sz w:val="24"/>
        </w:rPr>
        <w:t>基于以上现状，本项目旨在研究跨域算力资源动态调度与高效迁移机制，建立面向多目标协同优化的调度框架，以及开发可验证的展示模块。通过本项目的实施，预期将有效提升智能计算基础设施的整体资源利用率，缓解算力供需不均衡问题，降低能耗与成本，为算力网络的建设提供可行的技术支撑和经验。</w:t>
      </w:r>
    </w:p>
    <w:p w14:paraId="2482E83D">
      <w:pPr>
        <w:pStyle w:val="6"/>
        <w:ind w:left="0" w:firstLine="0"/>
        <w:rPr>
          <w:rFonts w:hint="eastAsia"/>
          <w:color w:val="auto"/>
        </w:rPr>
      </w:pPr>
      <w:bookmarkStart w:id="374" w:name="_Toc6349"/>
      <w:r>
        <w:rPr>
          <w:rFonts w:hint="eastAsia"/>
          <w:color w:val="auto"/>
        </w:rPr>
        <w:t>二、服务内容和详细要求、双方权利和义务</w:t>
      </w:r>
      <w:bookmarkEnd w:id="374"/>
    </w:p>
    <w:p w14:paraId="1F74301B">
      <w:pPr>
        <w:rPr>
          <w:color w:val="auto"/>
        </w:rPr>
      </w:pPr>
    </w:p>
    <w:p w14:paraId="00ACCAD9">
      <w:pPr>
        <w:spacing w:line="360" w:lineRule="auto"/>
        <w:ind w:firstLine="422" w:firstLineChars="175"/>
        <w:rPr>
          <w:rFonts w:hint="eastAsia"/>
          <w:b/>
          <w:bCs/>
          <w:color w:val="auto"/>
          <w:sz w:val="24"/>
        </w:rPr>
      </w:pPr>
      <w:r>
        <w:rPr>
          <w:rFonts w:hint="eastAsia"/>
          <w:b/>
          <w:bCs/>
          <w:color w:val="auto"/>
          <w:sz w:val="24"/>
        </w:rPr>
        <w:t>1、主要目标</w:t>
      </w:r>
    </w:p>
    <w:p w14:paraId="5C7E8A51">
      <w:pPr>
        <w:spacing w:line="360" w:lineRule="auto"/>
        <w:ind w:firstLine="420" w:firstLineChars="175"/>
        <w:rPr>
          <w:color w:val="auto"/>
          <w:sz w:val="24"/>
        </w:rPr>
      </w:pPr>
      <w:r>
        <w:rPr>
          <w:rFonts w:hint="eastAsia"/>
          <w:color w:val="auto"/>
          <w:sz w:val="24"/>
        </w:rPr>
        <w:t>（1）围绕新型智能计算基础设施的应用需求，研究面向跨域环境的算力资源动态调度与高效迁移机制，解决算力供需不均衡与资源利用率不足的问题。</w:t>
      </w:r>
    </w:p>
    <w:p w14:paraId="28542EA7">
      <w:pPr>
        <w:spacing w:line="360" w:lineRule="auto"/>
        <w:ind w:firstLine="420" w:firstLineChars="175"/>
        <w:rPr>
          <w:color w:val="auto"/>
          <w:sz w:val="24"/>
        </w:rPr>
      </w:pPr>
      <w:r>
        <w:rPr>
          <w:rFonts w:hint="eastAsia"/>
          <w:color w:val="auto"/>
          <w:sz w:val="24"/>
        </w:rPr>
        <w:t>（2）在能耗约束、服务质量保障（QoS）与整体性能优化的多目标协同下，实现跨域数据中心算力资源的高效配置与智能调度，提高整体服务效能。</w:t>
      </w:r>
    </w:p>
    <w:p w14:paraId="32A442FB">
      <w:pPr>
        <w:spacing w:line="360" w:lineRule="auto"/>
        <w:ind w:firstLine="420" w:firstLineChars="175"/>
        <w:rPr>
          <w:color w:val="auto"/>
          <w:sz w:val="24"/>
        </w:rPr>
      </w:pPr>
      <w:r>
        <w:rPr>
          <w:rFonts w:hint="eastAsia"/>
          <w:color w:val="auto"/>
          <w:sz w:val="24"/>
        </w:rPr>
        <w:t>（3）通过功能模块的开发，形成可验证的成果。</w:t>
      </w:r>
    </w:p>
    <w:p w14:paraId="6E093F8C">
      <w:pPr>
        <w:spacing w:line="360" w:lineRule="auto"/>
        <w:ind w:firstLine="422" w:firstLineChars="175"/>
        <w:rPr>
          <w:b/>
          <w:bCs/>
          <w:color w:val="auto"/>
          <w:sz w:val="24"/>
        </w:rPr>
      </w:pPr>
      <w:r>
        <w:rPr>
          <w:rFonts w:hint="eastAsia"/>
          <w:b/>
          <w:bCs/>
          <w:color w:val="auto"/>
          <w:sz w:val="24"/>
        </w:rPr>
        <w:t>2、服务内容</w:t>
      </w:r>
    </w:p>
    <w:p w14:paraId="0CBBC6A6">
      <w:pPr>
        <w:spacing w:line="360" w:lineRule="auto"/>
        <w:ind w:firstLine="420" w:firstLineChars="175"/>
        <w:rPr>
          <w:color w:val="auto"/>
          <w:sz w:val="24"/>
        </w:rPr>
      </w:pPr>
      <w:r>
        <w:rPr>
          <w:rFonts w:hint="eastAsia"/>
          <w:color w:val="auto"/>
          <w:sz w:val="24"/>
        </w:rPr>
        <w:t>（1）多区域多时段的算力网络一体化建模：研究跨区域分布式智算中心算力与网络资源的时空动态特性，设计面向多区域异构资源的统一抽象建模方法；构建考虑能耗、服务质量（QoS）与任务完成率等多约束的资源预测模型。</w:t>
      </w:r>
    </w:p>
    <w:p w14:paraId="580BC456">
      <w:pPr>
        <w:spacing w:line="360" w:lineRule="auto"/>
        <w:ind w:firstLine="420" w:firstLineChars="175"/>
        <w:rPr>
          <w:color w:val="auto"/>
          <w:sz w:val="24"/>
        </w:rPr>
      </w:pPr>
      <w:r>
        <w:rPr>
          <w:rFonts w:hint="eastAsia"/>
          <w:color w:val="auto"/>
          <w:sz w:val="24"/>
        </w:rPr>
        <w:t>（2）跨域异构资源的协同优化架构：设计跨域资源协同优化架构，支持算力与网络资源的统一分析与协同管理；研究面向能耗均衡与资源利用率提升的任务分解与资源重组机制，实现不同区域智算中心的互补协作与整体性能提升。</w:t>
      </w:r>
    </w:p>
    <w:p w14:paraId="710A5D61">
      <w:pPr>
        <w:spacing w:line="360" w:lineRule="auto"/>
        <w:ind w:firstLine="420" w:firstLineChars="175"/>
        <w:rPr>
          <w:rFonts w:hint="eastAsia"/>
          <w:color w:val="auto"/>
          <w:sz w:val="24"/>
        </w:rPr>
      </w:pPr>
      <w:r>
        <w:rPr>
          <w:rFonts w:hint="eastAsia"/>
          <w:color w:val="auto"/>
          <w:sz w:val="24"/>
        </w:rPr>
        <w:t>（3）面向多目标协同的跨域动态调度与迁移机制：在统一建模与优化架构的基础上，提出兼顾能耗、任务完成时间与服务质量的多目标动态调度方法，支持算力资源的跨域流动与弹性扩展，并在差异化业务场景下实现性能与确定性的联合保障。</w:t>
      </w:r>
    </w:p>
    <w:p w14:paraId="4C055485">
      <w:pPr>
        <w:spacing w:line="360" w:lineRule="auto"/>
        <w:ind w:firstLine="422" w:firstLineChars="175"/>
        <w:rPr>
          <w:b/>
          <w:bCs/>
          <w:color w:val="auto"/>
          <w:sz w:val="24"/>
        </w:rPr>
      </w:pPr>
      <w:r>
        <w:rPr>
          <w:rFonts w:hint="eastAsia"/>
          <w:b/>
          <w:bCs/>
          <w:color w:val="auto"/>
          <w:sz w:val="24"/>
        </w:rPr>
        <w:t>3、详细要求</w:t>
      </w:r>
    </w:p>
    <w:p w14:paraId="0A22EF83">
      <w:pPr>
        <w:spacing w:line="360" w:lineRule="auto"/>
        <w:ind w:firstLine="420" w:firstLineChars="175"/>
        <w:rPr>
          <w:color w:val="auto"/>
          <w:sz w:val="24"/>
        </w:rPr>
      </w:pPr>
      <w:r>
        <w:rPr>
          <w:rFonts w:hint="eastAsia"/>
          <w:color w:val="auto"/>
          <w:sz w:val="24"/>
        </w:rPr>
        <w:t>（1）质量要求：交付的模块应能在硬件环境下稳定运行，具备跨域算力调度、资源动态分配、任务迁移等核心功能，具备可验证的迁移与调度功能演示。</w:t>
      </w:r>
    </w:p>
    <w:p w14:paraId="727D1536">
      <w:pPr>
        <w:spacing w:line="360" w:lineRule="auto"/>
        <w:ind w:firstLine="420" w:firstLineChars="175"/>
        <w:rPr>
          <w:color w:val="auto"/>
          <w:sz w:val="24"/>
        </w:rPr>
      </w:pPr>
      <w:r>
        <w:rPr>
          <w:rFonts w:hint="eastAsia"/>
          <w:color w:val="auto"/>
          <w:sz w:val="24"/>
        </w:rPr>
        <w:t>（2）服务要求：在项目执行周期内</w:t>
      </w:r>
      <w:r>
        <w:rPr>
          <w:rFonts w:hint="eastAsia"/>
          <w:b/>
          <w:bCs/>
          <w:color w:val="auto"/>
          <w:sz w:val="24"/>
          <w:lang w:eastAsia="zh-CN"/>
        </w:rPr>
        <w:t>（</w:t>
      </w:r>
      <w:r>
        <w:rPr>
          <w:rFonts w:hint="eastAsia"/>
          <w:b/>
          <w:bCs/>
          <w:color w:val="auto"/>
          <w:sz w:val="24"/>
          <w:lang w:val="en-US" w:eastAsia="zh-CN"/>
        </w:rPr>
        <w:t>含质保期）</w:t>
      </w:r>
      <w:r>
        <w:rPr>
          <w:rFonts w:hint="eastAsia"/>
          <w:color w:val="auto"/>
          <w:sz w:val="24"/>
        </w:rPr>
        <w:t>，供应商需提供全方位技术服务，服务时间为5*8小时（工作日，上午9:00—下午18:00），重大问题需在4小时内响应，一般问题需在1个工作日内响应。包括但不限于：</w:t>
      </w:r>
    </w:p>
    <w:p w14:paraId="365B5A05">
      <w:pPr>
        <w:spacing w:line="360" w:lineRule="auto"/>
        <w:ind w:firstLine="420" w:firstLineChars="175"/>
        <w:rPr>
          <w:color w:val="auto"/>
          <w:sz w:val="24"/>
        </w:rPr>
      </w:pPr>
      <w:r>
        <w:rPr>
          <w:rFonts w:hint="eastAsia"/>
          <w:color w:val="auto"/>
          <w:sz w:val="24"/>
        </w:rPr>
        <w:t>①在线咨询与问题响应（即时通讯、视频会议等渠道）；</w:t>
      </w:r>
    </w:p>
    <w:p w14:paraId="3BDF2F6C">
      <w:pPr>
        <w:spacing w:line="360" w:lineRule="auto"/>
        <w:ind w:firstLine="420" w:firstLineChars="175"/>
        <w:rPr>
          <w:color w:val="auto"/>
          <w:sz w:val="24"/>
        </w:rPr>
      </w:pPr>
      <w:r>
        <w:rPr>
          <w:rFonts w:hint="eastAsia"/>
          <w:color w:val="auto"/>
          <w:sz w:val="24"/>
        </w:rPr>
        <w:t>②电话与远程技术支持；</w:t>
      </w:r>
    </w:p>
    <w:p w14:paraId="7BB4E019">
      <w:pPr>
        <w:spacing w:line="360" w:lineRule="auto"/>
        <w:ind w:firstLine="420" w:firstLineChars="175"/>
        <w:rPr>
          <w:color w:val="auto"/>
          <w:sz w:val="24"/>
        </w:rPr>
      </w:pPr>
      <w:r>
        <w:rPr>
          <w:rFonts w:hint="eastAsia"/>
          <w:color w:val="auto"/>
          <w:sz w:val="24"/>
        </w:rPr>
        <w:t>③邮件沟通与进度报告反馈；</w:t>
      </w:r>
    </w:p>
    <w:p w14:paraId="7BF19AAB">
      <w:pPr>
        <w:spacing w:line="360" w:lineRule="auto"/>
        <w:ind w:firstLine="420" w:firstLineChars="175"/>
        <w:rPr>
          <w:rFonts w:hint="eastAsia"/>
          <w:color w:val="auto"/>
          <w:sz w:val="24"/>
        </w:rPr>
      </w:pPr>
      <w:r>
        <w:rPr>
          <w:rFonts w:hint="eastAsia"/>
          <w:color w:val="auto"/>
          <w:sz w:val="24"/>
        </w:rPr>
        <w:t>④必要时的现场支持与培训。</w:t>
      </w:r>
    </w:p>
    <w:p w14:paraId="382736B4">
      <w:pPr>
        <w:spacing w:line="360" w:lineRule="auto"/>
        <w:ind w:firstLine="420" w:firstLineChars="175"/>
        <w:rPr>
          <w:color w:val="auto"/>
          <w:sz w:val="24"/>
        </w:rPr>
      </w:pPr>
      <w:r>
        <w:rPr>
          <w:rFonts w:hint="eastAsia"/>
          <w:color w:val="auto"/>
          <w:sz w:val="24"/>
        </w:rPr>
        <w:t>（3）时限要求：自合同签署之日起至2025年12月31日前完成全部交付。如延期交付，需提供改进计划，经采购方确认后执行，重大延误将追究违约责任。</w:t>
      </w:r>
    </w:p>
    <w:p w14:paraId="5399FA28">
      <w:pPr>
        <w:spacing w:line="360" w:lineRule="auto"/>
        <w:ind w:firstLine="422" w:firstLineChars="175"/>
        <w:rPr>
          <w:b/>
          <w:bCs/>
          <w:color w:val="auto"/>
          <w:sz w:val="24"/>
        </w:rPr>
      </w:pPr>
      <w:r>
        <w:rPr>
          <w:rFonts w:hint="eastAsia"/>
          <w:b/>
          <w:bCs/>
          <w:color w:val="auto"/>
          <w:sz w:val="24"/>
        </w:rPr>
        <w:t>4、成果交付</w:t>
      </w:r>
    </w:p>
    <w:p w14:paraId="6F0C6DA3">
      <w:pPr>
        <w:spacing w:line="360" w:lineRule="auto"/>
        <w:ind w:firstLine="420" w:firstLineChars="175"/>
        <w:rPr>
          <w:color w:val="auto"/>
          <w:sz w:val="24"/>
        </w:rPr>
      </w:pPr>
      <w:r>
        <w:rPr>
          <w:rFonts w:hint="eastAsia"/>
          <w:color w:val="auto"/>
          <w:sz w:val="24"/>
        </w:rPr>
        <w:t>（1）跨时空算力迁移展示模块（1套），包含可视化界面、演示场景及关键性能指标测试数据。模块需具备场景配置，能够进行迁移演示与性能验证；</w:t>
      </w:r>
    </w:p>
    <w:p w14:paraId="6147B63E">
      <w:pPr>
        <w:spacing w:line="360" w:lineRule="auto"/>
        <w:ind w:firstLine="420" w:firstLineChars="175"/>
        <w:rPr>
          <w:color w:val="auto"/>
          <w:sz w:val="24"/>
        </w:rPr>
      </w:pPr>
      <w:r>
        <w:rPr>
          <w:rFonts w:hint="eastAsia"/>
          <w:color w:val="auto"/>
          <w:sz w:val="24"/>
        </w:rPr>
        <w:t>（2）提交并公开申请至少 1项相关发明专利，应围绕跨域算力资源调度、智能迁移算法、能耗优化或算力管理平台等核心技术展开，保证专利具备创新性与产业化价值。</w:t>
      </w:r>
    </w:p>
    <w:p w14:paraId="6CF68FCC">
      <w:pPr>
        <w:spacing w:line="360" w:lineRule="auto"/>
        <w:ind w:firstLine="422" w:firstLineChars="175"/>
        <w:rPr>
          <w:b/>
          <w:bCs/>
          <w:color w:val="auto"/>
          <w:sz w:val="24"/>
        </w:rPr>
      </w:pPr>
      <w:r>
        <w:rPr>
          <w:rFonts w:hint="eastAsia"/>
          <w:b/>
          <w:bCs/>
          <w:color w:val="auto"/>
          <w:sz w:val="24"/>
        </w:rPr>
        <w:t>5、双方权利与义务</w:t>
      </w:r>
    </w:p>
    <w:p w14:paraId="0362A2AB">
      <w:pPr>
        <w:spacing w:line="360" w:lineRule="auto"/>
        <w:ind w:firstLine="422" w:firstLineChars="175"/>
        <w:rPr>
          <w:b/>
          <w:bCs/>
          <w:color w:val="auto"/>
          <w:sz w:val="24"/>
        </w:rPr>
      </w:pPr>
      <w:r>
        <w:rPr>
          <w:rFonts w:hint="eastAsia"/>
          <w:b/>
          <w:bCs/>
          <w:color w:val="auto"/>
          <w:sz w:val="24"/>
        </w:rPr>
        <w:t>（1）采购方义务：</w:t>
      </w:r>
    </w:p>
    <w:p w14:paraId="5CC50734">
      <w:pPr>
        <w:spacing w:line="360" w:lineRule="auto"/>
        <w:ind w:firstLine="420" w:firstLineChars="175"/>
        <w:rPr>
          <w:color w:val="auto"/>
          <w:sz w:val="24"/>
        </w:rPr>
      </w:pPr>
      <w:r>
        <w:rPr>
          <w:rFonts w:hint="eastAsia"/>
          <w:color w:val="auto"/>
          <w:sz w:val="24"/>
        </w:rPr>
        <w:t>①向供应商提供项目所需的基础资料（如相关网络环境、业务需求、技术接口信息等），并在必要时协调相关资源。</w:t>
      </w:r>
    </w:p>
    <w:p w14:paraId="3E3D038A">
      <w:pPr>
        <w:spacing w:line="360" w:lineRule="auto"/>
        <w:ind w:firstLine="420" w:firstLineChars="175"/>
        <w:rPr>
          <w:color w:val="auto"/>
          <w:sz w:val="24"/>
        </w:rPr>
      </w:pPr>
      <w:r>
        <w:rPr>
          <w:rFonts w:hint="eastAsia"/>
          <w:color w:val="auto"/>
          <w:sz w:val="24"/>
        </w:rPr>
        <w:t>②按合同约定的时间节点和金额支付项目费用。</w:t>
      </w:r>
    </w:p>
    <w:p w14:paraId="60304A5E">
      <w:pPr>
        <w:spacing w:line="360" w:lineRule="auto"/>
        <w:ind w:firstLine="420" w:firstLineChars="175"/>
        <w:rPr>
          <w:color w:val="auto"/>
          <w:sz w:val="24"/>
        </w:rPr>
      </w:pPr>
      <w:r>
        <w:rPr>
          <w:rFonts w:hint="eastAsia"/>
          <w:color w:val="auto"/>
          <w:sz w:val="24"/>
        </w:rPr>
        <w:t>③对供应商提交的阶段性成果和最终成果进行审核、测试与验收，并在合理期限内给出书面反馈。</w:t>
      </w:r>
    </w:p>
    <w:p w14:paraId="3C540CC3">
      <w:pPr>
        <w:spacing w:line="360" w:lineRule="auto"/>
        <w:ind w:firstLine="420" w:firstLineChars="175"/>
        <w:rPr>
          <w:color w:val="auto"/>
          <w:sz w:val="24"/>
        </w:rPr>
      </w:pPr>
      <w:r>
        <w:rPr>
          <w:rFonts w:hint="eastAsia"/>
          <w:color w:val="auto"/>
          <w:sz w:val="24"/>
        </w:rPr>
        <w:t>④对涉及采购方业务数据、技术信息等资料进行保密，不得擅自对外泄露。</w:t>
      </w:r>
    </w:p>
    <w:p w14:paraId="72424D55">
      <w:pPr>
        <w:spacing w:line="360" w:lineRule="auto"/>
        <w:ind w:firstLine="422" w:firstLineChars="175"/>
        <w:rPr>
          <w:b/>
          <w:bCs/>
          <w:color w:val="auto"/>
          <w:sz w:val="24"/>
        </w:rPr>
      </w:pPr>
      <w:r>
        <w:rPr>
          <w:rFonts w:hint="eastAsia"/>
          <w:b/>
          <w:bCs/>
          <w:color w:val="auto"/>
          <w:sz w:val="24"/>
        </w:rPr>
        <w:t>（2）供应商义务：</w:t>
      </w:r>
    </w:p>
    <w:p w14:paraId="71636627">
      <w:pPr>
        <w:spacing w:line="360" w:lineRule="auto"/>
        <w:ind w:firstLine="420" w:firstLineChars="175"/>
        <w:rPr>
          <w:color w:val="auto"/>
          <w:sz w:val="24"/>
        </w:rPr>
      </w:pPr>
      <w:r>
        <w:rPr>
          <w:rFonts w:hint="eastAsia"/>
          <w:color w:val="auto"/>
          <w:sz w:val="24"/>
        </w:rPr>
        <w:t>①按照合同及本需求文档要求完成研究、开发与交付，确保成果的质量与时效性。</w:t>
      </w:r>
    </w:p>
    <w:p w14:paraId="173A32C4">
      <w:pPr>
        <w:spacing w:line="360" w:lineRule="auto"/>
        <w:ind w:firstLine="420" w:firstLineChars="175"/>
        <w:rPr>
          <w:color w:val="auto"/>
          <w:sz w:val="24"/>
        </w:rPr>
      </w:pPr>
      <w:r>
        <w:rPr>
          <w:rFonts w:hint="eastAsia"/>
          <w:color w:val="auto"/>
          <w:sz w:val="24"/>
        </w:rPr>
        <w:t>②保证交付成果的原创性，确保知识产权归属清晰、合规，若产生争议由供应商负责解决。</w:t>
      </w:r>
    </w:p>
    <w:p w14:paraId="04902EC3">
      <w:pPr>
        <w:spacing w:line="360" w:lineRule="auto"/>
        <w:ind w:firstLine="420" w:firstLineChars="175"/>
        <w:rPr>
          <w:color w:val="auto"/>
          <w:sz w:val="24"/>
        </w:rPr>
      </w:pPr>
      <w:r>
        <w:rPr>
          <w:rFonts w:hint="eastAsia"/>
          <w:color w:val="auto"/>
          <w:sz w:val="24"/>
        </w:rPr>
        <w:t>③在合同期内提供技术支持、培训和问题响应服务，并在质保期内（不少于12个月）对发现的问题进行免费修复与优化。</w:t>
      </w:r>
    </w:p>
    <w:p w14:paraId="53E9FF4A">
      <w:pPr>
        <w:spacing w:line="288" w:lineRule="auto"/>
        <w:ind w:firstLine="480" w:firstLineChars="200"/>
        <w:rPr>
          <w:b/>
          <w:bCs/>
          <w:color w:val="auto"/>
          <w:sz w:val="24"/>
          <w:szCs w:val="24"/>
        </w:rPr>
      </w:pPr>
      <w:r>
        <w:rPr>
          <w:rFonts w:hint="eastAsia"/>
          <w:color w:val="auto"/>
          <w:sz w:val="24"/>
        </w:rPr>
        <w:t>④在成果推广和后续应用过程中，积极配合采购方进行演示、交流与扩展部署。对采购方提供的资料与数据严格保密，不得用于本项目以外的其他商业或研究用途。</w:t>
      </w:r>
    </w:p>
    <w:p w14:paraId="6B06B65C">
      <w:pPr>
        <w:pStyle w:val="8"/>
        <w:rPr>
          <w:color w:val="auto"/>
        </w:rPr>
      </w:pPr>
    </w:p>
    <w:p w14:paraId="02581E0A">
      <w:pPr>
        <w:pStyle w:val="8"/>
        <w:rPr>
          <w:rFonts w:hint="eastAsia"/>
          <w:b/>
          <w:color w:val="auto"/>
          <w:sz w:val="24"/>
        </w:rPr>
      </w:pPr>
    </w:p>
    <w:p w14:paraId="45E97B6B">
      <w:pPr>
        <w:pStyle w:val="8"/>
        <w:rPr>
          <w:b/>
          <w:color w:val="auto"/>
          <w:sz w:val="24"/>
        </w:rPr>
      </w:pPr>
      <w:r>
        <w:rPr>
          <w:rFonts w:hint="eastAsia"/>
          <w:b/>
          <w:color w:val="auto"/>
          <w:sz w:val="24"/>
        </w:rPr>
        <w:t>演示U盘：</w:t>
      </w:r>
    </w:p>
    <w:p w14:paraId="7E7A78A7">
      <w:pPr>
        <w:pStyle w:val="8"/>
        <w:rPr>
          <w:bCs/>
          <w:color w:val="auto"/>
          <w:sz w:val="24"/>
        </w:rPr>
      </w:pPr>
      <w:r>
        <w:rPr>
          <w:rFonts w:hint="eastAsia"/>
          <w:bCs/>
          <w:color w:val="auto"/>
          <w:sz w:val="24"/>
        </w:rPr>
        <w:t>（1）根据“电子交易/不见面开评标”原则，供应商需将</w:t>
      </w:r>
      <w:r>
        <w:rPr>
          <w:rFonts w:hint="eastAsia"/>
          <w:bCs/>
          <w:color w:val="auto"/>
          <w:sz w:val="24"/>
          <w:lang w:val="en-US" w:eastAsia="zh-CN"/>
        </w:rPr>
        <w:t>以上或评分标准中要求的</w:t>
      </w:r>
      <w:r>
        <w:rPr>
          <w:rFonts w:hint="eastAsia"/>
          <w:bCs/>
          <w:color w:val="auto"/>
          <w:sz w:val="24"/>
        </w:rPr>
        <w:t>演示及讲解过程录制视频，演示时长不超过15分钟以.mp4格式存储于U盘。</w:t>
      </w:r>
    </w:p>
    <w:p w14:paraId="71EF75F9">
      <w:pPr>
        <w:pStyle w:val="8"/>
        <w:rPr>
          <w:rFonts w:hint="eastAsia" w:eastAsia="宋体"/>
          <w:bCs/>
          <w:color w:val="auto"/>
          <w:sz w:val="24"/>
          <w:lang w:eastAsia="zh-CN"/>
        </w:rPr>
      </w:pPr>
      <w:r>
        <w:rPr>
          <w:rFonts w:hint="eastAsia"/>
          <w:bCs/>
          <w:color w:val="auto"/>
          <w:sz w:val="24"/>
        </w:rPr>
        <w:t>（2）演示U盘可以EMS或顺丰邮寄形式在响应截止时间前递交，演示U盘应当密封包装并在包装上标注演示U盘、响应项目名称、响应供应商名称并加盖公章。</w:t>
      </w:r>
      <w:r>
        <w:rPr>
          <w:rFonts w:hint="eastAsia"/>
          <w:b/>
          <w:bCs w:val="0"/>
          <w:color w:val="auto"/>
          <w:sz w:val="24"/>
          <w:lang w:val="en-US" w:eastAsia="zh-CN"/>
        </w:rPr>
        <w:t>邮寄地址详见：</w:t>
      </w:r>
      <w:r>
        <w:rPr>
          <w:rFonts w:hint="eastAsia"/>
          <w:b/>
          <w:bCs w:val="0"/>
          <w:color w:val="auto"/>
          <w:sz w:val="24"/>
        </w:rPr>
        <w:t>第二部分</w:t>
      </w:r>
      <w:r>
        <w:rPr>
          <w:rFonts w:hint="eastAsia"/>
          <w:b/>
          <w:bCs w:val="0"/>
          <w:color w:val="auto"/>
          <w:sz w:val="24"/>
          <w:lang w:val="en-US" w:eastAsia="zh-CN"/>
        </w:rPr>
        <w:t xml:space="preserve"> </w:t>
      </w:r>
      <w:r>
        <w:rPr>
          <w:rFonts w:hint="eastAsia"/>
          <w:b/>
          <w:bCs w:val="0"/>
          <w:color w:val="auto"/>
          <w:sz w:val="24"/>
        </w:rPr>
        <w:t>响应方须知</w:t>
      </w:r>
      <w:r>
        <w:rPr>
          <w:rFonts w:hint="eastAsia"/>
          <w:bCs/>
          <w:color w:val="auto"/>
          <w:sz w:val="24"/>
          <w:lang w:eastAsia="zh-CN"/>
        </w:rPr>
        <w:t>。</w:t>
      </w:r>
    </w:p>
    <w:p w14:paraId="58CA652E">
      <w:pPr>
        <w:pStyle w:val="8"/>
        <w:rPr>
          <w:bCs/>
          <w:color w:val="auto"/>
          <w:sz w:val="24"/>
        </w:rPr>
      </w:pPr>
      <w:r>
        <w:rPr>
          <w:rFonts w:hint="eastAsia"/>
          <w:bCs/>
          <w:color w:val="auto"/>
          <w:sz w:val="24"/>
        </w:rPr>
        <w:t>（3）未按磋商文件要求提供演示U盘造成专家无法正常评审的风险由供应商自行承担。</w:t>
      </w:r>
    </w:p>
    <w:p w14:paraId="7E01933C">
      <w:pPr>
        <w:rPr>
          <w:bCs/>
          <w:color w:val="auto"/>
          <w:sz w:val="24"/>
        </w:rPr>
      </w:pPr>
    </w:p>
    <w:p w14:paraId="6EE8AD6F">
      <w:pPr>
        <w:pStyle w:val="6"/>
        <w:ind w:left="0" w:firstLine="0"/>
        <w:rPr>
          <w:color w:val="auto"/>
        </w:rPr>
      </w:pPr>
      <w:bookmarkStart w:id="375" w:name="_Toc8949"/>
      <w:r>
        <w:rPr>
          <w:rFonts w:hint="eastAsia"/>
          <w:color w:val="auto"/>
          <w:lang w:val="en-US" w:eastAsia="zh-CN"/>
        </w:rPr>
        <w:t>三</w:t>
      </w:r>
      <w:r>
        <w:rPr>
          <w:rFonts w:hint="eastAsia"/>
          <w:color w:val="auto"/>
        </w:rPr>
        <w:t>、</w:t>
      </w:r>
      <w:r>
        <w:rPr>
          <w:rFonts w:hint="eastAsia"/>
          <w:bCs/>
          <w:color w:val="auto"/>
          <w:sz w:val="24"/>
        </w:rPr>
        <w:t>▲</w:t>
      </w:r>
      <w:r>
        <w:rPr>
          <w:rFonts w:hint="eastAsia"/>
          <w:color w:val="auto"/>
        </w:rPr>
        <w:t>商务要求</w:t>
      </w:r>
      <w:bookmarkEnd w:id="375"/>
    </w:p>
    <w:p w14:paraId="52C399FB">
      <w:pPr>
        <w:spacing w:line="360" w:lineRule="auto"/>
        <w:ind w:firstLine="420" w:firstLineChars="175"/>
        <w:rPr>
          <w:rFonts w:hint="eastAsia"/>
          <w:color w:val="auto"/>
          <w:sz w:val="24"/>
        </w:rPr>
      </w:pPr>
      <w:r>
        <w:rPr>
          <w:rFonts w:hint="eastAsia"/>
          <w:color w:val="auto"/>
          <w:sz w:val="24"/>
        </w:rPr>
        <w:t>甲方：采购人，乙方：成交供应商</w:t>
      </w:r>
    </w:p>
    <w:p w14:paraId="0FFFC9B3">
      <w:pPr>
        <w:spacing w:line="360" w:lineRule="auto"/>
        <w:ind w:firstLine="422" w:firstLineChars="175"/>
        <w:rPr>
          <w:rFonts w:hint="eastAsia"/>
          <w:color w:val="auto"/>
          <w:sz w:val="24"/>
        </w:rPr>
      </w:pPr>
      <w:r>
        <w:rPr>
          <w:rFonts w:hint="eastAsia"/>
          <w:b/>
          <w:bCs/>
          <w:color w:val="auto"/>
          <w:sz w:val="24"/>
        </w:rPr>
        <w:t>1、</w:t>
      </w:r>
      <w:r>
        <w:rPr>
          <w:rFonts w:hint="eastAsia" w:hAnsi="宋体" w:cs="宋体"/>
          <w:b/>
          <w:bCs/>
          <w:color w:val="auto"/>
          <w:sz w:val="24"/>
        </w:rPr>
        <w:t>服务期限</w:t>
      </w:r>
      <w:r>
        <w:rPr>
          <w:rFonts w:hint="eastAsia" w:hAnsi="宋体" w:cs="宋体"/>
          <w:color w:val="auto"/>
          <w:sz w:val="24"/>
        </w:rPr>
        <w:t>：</w:t>
      </w:r>
      <w:r>
        <w:rPr>
          <w:rFonts w:hint="eastAsia" w:hAnsi="宋体" w:cs="宋体"/>
          <w:color w:val="auto"/>
          <w:sz w:val="24"/>
          <w:lang w:val="en-US" w:eastAsia="zh-CN"/>
        </w:rPr>
        <w:t>约</w:t>
      </w:r>
      <w:r>
        <w:rPr>
          <w:rFonts w:hint="eastAsia" w:hAnsi="宋体" w:cs="宋体"/>
          <w:color w:val="auto"/>
          <w:sz w:val="24"/>
          <w:u w:val="single"/>
        </w:rPr>
        <w:t xml:space="preserve"> </w:t>
      </w:r>
      <w:r>
        <w:rPr>
          <w:rFonts w:hint="eastAsia" w:hAnsi="宋体" w:cs="宋体"/>
          <w:color w:val="auto"/>
          <w:sz w:val="24"/>
          <w:u w:val="single"/>
          <w:lang w:val="en-US" w:eastAsia="zh-CN"/>
        </w:rPr>
        <w:t>叁个月</w:t>
      </w:r>
      <w:r>
        <w:rPr>
          <w:rFonts w:hint="eastAsia" w:hAnsi="宋体" w:cs="宋体"/>
          <w:color w:val="auto"/>
          <w:sz w:val="24"/>
        </w:rPr>
        <w:t>，</w:t>
      </w:r>
      <w:r>
        <w:rPr>
          <w:rFonts w:hint="eastAsia" w:hAnsi="宋体" w:cs="宋体"/>
          <w:color w:val="auto"/>
          <w:sz w:val="24"/>
          <w:lang w:val="en-US" w:eastAsia="zh-CN"/>
        </w:rPr>
        <w:t>合同生效起</w:t>
      </w:r>
      <w:r>
        <w:rPr>
          <w:rFonts w:hint="eastAsia" w:hAnsi="宋体" w:cs="宋体"/>
          <w:color w:val="auto"/>
          <w:sz w:val="24"/>
        </w:rPr>
        <w:t>至</w:t>
      </w:r>
      <w:r>
        <w:rPr>
          <w:rFonts w:hint="eastAsia" w:hAnsi="宋体" w:cs="宋体"/>
          <w:color w:val="auto"/>
          <w:sz w:val="24"/>
          <w:u w:val="single"/>
        </w:rPr>
        <w:t xml:space="preserve">  </w:t>
      </w:r>
      <w:r>
        <w:rPr>
          <w:rFonts w:hint="eastAsia" w:hAnsi="宋体" w:cs="宋体"/>
          <w:color w:val="auto"/>
          <w:sz w:val="24"/>
          <w:u w:val="single"/>
          <w:lang w:val="en-US" w:eastAsia="zh-CN"/>
        </w:rPr>
        <w:t>2025</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12</w:t>
      </w:r>
      <w:r>
        <w:rPr>
          <w:rFonts w:hint="eastAsia" w:hAnsi="宋体" w:cs="宋体"/>
          <w:color w:val="auto"/>
          <w:sz w:val="24"/>
          <w:u w:val="single"/>
        </w:rPr>
        <w:t xml:space="preserve"> </w:t>
      </w:r>
      <w:r>
        <w:rPr>
          <w:rFonts w:hint="eastAsia" w:hAnsi="宋体" w:cs="宋体"/>
          <w:color w:val="auto"/>
          <w:sz w:val="24"/>
        </w:rPr>
        <w:t>月</w:t>
      </w:r>
      <w:r>
        <w:rPr>
          <w:rFonts w:hint="eastAsia" w:hAnsi="宋体" w:cs="宋体"/>
          <w:color w:val="auto"/>
          <w:sz w:val="24"/>
          <w:u w:val="single"/>
        </w:rPr>
        <w:t xml:space="preserve"> </w:t>
      </w:r>
      <w:r>
        <w:rPr>
          <w:rFonts w:hint="eastAsia" w:hAnsi="宋体" w:cs="宋体"/>
          <w:color w:val="auto"/>
          <w:sz w:val="24"/>
          <w:u w:val="single"/>
          <w:lang w:val="en-US" w:eastAsia="zh-CN"/>
        </w:rPr>
        <w:t>31</w:t>
      </w:r>
      <w:r>
        <w:rPr>
          <w:rFonts w:hint="eastAsia" w:hAnsi="宋体" w:cs="宋体"/>
          <w:color w:val="auto"/>
          <w:sz w:val="24"/>
          <w:u w:val="single"/>
        </w:rPr>
        <w:t xml:space="preserve"> </w:t>
      </w:r>
      <w:r>
        <w:rPr>
          <w:rFonts w:hint="eastAsia" w:hAnsi="宋体" w:cs="宋体"/>
          <w:color w:val="auto"/>
          <w:sz w:val="24"/>
        </w:rPr>
        <w:t>日。合同签署之日起至2025年12月31日前完成全部交付</w:t>
      </w:r>
      <w:r>
        <w:rPr>
          <w:rFonts w:hint="eastAsia" w:hAnsi="宋体" w:cs="宋体"/>
          <w:color w:val="auto"/>
          <w:sz w:val="24"/>
          <w:lang w:eastAsia="zh-CN"/>
        </w:rPr>
        <w:t>。</w:t>
      </w:r>
      <w:r>
        <w:rPr>
          <w:rFonts w:hint="eastAsia" w:hAnsi="宋体" w:cs="宋体"/>
          <w:color w:val="auto"/>
          <w:sz w:val="24"/>
          <w:lang w:val="en-US" w:eastAsia="zh-CN"/>
        </w:rPr>
        <w:t>质保不低于12个月，交付验收合格后开始计算</w:t>
      </w:r>
      <w:r>
        <w:rPr>
          <w:rFonts w:hint="eastAsia" w:hAnsi="宋体" w:cs="宋体"/>
          <w:color w:val="auto"/>
          <w:sz w:val="24"/>
        </w:rPr>
        <w:t>。</w:t>
      </w:r>
    </w:p>
    <w:p w14:paraId="7E40C168">
      <w:pPr>
        <w:spacing w:line="360" w:lineRule="auto"/>
        <w:ind w:firstLine="422" w:firstLineChars="175"/>
        <w:rPr>
          <w:rFonts w:hint="eastAsia"/>
          <w:color w:val="auto"/>
          <w:sz w:val="24"/>
          <w:u w:val="single"/>
        </w:rPr>
      </w:pPr>
      <w:r>
        <w:rPr>
          <w:rFonts w:hint="eastAsia"/>
          <w:b/>
          <w:bCs/>
          <w:color w:val="auto"/>
          <w:sz w:val="24"/>
        </w:rPr>
        <w:t>2、服务地点</w:t>
      </w:r>
      <w:r>
        <w:rPr>
          <w:rFonts w:hint="eastAsia"/>
          <w:color w:val="auto"/>
          <w:sz w:val="24"/>
        </w:rPr>
        <w:t>：</w:t>
      </w:r>
      <w:bookmarkStart w:id="376" w:name="_Hlk169254344"/>
      <w:r>
        <w:rPr>
          <w:rFonts w:hint="eastAsia"/>
          <w:color w:val="auto"/>
          <w:sz w:val="24"/>
        </w:rPr>
        <w:t>杭州电子科技大学</w:t>
      </w:r>
      <w:r>
        <w:rPr>
          <w:rFonts w:hint="eastAsia"/>
          <w:color w:val="auto"/>
          <w:sz w:val="24"/>
          <w:u w:val="single"/>
        </w:rPr>
        <w:t xml:space="preserve">  </w:t>
      </w:r>
      <w:r>
        <w:rPr>
          <w:rFonts w:hint="eastAsia"/>
          <w:color w:val="auto"/>
          <w:sz w:val="24"/>
          <w:u w:val="single"/>
          <w:lang w:val="en-US" w:eastAsia="zh-CN"/>
        </w:rPr>
        <w:t>甲方指定地点</w:t>
      </w:r>
      <w:r>
        <w:rPr>
          <w:rFonts w:hint="eastAsia"/>
          <w:color w:val="auto"/>
          <w:sz w:val="24"/>
          <w:u w:val="single"/>
        </w:rPr>
        <w:t xml:space="preserve">   </w:t>
      </w:r>
      <w:r>
        <w:rPr>
          <w:rFonts w:hint="eastAsia"/>
          <w:color w:val="auto"/>
          <w:sz w:val="24"/>
          <w:u w:val="single"/>
          <w:lang w:eastAsia="zh-CN"/>
        </w:rPr>
        <w:t>。</w:t>
      </w:r>
      <w:r>
        <w:rPr>
          <w:rFonts w:hint="eastAsia"/>
          <w:color w:val="auto"/>
          <w:sz w:val="24"/>
        </w:rPr>
        <w:t xml:space="preserve"> </w:t>
      </w:r>
      <w:bookmarkEnd w:id="376"/>
    </w:p>
    <w:p w14:paraId="10B6ECBD">
      <w:pPr>
        <w:spacing w:line="360" w:lineRule="auto"/>
        <w:ind w:firstLine="422" w:firstLineChars="175"/>
        <w:rPr>
          <w:b/>
          <w:bCs/>
          <w:color w:val="auto"/>
          <w:sz w:val="24"/>
          <w:szCs w:val="24"/>
        </w:rPr>
      </w:pPr>
      <w:r>
        <w:rPr>
          <w:rFonts w:hint="eastAsia"/>
          <w:b/>
          <w:bCs/>
          <w:color w:val="auto"/>
          <w:sz w:val="24"/>
        </w:rPr>
        <w:t>3、付款方式</w:t>
      </w:r>
      <w:r>
        <w:rPr>
          <w:rFonts w:hint="eastAsia"/>
          <w:color w:val="auto"/>
          <w:sz w:val="24"/>
        </w:rPr>
        <w:t>：合同生效以及具备实施条件后7个工作日内，且乙方已向甲方提交银行、保险公司等金融机构出具的预付款保函的，甲方向乙方支付合同总价的</w:t>
      </w:r>
      <w:r>
        <w:rPr>
          <w:rFonts w:hint="eastAsia"/>
          <w:color w:val="auto"/>
          <w:sz w:val="24"/>
          <w:u w:val="single"/>
        </w:rPr>
        <w:t xml:space="preserve">  30  </w:t>
      </w:r>
      <w:r>
        <w:rPr>
          <w:rFonts w:hint="eastAsia"/>
          <w:color w:val="auto"/>
          <w:sz w:val="24"/>
        </w:rPr>
        <w:t>%；服务结束，甲方验收合格并收到发票后7个工作日内，向乙方支付合同总价的</w:t>
      </w:r>
      <w:r>
        <w:rPr>
          <w:rFonts w:hint="eastAsia"/>
          <w:color w:val="auto"/>
          <w:sz w:val="24"/>
          <w:u w:val="single"/>
        </w:rPr>
        <w:t xml:space="preserve">  70  </w:t>
      </w:r>
      <w:r>
        <w:rPr>
          <w:rFonts w:hint="eastAsia"/>
          <w:color w:val="auto"/>
          <w:sz w:val="24"/>
        </w:rPr>
        <w:t>%。</w:t>
      </w:r>
    </w:p>
    <w:p w14:paraId="551385EB">
      <w:pPr>
        <w:pStyle w:val="6"/>
        <w:ind w:left="0" w:firstLine="0"/>
        <w:jc w:val="left"/>
        <w:rPr>
          <w:color w:val="auto"/>
        </w:rPr>
      </w:pPr>
      <w:bookmarkStart w:id="377" w:name="_Toc17327"/>
      <w:r>
        <w:rPr>
          <w:rFonts w:hint="eastAsia"/>
          <w:color w:val="auto"/>
          <w:lang w:val="en-US" w:eastAsia="zh-CN"/>
        </w:rPr>
        <w:t>四</w:t>
      </w:r>
      <w:r>
        <w:rPr>
          <w:rFonts w:hint="eastAsia"/>
          <w:color w:val="auto"/>
        </w:rPr>
        <w:t>、评分标准及</w:t>
      </w:r>
      <w:r>
        <w:rPr>
          <w:rFonts w:hint="eastAsia"/>
          <w:color w:val="auto"/>
          <w:lang w:val="en-US" w:eastAsia="zh-CN"/>
        </w:rPr>
        <w:t>合同基本条款</w:t>
      </w:r>
      <w:r>
        <w:rPr>
          <w:rFonts w:hint="eastAsia"/>
          <w:color w:val="auto"/>
        </w:rPr>
        <w:t>中明确的其它相关要求。</w:t>
      </w:r>
      <w:bookmarkEnd w:id="377"/>
    </w:p>
    <w:p w14:paraId="718632BC">
      <w:pPr>
        <w:spacing w:line="288" w:lineRule="auto"/>
        <w:jc w:val="left"/>
        <w:rPr>
          <w:rStyle w:val="56"/>
          <w:color w:val="auto"/>
        </w:rPr>
      </w:pPr>
      <w:r>
        <w:rPr>
          <w:rFonts w:hint="eastAsia" w:ascii="宋体" w:hAnsi="宋体" w:cs="宋体"/>
          <w:color w:val="auto"/>
          <w:sz w:val="24"/>
          <w:szCs w:val="24"/>
        </w:rPr>
        <w:br w:type="page"/>
      </w:r>
    </w:p>
    <w:bookmarkEnd w:id="365"/>
    <w:bookmarkEnd w:id="366"/>
    <w:bookmarkEnd w:id="367"/>
    <w:bookmarkEnd w:id="368"/>
    <w:bookmarkEnd w:id="369"/>
    <w:bookmarkEnd w:id="370"/>
    <w:bookmarkEnd w:id="371"/>
    <w:bookmarkEnd w:id="372"/>
    <w:bookmarkEnd w:id="373"/>
    <w:p w14:paraId="5FC0E259">
      <w:pPr>
        <w:spacing w:line="360" w:lineRule="auto"/>
        <w:jc w:val="center"/>
        <w:rPr>
          <w:rStyle w:val="56"/>
          <w:b w:val="0"/>
          <w:color w:val="auto"/>
          <w:szCs w:val="22"/>
        </w:rPr>
      </w:pPr>
      <w:bookmarkStart w:id="378" w:name="_Toc8403"/>
      <w:bookmarkStart w:id="379" w:name="_Toc14239"/>
      <w:bookmarkStart w:id="380" w:name="_Toc16392"/>
      <w:bookmarkStart w:id="381" w:name="_Toc19657"/>
      <w:bookmarkStart w:id="382" w:name="_Toc98"/>
      <w:bookmarkStart w:id="383" w:name="_Toc3339"/>
      <w:bookmarkStart w:id="384" w:name="_Toc28691"/>
      <w:bookmarkStart w:id="385" w:name="_Toc19846"/>
      <w:bookmarkStart w:id="386" w:name="_Toc12327"/>
      <w:bookmarkStart w:id="387" w:name="_Toc9292"/>
      <w:bookmarkStart w:id="388" w:name="_Toc13623"/>
      <w:bookmarkStart w:id="389" w:name="_Toc26662"/>
      <w:bookmarkStart w:id="390" w:name="_Toc17732"/>
      <w:bookmarkStart w:id="391" w:name="_Toc11902"/>
      <w:bookmarkStart w:id="392" w:name="_Toc18295"/>
      <w:bookmarkStart w:id="393" w:name="_Toc18980"/>
      <w:bookmarkStart w:id="394" w:name="_Toc11774"/>
      <w:bookmarkStart w:id="395" w:name="_Toc25130"/>
      <w:bookmarkStart w:id="396" w:name="_Toc3709"/>
      <w:bookmarkStart w:id="397" w:name="_Toc1851"/>
      <w:r>
        <w:rPr>
          <w:rStyle w:val="56"/>
          <w:rFonts w:hint="eastAsia"/>
          <w:b w:val="0"/>
          <w:color w:val="auto"/>
          <w:szCs w:val="22"/>
        </w:rPr>
        <w:t>第四部分 评审办法与评分标准</w:t>
      </w:r>
    </w:p>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14:paraId="3F3075F0">
      <w:pPr>
        <w:pStyle w:val="6"/>
        <w:ind w:left="0" w:firstLine="0"/>
        <w:rPr>
          <w:color w:val="auto"/>
        </w:rPr>
      </w:pPr>
      <w:bookmarkStart w:id="398" w:name="_Toc24170"/>
      <w:r>
        <w:rPr>
          <w:rFonts w:hint="eastAsia"/>
          <w:color w:val="auto"/>
        </w:rPr>
        <w:t>一、评审方法</w:t>
      </w:r>
      <w:bookmarkEnd w:id="398"/>
    </w:p>
    <w:p w14:paraId="3EB0933A">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421D1B12">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626B4CBB">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43D563E8">
      <w:pPr>
        <w:pStyle w:val="6"/>
        <w:ind w:left="0" w:firstLine="0"/>
        <w:rPr>
          <w:bCs/>
          <w:color w:val="auto"/>
          <w:sz w:val="24"/>
          <w:szCs w:val="24"/>
        </w:rPr>
      </w:pPr>
      <w:bookmarkStart w:id="399" w:name="_Toc4970"/>
      <w:r>
        <w:rPr>
          <w:rFonts w:hint="eastAsia"/>
          <w:bCs/>
          <w:color w:val="auto"/>
          <w:sz w:val="24"/>
          <w:szCs w:val="24"/>
        </w:rPr>
        <w:t>二、评审标准</w:t>
      </w:r>
      <w:bookmarkEnd w:id="399"/>
    </w:p>
    <w:tbl>
      <w:tblPr>
        <w:tblStyle w:val="45"/>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9"/>
        <w:gridCol w:w="645"/>
        <w:gridCol w:w="6792"/>
      </w:tblGrid>
      <w:tr w14:paraId="7579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dxa"/>
            <w:noWrap w:val="0"/>
            <w:vAlign w:val="center"/>
          </w:tcPr>
          <w:p w14:paraId="7B39D682">
            <w:pPr>
              <w:spacing w:line="288" w:lineRule="auto"/>
              <w:jc w:val="center"/>
              <w:rPr>
                <w:rFonts w:hint="eastAsia" w:ascii="宋体" w:hAnsi="宋体" w:cs="宋体"/>
                <w:color w:val="auto"/>
                <w:sz w:val="24"/>
              </w:rPr>
            </w:pPr>
            <w:r>
              <w:rPr>
                <w:rFonts w:hint="eastAsia" w:ascii="宋体" w:hAnsi="宋体" w:cs="宋体"/>
                <w:color w:val="auto"/>
                <w:sz w:val="24"/>
              </w:rPr>
              <w:t>评审因素</w:t>
            </w:r>
          </w:p>
        </w:tc>
        <w:tc>
          <w:tcPr>
            <w:tcW w:w="645" w:type="dxa"/>
            <w:noWrap w:val="0"/>
            <w:vAlign w:val="center"/>
          </w:tcPr>
          <w:p w14:paraId="49380CC0">
            <w:pPr>
              <w:spacing w:line="288" w:lineRule="auto"/>
              <w:jc w:val="center"/>
              <w:rPr>
                <w:rFonts w:hint="eastAsia" w:ascii="宋体" w:hAnsi="宋体" w:cs="宋体"/>
                <w:color w:val="auto"/>
                <w:sz w:val="24"/>
              </w:rPr>
            </w:pPr>
            <w:r>
              <w:rPr>
                <w:rFonts w:hint="eastAsia" w:ascii="宋体" w:hAnsi="宋体" w:cs="宋体"/>
                <w:color w:val="auto"/>
                <w:sz w:val="24"/>
              </w:rPr>
              <w:t>分值</w:t>
            </w:r>
          </w:p>
        </w:tc>
        <w:tc>
          <w:tcPr>
            <w:tcW w:w="6792" w:type="dxa"/>
            <w:noWrap w:val="0"/>
            <w:vAlign w:val="center"/>
          </w:tcPr>
          <w:p w14:paraId="745C876F">
            <w:pPr>
              <w:spacing w:line="288" w:lineRule="auto"/>
              <w:jc w:val="center"/>
              <w:rPr>
                <w:rFonts w:hint="eastAsia" w:ascii="宋体" w:hAnsi="宋体" w:cs="宋体"/>
                <w:color w:val="auto"/>
                <w:sz w:val="24"/>
              </w:rPr>
            </w:pPr>
            <w:r>
              <w:rPr>
                <w:rFonts w:hint="eastAsia" w:ascii="宋体" w:hAnsi="宋体" w:cs="宋体"/>
                <w:color w:val="auto"/>
                <w:sz w:val="24"/>
              </w:rPr>
              <w:t>评分细则</w:t>
            </w:r>
          </w:p>
        </w:tc>
      </w:tr>
      <w:tr w14:paraId="544F9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236" w:type="dxa"/>
            <w:gridSpan w:val="3"/>
            <w:noWrap w:val="0"/>
            <w:vAlign w:val="center"/>
          </w:tcPr>
          <w:p w14:paraId="2D00EEC5">
            <w:pPr>
              <w:spacing w:line="288" w:lineRule="auto"/>
              <w:jc w:val="left"/>
              <w:rPr>
                <w:rFonts w:hint="eastAsia" w:ascii="宋体" w:hAnsi="宋体" w:cs="宋体"/>
                <w:color w:val="auto"/>
                <w:sz w:val="24"/>
              </w:rPr>
            </w:pPr>
            <w:r>
              <w:rPr>
                <w:rFonts w:hint="eastAsia" w:ascii="宋体" w:hAnsi="宋体" w:cs="宋体"/>
                <w:color w:val="auto"/>
                <w:sz w:val="24"/>
              </w:rPr>
              <w:t>价格分（10分）</w:t>
            </w:r>
          </w:p>
        </w:tc>
      </w:tr>
      <w:tr w14:paraId="77DB8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1799" w:type="dxa"/>
            <w:noWrap w:val="0"/>
            <w:vAlign w:val="center"/>
          </w:tcPr>
          <w:p w14:paraId="4EECECC4">
            <w:pPr>
              <w:spacing w:line="288" w:lineRule="auto"/>
              <w:jc w:val="center"/>
              <w:rPr>
                <w:rFonts w:hint="eastAsia" w:ascii="宋体" w:hAnsi="宋体" w:cs="宋体"/>
                <w:color w:val="auto"/>
                <w:sz w:val="24"/>
              </w:rPr>
            </w:pPr>
            <w:r>
              <w:rPr>
                <w:rFonts w:hint="eastAsia" w:ascii="宋体" w:hAnsi="宋体" w:cs="宋体"/>
                <w:color w:val="auto"/>
                <w:sz w:val="24"/>
              </w:rPr>
              <w:t>最后磋商报价</w:t>
            </w:r>
          </w:p>
        </w:tc>
        <w:tc>
          <w:tcPr>
            <w:tcW w:w="645" w:type="dxa"/>
            <w:noWrap w:val="0"/>
            <w:vAlign w:val="center"/>
          </w:tcPr>
          <w:p w14:paraId="6E6C1A78">
            <w:pPr>
              <w:spacing w:line="288" w:lineRule="auto"/>
              <w:jc w:val="center"/>
              <w:rPr>
                <w:rFonts w:hint="eastAsia" w:ascii="宋体" w:hAnsi="宋体" w:cs="宋体"/>
                <w:color w:val="auto"/>
                <w:sz w:val="24"/>
              </w:rPr>
            </w:pPr>
            <w:r>
              <w:rPr>
                <w:rFonts w:hint="eastAsia" w:ascii="宋体" w:hAnsi="宋体" w:cs="宋体"/>
                <w:color w:val="auto"/>
                <w:sz w:val="24"/>
              </w:rPr>
              <w:t>10</w:t>
            </w:r>
          </w:p>
        </w:tc>
        <w:tc>
          <w:tcPr>
            <w:tcW w:w="6792" w:type="dxa"/>
            <w:noWrap w:val="0"/>
            <w:vAlign w:val="center"/>
          </w:tcPr>
          <w:p w14:paraId="7548F54B">
            <w:pPr>
              <w:spacing w:line="288" w:lineRule="auto"/>
              <w:rPr>
                <w:rFonts w:hint="eastAsia" w:ascii="宋体" w:hAnsi="宋体" w:cs="宋体"/>
                <w:color w:val="auto"/>
                <w:sz w:val="24"/>
              </w:rPr>
            </w:pPr>
            <w:r>
              <w:rPr>
                <w:rFonts w:hint="eastAsia" w:ascii="宋体" w:hAnsi="宋体" w:cs="宋体"/>
                <w:color w:val="auto"/>
                <w:sz w:val="24"/>
              </w:rPr>
              <w:t>价格分统一采用低价优先法计算，即满足磋商文件要求且最后报价最低的供应商的价格为磋商基准价，其价格分为满分。其他供应商的价格分统一按照下列公式计算：</w:t>
            </w:r>
          </w:p>
          <w:p w14:paraId="67D3C5F3">
            <w:pPr>
              <w:spacing w:line="288" w:lineRule="auto"/>
              <w:rPr>
                <w:rFonts w:hint="eastAsia" w:ascii="宋体" w:hAnsi="宋体" w:cs="宋体"/>
                <w:color w:val="auto"/>
                <w:sz w:val="24"/>
              </w:rPr>
            </w:pPr>
            <w:r>
              <w:rPr>
                <w:rFonts w:hint="eastAsia" w:ascii="宋体" w:hAnsi="宋体" w:cs="宋体"/>
                <w:color w:val="auto"/>
                <w:sz w:val="24"/>
              </w:rPr>
              <w:t>磋商报价得分=（磋商基准价/最后磋商报价）×10%×100。</w:t>
            </w:r>
          </w:p>
        </w:tc>
      </w:tr>
      <w:tr w14:paraId="359EC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36" w:type="dxa"/>
            <w:gridSpan w:val="3"/>
            <w:noWrap w:val="0"/>
            <w:vAlign w:val="center"/>
          </w:tcPr>
          <w:p w14:paraId="4B38643D">
            <w:pPr>
              <w:spacing w:line="288" w:lineRule="auto"/>
              <w:rPr>
                <w:rFonts w:hint="eastAsia" w:ascii="宋体" w:hAnsi="宋体" w:cs="宋体"/>
                <w:color w:val="auto"/>
                <w:sz w:val="24"/>
              </w:rPr>
            </w:pPr>
            <w:r>
              <w:rPr>
                <w:rFonts w:hint="eastAsia" w:ascii="宋体" w:hAnsi="宋体" w:cs="宋体"/>
                <w:color w:val="auto"/>
                <w:sz w:val="24"/>
              </w:rPr>
              <w:t>商务技术分（90分）</w:t>
            </w:r>
          </w:p>
        </w:tc>
      </w:tr>
      <w:tr w14:paraId="5EB1D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1799" w:type="dxa"/>
            <w:tcBorders>
              <w:bottom w:val="single" w:color="auto" w:sz="4" w:space="0"/>
            </w:tcBorders>
            <w:noWrap w:val="0"/>
            <w:vAlign w:val="center"/>
          </w:tcPr>
          <w:p w14:paraId="064CCDD9">
            <w:pPr>
              <w:spacing w:line="288" w:lineRule="auto"/>
              <w:jc w:val="center"/>
              <w:rPr>
                <w:rFonts w:hint="eastAsia" w:ascii="宋体" w:hAnsi="宋体" w:cs="宋体"/>
                <w:color w:val="auto"/>
                <w:sz w:val="24"/>
              </w:rPr>
            </w:pPr>
            <w:r>
              <w:rPr>
                <w:rFonts w:hint="eastAsia" w:ascii="宋体" w:hAnsi="宋体" w:cs="宋体"/>
                <w:color w:val="auto"/>
                <w:sz w:val="24"/>
              </w:rPr>
              <w:t>技术响应(35分)</w:t>
            </w:r>
          </w:p>
        </w:tc>
        <w:tc>
          <w:tcPr>
            <w:tcW w:w="645" w:type="dxa"/>
            <w:tcBorders>
              <w:bottom w:val="single" w:color="auto" w:sz="4" w:space="0"/>
            </w:tcBorders>
            <w:noWrap w:val="0"/>
            <w:vAlign w:val="center"/>
          </w:tcPr>
          <w:p w14:paraId="2D4CB1F9">
            <w:pPr>
              <w:spacing w:line="288" w:lineRule="auto"/>
              <w:jc w:val="center"/>
              <w:rPr>
                <w:rFonts w:hint="eastAsia" w:ascii="宋体" w:hAnsi="宋体" w:cs="宋体"/>
                <w:color w:val="auto"/>
                <w:kern w:val="0"/>
                <w:sz w:val="24"/>
              </w:rPr>
            </w:pPr>
            <w:r>
              <w:rPr>
                <w:rFonts w:hint="eastAsia" w:ascii="宋体" w:hAnsi="宋体" w:cs="宋体"/>
                <w:color w:val="auto"/>
                <w:sz w:val="24"/>
              </w:rPr>
              <w:t>35</w:t>
            </w:r>
          </w:p>
        </w:tc>
        <w:tc>
          <w:tcPr>
            <w:tcW w:w="6792" w:type="dxa"/>
            <w:tcBorders>
              <w:bottom w:val="single" w:color="auto" w:sz="4" w:space="0"/>
            </w:tcBorders>
            <w:noWrap w:val="0"/>
            <w:vAlign w:val="center"/>
          </w:tcPr>
          <w:p w14:paraId="0F141065">
            <w:pPr>
              <w:spacing w:line="288" w:lineRule="auto"/>
              <w:rPr>
                <w:rFonts w:hint="eastAsia" w:ascii="宋体" w:hAnsi="宋体" w:cs="宋体"/>
                <w:color w:val="auto"/>
                <w:kern w:val="0"/>
                <w:sz w:val="24"/>
              </w:rPr>
            </w:pPr>
            <w:r>
              <w:rPr>
                <w:rFonts w:hint="eastAsia" w:ascii="宋体" w:hAnsi="宋体" w:cs="宋体"/>
                <w:color w:val="auto"/>
                <w:kern w:val="0"/>
                <w:sz w:val="24"/>
              </w:rPr>
              <w:t>满足采购需求中服务内容中所有要求的得35分；负偏离每条扣1分，扣完为止。</w:t>
            </w:r>
          </w:p>
        </w:tc>
      </w:tr>
      <w:tr w14:paraId="4C242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dxa"/>
            <w:tcBorders>
              <w:top w:val="single" w:color="auto" w:sz="4" w:space="0"/>
              <w:left w:val="single" w:color="auto" w:sz="4" w:space="0"/>
              <w:bottom w:val="single" w:color="auto" w:sz="4" w:space="0"/>
            </w:tcBorders>
            <w:noWrap w:val="0"/>
            <w:vAlign w:val="center"/>
          </w:tcPr>
          <w:p w14:paraId="1FB86470">
            <w:pPr>
              <w:spacing w:line="288" w:lineRule="auto"/>
              <w:jc w:val="center"/>
              <w:rPr>
                <w:rFonts w:hint="eastAsia" w:ascii="宋体" w:hAnsi="宋体" w:cs="宋体"/>
                <w:color w:val="auto"/>
                <w:sz w:val="24"/>
              </w:rPr>
            </w:pPr>
            <w:r>
              <w:rPr>
                <w:rFonts w:hint="eastAsia" w:ascii="宋体" w:hAnsi="宋体" w:cs="宋体"/>
                <w:color w:val="auto"/>
                <w:sz w:val="24"/>
              </w:rPr>
              <w:t>项目需求分析</w:t>
            </w:r>
          </w:p>
          <w:p w14:paraId="22BAC527">
            <w:pPr>
              <w:spacing w:line="288" w:lineRule="auto"/>
              <w:jc w:val="center"/>
              <w:rPr>
                <w:rFonts w:hint="eastAsia" w:ascii="宋体" w:hAnsi="宋体" w:cs="宋体"/>
                <w:color w:val="auto"/>
                <w:sz w:val="24"/>
              </w:rPr>
            </w:pPr>
            <w:r>
              <w:rPr>
                <w:rFonts w:hint="eastAsia" w:ascii="宋体" w:hAnsi="宋体" w:cs="宋体"/>
                <w:color w:val="auto"/>
                <w:sz w:val="24"/>
              </w:rPr>
              <w:t>（5分）</w:t>
            </w:r>
          </w:p>
        </w:tc>
        <w:tc>
          <w:tcPr>
            <w:tcW w:w="645" w:type="dxa"/>
            <w:tcBorders>
              <w:top w:val="single" w:color="auto" w:sz="4" w:space="0"/>
              <w:bottom w:val="single" w:color="auto" w:sz="4" w:space="0"/>
            </w:tcBorders>
            <w:noWrap w:val="0"/>
            <w:vAlign w:val="center"/>
          </w:tcPr>
          <w:p w14:paraId="7D4A65F1">
            <w:pPr>
              <w:spacing w:line="288" w:lineRule="auto"/>
              <w:jc w:val="center"/>
              <w:rPr>
                <w:rFonts w:hint="eastAsia" w:ascii="宋体" w:hAnsi="宋体" w:cs="宋体"/>
                <w:color w:val="auto"/>
                <w:sz w:val="24"/>
              </w:rPr>
            </w:pPr>
            <w:r>
              <w:rPr>
                <w:rFonts w:hint="eastAsia" w:ascii="宋体" w:hAnsi="宋体" w:cs="宋体"/>
                <w:color w:val="auto"/>
                <w:sz w:val="24"/>
              </w:rPr>
              <w:t>5</w:t>
            </w:r>
          </w:p>
        </w:tc>
        <w:tc>
          <w:tcPr>
            <w:tcW w:w="6792" w:type="dxa"/>
            <w:tcBorders>
              <w:top w:val="single" w:color="auto" w:sz="4" w:space="0"/>
              <w:bottom w:val="single" w:color="auto" w:sz="4" w:space="0"/>
              <w:right w:val="single" w:color="auto" w:sz="4" w:space="0"/>
            </w:tcBorders>
            <w:noWrap w:val="0"/>
            <w:vAlign w:val="center"/>
          </w:tcPr>
          <w:p w14:paraId="1F68773B">
            <w:pPr>
              <w:spacing w:line="288" w:lineRule="auto"/>
              <w:jc w:val="left"/>
              <w:rPr>
                <w:rFonts w:hint="eastAsia" w:ascii="宋体" w:hAnsi="宋体" w:cs="宋体"/>
                <w:color w:val="auto"/>
                <w:sz w:val="24"/>
              </w:rPr>
            </w:pPr>
            <w:r>
              <w:rPr>
                <w:rFonts w:hint="eastAsia" w:ascii="宋体" w:hAnsi="宋体" w:cs="宋体"/>
                <w:color w:val="auto"/>
                <w:sz w:val="24"/>
              </w:rPr>
              <w:t>结合服务内容，对需求分析的透彻、内容全面、对项目需求了解清晰的程度方面打分，最高5分。</w:t>
            </w:r>
          </w:p>
        </w:tc>
      </w:tr>
      <w:tr w14:paraId="54A0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dxa"/>
            <w:tcBorders>
              <w:top w:val="single" w:color="auto" w:sz="4" w:space="0"/>
            </w:tcBorders>
            <w:noWrap w:val="0"/>
            <w:vAlign w:val="center"/>
          </w:tcPr>
          <w:p w14:paraId="674902BD">
            <w:pPr>
              <w:widowControl/>
              <w:spacing w:line="288" w:lineRule="auto"/>
              <w:jc w:val="center"/>
              <w:rPr>
                <w:rFonts w:hint="eastAsia" w:ascii="宋体" w:hAnsi="宋体" w:cs="宋体"/>
                <w:color w:val="auto"/>
                <w:sz w:val="24"/>
              </w:rPr>
            </w:pPr>
            <w:r>
              <w:rPr>
                <w:rFonts w:hint="eastAsia" w:ascii="宋体" w:hAnsi="宋体" w:cs="宋体"/>
                <w:color w:val="auto"/>
                <w:sz w:val="24"/>
              </w:rPr>
              <w:t>服务理念及目标</w:t>
            </w:r>
          </w:p>
          <w:p w14:paraId="2882EA02">
            <w:pPr>
              <w:widowControl/>
              <w:spacing w:line="288" w:lineRule="auto"/>
              <w:jc w:val="center"/>
              <w:rPr>
                <w:rFonts w:hint="eastAsia" w:ascii="宋体" w:hAnsi="宋体" w:cs="宋体"/>
                <w:color w:val="auto"/>
                <w:kern w:val="0"/>
                <w:sz w:val="24"/>
              </w:rPr>
            </w:pPr>
            <w:r>
              <w:rPr>
                <w:rFonts w:hint="eastAsia" w:ascii="宋体" w:hAnsi="宋体" w:cs="宋体"/>
                <w:color w:val="auto"/>
                <w:sz w:val="24"/>
              </w:rPr>
              <w:t>（5分）</w:t>
            </w:r>
          </w:p>
        </w:tc>
        <w:tc>
          <w:tcPr>
            <w:tcW w:w="645" w:type="dxa"/>
            <w:tcBorders>
              <w:top w:val="single" w:color="auto" w:sz="4" w:space="0"/>
            </w:tcBorders>
            <w:noWrap w:val="0"/>
            <w:vAlign w:val="center"/>
          </w:tcPr>
          <w:p w14:paraId="391AEE5A">
            <w:pPr>
              <w:widowControl/>
              <w:spacing w:line="288" w:lineRule="auto"/>
              <w:jc w:val="center"/>
              <w:rPr>
                <w:rFonts w:hint="eastAsia" w:ascii="宋体" w:hAnsi="宋体" w:cs="宋体"/>
                <w:color w:val="auto"/>
                <w:kern w:val="0"/>
                <w:sz w:val="24"/>
              </w:rPr>
            </w:pPr>
            <w:r>
              <w:rPr>
                <w:rFonts w:hint="eastAsia" w:ascii="宋体" w:hAnsi="宋体" w:cs="宋体"/>
                <w:color w:val="auto"/>
                <w:kern w:val="0"/>
                <w:sz w:val="24"/>
              </w:rPr>
              <w:t>5</w:t>
            </w:r>
          </w:p>
        </w:tc>
        <w:tc>
          <w:tcPr>
            <w:tcW w:w="6792" w:type="dxa"/>
            <w:tcBorders>
              <w:top w:val="single" w:color="auto" w:sz="4" w:space="0"/>
            </w:tcBorders>
            <w:noWrap w:val="0"/>
            <w:vAlign w:val="center"/>
          </w:tcPr>
          <w:p w14:paraId="050A0D03">
            <w:pPr>
              <w:widowControl/>
              <w:spacing w:line="288" w:lineRule="auto"/>
              <w:jc w:val="left"/>
              <w:rPr>
                <w:rFonts w:ascii="宋体" w:hAnsi="宋体" w:cs="宋体"/>
                <w:color w:val="auto"/>
                <w:kern w:val="0"/>
                <w:sz w:val="24"/>
              </w:rPr>
            </w:pPr>
            <w:r>
              <w:rPr>
                <w:rFonts w:hint="eastAsia" w:ascii="宋体" w:hAnsi="宋体" w:cs="宋体"/>
                <w:color w:val="auto"/>
                <w:kern w:val="0"/>
                <w:sz w:val="24"/>
              </w:rPr>
              <w:t>根据服务理念先进性、科学性及目标可实现性、符合性进行评审，最高5分。</w:t>
            </w:r>
          </w:p>
        </w:tc>
      </w:tr>
      <w:tr w14:paraId="7B39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dxa"/>
            <w:vMerge w:val="restart"/>
            <w:noWrap w:val="0"/>
            <w:vAlign w:val="center"/>
          </w:tcPr>
          <w:p w14:paraId="147E23C4">
            <w:pPr>
              <w:spacing w:before="24" w:after="24" w:line="288" w:lineRule="auto"/>
              <w:jc w:val="center"/>
              <w:rPr>
                <w:rFonts w:hint="eastAsia" w:ascii="宋体" w:hAnsi="宋体" w:cs="宋体"/>
                <w:color w:val="auto"/>
                <w:kern w:val="0"/>
                <w:sz w:val="24"/>
              </w:rPr>
            </w:pPr>
            <w:r>
              <w:rPr>
                <w:rFonts w:hint="eastAsia" w:ascii="宋体" w:hAnsi="宋体" w:cs="宋体"/>
                <w:color w:val="auto"/>
                <w:kern w:val="0"/>
                <w:sz w:val="24"/>
              </w:rPr>
              <w:t>服务方案(24分)</w:t>
            </w:r>
          </w:p>
        </w:tc>
        <w:tc>
          <w:tcPr>
            <w:tcW w:w="645" w:type="dxa"/>
            <w:noWrap w:val="0"/>
            <w:vAlign w:val="center"/>
          </w:tcPr>
          <w:p w14:paraId="3FA99A77">
            <w:pPr>
              <w:widowControl/>
              <w:spacing w:line="288" w:lineRule="auto"/>
              <w:jc w:val="center"/>
              <w:rPr>
                <w:rFonts w:hint="eastAsia" w:ascii="宋体" w:hAnsi="宋体" w:cs="宋体"/>
                <w:color w:val="auto"/>
                <w:kern w:val="0"/>
                <w:sz w:val="24"/>
              </w:rPr>
            </w:pPr>
            <w:r>
              <w:rPr>
                <w:rFonts w:hint="eastAsia" w:ascii="宋体" w:hAnsi="宋体" w:cs="宋体"/>
                <w:color w:val="auto"/>
                <w:kern w:val="0"/>
                <w:sz w:val="24"/>
              </w:rPr>
              <w:t>5</w:t>
            </w:r>
          </w:p>
        </w:tc>
        <w:tc>
          <w:tcPr>
            <w:tcW w:w="6792" w:type="dxa"/>
            <w:noWrap w:val="0"/>
            <w:vAlign w:val="center"/>
          </w:tcPr>
          <w:p w14:paraId="596B5F9F">
            <w:pPr>
              <w:widowControl/>
              <w:spacing w:line="288" w:lineRule="auto"/>
              <w:jc w:val="left"/>
              <w:rPr>
                <w:rFonts w:hint="eastAsia" w:ascii="宋体" w:hAnsi="宋体" w:cs="宋体"/>
                <w:color w:val="auto"/>
                <w:kern w:val="0"/>
                <w:sz w:val="24"/>
              </w:rPr>
            </w:pPr>
            <w:r>
              <w:rPr>
                <w:rFonts w:hint="eastAsia" w:ascii="宋体" w:hAnsi="宋体" w:cs="宋体"/>
                <w:color w:val="auto"/>
                <w:sz w:val="24"/>
              </w:rPr>
              <w:t>系统管理架构完善、逻辑清晰、内容全面详实方面打分，最高5</w:t>
            </w:r>
            <w:r>
              <w:rPr>
                <w:rFonts w:hint="eastAsia" w:ascii="宋体" w:hAnsi="宋体" w:cs="宋体"/>
                <w:color w:val="auto"/>
                <w:kern w:val="0"/>
                <w:sz w:val="24"/>
              </w:rPr>
              <w:t>分。</w:t>
            </w:r>
          </w:p>
        </w:tc>
      </w:tr>
      <w:tr w14:paraId="31424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dxa"/>
            <w:vMerge w:val="continue"/>
            <w:noWrap w:val="0"/>
            <w:vAlign w:val="center"/>
          </w:tcPr>
          <w:p w14:paraId="30019E42">
            <w:pPr>
              <w:spacing w:before="24" w:after="24" w:line="288" w:lineRule="auto"/>
              <w:jc w:val="center"/>
              <w:rPr>
                <w:rFonts w:hint="eastAsia" w:ascii="宋体" w:hAnsi="宋体" w:cs="宋体"/>
                <w:color w:val="auto"/>
                <w:kern w:val="0"/>
                <w:sz w:val="24"/>
              </w:rPr>
            </w:pPr>
          </w:p>
        </w:tc>
        <w:tc>
          <w:tcPr>
            <w:tcW w:w="645" w:type="dxa"/>
            <w:noWrap w:val="0"/>
            <w:vAlign w:val="center"/>
          </w:tcPr>
          <w:p w14:paraId="682B43F5">
            <w:pPr>
              <w:spacing w:line="288" w:lineRule="auto"/>
              <w:jc w:val="center"/>
              <w:rPr>
                <w:rFonts w:hint="eastAsia" w:ascii="宋体" w:hAnsi="宋体" w:cs="宋体"/>
                <w:color w:val="auto"/>
                <w:kern w:val="0"/>
                <w:sz w:val="24"/>
              </w:rPr>
            </w:pPr>
            <w:r>
              <w:rPr>
                <w:rFonts w:hint="eastAsia" w:ascii="宋体" w:hAnsi="宋体" w:cs="宋体"/>
                <w:color w:val="auto"/>
                <w:sz w:val="24"/>
              </w:rPr>
              <w:t>5</w:t>
            </w:r>
          </w:p>
        </w:tc>
        <w:tc>
          <w:tcPr>
            <w:tcW w:w="6792" w:type="dxa"/>
            <w:noWrap w:val="0"/>
            <w:vAlign w:val="center"/>
          </w:tcPr>
          <w:p w14:paraId="37703342">
            <w:pPr>
              <w:pStyle w:val="195"/>
              <w:adjustRightInd/>
              <w:spacing w:line="288" w:lineRule="auto"/>
              <w:ind w:left="63" w:right="63"/>
              <w:contextualSpacing/>
              <w:jc w:val="left"/>
              <w:rPr>
                <w:rFonts w:hint="eastAsia" w:ascii="宋体" w:hAnsi="宋体" w:cs="宋体"/>
                <w:color w:val="auto"/>
                <w:sz w:val="24"/>
                <w:szCs w:val="24"/>
              </w:rPr>
            </w:pPr>
            <w:r>
              <w:rPr>
                <w:rFonts w:hint="eastAsia" w:ascii="宋体" w:hAnsi="宋体" w:cs="宋体"/>
                <w:color w:val="auto"/>
                <w:sz w:val="24"/>
                <w:szCs w:val="24"/>
              </w:rPr>
              <w:t>根据项目的组织管理和实施计划安排方案进行评审，从方案内容编制科学、合理，质量、进度保障措施与相关的协调配合措施内容全面，工作计划完整、合理并提供详细的进度计划表，可操作性等方面打分，最高5分。</w:t>
            </w:r>
          </w:p>
        </w:tc>
      </w:tr>
      <w:tr w14:paraId="662AA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799" w:type="dxa"/>
            <w:vMerge w:val="continue"/>
            <w:noWrap w:val="0"/>
            <w:vAlign w:val="center"/>
          </w:tcPr>
          <w:p w14:paraId="2A665BE8">
            <w:pPr>
              <w:spacing w:before="24" w:after="24" w:line="288" w:lineRule="auto"/>
              <w:jc w:val="center"/>
              <w:rPr>
                <w:rFonts w:hint="eastAsia" w:ascii="宋体" w:hAnsi="宋体" w:cs="宋体"/>
                <w:color w:val="auto"/>
                <w:kern w:val="0"/>
                <w:sz w:val="24"/>
              </w:rPr>
            </w:pPr>
          </w:p>
        </w:tc>
        <w:tc>
          <w:tcPr>
            <w:tcW w:w="645" w:type="dxa"/>
            <w:noWrap w:val="0"/>
            <w:vAlign w:val="center"/>
          </w:tcPr>
          <w:p w14:paraId="1AD7EF43">
            <w:pPr>
              <w:widowControl/>
              <w:spacing w:line="288" w:lineRule="auto"/>
              <w:jc w:val="center"/>
              <w:rPr>
                <w:rFonts w:hint="eastAsia" w:ascii="宋体" w:hAnsi="宋体" w:cs="宋体"/>
                <w:color w:val="auto"/>
                <w:kern w:val="0"/>
                <w:sz w:val="24"/>
              </w:rPr>
            </w:pPr>
            <w:r>
              <w:rPr>
                <w:rFonts w:hint="eastAsia" w:ascii="宋体" w:hAnsi="宋体" w:cs="宋体"/>
                <w:color w:val="auto"/>
                <w:kern w:val="0"/>
                <w:sz w:val="24"/>
              </w:rPr>
              <w:t>4</w:t>
            </w:r>
          </w:p>
        </w:tc>
        <w:tc>
          <w:tcPr>
            <w:tcW w:w="6792" w:type="dxa"/>
            <w:noWrap w:val="0"/>
            <w:vAlign w:val="center"/>
          </w:tcPr>
          <w:p w14:paraId="263A4387">
            <w:pPr>
              <w:widowControl/>
              <w:spacing w:line="288" w:lineRule="auto"/>
              <w:jc w:val="left"/>
              <w:rPr>
                <w:rFonts w:hint="eastAsia" w:ascii="宋体" w:hAnsi="宋体" w:cs="宋体"/>
                <w:color w:val="auto"/>
                <w:kern w:val="0"/>
                <w:sz w:val="24"/>
              </w:rPr>
            </w:pPr>
            <w:r>
              <w:rPr>
                <w:rFonts w:hint="eastAsia" w:ascii="宋体" w:hAnsi="宋体" w:cs="宋体"/>
                <w:color w:val="auto"/>
                <w:sz w:val="24"/>
              </w:rPr>
              <w:t>工作程序（流程），从方</w:t>
            </w:r>
            <w:r>
              <w:rPr>
                <w:rFonts w:hint="eastAsia" w:ascii="宋体" w:hAnsi="宋体" w:cs="宋体"/>
                <w:color w:val="auto"/>
                <w:kern w:val="0"/>
                <w:sz w:val="24"/>
              </w:rPr>
              <w:t>案内容编制科学性、工序严谨性，符合项目实际需求等方面打分，最高4分。</w:t>
            </w:r>
          </w:p>
        </w:tc>
      </w:tr>
      <w:tr w14:paraId="0C8D4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dxa"/>
            <w:vMerge w:val="continue"/>
            <w:noWrap w:val="0"/>
            <w:vAlign w:val="center"/>
          </w:tcPr>
          <w:p w14:paraId="1F9A75A3">
            <w:pPr>
              <w:spacing w:line="288" w:lineRule="auto"/>
              <w:jc w:val="center"/>
              <w:rPr>
                <w:rFonts w:hint="eastAsia" w:ascii="宋体" w:hAnsi="宋体" w:cs="宋体"/>
                <w:color w:val="auto"/>
                <w:sz w:val="24"/>
              </w:rPr>
            </w:pPr>
          </w:p>
        </w:tc>
        <w:tc>
          <w:tcPr>
            <w:tcW w:w="645" w:type="dxa"/>
            <w:noWrap w:val="0"/>
            <w:vAlign w:val="center"/>
          </w:tcPr>
          <w:p w14:paraId="74318F19">
            <w:pPr>
              <w:widowControl/>
              <w:spacing w:line="288" w:lineRule="auto"/>
              <w:jc w:val="center"/>
              <w:rPr>
                <w:rFonts w:hint="eastAsia" w:ascii="宋体" w:hAnsi="宋体" w:cs="宋体"/>
                <w:color w:val="auto"/>
                <w:kern w:val="0"/>
                <w:sz w:val="24"/>
              </w:rPr>
            </w:pPr>
            <w:r>
              <w:rPr>
                <w:rFonts w:hint="eastAsia" w:ascii="宋体" w:hAnsi="宋体" w:cs="宋体"/>
                <w:color w:val="auto"/>
                <w:kern w:val="0"/>
                <w:sz w:val="24"/>
              </w:rPr>
              <w:t>5</w:t>
            </w:r>
          </w:p>
        </w:tc>
        <w:tc>
          <w:tcPr>
            <w:tcW w:w="6792" w:type="dxa"/>
            <w:noWrap w:val="0"/>
            <w:vAlign w:val="center"/>
          </w:tcPr>
          <w:p w14:paraId="047697D6">
            <w:pPr>
              <w:widowControl/>
              <w:spacing w:line="288" w:lineRule="auto"/>
              <w:jc w:val="left"/>
              <w:textAlignment w:val="center"/>
              <w:rPr>
                <w:rFonts w:hint="eastAsia" w:ascii="宋体" w:hAnsi="宋体" w:cs="宋体"/>
                <w:color w:val="auto"/>
                <w:kern w:val="0"/>
                <w:sz w:val="24"/>
              </w:rPr>
            </w:pPr>
            <w:bookmarkStart w:id="850" w:name="_GoBack"/>
            <w:r>
              <w:rPr>
                <w:rFonts w:hint="eastAsia" w:ascii="宋体" w:hAnsi="宋体" w:cs="宋体"/>
                <w:color w:val="auto"/>
                <w:kern w:val="0"/>
                <w:sz w:val="24"/>
              </w:rPr>
              <w:t>根据培训方案全面、详尽、科学程度，对应培训人员、人数、方式、时间等实质性内容综合打分，最高5分。</w:t>
            </w:r>
            <w:bookmarkEnd w:id="850"/>
          </w:p>
        </w:tc>
      </w:tr>
      <w:tr w14:paraId="673D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dxa"/>
            <w:vMerge w:val="continue"/>
            <w:noWrap w:val="0"/>
            <w:vAlign w:val="center"/>
          </w:tcPr>
          <w:p w14:paraId="4FF8A7A6">
            <w:pPr>
              <w:spacing w:line="288" w:lineRule="auto"/>
              <w:jc w:val="center"/>
              <w:rPr>
                <w:rFonts w:hint="eastAsia" w:ascii="宋体" w:hAnsi="宋体" w:cs="宋体"/>
                <w:color w:val="auto"/>
                <w:sz w:val="24"/>
              </w:rPr>
            </w:pPr>
          </w:p>
        </w:tc>
        <w:tc>
          <w:tcPr>
            <w:tcW w:w="645" w:type="dxa"/>
            <w:noWrap w:val="0"/>
            <w:vAlign w:val="center"/>
          </w:tcPr>
          <w:p w14:paraId="388C4D59">
            <w:pPr>
              <w:widowControl/>
              <w:spacing w:line="288" w:lineRule="auto"/>
              <w:jc w:val="center"/>
              <w:rPr>
                <w:rFonts w:hint="eastAsia" w:ascii="宋体" w:hAnsi="宋体" w:cs="宋体"/>
                <w:color w:val="auto"/>
                <w:kern w:val="0"/>
                <w:sz w:val="24"/>
              </w:rPr>
            </w:pPr>
            <w:r>
              <w:rPr>
                <w:rFonts w:hint="eastAsia" w:ascii="宋体" w:hAnsi="宋体" w:cs="宋体"/>
                <w:color w:val="auto"/>
                <w:kern w:val="0"/>
                <w:sz w:val="24"/>
              </w:rPr>
              <w:t>5</w:t>
            </w:r>
          </w:p>
        </w:tc>
        <w:tc>
          <w:tcPr>
            <w:tcW w:w="6792" w:type="dxa"/>
            <w:noWrap w:val="0"/>
            <w:vAlign w:val="center"/>
          </w:tcPr>
          <w:p w14:paraId="7E10153E">
            <w:pPr>
              <w:spacing w:line="288" w:lineRule="auto"/>
              <w:rPr>
                <w:rFonts w:ascii="宋体" w:hAnsi="宋体" w:cs="宋体"/>
                <w:color w:val="auto"/>
                <w:sz w:val="24"/>
              </w:rPr>
            </w:pPr>
            <w:r>
              <w:rPr>
                <w:rFonts w:hint="eastAsia" w:ascii="宋体" w:hAnsi="宋体" w:cs="宋体"/>
                <w:color w:val="auto"/>
                <w:sz w:val="24"/>
              </w:rPr>
              <w:t>项目售后服务体系方案：包括响应时间及保障措施保证措施、售后服务内容等内容进行综合打分，最高5分。</w:t>
            </w:r>
          </w:p>
        </w:tc>
      </w:tr>
      <w:tr w14:paraId="46195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dxa"/>
            <w:noWrap w:val="0"/>
            <w:vAlign w:val="center"/>
          </w:tcPr>
          <w:p w14:paraId="5CE5B6D2">
            <w:pPr>
              <w:widowControl/>
              <w:spacing w:line="288" w:lineRule="auto"/>
              <w:jc w:val="center"/>
              <w:rPr>
                <w:rFonts w:hint="eastAsia" w:ascii="宋体" w:hAnsi="宋体" w:cs="宋体"/>
                <w:color w:val="auto"/>
                <w:sz w:val="24"/>
              </w:rPr>
            </w:pPr>
            <w:r>
              <w:rPr>
                <w:rFonts w:hint="eastAsia" w:ascii="宋体" w:hAnsi="宋体" w:cs="宋体"/>
                <w:color w:val="auto"/>
                <w:sz w:val="24"/>
              </w:rPr>
              <w:t>服务团队情况</w:t>
            </w:r>
          </w:p>
          <w:p w14:paraId="4C56E68A">
            <w:pPr>
              <w:widowControl/>
              <w:spacing w:line="288" w:lineRule="auto"/>
              <w:jc w:val="center"/>
              <w:rPr>
                <w:rFonts w:hint="eastAsia" w:ascii="宋体" w:hAnsi="宋体" w:cs="宋体"/>
                <w:color w:val="auto"/>
                <w:sz w:val="24"/>
              </w:rPr>
            </w:pPr>
            <w:r>
              <w:rPr>
                <w:rFonts w:hint="eastAsia" w:ascii="宋体" w:hAnsi="宋体" w:cs="宋体"/>
                <w:color w:val="auto"/>
                <w:sz w:val="24"/>
              </w:rPr>
              <w:t>（5分）</w:t>
            </w:r>
          </w:p>
        </w:tc>
        <w:tc>
          <w:tcPr>
            <w:tcW w:w="645" w:type="dxa"/>
            <w:noWrap w:val="0"/>
            <w:vAlign w:val="center"/>
          </w:tcPr>
          <w:p w14:paraId="52EC3106">
            <w:pPr>
              <w:spacing w:line="288" w:lineRule="auto"/>
              <w:jc w:val="center"/>
              <w:rPr>
                <w:rFonts w:hint="eastAsia" w:ascii="宋体" w:hAnsi="宋体" w:cs="宋体"/>
                <w:color w:val="auto"/>
                <w:sz w:val="24"/>
              </w:rPr>
            </w:pPr>
            <w:r>
              <w:rPr>
                <w:rFonts w:hint="eastAsia" w:ascii="宋体" w:hAnsi="宋体" w:cs="宋体"/>
                <w:color w:val="auto"/>
                <w:sz w:val="24"/>
              </w:rPr>
              <w:t>5</w:t>
            </w:r>
          </w:p>
        </w:tc>
        <w:tc>
          <w:tcPr>
            <w:tcW w:w="6792" w:type="dxa"/>
            <w:noWrap w:val="0"/>
            <w:vAlign w:val="center"/>
          </w:tcPr>
          <w:p w14:paraId="15500674">
            <w:pPr>
              <w:widowControl/>
              <w:spacing w:line="288" w:lineRule="auto"/>
              <w:jc w:val="left"/>
              <w:rPr>
                <w:rFonts w:hint="eastAsia" w:ascii="宋体" w:hAnsi="宋体" w:cs="宋体"/>
                <w:color w:val="auto"/>
                <w:sz w:val="24"/>
              </w:rPr>
            </w:pPr>
            <w:r>
              <w:rPr>
                <w:rFonts w:hint="eastAsia" w:ascii="宋体" w:hAnsi="宋体" w:cs="宋体"/>
                <w:color w:val="auto"/>
                <w:kern w:val="0"/>
                <w:sz w:val="24"/>
              </w:rPr>
              <w:t>根据项目团队得岗位配置及数量合理性、专业性及资历情况进行综合打分，须提供相关人员的证书复印件（如有）及近3个月社保证明，否则不得分，最高5分。</w:t>
            </w:r>
          </w:p>
        </w:tc>
      </w:tr>
      <w:tr w14:paraId="419A5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dxa"/>
            <w:noWrap w:val="0"/>
            <w:vAlign w:val="center"/>
          </w:tcPr>
          <w:p w14:paraId="100F614B">
            <w:pPr>
              <w:widowControl/>
              <w:spacing w:line="288" w:lineRule="auto"/>
              <w:jc w:val="center"/>
              <w:rPr>
                <w:rFonts w:hint="eastAsia" w:ascii="宋体" w:hAnsi="宋体" w:cs="宋体"/>
                <w:color w:val="auto"/>
                <w:sz w:val="24"/>
              </w:rPr>
            </w:pPr>
            <w:r>
              <w:rPr>
                <w:rFonts w:hint="eastAsia" w:ascii="宋体" w:hAnsi="宋体" w:cs="宋体"/>
                <w:color w:val="auto"/>
                <w:sz w:val="24"/>
              </w:rPr>
              <w:t>同类项目的业绩</w:t>
            </w:r>
          </w:p>
          <w:p w14:paraId="0176CF51">
            <w:pPr>
              <w:widowControl/>
              <w:spacing w:line="288" w:lineRule="auto"/>
              <w:jc w:val="center"/>
              <w:rPr>
                <w:rFonts w:hint="eastAsia" w:ascii="宋体" w:hAnsi="宋体" w:cs="宋体"/>
                <w:color w:val="auto"/>
                <w:sz w:val="24"/>
              </w:rPr>
            </w:pPr>
            <w:r>
              <w:rPr>
                <w:rFonts w:hint="eastAsia" w:ascii="宋体" w:hAnsi="宋体" w:cs="宋体"/>
                <w:color w:val="auto"/>
                <w:sz w:val="24"/>
              </w:rPr>
              <w:t>（1分）</w:t>
            </w:r>
          </w:p>
        </w:tc>
        <w:tc>
          <w:tcPr>
            <w:tcW w:w="645" w:type="dxa"/>
            <w:noWrap w:val="0"/>
            <w:vAlign w:val="center"/>
          </w:tcPr>
          <w:p w14:paraId="2F8E403E">
            <w:pPr>
              <w:spacing w:line="288" w:lineRule="auto"/>
              <w:jc w:val="center"/>
              <w:rPr>
                <w:rFonts w:hint="eastAsia" w:ascii="宋体" w:hAnsi="宋体" w:cs="宋体"/>
                <w:color w:val="auto"/>
                <w:sz w:val="24"/>
              </w:rPr>
            </w:pPr>
            <w:r>
              <w:rPr>
                <w:rFonts w:hint="eastAsia" w:ascii="宋体" w:hAnsi="宋体" w:cs="宋体"/>
                <w:color w:val="auto"/>
                <w:sz w:val="24"/>
              </w:rPr>
              <w:t>1</w:t>
            </w:r>
          </w:p>
        </w:tc>
        <w:tc>
          <w:tcPr>
            <w:tcW w:w="6792" w:type="dxa"/>
            <w:noWrap w:val="0"/>
            <w:vAlign w:val="center"/>
          </w:tcPr>
          <w:p w14:paraId="73EE1733">
            <w:pPr>
              <w:pStyle w:val="195"/>
              <w:adjustRightInd/>
              <w:spacing w:line="288" w:lineRule="auto"/>
              <w:ind w:left="63" w:right="63"/>
              <w:contextualSpacing/>
              <w:jc w:val="left"/>
              <w:rPr>
                <w:rFonts w:hint="eastAsia" w:ascii="宋体" w:hAnsi="宋体" w:cs="宋体"/>
                <w:color w:val="auto"/>
                <w:sz w:val="24"/>
                <w:szCs w:val="24"/>
              </w:rPr>
            </w:pPr>
            <w:r>
              <w:rPr>
                <w:rFonts w:hint="eastAsia" w:ascii="宋体" w:hAnsi="宋体" w:cs="宋体"/>
                <w:color w:val="auto"/>
                <w:sz w:val="24"/>
                <w:szCs w:val="24"/>
              </w:rPr>
              <w:t>提供自202</w:t>
            </w:r>
            <w:r>
              <w:rPr>
                <w:rFonts w:hint="eastAsia" w:ascii="宋体" w:hAnsi="宋体" w:cs="宋体"/>
                <w:color w:val="auto"/>
                <w:sz w:val="24"/>
                <w:szCs w:val="24"/>
                <w:lang w:val="en-US" w:eastAsia="zh-CN"/>
              </w:rPr>
              <w:t>3</w:t>
            </w:r>
            <w:r>
              <w:rPr>
                <w:rFonts w:hint="eastAsia" w:ascii="宋体" w:hAnsi="宋体" w:cs="宋体"/>
                <w:color w:val="auto"/>
                <w:sz w:val="24"/>
                <w:szCs w:val="24"/>
              </w:rPr>
              <w:t>年</w:t>
            </w:r>
            <w:r>
              <w:rPr>
                <w:rFonts w:hint="eastAsia" w:ascii="宋体" w:hAnsi="宋体" w:cs="宋体"/>
                <w:color w:val="auto"/>
                <w:sz w:val="24"/>
                <w:szCs w:val="24"/>
                <w:lang w:val="en-US" w:eastAsia="zh-CN"/>
              </w:rPr>
              <w:t>1</w:t>
            </w:r>
            <w:r>
              <w:rPr>
                <w:rFonts w:hint="eastAsia" w:ascii="宋体" w:hAnsi="宋体" w:cs="宋体"/>
                <w:color w:val="auto"/>
                <w:sz w:val="24"/>
                <w:szCs w:val="24"/>
              </w:rPr>
              <w:t>月</w:t>
            </w:r>
            <w:r>
              <w:rPr>
                <w:rFonts w:hint="eastAsia" w:ascii="宋体" w:hAnsi="宋体" w:cs="宋体"/>
                <w:color w:val="auto"/>
                <w:sz w:val="24"/>
                <w:szCs w:val="24"/>
                <w:lang w:val="en-US" w:eastAsia="zh-CN"/>
              </w:rPr>
              <w:t>1</w:t>
            </w:r>
            <w:r>
              <w:rPr>
                <w:rFonts w:hint="eastAsia" w:ascii="宋体" w:hAnsi="宋体" w:cs="宋体"/>
                <w:color w:val="auto"/>
                <w:sz w:val="24"/>
                <w:szCs w:val="24"/>
              </w:rPr>
              <w:t>日（合同签订日期）以来具有算力资源动态调度业绩的，需体现基于多域的算力迁移，每提供1个合同得0.5分，最高1分。（须提供合同复印件加盖供应商公章）。</w:t>
            </w:r>
          </w:p>
        </w:tc>
      </w:tr>
      <w:tr w14:paraId="258B3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dxa"/>
            <w:noWrap w:val="0"/>
            <w:vAlign w:val="center"/>
          </w:tcPr>
          <w:p w14:paraId="24A6DE5D">
            <w:pPr>
              <w:spacing w:line="288" w:lineRule="auto"/>
              <w:jc w:val="center"/>
              <w:rPr>
                <w:rFonts w:hint="eastAsia" w:ascii="宋体" w:hAnsi="宋体" w:cs="宋体"/>
                <w:color w:val="auto"/>
                <w:sz w:val="24"/>
              </w:rPr>
            </w:pPr>
            <w:r>
              <w:rPr>
                <w:rFonts w:hint="eastAsia" w:ascii="宋体" w:hAnsi="宋体" w:cs="宋体"/>
                <w:color w:val="auto"/>
                <w:sz w:val="24"/>
              </w:rPr>
              <w:t>演示</w:t>
            </w:r>
          </w:p>
          <w:p w14:paraId="4823DF81">
            <w:pPr>
              <w:spacing w:line="288" w:lineRule="auto"/>
              <w:jc w:val="center"/>
              <w:rPr>
                <w:rFonts w:hint="eastAsia" w:ascii="宋体" w:hAnsi="宋体" w:cs="宋体"/>
                <w:color w:val="auto"/>
                <w:kern w:val="0"/>
                <w:sz w:val="24"/>
              </w:rPr>
            </w:pPr>
            <w:r>
              <w:rPr>
                <w:rFonts w:hint="eastAsia" w:ascii="宋体" w:hAnsi="宋体" w:cs="宋体"/>
                <w:color w:val="auto"/>
                <w:sz w:val="24"/>
              </w:rPr>
              <w:t>（15分）</w:t>
            </w:r>
          </w:p>
        </w:tc>
        <w:tc>
          <w:tcPr>
            <w:tcW w:w="645" w:type="dxa"/>
            <w:noWrap w:val="0"/>
            <w:vAlign w:val="center"/>
          </w:tcPr>
          <w:p w14:paraId="34D896BE">
            <w:pPr>
              <w:spacing w:line="288" w:lineRule="auto"/>
              <w:jc w:val="center"/>
              <w:rPr>
                <w:rFonts w:hint="eastAsia" w:ascii="宋体" w:hAnsi="宋体" w:cs="宋体"/>
                <w:color w:val="auto"/>
                <w:sz w:val="24"/>
              </w:rPr>
            </w:pPr>
            <w:r>
              <w:rPr>
                <w:rFonts w:hint="eastAsia" w:ascii="宋体" w:hAnsi="宋体" w:cs="宋体"/>
                <w:color w:val="auto"/>
                <w:sz w:val="24"/>
              </w:rPr>
              <w:t>15</w:t>
            </w:r>
          </w:p>
        </w:tc>
        <w:tc>
          <w:tcPr>
            <w:tcW w:w="6792" w:type="dxa"/>
            <w:noWrap w:val="0"/>
            <w:vAlign w:val="center"/>
          </w:tcPr>
          <w:p w14:paraId="468505F7">
            <w:pPr>
              <w:pStyle w:val="196"/>
              <w:tabs>
                <w:tab w:val="left" w:pos="2020"/>
                <w:tab w:val="center" w:pos="4535"/>
              </w:tabs>
              <w:spacing w:line="288" w:lineRule="auto"/>
              <w:ind w:left="63" w:right="63"/>
              <w:rPr>
                <w:rFonts w:hint="eastAsia" w:ascii="宋体" w:hAnsi="宋体" w:cs="宋体"/>
                <w:color w:val="auto"/>
                <w:sz w:val="24"/>
                <w:szCs w:val="24"/>
              </w:rPr>
            </w:pPr>
            <w:r>
              <w:rPr>
                <w:rFonts w:hint="eastAsia" w:ascii="宋体" w:hAnsi="宋体" w:cs="宋体"/>
                <w:color w:val="auto"/>
                <w:sz w:val="24"/>
                <w:szCs w:val="24"/>
              </w:rPr>
              <w:t>跨域算力资源调度与迁移场景实例演示，根据以下具体实例要求，按顺序逐条进行演示，要求能够效果前后连贯，具体要求如下：</w:t>
            </w:r>
          </w:p>
          <w:p w14:paraId="3B9C2F0D">
            <w:pPr>
              <w:pStyle w:val="196"/>
              <w:tabs>
                <w:tab w:val="left" w:pos="2020"/>
                <w:tab w:val="center" w:pos="4535"/>
              </w:tabs>
              <w:spacing w:line="288" w:lineRule="auto"/>
              <w:ind w:left="63" w:right="63"/>
              <w:rPr>
                <w:rFonts w:hint="eastAsia" w:ascii="宋体" w:hAnsi="宋体" w:cs="宋体"/>
                <w:color w:val="auto"/>
                <w:sz w:val="24"/>
                <w:szCs w:val="24"/>
              </w:rPr>
            </w:pPr>
            <w:r>
              <w:rPr>
                <w:rFonts w:hint="eastAsia" w:ascii="宋体" w:hAnsi="宋体" w:cs="宋体"/>
                <w:color w:val="auto"/>
                <w:sz w:val="24"/>
                <w:szCs w:val="24"/>
              </w:rPr>
              <w:t>（1）演示多区域数据中心算力与网络资源的统一建模，包含时空动态特性及资源预测结果。（最高5分）</w:t>
            </w:r>
          </w:p>
          <w:p w14:paraId="2477DC70">
            <w:pPr>
              <w:pStyle w:val="196"/>
              <w:tabs>
                <w:tab w:val="left" w:pos="2020"/>
                <w:tab w:val="center" w:pos="4535"/>
              </w:tabs>
              <w:spacing w:line="288" w:lineRule="auto"/>
              <w:ind w:left="63" w:right="63"/>
              <w:rPr>
                <w:rFonts w:ascii="宋体" w:hAnsi="宋体" w:cs="宋体"/>
                <w:color w:val="auto"/>
                <w:sz w:val="24"/>
                <w:szCs w:val="24"/>
              </w:rPr>
            </w:pPr>
            <w:r>
              <w:rPr>
                <w:rFonts w:hint="eastAsia" w:ascii="宋体" w:hAnsi="宋体" w:cs="宋体"/>
                <w:color w:val="auto"/>
                <w:sz w:val="24"/>
                <w:szCs w:val="24"/>
              </w:rPr>
              <w:t>（2）演示任务在跨域环境下的智能分配与协同优化过程，体现算力在跨域环境下的弹性流动能力。（最高5分）</w:t>
            </w:r>
          </w:p>
          <w:p w14:paraId="0041DCDA">
            <w:pPr>
              <w:pStyle w:val="196"/>
              <w:tabs>
                <w:tab w:val="left" w:pos="2020"/>
                <w:tab w:val="center" w:pos="4535"/>
              </w:tabs>
              <w:spacing w:line="288" w:lineRule="auto"/>
              <w:ind w:left="63" w:right="63"/>
              <w:rPr>
                <w:rFonts w:ascii="宋体" w:hAnsi="宋体" w:cs="宋体"/>
                <w:color w:val="auto"/>
                <w:sz w:val="24"/>
                <w:szCs w:val="24"/>
              </w:rPr>
            </w:pPr>
            <w:r>
              <w:rPr>
                <w:rFonts w:hint="eastAsia" w:ascii="宋体" w:hAnsi="宋体" w:cs="宋体"/>
                <w:color w:val="auto"/>
                <w:sz w:val="24"/>
                <w:szCs w:val="24"/>
              </w:rPr>
              <w:t>（3）在能耗约束、服务质量保障与整体性能优化等多目标协同下的动态调度机制，并展示整体资源利用率与业务连续性的提升效果。（最高5分）</w:t>
            </w:r>
          </w:p>
          <w:p w14:paraId="20546E34">
            <w:pPr>
              <w:pStyle w:val="196"/>
              <w:tabs>
                <w:tab w:val="left" w:pos="2020"/>
                <w:tab w:val="center" w:pos="4535"/>
              </w:tabs>
              <w:spacing w:line="288" w:lineRule="auto"/>
              <w:ind w:left="63" w:right="63" w:firstLine="480" w:firstLineChars="200"/>
              <w:rPr>
                <w:rFonts w:hint="eastAsia" w:ascii="宋体" w:hAnsi="宋体" w:cs="宋体"/>
                <w:color w:val="auto"/>
                <w:sz w:val="24"/>
                <w:szCs w:val="24"/>
              </w:rPr>
            </w:pPr>
            <w:r>
              <w:rPr>
                <w:rFonts w:hint="eastAsia" w:ascii="宋体" w:hAnsi="宋体" w:cs="宋体"/>
                <w:color w:val="auto"/>
                <w:sz w:val="24"/>
                <w:szCs w:val="24"/>
              </w:rPr>
              <w:t>根据演示内容全面性、流畅程度综合打分。要求在真实环境中演示，用PPT、word、DEMO等演示的不得分。</w:t>
            </w:r>
          </w:p>
        </w:tc>
      </w:tr>
    </w:tbl>
    <w:p w14:paraId="520F532F">
      <w:pPr>
        <w:pStyle w:val="3"/>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69BF1A99">
      <w:pPr>
        <w:widowControl/>
        <w:snapToGrid w:val="0"/>
        <w:spacing w:line="288" w:lineRule="auto"/>
        <w:ind w:firstLine="482" w:firstLineChars="200"/>
        <w:rPr>
          <w:rFonts w:ascii="宋体" w:hAnsi="宋体" w:cs="宋体"/>
          <w:b/>
          <w:bCs/>
          <w:color w:val="auto"/>
          <w:sz w:val="24"/>
          <w:szCs w:val="24"/>
        </w:rPr>
      </w:pPr>
      <w:bookmarkStart w:id="400" w:name="_Toc1372"/>
      <w:bookmarkStart w:id="401" w:name="_Toc25244"/>
      <w:bookmarkStart w:id="402" w:name="_Toc10701"/>
      <w:bookmarkStart w:id="403" w:name="_Toc6434"/>
      <w:bookmarkStart w:id="404" w:name="_Toc22598"/>
      <w:bookmarkStart w:id="405" w:name="_Toc24145"/>
      <w:bookmarkStart w:id="406" w:name="_Toc20757"/>
    </w:p>
    <w:p w14:paraId="748E8A94">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66C6024D">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7DBA53A2">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3F0060E5">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7148869D">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49B9240B">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17E98415">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445A151D">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33695A37">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6E7E7260">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2879BA84">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400"/>
    <w:bookmarkEnd w:id="401"/>
    <w:bookmarkEnd w:id="402"/>
    <w:bookmarkEnd w:id="403"/>
    <w:bookmarkEnd w:id="404"/>
    <w:bookmarkEnd w:id="405"/>
    <w:bookmarkEnd w:id="406"/>
    <w:p w14:paraId="1F8DA5F1">
      <w:pPr>
        <w:spacing w:line="360" w:lineRule="auto"/>
        <w:jc w:val="center"/>
        <w:rPr>
          <w:rStyle w:val="56"/>
          <w:b w:val="0"/>
          <w:color w:val="auto"/>
          <w:szCs w:val="22"/>
        </w:rPr>
      </w:pPr>
      <w:bookmarkStart w:id="407" w:name="_Toc11975"/>
      <w:bookmarkStart w:id="408" w:name="_Toc31149"/>
      <w:bookmarkStart w:id="409" w:name="_Toc24073"/>
      <w:bookmarkStart w:id="410" w:name="_Toc11193"/>
      <w:bookmarkStart w:id="411" w:name="_Toc10743"/>
      <w:bookmarkStart w:id="412" w:name="_Toc29628"/>
      <w:bookmarkStart w:id="413" w:name="_Toc10961"/>
      <w:bookmarkStart w:id="414" w:name="_Toc12648"/>
      <w:bookmarkStart w:id="415" w:name="_Toc11101"/>
      <w:bookmarkStart w:id="416" w:name="_Toc7720"/>
      <w:bookmarkStart w:id="417" w:name="_Toc9271"/>
      <w:bookmarkStart w:id="418" w:name="_Toc2437"/>
      <w:bookmarkStart w:id="419" w:name="_Toc32547"/>
      <w:bookmarkStart w:id="420" w:name="_Toc30909"/>
      <w:bookmarkStart w:id="421" w:name="_Toc4881"/>
      <w:bookmarkStart w:id="422" w:name="_Toc20227"/>
      <w:bookmarkStart w:id="423" w:name="_Toc9400"/>
      <w:bookmarkStart w:id="424" w:name="_Toc30074"/>
      <w:bookmarkStart w:id="425" w:name="_Toc22186"/>
      <w:bookmarkStart w:id="426" w:name="_Toc27538"/>
      <w:bookmarkStart w:id="427" w:name="_Toc17908"/>
      <w:bookmarkStart w:id="428" w:name="_Toc5912"/>
      <w:bookmarkStart w:id="429" w:name="_Hlk163050796"/>
      <w:bookmarkStart w:id="430" w:name="_Toc11486"/>
      <w:bookmarkStart w:id="431" w:name="_Toc2560"/>
      <w:bookmarkStart w:id="432" w:name="_Toc16244"/>
      <w:bookmarkStart w:id="433" w:name="_Toc3807"/>
      <w:bookmarkStart w:id="434" w:name="_Toc26629"/>
      <w:bookmarkStart w:id="435" w:name="_Toc18687"/>
      <w:bookmarkStart w:id="436" w:name="_Toc10262"/>
      <w:bookmarkStart w:id="437" w:name="_Toc32613"/>
      <w:bookmarkStart w:id="438" w:name="_Toc8120"/>
      <w:bookmarkStart w:id="439" w:name="_Toc1600"/>
      <w:bookmarkStart w:id="440" w:name="_Toc8356"/>
      <w:bookmarkStart w:id="441" w:name="_Toc6559"/>
      <w:bookmarkStart w:id="442" w:name="_Toc16795"/>
      <w:bookmarkStart w:id="443" w:name="_Toc10667"/>
      <w:bookmarkStart w:id="444" w:name="_Toc24190"/>
      <w:bookmarkStart w:id="445" w:name="_Toc3727"/>
      <w:bookmarkStart w:id="446" w:name="_Toc22400"/>
      <w:bookmarkStart w:id="447" w:name="_Toc1047"/>
      <w:bookmarkStart w:id="448" w:name="_Toc22722"/>
      <w:bookmarkStart w:id="449" w:name="_Toc8338"/>
      <w:bookmarkStart w:id="450" w:name="_Toc12834"/>
      <w:bookmarkStart w:id="451" w:name="_Toc18610"/>
      <w:bookmarkStart w:id="452" w:name="_Toc13533"/>
      <w:bookmarkStart w:id="453" w:name="_Toc11103"/>
      <w:r>
        <w:rPr>
          <w:rStyle w:val="56"/>
          <w:rFonts w:hint="eastAsia"/>
          <w:b w:val="0"/>
          <w:color w:val="auto"/>
          <w:szCs w:val="22"/>
        </w:rPr>
        <w:t>第五部分 合同基本条款</w:t>
      </w:r>
    </w:p>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14:paraId="1AD9786F">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29"/>
    </w:p>
    <w:p w14:paraId="18531B06">
      <w:pPr>
        <w:spacing w:line="360" w:lineRule="auto"/>
        <w:ind w:firstLine="562" w:firstLineChars="200"/>
        <w:jc w:val="center"/>
        <w:rPr>
          <w:color w:val="auto"/>
        </w:rPr>
      </w:pPr>
      <w:r>
        <w:rPr>
          <w:rFonts w:hint="eastAsia"/>
          <w:b/>
          <w:bCs/>
          <w:color w:val="auto"/>
          <w:sz w:val="28"/>
          <w:szCs w:val="28"/>
        </w:rPr>
        <w:t>杭州电子科技大学采购合同（服务类）</w:t>
      </w:r>
    </w:p>
    <w:p w14:paraId="448E75CB">
      <w:pPr>
        <w:spacing w:line="312" w:lineRule="auto"/>
        <w:ind w:firstLine="420" w:firstLineChars="200"/>
        <w:jc w:val="right"/>
        <w:rPr>
          <w:b/>
          <w:bCs/>
          <w:color w:val="auto"/>
        </w:rPr>
      </w:pPr>
      <w:r>
        <w:rPr>
          <w:rFonts w:hint="eastAsia"/>
          <w:color w:val="auto"/>
        </w:rPr>
        <w:t>合同编号</w:t>
      </w:r>
      <w:r>
        <w:rPr>
          <w:color w:val="auto"/>
        </w:rPr>
        <w:t>_________________</w:t>
      </w:r>
    </w:p>
    <w:p w14:paraId="222AA899">
      <w:pPr>
        <w:spacing w:line="312" w:lineRule="auto"/>
        <w:ind w:firstLine="420" w:firstLineChars="200"/>
        <w:rPr>
          <w:color w:val="auto"/>
        </w:rPr>
      </w:pPr>
      <w:r>
        <w:rPr>
          <w:rFonts w:hint="eastAsia"/>
          <w:color w:val="auto"/>
        </w:rPr>
        <w:t>甲方（采购人）：杭州电子科技大学</w:t>
      </w:r>
      <w:r>
        <w:rPr>
          <w:color w:val="auto"/>
        </w:rPr>
        <w:t xml:space="preserve">  </w:t>
      </w:r>
    </w:p>
    <w:p w14:paraId="66B32FD2">
      <w:pPr>
        <w:spacing w:line="312" w:lineRule="auto"/>
        <w:ind w:firstLine="420" w:firstLineChars="200"/>
        <w:rPr>
          <w:color w:val="auto"/>
        </w:rPr>
      </w:pPr>
      <w:r>
        <w:rPr>
          <w:rFonts w:hint="eastAsia"/>
          <w:color w:val="auto"/>
        </w:rPr>
        <w:t>乙方（供应商）：</w:t>
      </w:r>
      <w:r>
        <w:rPr>
          <w:color w:val="auto"/>
        </w:rPr>
        <w:t xml:space="preserve">                  </w:t>
      </w:r>
    </w:p>
    <w:p w14:paraId="0A0F9A0B">
      <w:pPr>
        <w:spacing w:line="312" w:lineRule="auto"/>
        <w:ind w:firstLine="420" w:firstLineChars="200"/>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p>
    <w:p w14:paraId="347EBDDD">
      <w:pPr>
        <w:spacing w:line="312" w:lineRule="auto"/>
        <w:ind w:firstLine="426" w:firstLineChars="202"/>
        <w:rPr>
          <w:b/>
          <w:bCs/>
          <w:color w:val="auto"/>
          <w:szCs w:val="21"/>
        </w:rPr>
      </w:pPr>
      <w:r>
        <w:rPr>
          <w:rFonts w:hint="eastAsia"/>
          <w:b/>
          <w:bCs/>
          <w:color w:val="auto"/>
          <w:szCs w:val="21"/>
        </w:rPr>
        <w:t>一、采购服务内容及合同价格</w:t>
      </w:r>
    </w:p>
    <w:tbl>
      <w:tblPr>
        <w:tblStyle w:val="45"/>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8"/>
        <w:gridCol w:w="3287"/>
        <w:gridCol w:w="2020"/>
        <w:gridCol w:w="1714"/>
      </w:tblGrid>
      <w:tr w14:paraId="264F2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Borders>
              <w:top w:val="single" w:color="auto" w:sz="4" w:space="0"/>
              <w:left w:val="single" w:color="auto" w:sz="4" w:space="0"/>
              <w:bottom w:val="single" w:color="auto" w:sz="4" w:space="0"/>
              <w:right w:val="single" w:color="auto" w:sz="4" w:space="0"/>
            </w:tcBorders>
            <w:vAlign w:val="center"/>
          </w:tcPr>
          <w:p w14:paraId="742C8B23">
            <w:pPr>
              <w:spacing w:line="312" w:lineRule="auto"/>
              <w:rPr>
                <w:color w:val="auto"/>
              </w:rPr>
            </w:pPr>
            <w:r>
              <w:rPr>
                <w:rFonts w:hint="eastAsia"/>
                <w:color w:val="auto"/>
              </w:rPr>
              <w:t>序号</w:t>
            </w:r>
          </w:p>
        </w:tc>
        <w:tc>
          <w:tcPr>
            <w:tcW w:w="1178" w:type="dxa"/>
            <w:tcBorders>
              <w:top w:val="single" w:color="auto" w:sz="4" w:space="0"/>
              <w:left w:val="single" w:color="auto" w:sz="4" w:space="0"/>
              <w:bottom w:val="single" w:color="auto" w:sz="4" w:space="0"/>
              <w:right w:val="single" w:color="auto" w:sz="4" w:space="0"/>
            </w:tcBorders>
            <w:vAlign w:val="center"/>
          </w:tcPr>
          <w:p w14:paraId="24484C1C">
            <w:pPr>
              <w:spacing w:line="312" w:lineRule="auto"/>
              <w:ind w:firstLine="420" w:firstLineChars="200"/>
              <w:rPr>
                <w:color w:val="auto"/>
              </w:rPr>
            </w:pPr>
            <w:r>
              <w:rPr>
                <w:rFonts w:hint="eastAsia"/>
                <w:color w:val="auto"/>
              </w:rPr>
              <w:t>名称</w:t>
            </w:r>
          </w:p>
        </w:tc>
        <w:tc>
          <w:tcPr>
            <w:tcW w:w="3287" w:type="dxa"/>
            <w:tcBorders>
              <w:top w:val="single" w:color="auto" w:sz="4" w:space="0"/>
              <w:left w:val="single" w:color="auto" w:sz="4" w:space="0"/>
              <w:bottom w:val="single" w:color="auto" w:sz="4" w:space="0"/>
              <w:right w:val="single" w:color="auto" w:sz="4" w:space="0"/>
            </w:tcBorders>
            <w:vAlign w:val="center"/>
          </w:tcPr>
          <w:p w14:paraId="514987B7">
            <w:pPr>
              <w:spacing w:line="312" w:lineRule="auto"/>
              <w:ind w:firstLine="420" w:firstLineChars="200"/>
              <w:rPr>
                <w:color w:val="auto"/>
              </w:rPr>
            </w:pPr>
            <w:r>
              <w:rPr>
                <w:rFonts w:hint="eastAsia"/>
                <w:color w:val="auto"/>
              </w:rPr>
              <w:t>主要内容</w:t>
            </w:r>
          </w:p>
        </w:tc>
        <w:tc>
          <w:tcPr>
            <w:tcW w:w="2020" w:type="dxa"/>
            <w:tcBorders>
              <w:top w:val="single" w:color="auto" w:sz="4" w:space="0"/>
              <w:left w:val="single" w:color="auto" w:sz="4" w:space="0"/>
              <w:bottom w:val="single" w:color="auto" w:sz="4" w:space="0"/>
              <w:right w:val="single" w:color="auto" w:sz="4" w:space="0"/>
            </w:tcBorders>
            <w:vAlign w:val="center"/>
          </w:tcPr>
          <w:p w14:paraId="7922059D">
            <w:pPr>
              <w:spacing w:line="312" w:lineRule="auto"/>
              <w:ind w:firstLine="420" w:firstLineChars="200"/>
              <w:rPr>
                <w:color w:val="auto"/>
              </w:rPr>
            </w:pPr>
            <w:r>
              <w:rPr>
                <w:rFonts w:hint="eastAsia"/>
                <w:color w:val="auto"/>
              </w:rPr>
              <w:t>服务期限</w:t>
            </w:r>
          </w:p>
        </w:tc>
        <w:tc>
          <w:tcPr>
            <w:tcW w:w="1714" w:type="dxa"/>
            <w:tcBorders>
              <w:top w:val="single" w:color="auto" w:sz="4" w:space="0"/>
              <w:left w:val="single" w:color="auto" w:sz="4" w:space="0"/>
              <w:bottom w:val="single" w:color="auto" w:sz="4" w:space="0"/>
              <w:right w:val="single" w:color="auto" w:sz="4" w:space="0"/>
            </w:tcBorders>
            <w:vAlign w:val="center"/>
          </w:tcPr>
          <w:p w14:paraId="4AFE7E82">
            <w:pPr>
              <w:spacing w:line="312" w:lineRule="auto"/>
              <w:ind w:firstLine="420" w:firstLineChars="200"/>
              <w:rPr>
                <w:color w:val="auto"/>
              </w:rPr>
            </w:pPr>
            <w:r>
              <w:rPr>
                <w:rFonts w:hint="eastAsia"/>
                <w:color w:val="auto"/>
              </w:rPr>
              <w:t>服务费用</w:t>
            </w:r>
          </w:p>
        </w:tc>
      </w:tr>
      <w:tr w14:paraId="08A34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0D819EC3">
            <w:pPr>
              <w:spacing w:line="312" w:lineRule="auto"/>
              <w:ind w:firstLine="420" w:firstLineChars="200"/>
              <w:rPr>
                <w:color w:val="auto"/>
              </w:rPr>
            </w:pPr>
            <w:r>
              <w:rPr>
                <w:color w:val="auto"/>
              </w:rPr>
              <w:t>1</w:t>
            </w:r>
          </w:p>
        </w:tc>
        <w:tc>
          <w:tcPr>
            <w:tcW w:w="1178" w:type="dxa"/>
            <w:tcBorders>
              <w:top w:val="single" w:color="auto" w:sz="4" w:space="0"/>
              <w:left w:val="single" w:color="auto" w:sz="4" w:space="0"/>
              <w:bottom w:val="single" w:color="auto" w:sz="4" w:space="0"/>
              <w:right w:val="single" w:color="auto" w:sz="4" w:space="0"/>
            </w:tcBorders>
            <w:vAlign w:val="center"/>
          </w:tcPr>
          <w:p w14:paraId="14E83AE0">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6FF26EE4">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3235A5D5">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506D73F4">
            <w:pPr>
              <w:spacing w:line="312" w:lineRule="auto"/>
              <w:ind w:firstLine="420" w:firstLineChars="200"/>
              <w:rPr>
                <w:color w:val="auto"/>
              </w:rPr>
            </w:pPr>
          </w:p>
        </w:tc>
      </w:tr>
      <w:tr w14:paraId="2E2E4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0F5187FE">
            <w:pPr>
              <w:spacing w:line="312" w:lineRule="auto"/>
              <w:ind w:firstLine="420" w:firstLineChars="200"/>
              <w:rPr>
                <w:color w:val="auto"/>
              </w:rPr>
            </w:pPr>
          </w:p>
        </w:tc>
        <w:tc>
          <w:tcPr>
            <w:tcW w:w="1178" w:type="dxa"/>
            <w:tcBorders>
              <w:top w:val="single" w:color="auto" w:sz="4" w:space="0"/>
              <w:left w:val="single" w:color="auto" w:sz="4" w:space="0"/>
              <w:bottom w:val="single" w:color="auto" w:sz="4" w:space="0"/>
              <w:right w:val="single" w:color="auto" w:sz="4" w:space="0"/>
            </w:tcBorders>
            <w:vAlign w:val="center"/>
          </w:tcPr>
          <w:p w14:paraId="27BF5774">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119501C5">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3DA3DFE9">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43BE12F0">
            <w:pPr>
              <w:spacing w:line="312" w:lineRule="auto"/>
              <w:ind w:firstLine="420" w:firstLineChars="200"/>
              <w:rPr>
                <w:color w:val="auto"/>
              </w:rPr>
            </w:pPr>
          </w:p>
        </w:tc>
      </w:tr>
      <w:tr w14:paraId="2617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0" w:type="dxa"/>
            <w:gridSpan w:val="5"/>
            <w:tcBorders>
              <w:top w:val="single" w:color="auto" w:sz="4" w:space="0"/>
              <w:left w:val="single" w:color="auto" w:sz="4" w:space="0"/>
              <w:bottom w:val="single" w:color="auto" w:sz="4" w:space="0"/>
              <w:right w:val="single" w:color="auto" w:sz="4" w:space="0"/>
            </w:tcBorders>
            <w:vAlign w:val="center"/>
          </w:tcPr>
          <w:p w14:paraId="57CBEEF8">
            <w:pPr>
              <w:spacing w:line="312" w:lineRule="auto"/>
              <w:ind w:firstLine="420" w:firstLineChars="200"/>
              <w:rPr>
                <w:rFonts w:cs="宋体"/>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1CBD3996">
      <w:pPr>
        <w:spacing w:line="312" w:lineRule="auto"/>
        <w:ind w:firstLine="420" w:firstLineChars="200"/>
        <w:rPr>
          <w:b/>
          <w:bCs/>
          <w:color w:val="auto"/>
        </w:rPr>
      </w:pPr>
      <w:r>
        <w:rPr>
          <w:rFonts w:hint="eastAsia"/>
          <w:color w:val="auto"/>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15250FC4">
      <w:pPr>
        <w:spacing w:line="312" w:lineRule="auto"/>
        <w:ind w:firstLine="422" w:firstLineChars="200"/>
        <w:rPr>
          <w:b/>
          <w:bCs/>
          <w:color w:val="auto"/>
        </w:rPr>
      </w:pPr>
      <w:r>
        <w:rPr>
          <w:rFonts w:hint="eastAsia"/>
          <w:b/>
          <w:bCs/>
          <w:color w:val="auto"/>
        </w:rPr>
        <w:t>二、服务内容与要求</w:t>
      </w:r>
    </w:p>
    <w:p w14:paraId="342BC2E1">
      <w:pPr>
        <w:spacing w:line="312" w:lineRule="auto"/>
        <w:ind w:firstLine="420" w:firstLineChars="200"/>
        <w:rPr>
          <w:color w:val="auto"/>
        </w:rPr>
      </w:pPr>
      <w:r>
        <w:rPr>
          <w:rFonts w:hint="eastAsia"/>
          <w:color w:val="auto"/>
        </w:rPr>
        <w:t>（按采购文件及采购结果填写）</w:t>
      </w:r>
    </w:p>
    <w:p w14:paraId="26DB3DE6">
      <w:pPr>
        <w:spacing w:line="312" w:lineRule="auto"/>
        <w:ind w:firstLine="422" w:firstLineChars="200"/>
        <w:rPr>
          <w:b/>
          <w:bCs/>
          <w:color w:val="auto"/>
        </w:rPr>
      </w:pPr>
      <w:r>
        <w:rPr>
          <w:rFonts w:hint="eastAsia"/>
          <w:b/>
          <w:bCs/>
          <w:color w:val="auto"/>
        </w:rPr>
        <w:t>三、服务期限与地点</w:t>
      </w:r>
    </w:p>
    <w:p w14:paraId="5A4B4A8B">
      <w:pPr>
        <w:spacing w:line="312" w:lineRule="auto"/>
        <w:ind w:firstLine="420" w:firstLineChars="200"/>
        <w:rPr>
          <w:color w:val="auto"/>
        </w:rPr>
      </w:pPr>
      <w:r>
        <w:rPr>
          <w:rFonts w:hint="eastAsia" w:ascii="宋体" w:hAnsi="宋体"/>
          <w:color w:val="auto"/>
          <w:kern w:val="2"/>
        </w:rPr>
        <w:t>1</w:t>
      </w:r>
      <w:r>
        <w:rPr>
          <w:rFonts w:hint="eastAsia" w:ascii="宋体" w:hAnsi="宋体"/>
          <w:color w:val="auto"/>
          <w:spacing w:val="-6"/>
          <w:kern w:val="2"/>
        </w:rPr>
        <w:t>.</w:t>
      </w:r>
      <w:r>
        <w:rPr>
          <w:rFonts w:hint="eastAsia"/>
          <w:color w:val="auto"/>
        </w:rPr>
        <w:t>服务期限：</w:t>
      </w:r>
      <w:r>
        <w:rPr>
          <w:color w:val="auto"/>
        </w:rPr>
        <w:t xml:space="preserve">    </w:t>
      </w:r>
      <w:r>
        <w:rPr>
          <w:rFonts w:hint="eastAsia"/>
          <w:color w:val="auto"/>
        </w:rPr>
        <w:t>年，从</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日至</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14:paraId="019407C1">
      <w:pPr>
        <w:autoSpaceDE w:val="0"/>
        <w:autoSpaceDN w:val="0"/>
        <w:adjustRightInd w:val="0"/>
        <w:spacing w:line="312" w:lineRule="auto"/>
        <w:ind w:firstLine="420" w:firstLineChars="200"/>
        <w:jc w:val="left"/>
        <w:rPr>
          <w:rFonts w:ascii="宋体" w:hAnsi="宋体"/>
          <w:color w:val="auto"/>
          <w:szCs w:val="21"/>
        </w:rPr>
      </w:pPr>
      <w:r>
        <w:rPr>
          <w:rFonts w:hint="eastAsia" w:ascii="宋体" w:hAnsi="宋体"/>
          <w:color w:val="auto"/>
          <w:szCs w:val="21"/>
        </w:rPr>
        <w:t>2.服务地点：                         。</w:t>
      </w:r>
    </w:p>
    <w:p w14:paraId="5424611A">
      <w:pPr>
        <w:spacing w:line="312" w:lineRule="auto"/>
        <w:ind w:firstLine="420" w:firstLineChars="200"/>
        <w:rPr>
          <w:color w:val="auto"/>
        </w:rPr>
      </w:pPr>
      <w:r>
        <w:rPr>
          <w:color w:val="auto"/>
        </w:rPr>
        <w:t>3.</w:t>
      </w:r>
      <w:r>
        <w:rPr>
          <w:rFonts w:hint="eastAsia"/>
          <w:color w:val="auto"/>
        </w:rPr>
        <w:t>联系人及电话：甲方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rPr>
        <w:t xml:space="preserve"> </w:t>
      </w:r>
      <w:r>
        <w:rPr>
          <w:rFonts w:hint="eastAsia"/>
          <w:color w:val="auto"/>
        </w:rPr>
        <w:t>。</w:t>
      </w:r>
    </w:p>
    <w:p w14:paraId="1035FD56">
      <w:pPr>
        <w:autoSpaceDE w:val="0"/>
        <w:autoSpaceDN w:val="0"/>
        <w:adjustRightInd w:val="0"/>
        <w:spacing w:line="312" w:lineRule="auto"/>
        <w:ind w:firstLine="422" w:firstLineChars="200"/>
        <w:jc w:val="left"/>
        <w:rPr>
          <w:rFonts w:ascii="宋体" w:hAnsi="宋体"/>
          <w:b/>
          <w:bCs/>
          <w:color w:val="auto"/>
          <w:szCs w:val="21"/>
        </w:rPr>
      </w:pPr>
      <w:r>
        <w:rPr>
          <w:rFonts w:hint="eastAsia" w:ascii="宋体" w:hAnsi="宋体"/>
          <w:b/>
          <w:bCs/>
          <w:color w:val="auto"/>
          <w:szCs w:val="21"/>
        </w:rPr>
        <w:t>四、履约保证金与付款方式</w:t>
      </w:r>
    </w:p>
    <w:p w14:paraId="1298C4F2">
      <w:pPr>
        <w:spacing w:line="312" w:lineRule="auto"/>
        <w:ind w:firstLine="422" w:firstLineChars="200"/>
        <w:rPr>
          <w:color w:val="auto"/>
        </w:rPr>
      </w:pPr>
      <w:r>
        <w:rPr>
          <w:rFonts w:hint="eastAsia" w:ascii="宋体" w:hAnsi="宋体"/>
          <w:b/>
          <w:bCs/>
          <w:color w:val="auto"/>
        </w:rPr>
        <w:t>1</w:t>
      </w:r>
      <w:r>
        <w:rPr>
          <w:rFonts w:hint="eastAsia" w:ascii="宋体" w:hAnsi="宋体"/>
          <w:b/>
          <w:bCs/>
          <w:color w:val="auto"/>
          <w:spacing w:val="-6"/>
        </w:rPr>
        <w:t>.</w:t>
      </w:r>
      <w:r>
        <w:rPr>
          <w:b/>
          <w:bCs/>
          <w:color w:val="auto"/>
        </w:rPr>
        <w:t xml:space="preserve"> </w:t>
      </w:r>
      <w:r>
        <w:rPr>
          <w:rFonts w:hint="eastAsia"/>
          <w:b/>
          <w:bCs/>
          <w:color w:val="auto"/>
        </w:rPr>
        <w:t>履约保证金（如无则删除本条款）：</w:t>
      </w:r>
      <w:r>
        <w:rPr>
          <w:rFonts w:hint="eastAsia"/>
          <w:color w:val="auto"/>
        </w:rPr>
        <w:t>合同总金额的</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w:t>
      </w:r>
      <w:r>
        <w:rPr>
          <w:color w:val="auto"/>
        </w:rPr>
        <w:t>:</w:t>
      </w:r>
      <w:r>
        <w:rPr>
          <w:rFonts w:hint="eastAsia"/>
          <w:color w:val="auto"/>
        </w:rPr>
        <w:t>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转账等。交付完毕后提供保函或联系杭州电子科技大学计划财务处大厅开收据，服务完成验收合格后</w:t>
      </w:r>
      <w:r>
        <w:rPr>
          <w:color w:val="auto"/>
        </w:rPr>
        <w:t>7</w:t>
      </w:r>
      <w:r>
        <w:rPr>
          <w:rFonts w:hint="eastAsia"/>
          <w:color w:val="auto"/>
        </w:rPr>
        <w:t>个工作日内凭原始收据不计息退还。收款单位（户名）</w:t>
      </w:r>
      <w:r>
        <w:rPr>
          <w:color w:val="auto"/>
        </w:rPr>
        <w:t>:</w:t>
      </w:r>
      <w:r>
        <w:rPr>
          <w:rFonts w:hint="eastAsia"/>
          <w:color w:val="auto"/>
        </w:rPr>
        <w:t>杭州电子科技大学。开户银行：工行高新支行。银行账号：</w:t>
      </w:r>
      <w:r>
        <w:rPr>
          <w:color w:val="auto"/>
        </w:rPr>
        <w:t>1202026209008806216</w:t>
      </w:r>
      <w:r>
        <w:rPr>
          <w:rFonts w:hint="eastAsia"/>
          <w:color w:val="auto"/>
        </w:rPr>
        <w:t>。</w:t>
      </w:r>
    </w:p>
    <w:p w14:paraId="45160E8E">
      <w:pPr>
        <w:spacing w:line="312" w:lineRule="auto"/>
        <w:ind w:firstLine="422" w:firstLineChars="200"/>
        <w:rPr>
          <w:b/>
          <w:bCs/>
          <w:color w:val="auto"/>
        </w:rPr>
      </w:pPr>
      <w:r>
        <w:rPr>
          <w:rFonts w:hint="eastAsia" w:ascii="宋体" w:hAnsi="宋体"/>
          <w:b/>
          <w:bCs/>
          <w:color w:val="auto"/>
        </w:rPr>
        <w:t>2</w:t>
      </w:r>
      <w:r>
        <w:rPr>
          <w:rFonts w:hint="eastAsia" w:ascii="宋体" w:hAnsi="宋体"/>
          <w:b/>
          <w:bCs/>
          <w:color w:val="auto"/>
          <w:spacing w:val="-6"/>
        </w:rPr>
        <w:t>.</w:t>
      </w:r>
      <w:r>
        <w:rPr>
          <w:b/>
          <w:bCs/>
          <w:color w:val="auto"/>
        </w:rPr>
        <w:t xml:space="preserve"> </w:t>
      </w:r>
      <w:r>
        <w:rPr>
          <w:rFonts w:hint="eastAsia" w:ascii="宋体" w:hAnsi="宋体" w:cs="宋体"/>
          <w:b/>
          <w:bCs/>
          <w:color w:val="auto"/>
        </w:rPr>
        <w:t>付款方式</w:t>
      </w:r>
      <w:r>
        <w:rPr>
          <w:rFonts w:hint="eastAsia"/>
          <w:b/>
          <w:bCs/>
          <w:color w:val="auto"/>
        </w:rPr>
        <w:t>（根据项目要求、采购文件、采购结果，按以下方式选择填写）：</w:t>
      </w:r>
    </w:p>
    <w:p w14:paraId="00F84E0C">
      <w:pPr>
        <w:spacing w:line="312" w:lineRule="auto"/>
        <w:ind w:firstLine="420" w:firstLineChars="200"/>
        <w:rPr>
          <w:color w:val="auto"/>
        </w:rPr>
      </w:pPr>
      <w:r>
        <w:rPr>
          <w:rFonts w:hint="eastAsia"/>
          <w:color w:val="auto"/>
        </w:rPr>
        <w:t>（</w:t>
      </w:r>
      <w:r>
        <w:rPr>
          <w:rFonts w:hint="eastAsia" w:ascii="宋体" w:hAnsi="宋体"/>
          <w:color w:val="auto"/>
          <w:spacing w:val="-6"/>
        </w:rPr>
        <w:t>1</w:t>
      </w:r>
      <w:r>
        <w:rPr>
          <w:rFonts w:hint="eastAsia"/>
          <w:color w:val="auto"/>
        </w:rPr>
        <w:t>）预付款方式：</w:t>
      </w:r>
    </w:p>
    <w:p w14:paraId="5A4CD178">
      <w:pPr>
        <w:spacing w:line="312" w:lineRule="auto"/>
        <w:ind w:firstLine="420" w:firstLineChars="200"/>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rPr>
        <w:t xml:space="preserve"> </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266D7BF0">
      <w:pPr>
        <w:spacing w:line="312" w:lineRule="auto"/>
        <w:ind w:firstLine="420" w:firstLineChars="200"/>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73CA54DF">
      <w:pPr>
        <w:spacing w:line="312" w:lineRule="auto"/>
        <w:ind w:firstLine="420" w:firstLineChars="200"/>
        <w:rPr>
          <w:color w:val="auto"/>
        </w:rPr>
      </w:pPr>
      <w:r>
        <w:rPr>
          <w:rFonts w:hint="eastAsia"/>
          <w:color w:val="auto"/>
        </w:rPr>
        <w:t>③在签订合同时，乙方明确表示主动要求降低预付款比例的，可降低预付款比例（预付款保函同步调整）。</w:t>
      </w:r>
    </w:p>
    <w:p w14:paraId="4A686F42">
      <w:pPr>
        <w:spacing w:line="312" w:lineRule="auto"/>
        <w:ind w:firstLine="420" w:firstLineChars="200"/>
        <w:rPr>
          <w:color w:val="auto"/>
        </w:rPr>
      </w:pPr>
      <w:r>
        <w:rPr>
          <w:rFonts w:hint="eastAsia"/>
          <w:color w:val="auto"/>
        </w:rPr>
        <w:t>（</w:t>
      </w:r>
      <w:r>
        <w:rPr>
          <w:rFonts w:hint="eastAsia" w:ascii="宋体" w:hAnsi="宋体"/>
          <w:color w:val="auto"/>
        </w:rPr>
        <w:t>2</w:t>
      </w:r>
      <w:r>
        <w:rPr>
          <w:rFonts w:hint="eastAsia"/>
          <w:color w:val="auto"/>
        </w:rPr>
        <w:t>）以人工投入为主且实行按月定期结算支付款项的项目，按月结算付款。</w:t>
      </w:r>
    </w:p>
    <w:p w14:paraId="1D27A162">
      <w:pPr>
        <w:spacing w:line="312" w:lineRule="auto"/>
        <w:ind w:firstLine="420" w:firstLineChars="200"/>
        <w:rPr>
          <w:color w:val="auto"/>
        </w:rPr>
      </w:pPr>
      <w:r>
        <w:rPr>
          <w:rFonts w:hint="eastAsia"/>
          <w:color w:val="auto"/>
        </w:rPr>
        <w:t>（</w:t>
      </w:r>
      <w:r>
        <w:rPr>
          <w:rFonts w:hint="eastAsia" w:ascii="宋体" w:hAnsi="宋体"/>
          <w:color w:val="auto"/>
        </w:rPr>
        <w:t>3</w:t>
      </w:r>
      <w:r>
        <w:rPr>
          <w:rFonts w:hint="eastAsia"/>
          <w:color w:val="auto"/>
        </w:rPr>
        <w:t>）签订合同时乙方明确表示无需预付款或乙方为大型企业的，可以采用以下付款方式：</w:t>
      </w:r>
    </w:p>
    <w:p w14:paraId="77782087">
      <w:pPr>
        <w:spacing w:line="312" w:lineRule="auto"/>
        <w:ind w:firstLine="420" w:firstLineChars="200"/>
        <w:rPr>
          <w:color w:val="auto"/>
        </w:rPr>
      </w:pPr>
      <w:r>
        <w:rPr>
          <w:rFonts w:hint="eastAsia"/>
          <w:color w:val="auto"/>
        </w:rPr>
        <w:t>①</w:t>
      </w:r>
      <w:r>
        <w:rPr>
          <w:rFonts w:hint="eastAsia"/>
          <w:b/>
          <w:color w:val="auto"/>
        </w:rPr>
        <w:t>一</w:t>
      </w:r>
      <w:r>
        <w:rPr>
          <w:rFonts w:hint="eastAsia"/>
          <w:bCs/>
          <w:color w:val="auto"/>
        </w:rPr>
        <w:t>次性付款</w:t>
      </w:r>
      <w:r>
        <w:rPr>
          <w:rFonts w:hint="eastAsia"/>
          <w:b/>
          <w:color w:val="auto"/>
        </w:rPr>
        <w:t>：</w:t>
      </w:r>
      <w:r>
        <w:rPr>
          <w:rFonts w:hint="eastAsia"/>
          <w:color w:val="auto"/>
        </w:rPr>
        <w:t>服务结束，甲方验收合格并收到发票后</w:t>
      </w:r>
      <w:r>
        <w:rPr>
          <w:color w:val="auto"/>
        </w:rPr>
        <w:t>10</w:t>
      </w:r>
      <w:r>
        <w:rPr>
          <w:rFonts w:hint="eastAsia"/>
          <w:color w:val="auto"/>
        </w:rPr>
        <w:t>个工作日内，甲方向乙方支付全部合同价款。</w:t>
      </w:r>
    </w:p>
    <w:p w14:paraId="4766A46D">
      <w:pPr>
        <w:spacing w:line="312" w:lineRule="auto"/>
        <w:ind w:firstLine="420" w:firstLineChars="200"/>
        <w:rPr>
          <w:color w:val="auto"/>
        </w:rPr>
      </w:pPr>
      <w:r>
        <w:rPr>
          <w:rFonts w:hint="eastAsia"/>
          <w:color w:val="auto"/>
        </w:rPr>
        <w:t>②</w:t>
      </w:r>
      <w:r>
        <w:rPr>
          <w:rFonts w:hint="eastAsia"/>
          <w:bCs/>
          <w:color w:val="auto"/>
        </w:rPr>
        <w:t>按期结算</w:t>
      </w:r>
      <w:r>
        <w:rPr>
          <w:rFonts w:hint="eastAsia"/>
          <w:b/>
          <w:color w:val="auto"/>
        </w:rPr>
        <w:t>：</w:t>
      </w:r>
      <w:r>
        <w:rPr>
          <w:rFonts w:hint="eastAsia"/>
          <w:color w:val="auto"/>
        </w:rPr>
        <w:t>每</w:t>
      </w:r>
      <w:r>
        <w:rPr>
          <w:color w:val="auto"/>
          <w:u w:val="single"/>
        </w:rPr>
        <w:t xml:space="preserve">    </w:t>
      </w:r>
      <w:r>
        <w:rPr>
          <w:rFonts w:hint="eastAsia"/>
          <w:color w:val="auto"/>
        </w:rPr>
        <w:t>末（月、季度或半年），甲方验收合格并收到发票后</w:t>
      </w:r>
      <w:r>
        <w:rPr>
          <w:color w:val="auto"/>
        </w:rPr>
        <w:t xml:space="preserve"> 10</w:t>
      </w:r>
      <w:r>
        <w:rPr>
          <w:rFonts w:hint="eastAsia"/>
          <w:color w:val="auto"/>
        </w:rPr>
        <w:t>个工作日内，甲方向乙方支付本期款项。</w:t>
      </w:r>
      <w:r>
        <w:rPr>
          <w:color w:val="auto"/>
        </w:rPr>
        <w:t xml:space="preserve"> </w:t>
      </w:r>
    </w:p>
    <w:p w14:paraId="31727EED">
      <w:pPr>
        <w:spacing w:line="312" w:lineRule="auto"/>
        <w:ind w:firstLine="420" w:firstLineChars="200"/>
        <w:rPr>
          <w:color w:val="auto"/>
        </w:rPr>
      </w:pPr>
      <w:r>
        <w:rPr>
          <w:rFonts w:hint="eastAsia"/>
          <w:color w:val="auto"/>
        </w:rPr>
        <w:t>③按进度付款</w:t>
      </w:r>
      <w:r>
        <w:rPr>
          <w:rFonts w:hint="eastAsia"/>
          <w:b/>
          <w:bCs/>
          <w:color w:val="auto"/>
        </w:rPr>
        <w:t>：</w:t>
      </w:r>
      <w:r>
        <w:rPr>
          <w:rFonts w:hint="eastAsia"/>
          <w:color w:val="auto"/>
        </w:rPr>
        <w:t>每个进度节点，</w:t>
      </w:r>
      <w:r>
        <w:rPr>
          <w:rFonts w:hint="eastAsia"/>
          <w:bCs/>
          <w:color w:val="auto"/>
        </w:rPr>
        <w:t>甲方</w:t>
      </w:r>
      <w:r>
        <w:rPr>
          <w:rFonts w:hint="eastAsia"/>
          <w:color w:val="auto"/>
        </w:rPr>
        <w:t>验收合格并收到发票后</w:t>
      </w:r>
      <w:r>
        <w:rPr>
          <w:color w:val="auto"/>
        </w:rPr>
        <w:t>10</w:t>
      </w:r>
      <w:r>
        <w:rPr>
          <w:rFonts w:hint="eastAsia"/>
          <w:color w:val="auto"/>
        </w:rPr>
        <w:t>个工作日内，甲方向乙方支付对应款项。</w:t>
      </w:r>
    </w:p>
    <w:p w14:paraId="608B2CBB">
      <w:pPr>
        <w:spacing w:line="312" w:lineRule="auto"/>
        <w:ind w:firstLine="420" w:firstLineChars="200"/>
        <w:rPr>
          <w:color w:val="auto"/>
        </w:rPr>
      </w:pPr>
      <w:r>
        <w:rPr>
          <w:rFonts w:hint="eastAsia"/>
          <w:color w:val="auto"/>
        </w:rPr>
        <w:t>④</w:t>
      </w:r>
      <w:r>
        <w:rPr>
          <w:rFonts w:hint="eastAsia"/>
          <w:bCs/>
          <w:color w:val="auto"/>
        </w:rPr>
        <w:t>其它支付形式</w:t>
      </w:r>
      <w:r>
        <w:rPr>
          <w:rFonts w:hint="eastAsia"/>
          <w:b/>
          <w:color w:val="auto"/>
        </w:rPr>
        <w:t>：</w:t>
      </w:r>
      <w:r>
        <w:rPr>
          <w:color w:val="auto"/>
        </w:rPr>
        <w:t xml:space="preserve">                 </w:t>
      </w:r>
    </w:p>
    <w:p w14:paraId="00F6726F">
      <w:pPr>
        <w:spacing w:line="312" w:lineRule="auto"/>
        <w:ind w:firstLine="420" w:firstLineChars="200"/>
        <w:rPr>
          <w:color w:val="auto"/>
        </w:rPr>
      </w:pPr>
      <w:r>
        <w:rPr>
          <w:rFonts w:hint="eastAsia"/>
          <w:color w:val="auto"/>
        </w:rPr>
        <w:t>（</w:t>
      </w:r>
      <w:r>
        <w:rPr>
          <w:rFonts w:hint="eastAsia" w:ascii="宋体" w:hAnsi="宋体"/>
          <w:color w:val="auto"/>
        </w:rPr>
        <w:t>4</w:t>
      </w:r>
      <w:r>
        <w:rPr>
          <w:rFonts w:hint="eastAsia"/>
          <w:color w:val="auto"/>
        </w:rPr>
        <w:t>）房屋租赁、服务器租用、数据库使用等租用型项目，合同生效、具备使用条件并经甲方验收合格后按期支付费用（月、季度、半年或整年）。</w:t>
      </w:r>
    </w:p>
    <w:p w14:paraId="16E4FEC3">
      <w:pPr>
        <w:spacing w:line="312" w:lineRule="auto"/>
        <w:ind w:firstLine="420" w:firstLineChars="200"/>
        <w:rPr>
          <w:color w:val="auto"/>
        </w:rPr>
      </w:pPr>
      <w:r>
        <w:rPr>
          <w:rFonts w:hint="eastAsia"/>
          <w:color w:val="auto"/>
        </w:rPr>
        <w:t>付款前，乙方须交纳合同约定的履约保证金（如有）并提供甲方财务处开具的履约保证金收据，乙方向甲方开具等额有效的合格增值税发票。</w:t>
      </w:r>
    </w:p>
    <w:p w14:paraId="39CC9CFE">
      <w:pPr>
        <w:spacing w:line="312" w:lineRule="auto"/>
        <w:ind w:firstLine="420" w:firstLineChars="200"/>
        <w:rPr>
          <w:color w:val="auto"/>
        </w:rPr>
      </w:pPr>
      <w:r>
        <w:rPr>
          <w:rFonts w:hint="eastAsia"/>
          <w:color w:val="auto"/>
        </w:rPr>
        <w:t>开票信息如下：</w:t>
      </w:r>
    </w:p>
    <w:p w14:paraId="0FBE1E49">
      <w:pPr>
        <w:spacing w:line="312" w:lineRule="auto"/>
        <w:ind w:firstLine="420" w:firstLineChars="200"/>
        <w:rPr>
          <w:color w:val="auto"/>
        </w:rPr>
      </w:pPr>
      <w:r>
        <w:rPr>
          <w:rFonts w:hint="eastAsia"/>
          <w:color w:val="auto"/>
        </w:rPr>
        <w:t>单位名称：杭州电子科技大学。税号：</w:t>
      </w:r>
      <w:r>
        <w:rPr>
          <w:color w:val="auto"/>
        </w:rPr>
        <w:t>12330000470009026T</w:t>
      </w:r>
    </w:p>
    <w:p w14:paraId="3CF53BA1">
      <w:pPr>
        <w:spacing w:line="312" w:lineRule="auto"/>
        <w:ind w:firstLine="420" w:firstLineChars="200"/>
        <w:rPr>
          <w:color w:val="auto"/>
        </w:rPr>
      </w:pPr>
      <w:r>
        <w:rPr>
          <w:rFonts w:hint="eastAsia"/>
          <w:color w:val="auto"/>
        </w:rPr>
        <w:t>开户银行：工行杭州高新支行。账号：</w:t>
      </w:r>
      <w:r>
        <w:rPr>
          <w:color w:val="auto"/>
        </w:rPr>
        <w:t>1202026209008806216</w:t>
      </w:r>
    </w:p>
    <w:p w14:paraId="684309E5">
      <w:pPr>
        <w:spacing w:line="312" w:lineRule="auto"/>
        <w:ind w:firstLine="422" w:firstLineChars="200"/>
        <w:rPr>
          <w:b/>
          <w:bCs/>
          <w:color w:val="auto"/>
        </w:rPr>
      </w:pPr>
      <w:r>
        <w:rPr>
          <w:rFonts w:hint="eastAsia"/>
          <w:b/>
          <w:bCs/>
          <w:color w:val="auto"/>
        </w:rPr>
        <w:t>五、双方权利与义务：</w:t>
      </w:r>
    </w:p>
    <w:p w14:paraId="377463A4">
      <w:pPr>
        <w:spacing w:line="312" w:lineRule="auto"/>
        <w:ind w:firstLine="420" w:firstLineChars="200"/>
        <w:rPr>
          <w:color w:val="auto"/>
        </w:rPr>
      </w:pPr>
      <w:r>
        <w:rPr>
          <w:rFonts w:hint="eastAsia"/>
          <w:color w:val="auto"/>
        </w:rPr>
        <w:t>（按采购文件及采购结果填写，如有）</w:t>
      </w:r>
    </w:p>
    <w:p w14:paraId="157134B3">
      <w:pPr>
        <w:spacing w:line="312" w:lineRule="auto"/>
        <w:ind w:firstLine="422" w:firstLineChars="200"/>
        <w:rPr>
          <w:b/>
          <w:bCs/>
          <w:color w:val="auto"/>
        </w:rPr>
      </w:pPr>
      <w:r>
        <w:rPr>
          <w:rFonts w:hint="eastAsia"/>
          <w:b/>
          <w:bCs/>
          <w:color w:val="auto"/>
        </w:rPr>
        <w:t>六、知识产权要求</w:t>
      </w:r>
    </w:p>
    <w:p w14:paraId="54805363">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31B281BD">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B2AEE4A">
      <w:pPr>
        <w:spacing w:line="312" w:lineRule="auto"/>
        <w:ind w:firstLine="422" w:firstLineChars="200"/>
        <w:rPr>
          <w:b/>
          <w:bCs/>
          <w:color w:val="auto"/>
        </w:rPr>
      </w:pPr>
      <w:r>
        <w:rPr>
          <w:rFonts w:hint="eastAsia"/>
          <w:b/>
          <w:bCs/>
          <w:color w:val="auto"/>
        </w:rPr>
        <w:t>七、转包或分包</w:t>
      </w:r>
    </w:p>
    <w:p w14:paraId="1E56DA76">
      <w:pPr>
        <w:snapToGrid w:val="0"/>
        <w:spacing w:line="312" w:lineRule="auto"/>
        <w:ind w:firstLine="420" w:firstLineChars="200"/>
        <w:rPr>
          <w:rFonts w:ascii="宋体" w:hAnsi="Courier New" w:cs="Arial"/>
          <w:color w:val="auto"/>
          <w:szCs w:val="21"/>
        </w:rPr>
      </w:pPr>
      <w:r>
        <w:rPr>
          <w:rFonts w:hint="eastAsia" w:ascii="宋体" w:hAnsi="宋体" w:cs="Arial"/>
          <w:color w:val="auto"/>
          <w:szCs w:val="21"/>
        </w:rPr>
        <w:t>1</w:t>
      </w:r>
      <w:r>
        <w:rPr>
          <w:rFonts w:hint="eastAsia" w:ascii="宋体" w:hAnsi="Courier New" w:cs="Arial"/>
          <w:color w:val="auto"/>
          <w:spacing w:val="-6"/>
          <w:szCs w:val="21"/>
        </w:rPr>
        <w:t>.</w:t>
      </w:r>
      <w:r>
        <w:rPr>
          <w:rFonts w:hint="eastAsia" w:ascii="宋体" w:hAnsi="Courier New" w:cs="Arial"/>
          <w:color w:val="auto"/>
          <w:szCs w:val="21"/>
        </w:rPr>
        <w:t>本合同范围的货物，应由乙方直接供应，不得转让他人供应。</w:t>
      </w:r>
    </w:p>
    <w:p w14:paraId="15EBFD1A">
      <w:pPr>
        <w:snapToGrid w:val="0"/>
        <w:spacing w:line="312" w:lineRule="auto"/>
        <w:ind w:firstLine="420" w:firstLineChars="200"/>
        <w:rPr>
          <w:rFonts w:ascii="宋体" w:hAnsi="Courier New" w:cs="Arial"/>
          <w:color w:val="auto"/>
          <w:szCs w:val="21"/>
        </w:rPr>
      </w:pPr>
      <w:r>
        <w:rPr>
          <w:rFonts w:hint="eastAsia" w:ascii="宋体" w:hAnsi="Courier New" w:cs="Arial"/>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3FEEA495">
      <w:pPr>
        <w:spacing w:line="312" w:lineRule="auto"/>
        <w:ind w:firstLine="420" w:firstLineChars="200"/>
        <w:rPr>
          <w:rFonts w:ascii="宋体"/>
          <w:color w:val="auto"/>
        </w:rPr>
      </w:pPr>
      <w:r>
        <w:rPr>
          <w:rFonts w:hint="eastAsia" w:ascii="宋体" w:hAnsi="宋体"/>
          <w:color w:val="auto"/>
        </w:rPr>
        <w:t>3</w:t>
      </w:r>
      <w:r>
        <w:rPr>
          <w:rFonts w:hint="eastAsia" w:ascii="宋体"/>
          <w:color w:val="auto"/>
          <w:spacing w:val="-6"/>
        </w:rPr>
        <w:t>.</w:t>
      </w:r>
      <w:r>
        <w:rPr>
          <w:rFonts w:hint="eastAsia"/>
          <w:color w:val="auto"/>
        </w:rPr>
        <w:t>如有转让或未经甲方同意的分包行为，甲方有权解除合同，没收履约保证金并追究乙方的违约责任</w:t>
      </w:r>
      <w:r>
        <w:rPr>
          <w:rFonts w:hint="eastAsia" w:ascii="宋体"/>
          <w:color w:val="auto"/>
        </w:rPr>
        <w:t>。</w:t>
      </w:r>
    </w:p>
    <w:p w14:paraId="629FABD7">
      <w:pPr>
        <w:spacing w:line="312" w:lineRule="auto"/>
        <w:ind w:firstLine="422" w:firstLineChars="200"/>
        <w:rPr>
          <w:b/>
          <w:bCs/>
          <w:color w:val="auto"/>
        </w:rPr>
      </w:pPr>
      <w:bookmarkStart w:id="454" w:name="_Hlk155173514"/>
      <w:r>
        <w:rPr>
          <w:rFonts w:hint="eastAsia"/>
          <w:b/>
          <w:bCs/>
          <w:color w:val="auto"/>
        </w:rPr>
        <w:t>八、</w:t>
      </w:r>
      <w:bookmarkEnd w:id="454"/>
      <w:r>
        <w:rPr>
          <w:rFonts w:hint="eastAsia"/>
          <w:b/>
          <w:bCs/>
          <w:color w:val="auto"/>
        </w:rPr>
        <w:t>验收</w:t>
      </w:r>
    </w:p>
    <w:p w14:paraId="4A3885A6">
      <w:pPr>
        <w:spacing w:line="312" w:lineRule="auto"/>
        <w:ind w:firstLine="420" w:firstLineChars="200"/>
        <w:rPr>
          <w:color w:val="auto"/>
        </w:rPr>
      </w:pPr>
      <w:r>
        <w:rPr>
          <w:rFonts w:hint="eastAsia" w:ascii="宋体" w:hAnsi="宋体" w:cs="宋体"/>
          <w:color w:val="auto"/>
        </w:rPr>
        <w:t>1</w:t>
      </w:r>
      <w:r>
        <w:rPr>
          <w:rFonts w:hint="eastAsia" w:ascii="宋体" w:hAnsi="宋体"/>
          <w:color w:val="auto"/>
        </w:rPr>
        <w:t>.</w:t>
      </w:r>
      <w:r>
        <w:rPr>
          <w:rFonts w:hint="eastAsia"/>
          <w:color w:val="auto"/>
        </w:rPr>
        <w:t>验收前乙方应对所提供服务作出全面检查及对验收文件进行整理，并列出清单，作为甲方验收和使用的技术条件依据，检验的结果应交甲方。</w:t>
      </w:r>
    </w:p>
    <w:p w14:paraId="179F623C">
      <w:pPr>
        <w:spacing w:line="312" w:lineRule="auto"/>
        <w:ind w:firstLine="420" w:firstLineChars="200"/>
        <w:rPr>
          <w:rFonts w:cs="宋体"/>
          <w:color w:val="auto"/>
        </w:rPr>
      </w:pPr>
      <w:r>
        <w:rPr>
          <w:rFonts w:hint="eastAsia" w:ascii="宋体" w:hAnsi="宋体" w:cs="宋体"/>
          <w:color w:val="auto"/>
        </w:rPr>
        <w:t>2</w:t>
      </w:r>
      <w:r>
        <w:rPr>
          <w:rFonts w:hint="eastAsia" w:ascii="宋体" w:hAnsi="宋体"/>
          <w:color w:val="auto"/>
        </w:rPr>
        <w:t>.如甲方需要，</w:t>
      </w:r>
      <w:r>
        <w:rPr>
          <w:rFonts w:hint="eastAsia"/>
          <w:color w:val="auto"/>
        </w:rPr>
        <w:t>验收时乙方应在现场，验收完毕后作出验收结果报告。</w:t>
      </w:r>
      <w:r>
        <w:rPr>
          <w:rFonts w:cs="宋体"/>
          <w:color w:val="auto"/>
        </w:rPr>
        <w:t xml:space="preserve"> </w:t>
      </w:r>
    </w:p>
    <w:p w14:paraId="6EB10989">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b/>
          <w:bCs/>
          <w:color w:val="auto"/>
          <w:u w:val="single"/>
        </w:rPr>
        <w:t xml:space="preserve"> </w:t>
      </w:r>
      <w:r>
        <w:rPr>
          <w:rFonts w:hint="eastAsia" w:ascii="宋体" w:hAnsi="宋体"/>
          <w:b/>
          <w:bCs/>
          <w:color w:val="auto"/>
          <w:u w:val="single"/>
          <w:lang w:val="en-US" w:eastAsia="zh-CN"/>
        </w:rPr>
        <w:t>20</w:t>
      </w:r>
      <w:r>
        <w:rPr>
          <w:rFonts w:hint="eastAsia" w:ascii="宋体" w:hAnsi="宋体"/>
          <w:b/>
          <w:bCs/>
          <w:color w:val="auto"/>
          <w:u w:val="single"/>
        </w:rPr>
        <w:t xml:space="preserve"> </w:t>
      </w:r>
      <w:r>
        <w:rPr>
          <w:rFonts w:hint="eastAsia"/>
          <w:color w:val="auto"/>
        </w:rPr>
        <w:t>个工作日内开始验收。</w:t>
      </w:r>
    </w:p>
    <w:p w14:paraId="030B295C">
      <w:pPr>
        <w:spacing w:line="312" w:lineRule="auto"/>
        <w:ind w:firstLine="420" w:firstLineChars="200"/>
        <w:rPr>
          <w:rFonts w:cs="宋体"/>
          <w:strike/>
          <w:color w:val="auto"/>
        </w:rPr>
      </w:pPr>
      <w:r>
        <w:rPr>
          <w:rFonts w:hint="eastAsia" w:ascii="宋体" w:hAnsi="宋体" w:cs="宋体"/>
          <w:color w:val="auto"/>
        </w:rPr>
        <w:t>4</w:t>
      </w:r>
      <w:r>
        <w:rPr>
          <w:rFonts w:hint="eastAsia" w:ascii="宋体" w:hAnsi="宋体"/>
          <w:color w:val="auto"/>
        </w:rPr>
        <w:t>.</w:t>
      </w:r>
      <w:r>
        <w:rPr>
          <w:rFonts w:hint="eastAsia"/>
          <w:color w:val="auto"/>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3F2ECC1E">
      <w:pPr>
        <w:spacing w:line="312" w:lineRule="auto"/>
        <w:ind w:firstLine="422" w:firstLineChars="200"/>
        <w:rPr>
          <w:b/>
          <w:bCs/>
          <w:color w:val="auto"/>
        </w:rPr>
      </w:pPr>
      <w:r>
        <w:rPr>
          <w:rFonts w:hint="eastAsia"/>
          <w:b/>
          <w:bCs/>
          <w:color w:val="auto"/>
        </w:rPr>
        <w:t>九、质量保证与售后服务</w:t>
      </w:r>
    </w:p>
    <w:p w14:paraId="0EC9B4FF">
      <w:pPr>
        <w:spacing w:line="312" w:lineRule="auto"/>
        <w:ind w:firstLine="420" w:firstLineChars="200"/>
        <w:rPr>
          <w:color w:val="auto"/>
        </w:rPr>
      </w:pPr>
      <w:r>
        <w:rPr>
          <w:rFonts w:hint="eastAsia" w:ascii="宋体" w:hAnsi="宋体"/>
          <w:color w:val="auto"/>
        </w:rPr>
        <w:t>1.</w:t>
      </w:r>
      <w:r>
        <w:rPr>
          <w:rFonts w:hint="eastAsia"/>
          <w:color w:val="auto"/>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4EAAAE67">
      <w:pPr>
        <w:spacing w:line="312" w:lineRule="auto"/>
        <w:ind w:firstLine="420" w:firstLineChars="200"/>
        <w:rPr>
          <w:rFonts w:cs="宋体"/>
          <w:b/>
          <w:bCs/>
          <w:color w:val="auto"/>
        </w:rPr>
      </w:pPr>
      <w:r>
        <w:rPr>
          <w:rFonts w:hint="eastAsia" w:ascii="宋体" w:hAnsi="宋体" w:cs="宋体"/>
          <w:color w:val="auto"/>
        </w:rPr>
        <w:t>2</w:t>
      </w:r>
      <w:r>
        <w:rPr>
          <w:rFonts w:hint="eastAsia" w:ascii="宋体" w:hAnsi="宋体"/>
          <w:color w:val="auto"/>
        </w:rPr>
        <w:t>.</w:t>
      </w:r>
      <w:r>
        <w:rPr>
          <w:rFonts w:hint="eastAsia"/>
          <w:color w:val="auto"/>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7F6B9687">
      <w:pPr>
        <w:spacing w:line="312" w:lineRule="auto"/>
        <w:ind w:firstLine="420" w:firstLineChars="200"/>
        <w:rPr>
          <w:rFonts w:cs="宋体"/>
          <w:b/>
          <w:bCs/>
          <w:color w:val="auto"/>
        </w:rPr>
      </w:pPr>
      <w:r>
        <w:rPr>
          <w:rFonts w:hint="eastAsia" w:ascii="宋体" w:hAnsi="宋体" w:cs="宋体"/>
          <w:color w:val="auto"/>
        </w:rPr>
        <w:t>3</w:t>
      </w:r>
      <w:r>
        <w:rPr>
          <w:rFonts w:hint="eastAsia" w:ascii="宋体" w:hAnsi="宋体"/>
          <w:color w:val="auto"/>
        </w:rPr>
        <w:t>.</w:t>
      </w:r>
      <w:r>
        <w:rPr>
          <w:rFonts w:hint="eastAsia"/>
          <w:color w:val="auto"/>
        </w:rPr>
        <w:t>质量保证期内，乙方对本项目所含货物类产品免费提供维护、维修或更换，包括设备维修所需的零配件及不能解决的故障需要返回生产厂家维修时所发生的一切费用。</w:t>
      </w:r>
    </w:p>
    <w:p w14:paraId="2F41D190">
      <w:pPr>
        <w:spacing w:line="312" w:lineRule="auto"/>
        <w:ind w:firstLine="422" w:firstLineChars="200"/>
        <w:rPr>
          <w:b/>
          <w:bCs/>
          <w:color w:val="auto"/>
        </w:rPr>
      </w:pPr>
      <w:r>
        <w:rPr>
          <w:rFonts w:hint="eastAsia"/>
          <w:b/>
          <w:bCs/>
          <w:color w:val="auto"/>
        </w:rPr>
        <w:t>十、保密条款</w:t>
      </w:r>
    </w:p>
    <w:p w14:paraId="1387EF9B">
      <w:pPr>
        <w:spacing w:line="312" w:lineRule="auto"/>
        <w:ind w:firstLine="420" w:firstLineChars="200"/>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4EA34BDA">
      <w:pPr>
        <w:spacing w:line="312" w:lineRule="auto"/>
        <w:ind w:firstLine="422" w:firstLineChars="200"/>
        <w:rPr>
          <w:b/>
          <w:bCs/>
          <w:color w:val="auto"/>
        </w:rPr>
      </w:pPr>
      <w:r>
        <w:rPr>
          <w:rFonts w:hint="eastAsia"/>
          <w:b/>
          <w:bCs/>
          <w:color w:val="auto"/>
        </w:rPr>
        <w:t>十一、违约责任</w:t>
      </w:r>
    </w:p>
    <w:p w14:paraId="2FEF335C">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甲方逾期支付款项的，每逾期一日，应按逾期付款总额</w:t>
      </w:r>
      <w:r>
        <w:rPr>
          <w:rFonts w:hint="eastAsia"/>
          <w:color w:val="auto"/>
          <w:u w:val="single"/>
        </w:rPr>
        <w:t>千分之一</w:t>
      </w:r>
      <w:r>
        <w:rPr>
          <w:rFonts w:hint="eastAsia"/>
          <w:color w:val="auto"/>
        </w:rPr>
        <w:t>向乙方支付违约金。</w:t>
      </w:r>
    </w:p>
    <w:p w14:paraId="4001ABB3">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乙方逾期履行合同的，每逾期一日，应按合同总价</w:t>
      </w:r>
      <w:r>
        <w:rPr>
          <w:rFonts w:hint="eastAsia"/>
          <w:color w:val="auto"/>
          <w:u w:val="single"/>
        </w:rPr>
        <w:t>千分之一</w:t>
      </w:r>
      <w:r>
        <w:rPr>
          <w:rFonts w:hint="eastAsia"/>
          <w:color w:val="auto"/>
        </w:rPr>
        <w:t>向甲方支付违约金。累计逾期超过约定日期</w:t>
      </w:r>
      <w:r>
        <w:rPr>
          <w:color w:val="auto"/>
          <w:u w:val="single"/>
        </w:rPr>
        <w:t xml:space="preserve"> 10 </w:t>
      </w:r>
      <w:r>
        <w:rPr>
          <w:rFonts w:hint="eastAsia"/>
          <w:color w:val="auto"/>
        </w:rPr>
        <w:t>个工作日的，甲方有权解除本合同，乙方应向</w:t>
      </w:r>
      <w:r>
        <w:rPr>
          <w:rFonts w:hint="eastAsia"/>
          <w:color w:val="auto"/>
          <w:spacing w:val="-6"/>
        </w:rPr>
        <w:t>甲方返还全部已支付价款，并按合同总价的</w:t>
      </w:r>
      <w:r>
        <w:rPr>
          <w:color w:val="auto"/>
          <w:u w:val="single"/>
        </w:rPr>
        <w:t>5 %</w:t>
      </w:r>
      <w:r>
        <w:rPr>
          <w:rFonts w:hint="eastAsia"/>
          <w:color w:val="auto"/>
          <w:spacing w:val="-6"/>
        </w:rPr>
        <w:t>向甲方支付违约金，</w:t>
      </w:r>
      <w:r>
        <w:rPr>
          <w:rFonts w:hint="eastAsia"/>
          <w:color w:val="auto"/>
        </w:rPr>
        <w:t>违约金不足以弥补甲方损失的，乙方还应向</w:t>
      </w:r>
      <w:r>
        <w:rPr>
          <w:rFonts w:hint="eastAsia"/>
          <w:color w:val="auto"/>
          <w:spacing w:val="-6"/>
        </w:rPr>
        <w:t>甲方赔偿遭受的全部损失。</w:t>
      </w:r>
      <w:r>
        <w:rPr>
          <w:color w:val="auto"/>
        </w:rPr>
        <w:t xml:space="preserve"> </w:t>
      </w:r>
    </w:p>
    <w:p w14:paraId="7808A981">
      <w:pPr>
        <w:spacing w:line="312" w:lineRule="auto"/>
        <w:ind w:firstLine="420" w:firstLineChars="200"/>
        <w:rPr>
          <w:color w:val="auto"/>
        </w:rPr>
      </w:pPr>
      <w:r>
        <w:rPr>
          <w:rFonts w:hint="eastAsia" w:ascii="宋体" w:hAnsi="宋体" w:cs="宋体"/>
          <w:color w:val="auto"/>
        </w:rPr>
        <w:t>3</w:t>
      </w:r>
      <w:r>
        <w:rPr>
          <w:rFonts w:hint="eastAsia" w:ascii="宋体" w:hAnsi="宋体"/>
          <w:color w:val="auto"/>
        </w:rPr>
        <w:t>.</w:t>
      </w:r>
      <w:r>
        <w:rPr>
          <w:rFonts w:hint="eastAsia"/>
          <w:color w:val="auto"/>
        </w:rPr>
        <w:t>若乙方未能按本合同要求全面提供服务或有其他违约行为，并经甲方书面通知后仍不改正的，甲方有权解除合同，</w:t>
      </w:r>
      <w:r>
        <w:rPr>
          <w:rFonts w:hint="eastAsia" w:cs="宋体"/>
          <w:color w:val="auto"/>
        </w:rPr>
        <w:t>乙方应向</w:t>
      </w:r>
      <w:r>
        <w:rPr>
          <w:rFonts w:hint="eastAsia"/>
          <w:color w:val="auto"/>
        </w:rPr>
        <w:t>甲方返还全部已支付价款，并按合同总价的</w:t>
      </w:r>
      <w:r>
        <w:rPr>
          <w:color w:val="auto"/>
          <w:u w:val="single"/>
        </w:rPr>
        <w:t>5 %</w:t>
      </w:r>
      <w:r>
        <w:rPr>
          <w:rFonts w:hint="eastAsia"/>
          <w:color w:val="auto"/>
        </w:rPr>
        <w:t>向甲方支付违约金，</w:t>
      </w:r>
      <w:r>
        <w:rPr>
          <w:rFonts w:hint="eastAsia" w:cs="宋体"/>
          <w:color w:val="auto"/>
        </w:rPr>
        <w:t>违约金不足以弥补甲方损失的，乙方还应向</w:t>
      </w:r>
      <w:r>
        <w:rPr>
          <w:rFonts w:hint="eastAsia"/>
          <w:color w:val="auto"/>
        </w:rPr>
        <w:t>甲方赔偿遭受的全部损失。</w:t>
      </w:r>
    </w:p>
    <w:p w14:paraId="21975217">
      <w:pPr>
        <w:spacing w:line="312" w:lineRule="auto"/>
        <w:ind w:firstLine="420" w:firstLineChars="200"/>
        <w:rPr>
          <w:b/>
          <w:bCs/>
          <w:color w:val="auto"/>
        </w:rPr>
      </w:pPr>
      <w:r>
        <w:rPr>
          <w:rFonts w:hint="eastAsia" w:ascii="宋体" w:hAnsi="宋体"/>
          <w:color w:val="auto"/>
        </w:rPr>
        <w:t>4.</w:t>
      </w:r>
      <w:r>
        <w:rPr>
          <w:rFonts w:hint="eastAsia"/>
          <w:color w:val="auto"/>
          <w:spacing w:val="-6"/>
        </w:rPr>
        <w:t>服务期内乙方未在约定时间内作出服务响应的，</w:t>
      </w:r>
      <w:r>
        <w:rPr>
          <w:rFonts w:hint="eastAsia"/>
          <w:color w:val="auto"/>
        </w:rPr>
        <w:t>每发生一次应向甲方支付</w:t>
      </w:r>
      <w:r>
        <w:rPr>
          <w:color w:val="auto"/>
          <w:u w:val="single"/>
        </w:rPr>
        <w:t xml:space="preserve"> </w:t>
      </w:r>
      <w:r>
        <w:rPr>
          <w:rFonts w:hint="eastAsia"/>
          <w:color w:val="auto"/>
          <w:u w:val="single"/>
        </w:rPr>
        <w:t>壹仟</w:t>
      </w:r>
      <w:r>
        <w:rPr>
          <w:color w:val="auto"/>
          <w:u w:val="single"/>
        </w:rPr>
        <w:t xml:space="preserve"> </w:t>
      </w:r>
      <w:r>
        <w:rPr>
          <w:rFonts w:hint="eastAsia"/>
          <w:color w:val="auto"/>
        </w:rPr>
        <w:t>元的违约金，</w:t>
      </w:r>
      <w:r>
        <w:rPr>
          <w:rFonts w:hint="eastAsia"/>
          <w:color w:val="auto"/>
          <w:spacing w:val="-6"/>
        </w:rPr>
        <w:t>甲方有权委托第三方提供服务，</w:t>
      </w:r>
      <w:r>
        <w:rPr>
          <w:rFonts w:hint="eastAsia"/>
          <w:color w:val="auto"/>
        </w:rPr>
        <w:t>所产生的费用由乙方承担。</w:t>
      </w:r>
    </w:p>
    <w:p w14:paraId="5C5F3DFB">
      <w:pPr>
        <w:spacing w:line="312" w:lineRule="auto"/>
        <w:ind w:firstLine="420" w:firstLineChars="200"/>
        <w:rPr>
          <w:color w:val="auto"/>
        </w:rPr>
      </w:pPr>
      <w:r>
        <w:rPr>
          <w:rFonts w:hint="eastAsia" w:ascii="宋体" w:hAnsi="宋体"/>
          <w:color w:val="auto"/>
        </w:rPr>
        <w:t>5.</w:t>
      </w:r>
      <w:r>
        <w:rPr>
          <w:rFonts w:hint="eastAsia"/>
          <w:color w:val="auto"/>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1E355F4E">
      <w:pPr>
        <w:spacing w:line="312" w:lineRule="auto"/>
        <w:ind w:firstLine="422" w:firstLineChars="200"/>
        <w:rPr>
          <w:b/>
          <w:bCs/>
          <w:color w:val="auto"/>
        </w:rPr>
      </w:pPr>
      <w:r>
        <w:rPr>
          <w:rFonts w:hint="eastAsia"/>
          <w:b/>
          <w:bCs/>
          <w:color w:val="auto"/>
        </w:rPr>
        <w:t>十二、不可抗力</w:t>
      </w:r>
    </w:p>
    <w:p w14:paraId="4A5B3490">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07B9896B">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187D6254">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不可抗力事件发生后，受不可抗力事件影响的一方应在事件发生后</w:t>
      </w:r>
      <w:r>
        <w:rPr>
          <w:color w:val="auto"/>
        </w:rPr>
        <w:t>3</w:t>
      </w:r>
      <w:r>
        <w:rPr>
          <w:rFonts w:hint="eastAsia"/>
          <w:color w:val="auto"/>
        </w:rPr>
        <w:t>日内立即通知对方，并寄送有关权威机构出具的证明。同时应立即尽一切合理努力采取措施，消除影响，减少损失。</w:t>
      </w:r>
    </w:p>
    <w:p w14:paraId="529933AD">
      <w:pPr>
        <w:spacing w:line="312" w:lineRule="auto"/>
        <w:ind w:firstLine="420" w:firstLineChars="200"/>
        <w:rPr>
          <w:color w:val="auto"/>
        </w:rPr>
      </w:pPr>
      <w:r>
        <w:rPr>
          <w:rFonts w:hint="eastAsia" w:ascii="宋体" w:hAnsi="宋体" w:cs="宋体"/>
          <w:color w:val="auto"/>
        </w:rPr>
        <w:t>4.</w:t>
      </w:r>
      <w:r>
        <w:rPr>
          <w:rFonts w:hint="eastAsia"/>
          <w:color w:val="auto"/>
        </w:rPr>
        <w:t>不可抗力事件延续</w:t>
      </w:r>
      <w:r>
        <w:rPr>
          <w:color w:val="auto"/>
        </w:rPr>
        <w:t>30</w:t>
      </w:r>
      <w:r>
        <w:rPr>
          <w:rFonts w:hint="eastAsia"/>
          <w:color w:val="auto"/>
        </w:rPr>
        <w:t>天以上，双方应通过友好协商，确定是否继续履行合同。</w:t>
      </w:r>
    </w:p>
    <w:p w14:paraId="22D038CF">
      <w:pPr>
        <w:spacing w:line="312" w:lineRule="auto"/>
        <w:ind w:firstLine="422" w:firstLineChars="200"/>
        <w:rPr>
          <w:b/>
          <w:bCs/>
          <w:color w:val="auto"/>
        </w:rPr>
      </w:pPr>
      <w:r>
        <w:rPr>
          <w:rFonts w:hint="eastAsia"/>
          <w:b/>
          <w:bCs/>
          <w:color w:val="auto"/>
        </w:rPr>
        <w:t>十三、法律适用与争议解决</w:t>
      </w:r>
    </w:p>
    <w:p w14:paraId="136E0339">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3995E76B">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7F93ED69">
      <w:pPr>
        <w:spacing w:line="312" w:lineRule="auto"/>
        <w:ind w:firstLine="422" w:firstLineChars="200"/>
        <w:rPr>
          <w:b/>
          <w:bCs/>
          <w:color w:val="auto"/>
        </w:rPr>
      </w:pPr>
      <w:r>
        <w:rPr>
          <w:rFonts w:hint="eastAsia"/>
          <w:b/>
          <w:bCs/>
          <w:color w:val="auto"/>
        </w:rPr>
        <w:t>十四、合同生效及其他</w:t>
      </w:r>
    </w:p>
    <w:p w14:paraId="0128F22C">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本合同经甲、乙双方代表签字并加盖单位公章或合同专用章后生效，甲方的单位公章盖采购中心合同专用章（其它部门公章无效）。</w:t>
      </w:r>
    </w:p>
    <w:p w14:paraId="327E6929">
      <w:pPr>
        <w:spacing w:line="312" w:lineRule="auto"/>
        <w:ind w:firstLine="420" w:firstLineChars="200"/>
        <w:rPr>
          <w:color w:val="auto"/>
        </w:rPr>
      </w:pPr>
      <w:r>
        <w:rPr>
          <w:rFonts w:hint="eastAsia" w:ascii="宋体" w:hAnsi="宋体"/>
          <w:color w:val="auto"/>
        </w:rPr>
        <w:t>2.</w:t>
      </w:r>
      <w:bookmarkStart w:id="455" w:name="_Hlk154756484"/>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p>
    <w:bookmarkEnd w:id="455"/>
    <w:p w14:paraId="263AD127">
      <w:pPr>
        <w:spacing w:line="312" w:lineRule="auto"/>
        <w:ind w:firstLine="396" w:firstLineChars="200"/>
        <w:rPr>
          <w:color w:val="auto"/>
          <w:lang w:val="zh-CN"/>
        </w:rPr>
      </w:pPr>
      <w:bookmarkStart w:id="456" w:name="_Hlk154756502"/>
      <w:r>
        <w:rPr>
          <w:rFonts w:hint="eastAsia" w:ascii="宋体" w:hAnsi="宋体" w:cs="宋体"/>
          <w:color w:val="auto"/>
          <w:spacing w:val="-6"/>
        </w:rPr>
        <w:t>3.</w:t>
      </w:r>
      <w:bookmarkEnd w:id="456"/>
      <w:r>
        <w:rPr>
          <w:rFonts w:hint="eastAsia"/>
          <w:color w:val="auto"/>
        </w:rPr>
        <w:t>本次采购过程中形成的</w:t>
      </w:r>
      <w:r>
        <w:rPr>
          <w:rFonts w:hint="eastAsia" w:ascii="宋体" w:hAnsi="宋体" w:cs="宋体"/>
          <w:color w:val="auto"/>
        </w:rPr>
        <w:t>招标（非招标）</w:t>
      </w:r>
      <w:r>
        <w:rPr>
          <w:rFonts w:hint="eastAsia" w:ascii="宋体" w:hAnsi="宋体" w:cs="宋体"/>
          <w:color w:val="auto"/>
          <w:lang w:val="zh-CN"/>
        </w:rPr>
        <w:t>文件</w:t>
      </w:r>
      <w:r>
        <w:rPr>
          <w:rFonts w:hint="eastAsia"/>
          <w:color w:val="auto"/>
        </w:rPr>
        <w:t>、投标（响应）文件、澄清承诺、补充协议、附件等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1CAFAC6D">
      <w:pPr>
        <w:spacing w:line="312" w:lineRule="auto"/>
        <w:ind w:firstLine="420" w:firstLineChars="200"/>
        <w:rPr>
          <w:color w:val="auto"/>
          <w:lang w:val="zh-CN"/>
        </w:rPr>
      </w:pPr>
      <w:r>
        <w:rPr>
          <w:rFonts w:hint="eastAsia"/>
          <w:color w:val="auto"/>
          <w:lang w:val="zh-CN"/>
        </w:rPr>
        <w:t>（</w:t>
      </w:r>
      <w:r>
        <w:rPr>
          <w:rFonts w:hint="eastAsia" w:ascii="宋体" w:hAnsi="宋体"/>
          <w:color w:val="auto"/>
          <w:lang w:val="zh-CN"/>
        </w:rPr>
        <w:t>1</w:t>
      </w:r>
      <w:r>
        <w:rPr>
          <w:rFonts w:hint="eastAsia"/>
          <w:color w:val="auto"/>
          <w:lang w:val="zh-CN"/>
        </w:rPr>
        <w:t>）本合同及其补充合同、变更协议；</w:t>
      </w:r>
    </w:p>
    <w:p w14:paraId="114EDB3F">
      <w:pPr>
        <w:spacing w:line="312" w:lineRule="auto"/>
        <w:ind w:firstLine="420" w:firstLineChars="200"/>
        <w:rPr>
          <w:color w:val="auto"/>
          <w:lang w:val="zh-CN"/>
        </w:rPr>
      </w:pPr>
      <w:r>
        <w:rPr>
          <w:rFonts w:hint="eastAsia"/>
          <w:color w:val="auto"/>
        </w:rPr>
        <w:t>（</w:t>
      </w:r>
      <w:r>
        <w:rPr>
          <w:rFonts w:hint="eastAsia" w:ascii="宋体" w:hAnsi="宋体"/>
          <w:color w:val="auto"/>
        </w:rPr>
        <w:t>2</w:t>
      </w:r>
      <w:r>
        <w:rPr>
          <w:rFonts w:hint="eastAsia"/>
          <w:color w:val="auto"/>
        </w:rPr>
        <w:t>）中标（成交）</w:t>
      </w:r>
      <w:r>
        <w:rPr>
          <w:rFonts w:hint="eastAsia"/>
          <w:color w:val="auto"/>
          <w:lang w:val="zh-CN"/>
        </w:rPr>
        <w:t>通知书；</w:t>
      </w:r>
    </w:p>
    <w:p w14:paraId="0AD3F595">
      <w:pPr>
        <w:spacing w:line="312" w:lineRule="auto"/>
        <w:ind w:firstLine="420" w:firstLineChars="200"/>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168E63CB">
      <w:pPr>
        <w:spacing w:line="312" w:lineRule="auto"/>
        <w:ind w:firstLine="420" w:firstLineChars="200"/>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2848077B">
      <w:pPr>
        <w:spacing w:line="312" w:lineRule="auto"/>
        <w:ind w:firstLine="420" w:firstLineChars="200"/>
        <w:rPr>
          <w:color w:val="auto"/>
        </w:rPr>
      </w:pPr>
      <w:r>
        <w:rPr>
          <w:rFonts w:hint="eastAsia"/>
          <w:color w:val="auto"/>
        </w:rPr>
        <w:t>（</w:t>
      </w:r>
      <w:r>
        <w:rPr>
          <w:rFonts w:hint="eastAsia" w:ascii="宋体" w:hAnsi="宋体"/>
          <w:color w:val="auto"/>
        </w:rPr>
        <w:t>5</w:t>
      </w:r>
      <w:r>
        <w:rPr>
          <w:rFonts w:hint="eastAsia"/>
          <w:color w:val="auto"/>
        </w:rPr>
        <w:t>）</w:t>
      </w:r>
      <w:r>
        <w:rPr>
          <w:rFonts w:hint="eastAsia"/>
          <w:color w:val="auto"/>
          <w:lang w:val="zh-CN"/>
        </w:rPr>
        <w:t>其他相关采购文件。</w:t>
      </w:r>
    </w:p>
    <w:p w14:paraId="28E12FF1">
      <w:pPr>
        <w:spacing w:line="312" w:lineRule="auto"/>
        <w:ind w:firstLine="420" w:firstLineChars="200"/>
        <w:rPr>
          <w:color w:val="auto"/>
        </w:rPr>
      </w:pPr>
      <w:bookmarkStart w:id="457" w:name="_Hlk154756515"/>
      <w:r>
        <w:rPr>
          <w:rFonts w:hint="eastAsia" w:ascii="宋体" w:hAnsi="宋体"/>
          <w:color w:val="auto"/>
        </w:rPr>
        <w:t>4.</w:t>
      </w:r>
      <w:r>
        <w:rPr>
          <w:rFonts w:hint="eastAsia"/>
          <w:color w:val="auto"/>
        </w:rPr>
        <w:t>本合同未尽事宜，遵照《中华人民共和国民法典》有关条文执行。</w:t>
      </w:r>
    </w:p>
    <w:p w14:paraId="7E7DE02A">
      <w:pPr>
        <w:spacing w:line="312" w:lineRule="auto"/>
        <w:ind w:firstLine="396" w:firstLineChars="200"/>
        <w:rPr>
          <w:color w:val="auto"/>
        </w:rPr>
      </w:pPr>
      <w:r>
        <w:rPr>
          <w:rFonts w:hint="eastAsia" w:ascii="宋体" w:hAnsi="宋体"/>
          <w:color w:val="auto"/>
          <w:spacing w:val="-6"/>
        </w:rPr>
        <w:t>5.</w:t>
      </w:r>
      <w:r>
        <w:rPr>
          <w:rFonts w:hint="eastAsia"/>
          <w:color w:val="auto"/>
        </w:rPr>
        <w:t>本合同一式肆份，甲方执叁份，乙方执一份，具有同等法律效力。</w:t>
      </w:r>
    </w:p>
    <w:bookmarkEnd w:id="457"/>
    <w:p w14:paraId="695A3BE3">
      <w:pPr>
        <w:spacing w:line="312" w:lineRule="auto"/>
        <w:ind w:firstLine="420" w:firstLineChars="200"/>
        <w:rPr>
          <w:color w:val="auto"/>
        </w:rPr>
      </w:pPr>
    </w:p>
    <w:p w14:paraId="0201AB93">
      <w:pPr>
        <w:spacing w:line="312" w:lineRule="auto"/>
        <w:ind w:firstLine="424" w:firstLineChars="201"/>
        <w:rPr>
          <w:b/>
          <w:bCs/>
          <w:color w:val="auto"/>
        </w:rPr>
      </w:pPr>
      <w:r>
        <w:rPr>
          <w:rFonts w:hint="eastAsia"/>
          <w:b/>
          <w:bCs/>
          <w:color w:val="auto"/>
        </w:rPr>
        <w:t>合同附件：</w:t>
      </w:r>
      <w:r>
        <w:rPr>
          <w:b/>
          <w:bCs/>
          <w:color w:val="auto"/>
        </w:rPr>
        <w:t xml:space="preserve">   </w:t>
      </w:r>
      <w:r>
        <w:rPr>
          <w:rFonts w:hint="eastAsia"/>
          <w:b/>
          <w:bCs/>
          <w:color w:val="auto"/>
        </w:rPr>
        <w:t>（附件名称）（如有则填写，如无则删除）</w:t>
      </w:r>
    </w:p>
    <w:p w14:paraId="3F9BF505">
      <w:pPr>
        <w:spacing w:line="312" w:lineRule="auto"/>
        <w:ind w:firstLine="420" w:firstLineChars="200"/>
        <w:rPr>
          <w:color w:val="auto"/>
        </w:rPr>
      </w:pPr>
    </w:p>
    <w:p w14:paraId="7E7F2B1C">
      <w:pPr>
        <w:spacing w:line="312" w:lineRule="auto"/>
        <w:ind w:firstLine="420" w:firstLineChars="200"/>
        <w:rPr>
          <w:color w:val="auto"/>
        </w:rPr>
      </w:pPr>
      <w:r>
        <w:rPr>
          <w:rFonts w:hint="eastAsia"/>
          <w:color w:val="auto"/>
        </w:rPr>
        <w:t>甲方（公章）：杭州电子科技大学</w:t>
      </w:r>
      <w:r>
        <w:rPr>
          <w:color w:val="auto"/>
        </w:rPr>
        <w:t xml:space="preserve">            </w:t>
      </w:r>
      <w:r>
        <w:rPr>
          <w:rFonts w:hint="eastAsia"/>
          <w:color w:val="auto"/>
        </w:rPr>
        <w:t>乙方（公章）：</w:t>
      </w:r>
    </w:p>
    <w:p w14:paraId="5C626AFD">
      <w:pPr>
        <w:spacing w:line="312" w:lineRule="auto"/>
        <w:ind w:firstLine="420" w:firstLineChars="200"/>
        <w:rPr>
          <w:color w:val="auto"/>
        </w:rPr>
      </w:pPr>
    </w:p>
    <w:p w14:paraId="1D0B8A00">
      <w:pPr>
        <w:spacing w:line="312" w:lineRule="auto"/>
        <w:ind w:firstLine="420" w:firstLineChars="200"/>
        <w:rPr>
          <w:color w:val="auto"/>
        </w:rPr>
      </w:pPr>
      <w:r>
        <w:rPr>
          <w:rFonts w:hint="eastAsia"/>
          <w:color w:val="auto"/>
        </w:rPr>
        <w:t>法定（授权）代表人：</w:t>
      </w:r>
      <w:r>
        <w:rPr>
          <w:color w:val="auto"/>
        </w:rPr>
        <w:t xml:space="preserve">                      </w:t>
      </w:r>
      <w:r>
        <w:rPr>
          <w:rFonts w:hint="eastAsia"/>
          <w:color w:val="auto"/>
        </w:rPr>
        <w:t>法定（授权）代表人：</w:t>
      </w:r>
    </w:p>
    <w:p w14:paraId="53AA2FBF">
      <w:pPr>
        <w:spacing w:line="312" w:lineRule="auto"/>
        <w:ind w:firstLine="420" w:firstLineChars="200"/>
        <w:rPr>
          <w:color w:val="auto"/>
        </w:rPr>
      </w:pPr>
    </w:p>
    <w:p w14:paraId="0DF779D2">
      <w:pPr>
        <w:spacing w:line="312" w:lineRule="auto"/>
        <w:ind w:firstLine="420" w:firstLineChars="200"/>
        <w:rPr>
          <w:color w:val="auto"/>
        </w:rPr>
      </w:pPr>
      <w:r>
        <w:rPr>
          <w:rFonts w:hint="eastAsia"/>
          <w:color w:val="auto"/>
        </w:rPr>
        <w:t>（签字）：</w:t>
      </w:r>
      <w:r>
        <w:rPr>
          <w:color w:val="auto"/>
        </w:rPr>
        <w:t xml:space="preserve">                                </w:t>
      </w:r>
      <w:r>
        <w:rPr>
          <w:rFonts w:hint="eastAsia"/>
          <w:color w:val="auto"/>
        </w:rPr>
        <w:t>（签字）：</w:t>
      </w:r>
    </w:p>
    <w:p w14:paraId="157F4BC5">
      <w:pPr>
        <w:spacing w:line="312" w:lineRule="auto"/>
        <w:ind w:firstLine="420" w:firstLineChars="200"/>
        <w:rPr>
          <w:color w:val="auto"/>
        </w:rPr>
      </w:pPr>
    </w:p>
    <w:p w14:paraId="1C782BD0">
      <w:pPr>
        <w:spacing w:line="312" w:lineRule="auto"/>
        <w:ind w:firstLine="420" w:firstLineChars="200"/>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r>
        <w:rPr>
          <w:color w:val="auto"/>
        </w:rPr>
        <w:t xml:space="preserve"> </w:t>
      </w:r>
    </w:p>
    <w:p w14:paraId="7CA43831">
      <w:pPr>
        <w:spacing w:line="312" w:lineRule="auto"/>
        <w:ind w:firstLine="420" w:firstLineChars="200"/>
        <w:rPr>
          <w:color w:val="auto"/>
        </w:rPr>
      </w:pPr>
      <w:r>
        <w:rPr>
          <w:rFonts w:hint="eastAsia"/>
          <w:color w:val="auto"/>
        </w:rPr>
        <w:t>电话：</w:t>
      </w:r>
      <w:r>
        <w:rPr>
          <w:color w:val="auto"/>
        </w:rPr>
        <w:t xml:space="preserve">                                     </w:t>
      </w:r>
      <w:r>
        <w:rPr>
          <w:rFonts w:hint="eastAsia"/>
          <w:color w:val="auto"/>
        </w:rPr>
        <w:t>电话：</w:t>
      </w:r>
      <w:r>
        <w:rPr>
          <w:color w:val="auto"/>
        </w:rPr>
        <w:t xml:space="preserve"> </w:t>
      </w:r>
    </w:p>
    <w:p w14:paraId="39A0A7B1">
      <w:pPr>
        <w:spacing w:line="312" w:lineRule="auto"/>
        <w:ind w:firstLine="420" w:firstLineChars="200"/>
        <w:rPr>
          <w:color w:val="auto"/>
        </w:rPr>
      </w:pPr>
      <w:r>
        <w:rPr>
          <w:rFonts w:hint="eastAsia"/>
          <w:color w:val="auto"/>
        </w:rPr>
        <w:t>开户银行：工行杭州高新支行</w:t>
      </w:r>
      <w:r>
        <w:rPr>
          <w:color w:val="auto"/>
        </w:rPr>
        <w:t xml:space="preserve">                 </w:t>
      </w:r>
      <w:r>
        <w:rPr>
          <w:rFonts w:hint="eastAsia"/>
          <w:color w:val="auto"/>
        </w:rPr>
        <w:t>开户银行：</w:t>
      </w:r>
      <w:r>
        <w:rPr>
          <w:color w:val="auto"/>
        </w:rPr>
        <w:t xml:space="preserve"> </w:t>
      </w:r>
    </w:p>
    <w:p w14:paraId="2AE84754">
      <w:pPr>
        <w:spacing w:line="312" w:lineRule="auto"/>
        <w:ind w:firstLine="420" w:firstLineChars="200"/>
        <w:rPr>
          <w:color w:val="auto"/>
        </w:rPr>
      </w:pPr>
      <w:r>
        <w:rPr>
          <w:rFonts w:hint="eastAsia"/>
          <w:color w:val="auto"/>
        </w:rPr>
        <w:t>账号：</w:t>
      </w:r>
      <w:r>
        <w:rPr>
          <w:color w:val="auto"/>
        </w:rPr>
        <w:t xml:space="preserve">1202026209008806216                  </w:t>
      </w:r>
      <w:r>
        <w:rPr>
          <w:rFonts w:hint="eastAsia"/>
          <w:color w:val="auto"/>
        </w:rPr>
        <w:t>账号：</w:t>
      </w:r>
      <w:r>
        <w:rPr>
          <w:color w:val="auto"/>
        </w:rPr>
        <w:t xml:space="preserve"> </w:t>
      </w:r>
    </w:p>
    <w:p w14:paraId="72478292">
      <w:pPr>
        <w:pStyle w:val="8"/>
        <w:spacing w:line="312" w:lineRule="auto"/>
        <w:rPr>
          <w:color w:val="auto"/>
        </w:rPr>
      </w:pP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r>
        <w:rPr>
          <w:color w:val="auto"/>
          <w:kern w:val="0"/>
        </w:rPr>
        <w:t xml:space="preserve">               </w:t>
      </w: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p>
    <w:p w14:paraId="3F1468A4">
      <w:pPr>
        <w:widowControl/>
        <w:spacing w:line="312" w:lineRule="auto"/>
        <w:jc w:val="left"/>
        <w:rPr>
          <w:rStyle w:val="56"/>
          <w:color w:val="auto"/>
        </w:rPr>
      </w:pPr>
      <w:bookmarkStart w:id="458" w:name="_Toc27502"/>
      <w:bookmarkStart w:id="459" w:name="_Toc11617"/>
      <w:bookmarkStart w:id="460" w:name="_Toc32309"/>
      <w:bookmarkStart w:id="461" w:name="_Toc816"/>
      <w:bookmarkStart w:id="462" w:name="_Toc8672"/>
      <w:bookmarkStart w:id="463" w:name="_Toc762"/>
      <w:bookmarkStart w:id="464" w:name="_Toc32708"/>
      <w:bookmarkStart w:id="465" w:name="_Toc2191"/>
      <w:bookmarkStart w:id="466" w:name="_Toc5553"/>
      <w:bookmarkStart w:id="467" w:name="_Toc23835"/>
      <w:bookmarkStart w:id="468" w:name="_Toc641"/>
      <w:bookmarkStart w:id="469" w:name="_Toc7308"/>
      <w:bookmarkStart w:id="470" w:name="_Toc721"/>
      <w:bookmarkStart w:id="471" w:name="_Toc22294"/>
      <w:r>
        <w:rPr>
          <w:rStyle w:val="56"/>
          <w:color w:val="auto"/>
        </w:rPr>
        <w:br w:type="page"/>
      </w:r>
    </w:p>
    <w:p w14:paraId="00BF646B">
      <w:pPr>
        <w:snapToGrid w:val="0"/>
        <w:spacing w:before="240" w:beforeLines="100" w:after="240" w:afterLines="100"/>
        <w:jc w:val="center"/>
        <w:rPr>
          <w:rStyle w:val="56"/>
          <w:color w:val="auto"/>
        </w:rPr>
      </w:pPr>
      <w:bookmarkStart w:id="472" w:name="_Toc6799"/>
      <w:r>
        <w:rPr>
          <w:rStyle w:val="56"/>
          <w:rFonts w:hint="eastAsia"/>
          <w:color w:val="auto"/>
        </w:rPr>
        <w:t>第六部分</w:t>
      </w:r>
      <w:r>
        <w:rPr>
          <w:rStyle w:val="56"/>
          <w:color w:val="auto"/>
        </w:rPr>
        <w:t xml:space="preserve">  </w:t>
      </w:r>
      <w:r>
        <w:rPr>
          <w:rStyle w:val="56"/>
          <w:rFonts w:hint="eastAsia"/>
          <w:color w:val="auto"/>
        </w:rPr>
        <w:t>响应文件格式</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14:paraId="424BC004">
      <w:pPr>
        <w:adjustRightInd w:val="0"/>
        <w:snapToGrid w:val="0"/>
        <w:spacing w:line="288" w:lineRule="auto"/>
        <w:jc w:val="center"/>
        <w:rPr>
          <w:b/>
          <w:bCs/>
          <w:color w:val="auto"/>
          <w:sz w:val="24"/>
          <w:szCs w:val="24"/>
        </w:rPr>
      </w:pPr>
      <w:bookmarkStart w:id="473" w:name="_Toc2886"/>
      <w:bookmarkStart w:id="474" w:name="_Toc31085"/>
      <w:bookmarkStart w:id="475" w:name="_Toc2326"/>
      <w:bookmarkStart w:id="476" w:name="_Toc19804"/>
      <w:bookmarkStart w:id="477" w:name="_Toc7710"/>
      <w:bookmarkStart w:id="478" w:name="_Toc706"/>
      <w:bookmarkStart w:id="479" w:name="_Toc9636"/>
      <w:bookmarkStart w:id="480" w:name="_Toc32185"/>
      <w:bookmarkStart w:id="481" w:name="_Toc14400"/>
      <w:bookmarkStart w:id="482" w:name="_Toc27551"/>
      <w:bookmarkStart w:id="483" w:name="_Toc32288"/>
      <w:bookmarkStart w:id="484" w:name="_Toc32223"/>
      <w:bookmarkStart w:id="485" w:name="_Toc17119"/>
      <w:bookmarkStart w:id="486" w:name="_Toc14202"/>
      <w:bookmarkStart w:id="487" w:name="_Toc6868"/>
      <w:bookmarkStart w:id="488" w:name="_Toc11204"/>
      <w:bookmarkStart w:id="489" w:name="_Toc3964"/>
      <w:bookmarkStart w:id="490" w:name="_Toc7013"/>
      <w:bookmarkStart w:id="491" w:name="_Toc4610"/>
      <w:bookmarkStart w:id="492" w:name="_Toc9502"/>
      <w:bookmarkStart w:id="493" w:name="_Toc19286"/>
      <w:bookmarkStart w:id="494" w:name="_Toc24168"/>
      <w:bookmarkStart w:id="495" w:name="_Toc22675"/>
      <w:bookmarkStart w:id="496" w:name="_Toc9623"/>
      <w:bookmarkStart w:id="497" w:name="_Toc25819"/>
      <w:bookmarkStart w:id="498" w:name="_Toc8070"/>
      <w:bookmarkStart w:id="499" w:name="_Toc20870"/>
      <w:bookmarkStart w:id="500" w:name="_Toc27063"/>
      <w:bookmarkStart w:id="501" w:name="_Toc7409"/>
      <w:bookmarkStart w:id="502" w:name="_Toc13819"/>
      <w:bookmarkStart w:id="503" w:name="_Toc23756"/>
      <w:bookmarkStart w:id="504" w:name="_Toc28613"/>
      <w:bookmarkStart w:id="505" w:name="_Toc32522"/>
      <w:bookmarkStart w:id="506" w:name="_Toc20738"/>
      <w:bookmarkStart w:id="507" w:name="_Toc28159"/>
      <w:bookmarkStart w:id="508" w:name="_Toc26648"/>
      <w:bookmarkStart w:id="509" w:name="_Toc20766"/>
      <w:bookmarkStart w:id="510" w:name="_Toc4274"/>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649230D2">
      <w:pPr>
        <w:adjustRightInd w:val="0"/>
        <w:snapToGrid w:val="0"/>
        <w:spacing w:line="288" w:lineRule="auto"/>
        <w:rPr>
          <w:color w:val="auto"/>
          <w:sz w:val="24"/>
          <w:szCs w:val="24"/>
        </w:rPr>
      </w:pPr>
    </w:p>
    <w:p w14:paraId="4A08A974">
      <w:pPr>
        <w:adjustRightInd w:val="0"/>
        <w:snapToGrid w:val="0"/>
        <w:spacing w:line="288" w:lineRule="auto"/>
        <w:ind w:firstLine="482" w:firstLineChars="200"/>
        <w:rPr>
          <w:b/>
          <w:bCs/>
          <w:color w:val="auto"/>
          <w:sz w:val="24"/>
          <w:szCs w:val="24"/>
        </w:rPr>
      </w:pPr>
      <w:bookmarkStart w:id="511" w:name="_Hlk71884160"/>
      <w:r>
        <w:rPr>
          <w:rFonts w:hint="eastAsia"/>
          <w:b/>
          <w:bCs/>
          <w:color w:val="auto"/>
          <w:sz w:val="24"/>
          <w:szCs w:val="24"/>
        </w:rPr>
        <w:t>1.资格文件</w:t>
      </w:r>
    </w:p>
    <w:p w14:paraId="5A67ED93">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11"/>
    <w:p w14:paraId="0ED0D700">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042C1A5F">
      <w:pPr>
        <w:adjustRightInd w:val="0"/>
        <w:snapToGrid w:val="0"/>
        <w:spacing w:line="288" w:lineRule="auto"/>
        <w:ind w:firstLine="480" w:firstLineChars="200"/>
        <w:rPr>
          <w:color w:val="auto"/>
          <w:sz w:val="24"/>
          <w:szCs w:val="24"/>
        </w:rPr>
      </w:pPr>
      <w:bookmarkStart w:id="512"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4B0CD5B1">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r>
        <w:rPr>
          <w:rFonts w:hint="eastAsia"/>
          <w:b/>
          <w:bCs/>
          <w:color w:val="auto"/>
          <w:sz w:val="24"/>
          <w:szCs w:val="24"/>
        </w:rPr>
        <w:t>▲</w:t>
      </w:r>
      <w:r>
        <w:rPr>
          <w:color w:val="auto"/>
          <w:sz w:val="24"/>
          <w:szCs w:val="24"/>
        </w:rPr>
        <w:t>落实政府采购政策需满足的资格要求：无</w:t>
      </w:r>
    </w:p>
    <w:p w14:paraId="131FD36D">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b/>
          <w:bCs/>
          <w:color w:val="auto"/>
          <w:sz w:val="24"/>
          <w:szCs w:val="24"/>
        </w:rPr>
        <w:t>▲</w:t>
      </w:r>
      <w:r>
        <w:rPr>
          <w:rFonts w:hint="eastAsia"/>
          <w:color w:val="auto"/>
          <w:sz w:val="24"/>
          <w:szCs w:val="24"/>
        </w:rPr>
        <w:t>本项目的特定资格要求</w:t>
      </w:r>
      <w:r>
        <w:rPr>
          <w:color w:val="auto"/>
          <w:sz w:val="24"/>
          <w:szCs w:val="24"/>
        </w:rPr>
        <w:t>证明材料：无</w:t>
      </w:r>
    </w:p>
    <w:bookmarkEnd w:id="512"/>
    <w:p w14:paraId="652A52E0">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2FB697B4">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5206AC32">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36B25162">
      <w:pPr>
        <w:adjustRightInd w:val="0"/>
        <w:snapToGrid w:val="0"/>
        <w:spacing w:line="288" w:lineRule="auto"/>
        <w:ind w:firstLine="480" w:firstLineChars="200"/>
        <w:rPr>
          <w:color w:val="auto"/>
          <w:sz w:val="24"/>
          <w:szCs w:val="24"/>
        </w:rPr>
      </w:pPr>
      <w:bookmarkStart w:id="513"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764A1B1A">
      <w:pPr>
        <w:adjustRightInd w:val="0"/>
        <w:snapToGrid w:val="0"/>
        <w:spacing w:line="288" w:lineRule="auto"/>
        <w:ind w:firstLine="480" w:firstLineChars="200"/>
        <w:rPr>
          <w:color w:val="auto"/>
          <w:sz w:val="24"/>
          <w:szCs w:val="24"/>
        </w:rPr>
      </w:pPr>
      <w:bookmarkStart w:id="514" w:name="OLE_LINK13"/>
      <w:bookmarkStart w:id="515" w:name="OLE_LINK14"/>
      <w:r>
        <w:rPr>
          <w:rFonts w:hint="eastAsia"/>
          <w:color w:val="auto"/>
          <w:sz w:val="24"/>
          <w:szCs w:val="24"/>
        </w:rPr>
        <w:t>（</w:t>
      </w:r>
      <w:r>
        <w:rPr>
          <w:color w:val="auto"/>
          <w:sz w:val="24"/>
          <w:szCs w:val="24"/>
        </w:rPr>
        <w:t>4</w:t>
      </w:r>
      <w:r>
        <w:rPr>
          <w:rFonts w:hint="eastAsia"/>
          <w:color w:val="auto"/>
          <w:sz w:val="24"/>
          <w:szCs w:val="24"/>
        </w:rPr>
        <w:t>）残疾人福利性单位声明函</w:t>
      </w:r>
      <w:bookmarkEnd w:id="514"/>
      <w:bookmarkEnd w:id="515"/>
      <w:r>
        <w:rPr>
          <w:rFonts w:hint="eastAsia"/>
          <w:color w:val="auto"/>
          <w:sz w:val="24"/>
          <w:szCs w:val="24"/>
        </w:rPr>
        <w:t>（若属于残疾人福利性单位）</w:t>
      </w:r>
    </w:p>
    <w:bookmarkEnd w:id="513"/>
    <w:p w14:paraId="2A49D96E">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6CE67EA1">
      <w:pPr>
        <w:adjustRightInd w:val="0"/>
        <w:snapToGrid w:val="0"/>
        <w:spacing w:line="288" w:lineRule="auto"/>
        <w:ind w:firstLine="480" w:firstLineChars="200"/>
        <w:rPr>
          <w:color w:val="auto"/>
          <w:sz w:val="24"/>
          <w:szCs w:val="24"/>
        </w:rPr>
      </w:pPr>
      <w:bookmarkStart w:id="516" w:name="_Hlk71884196"/>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624DB3A9">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w:t>
      </w:r>
      <w:r>
        <w:rPr>
          <w:rFonts w:hint="eastAsia"/>
          <w:color w:val="auto"/>
          <w:sz w:val="24"/>
          <w:szCs w:val="24"/>
        </w:rPr>
        <w:t>参加时提供）</w:t>
      </w:r>
    </w:p>
    <w:p w14:paraId="7BF4DC6F">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年12月（含）以后任意一月供应商授权代表社保缴纳证明（非法定代表人参加时提供）</w:t>
      </w:r>
    </w:p>
    <w:p w14:paraId="7124AC4F">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55C94E32">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182DA9CA">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51B3462B">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r>
        <w:rPr>
          <w:rFonts w:hint="eastAsia"/>
          <w:color w:val="auto"/>
          <w:sz w:val="24"/>
          <w:szCs w:val="24"/>
        </w:rPr>
        <w:t>详细技术和服务方案</w:t>
      </w:r>
    </w:p>
    <w:p w14:paraId="14B18C2F">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68A59CC3">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16"/>
    <w:p w14:paraId="2DDFCC0A">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0A4C05C0">
      <w:pPr>
        <w:adjustRightInd w:val="0"/>
        <w:snapToGrid w:val="0"/>
        <w:spacing w:line="288" w:lineRule="auto"/>
        <w:jc w:val="center"/>
        <w:outlineLvl w:val="1"/>
        <w:rPr>
          <w:b/>
          <w:bCs/>
          <w:color w:val="auto"/>
          <w:sz w:val="84"/>
          <w:szCs w:val="84"/>
        </w:rPr>
      </w:pPr>
      <w:bookmarkStart w:id="517" w:name="_Toc19377"/>
      <w:r>
        <w:rPr>
          <w:rFonts w:hint="eastAsia"/>
          <w:b/>
          <w:bCs/>
          <w:color w:val="auto"/>
          <w:sz w:val="84"/>
          <w:szCs w:val="84"/>
        </w:rPr>
        <w:t>资格文件</w:t>
      </w:r>
      <w:bookmarkEnd w:id="517"/>
    </w:p>
    <w:p w14:paraId="58AC7F49">
      <w:pPr>
        <w:adjustRightInd w:val="0"/>
        <w:snapToGrid w:val="0"/>
        <w:spacing w:line="288" w:lineRule="auto"/>
        <w:jc w:val="center"/>
        <w:rPr>
          <w:b/>
          <w:bCs/>
          <w:color w:val="auto"/>
          <w:sz w:val="24"/>
          <w:szCs w:val="24"/>
        </w:rPr>
      </w:pPr>
      <w:bookmarkStart w:id="518" w:name="_Hlk94097338"/>
      <w:r>
        <w:rPr>
          <w:rFonts w:hint="eastAsia"/>
          <w:b/>
          <w:bCs/>
          <w:color w:val="auto"/>
          <w:sz w:val="24"/>
          <w:szCs w:val="24"/>
        </w:rPr>
        <w:t>资格审查要求的资格证明材料(均需加盖公章)</w:t>
      </w:r>
      <w:bookmarkEnd w:id="518"/>
    </w:p>
    <w:p w14:paraId="15789CC3">
      <w:pPr>
        <w:pStyle w:val="2"/>
        <w:ind w:firstLine="480"/>
        <w:rPr>
          <w:color w:val="auto"/>
          <w:sz w:val="24"/>
        </w:rPr>
      </w:pPr>
    </w:p>
    <w:p w14:paraId="12B9FCCF">
      <w:pPr>
        <w:adjustRightInd w:val="0"/>
        <w:snapToGrid w:val="0"/>
        <w:spacing w:line="288" w:lineRule="auto"/>
        <w:jc w:val="left"/>
        <w:outlineLvl w:val="2"/>
        <w:rPr>
          <w:b/>
          <w:bCs/>
          <w:color w:val="auto"/>
          <w:sz w:val="24"/>
          <w:szCs w:val="24"/>
        </w:rPr>
      </w:pPr>
    </w:p>
    <w:p w14:paraId="7C622D24">
      <w:pPr>
        <w:adjustRightInd w:val="0"/>
        <w:snapToGrid w:val="0"/>
        <w:spacing w:line="288" w:lineRule="auto"/>
        <w:jc w:val="left"/>
        <w:outlineLvl w:val="2"/>
        <w:rPr>
          <w:b/>
          <w:bCs/>
          <w:color w:val="auto"/>
          <w:sz w:val="24"/>
          <w:szCs w:val="24"/>
        </w:rPr>
      </w:pPr>
    </w:p>
    <w:p w14:paraId="3956A595">
      <w:pPr>
        <w:adjustRightInd w:val="0"/>
        <w:snapToGrid w:val="0"/>
        <w:spacing w:line="288" w:lineRule="auto"/>
        <w:jc w:val="left"/>
        <w:outlineLvl w:val="2"/>
        <w:rPr>
          <w:b/>
          <w:bCs/>
          <w:color w:val="auto"/>
          <w:sz w:val="24"/>
          <w:szCs w:val="24"/>
        </w:rPr>
      </w:pPr>
    </w:p>
    <w:p w14:paraId="2972A465">
      <w:pPr>
        <w:adjustRightInd w:val="0"/>
        <w:snapToGrid w:val="0"/>
        <w:spacing w:line="288" w:lineRule="auto"/>
        <w:jc w:val="left"/>
        <w:outlineLvl w:val="2"/>
        <w:rPr>
          <w:b/>
          <w:bCs/>
          <w:color w:val="auto"/>
          <w:sz w:val="24"/>
          <w:szCs w:val="24"/>
        </w:rPr>
      </w:pPr>
    </w:p>
    <w:p w14:paraId="6576E509">
      <w:pPr>
        <w:pStyle w:val="6"/>
        <w:ind w:left="0" w:firstLine="0"/>
        <w:rPr>
          <w:color w:val="auto"/>
        </w:rPr>
      </w:pPr>
      <w:bookmarkStart w:id="519" w:name="_Toc4234"/>
      <w:r>
        <w:rPr>
          <w:rFonts w:hint="eastAsia"/>
          <w:color w:val="auto"/>
        </w:rPr>
        <w:t>（1）有效的法人或者其他组织的营业执照等证明文件，自然人的身份证明</w:t>
      </w:r>
      <w:bookmarkEnd w:id="519"/>
    </w:p>
    <w:p w14:paraId="71A15BBA">
      <w:pPr>
        <w:adjustRightInd w:val="0"/>
        <w:snapToGrid w:val="0"/>
        <w:spacing w:line="288" w:lineRule="auto"/>
        <w:rPr>
          <w:b/>
          <w:bCs/>
          <w:color w:val="auto"/>
          <w:sz w:val="24"/>
          <w:szCs w:val="24"/>
        </w:rPr>
      </w:pPr>
      <w:r>
        <w:rPr>
          <w:rFonts w:hint="eastAsia"/>
          <w:b/>
          <w:bCs/>
          <w:color w:val="auto"/>
          <w:sz w:val="24"/>
          <w:szCs w:val="24"/>
        </w:rPr>
        <w:t>说明：</w:t>
      </w:r>
    </w:p>
    <w:p w14:paraId="2300B25A">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3D27FCF3">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555BDD5F">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742857A6">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53839D36">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4074C7DA">
      <w:pPr>
        <w:adjustRightInd w:val="0"/>
        <w:snapToGrid w:val="0"/>
        <w:spacing w:line="288" w:lineRule="auto"/>
        <w:rPr>
          <w:color w:val="auto"/>
          <w:szCs w:val="21"/>
        </w:rPr>
      </w:pPr>
      <w:r>
        <w:rPr>
          <w:rFonts w:hint="eastAsia"/>
          <w:color w:val="auto"/>
          <w:szCs w:val="21"/>
        </w:rPr>
        <w:br w:type="page"/>
      </w:r>
    </w:p>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14:paraId="696C653E">
      <w:pPr>
        <w:jc w:val="center"/>
        <w:rPr>
          <w:b/>
          <w:bCs/>
          <w:color w:val="auto"/>
          <w:sz w:val="32"/>
          <w:szCs w:val="32"/>
        </w:rPr>
      </w:pPr>
    </w:p>
    <w:p w14:paraId="47C7FC33">
      <w:pPr>
        <w:pStyle w:val="6"/>
        <w:ind w:left="0" w:firstLine="0"/>
        <w:rPr>
          <w:color w:val="auto"/>
        </w:rPr>
      </w:pPr>
      <w:bookmarkStart w:id="520" w:name="_Toc18615"/>
      <w:r>
        <w:rPr>
          <w:rFonts w:hint="eastAsia"/>
          <w:color w:val="auto"/>
        </w:rPr>
        <w:t>（2）资格条件承诺函</w:t>
      </w:r>
      <w:bookmarkEnd w:id="520"/>
    </w:p>
    <w:p w14:paraId="56125164">
      <w:pPr>
        <w:jc w:val="center"/>
        <w:rPr>
          <w:b/>
          <w:bCs/>
          <w:color w:val="auto"/>
          <w:sz w:val="32"/>
          <w:szCs w:val="32"/>
        </w:rPr>
      </w:pPr>
      <w:r>
        <w:rPr>
          <w:rFonts w:hint="eastAsia"/>
          <w:b/>
          <w:bCs/>
          <w:color w:val="auto"/>
          <w:sz w:val="32"/>
          <w:szCs w:val="32"/>
        </w:rPr>
        <w:t>资格条件承诺函</w:t>
      </w:r>
    </w:p>
    <w:p w14:paraId="5A5C200C">
      <w:pPr>
        <w:snapToGrid w:val="0"/>
        <w:spacing w:line="360" w:lineRule="auto"/>
        <w:rPr>
          <w:color w:val="auto"/>
          <w:sz w:val="24"/>
        </w:rPr>
      </w:pPr>
    </w:p>
    <w:p w14:paraId="6AF9FADB">
      <w:pPr>
        <w:snapToGrid w:val="0"/>
        <w:spacing w:line="360" w:lineRule="auto"/>
        <w:rPr>
          <w:color w:val="auto"/>
          <w:sz w:val="24"/>
        </w:rPr>
      </w:pPr>
      <w:r>
        <w:rPr>
          <w:rFonts w:hint="eastAsia"/>
          <w:color w:val="auto"/>
          <w:sz w:val="24"/>
        </w:rPr>
        <w:t>杭州电子科技大学：</w:t>
      </w:r>
    </w:p>
    <w:p w14:paraId="36AB3E3B">
      <w:pPr>
        <w:snapToGrid w:val="0"/>
        <w:spacing w:line="360" w:lineRule="auto"/>
        <w:ind w:firstLine="480" w:firstLineChars="200"/>
        <w:rPr>
          <w:color w:val="auto"/>
          <w:sz w:val="24"/>
        </w:rPr>
      </w:pPr>
      <w:r>
        <w:rPr>
          <w:rFonts w:hint="eastAsia"/>
          <w:color w:val="auto"/>
          <w:sz w:val="24"/>
        </w:rPr>
        <w:t>我方（供应商）承诺：</w:t>
      </w:r>
    </w:p>
    <w:p w14:paraId="707AC4E7">
      <w:pPr>
        <w:snapToGrid w:val="0"/>
        <w:spacing w:line="360" w:lineRule="auto"/>
        <w:ind w:firstLine="480" w:firstLineChars="200"/>
        <w:rPr>
          <w:color w:val="auto"/>
          <w:sz w:val="24"/>
        </w:rPr>
      </w:pPr>
      <w:r>
        <w:rPr>
          <w:rFonts w:hint="eastAsia"/>
          <w:color w:val="auto"/>
          <w:sz w:val="24"/>
        </w:rPr>
        <w:t>1、具有良好的商业信誉和健全的财务会计制度；</w:t>
      </w:r>
    </w:p>
    <w:p w14:paraId="031AA7C4">
      <w:pPr>
        <w:snapToGrid w:val="0"/>
        <w:spacing w:line="360" w:lineRule="auto"/>
        <w:ind w:firstLine="480" w:firstLineChars="200"/>
        <w:rPr>
          <w:color w:val="auto"/>
          <w:sz w:val="24"/>
        </w:rPr>
      </w:pPr>
      <w:r>
        <w:rPr>
          <w:rFonts w:hint="eastAsia"/>
          <w:color w:val="auto"/>
          <w:sz w:val="24"/>
        </w:rPr>
        <w:t>2、具有履行合同所必需的设备和专业技术能力；</w:t>
      </w:r>
    </w:p>
    <w:p w14:paraId="31BA0CA9">
      <w:pPr>
        <w:snapToGrid w:val="0"/>
        <w:spacing w:line="360" w:lineRule="auto"/>
        <w:ind w:firstLine="480" w:firstLineChars="200"/>
        <w:rPr>
          <w:color w:val="auto"/>
          <w:sz w:val="24"/>
        </w:rPr>
      </w:pPr>
      <w:r>
        <w:rPr>
          <w:rFonts w:hint="eastAsia"/>
          <w:color w:val="auto"/>
          <w:sz w:val="24"/>
        </w:rPr>
        <w:t>3、严格依法缴纳税收和社会保障资金；</w:t>
      </w:r>
    </w:p>
    <w:p w14:paraId="1E6CFF77">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B8A6FEE">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17DB2451">
      <w:pPr>
        <w:snapToGrid w:val="0"/>
        <w:spacing w:line="360" w:lineRule="auto"/>
        <w:ind w:firstLine="480" w:firstLineChars="200"/>
        <w:rPr>
          <w:color w:val="auto"/>
          <w:sz w:val="24"/>
        </w:rPr>
      </w:pPr>
      <w:r>
        <w:rPr>
          <w:rFonts w:hint="eastAsia"/>
          <w:color w:val="auto"/>
          <w:sz w:val="24"/>
        </w:rPr>
        <w:t>6、不存在以下情况：</w:t>
      </w:r>
    </w:p>
    <w:p w14:paraId="500CBD4D">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18D45F7E">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79670843">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4B816256">
      <w:pPr>
        <w:snapToGrid w:val="0"/>
        <w:spacing w:line="360" w:lineRule="auto"/>
        <w:ind w:firstLine="480" w:firstLineChars="200"/>
        <w:rPr>
          <w:color w:val="auto"/>
          <w:sz w:val="24"/>
        </w:rPr>
      </w:pPr>
      <w:r>
        <w:rPr>
          <w:rFonts w:hint="eastAsia"/>
          <w:color w:val="auto"/>
          <w:sz w:val="24"/>
        </w:rPr>
        <w:t> </w:t>
      </w:r>
    </w:p>
    <w:p w14:paraId="2FB61986">
      <w:pPr>
        <w:snapToGrid w:val="0"/>
        <w:spacing w:line="360" w:lineRule="auto"/>
        <w:ind w:firstLine="480" w:firstLineChars="200"/>
        <w:rPr>
          <w:color w:val="auto"/>
          <w:sz w:val="24"/>
        </w:rPr>
      </w:pPr>
      <w:r>
        <w:rPr>
          <w:rFonts w:hint="eastAsia"/>
          <w:color w:val="auto"/>
          <w:sz w:val="24"/>
        </w:rPr>
        <w:t>特此承诺！</w:t>
      </w:r>
    </w:p>
    <w:p w14:paraId="184CAC65">
      <w:pPr>
        <w:pStyle w:val="8"/>
        <w:rPr>
          <w:color w:val="auto"/>
          <w:sz w:val="24"/>
        </w:rPr>
      </w:pPr>
    </w:p>
    <w:p w14:paraId="71DD643E">
      <w:pPr>
        <w:rPr>
          <w:color w:val="auto"/>
          <w:sz w:val="24"/>
        </w:rPr>
      </w:pPr>
    </w:p>
    <w:p w14:paraId="7F36C4D6">
      <w:pPr>
        <w:pStyle w:val="8"/>
        <w:rPr>
          <w:color w:val="auto"/>
        </w:rPr>
      </w:pPr>
    </w:p>
    <w:p w14:paraId="09F232CB">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DB365D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2976639">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58C908B7">
      <w:pPr>
        <w:adjustRightInd w:val="0"/>
        <w:snapToGrid w:val="0"/>
        <w:spacing w:line="288" w:lineRule="auto"/>
        <w:ind w:firstLine="480" w:firstLineChars="200"/>
        <w:rPr>
          <w:color w:val="auto"/>
          <w:sz w:val="24"/>
          <w:szCs w:val="24"/>
        </w:rPr>
      </w:pPr>
    </w:p>
    <w:p w14:paraId="738EB8AA">
      <w:pPr>
        <w:adjustRightInd w:val="0"/>
        <w:snapToGrid w:val="0"/>
        <w:spacing w:line="288" w:lineRule="auto"/>
        <w:ind w:firstLine="480" w:firstLineChars="200"/>
        <w:rPr>
          <w:color w:val="auto"/>
          <w:sz w:val="24"/>
          <w:szCs w:val="24"/>
        </w:rPr>
      </w:pPr>
    </w:p>
    <w:p w14:paraId="1244F786">
      <w:pPr>
        <w:rPr>
          <w:rFonts w:ascii="Times New Roman" w:hAnsi="Times New Roman"/>
          <w:b/>
          <w:color w:val="auto"/>
          <w:sz w:val="32"/>
          <w:szCs w:val="32"/>
        </w:rPr>
      </w:pPr>
      <w:r>
        <w:rPr>
          <w:rFonts w:ascii="Times New Roman" w:hAnsi="Times New Roman"/>
          <w:b/>
          <w:color w:val="auto"/>
          <w:sz w:val="32"/>
          <w:szCs w:val="32"/>
        </w:rPr>
        <w:br w:type="page"/>
      </w:r>
    </w:p>
    <w:p w14:paraId="768B958C">
      <w:pPr>
        <w:snapToGrid w:val="0"/>
        <w:spacing w:line="360" w:lineRule="auto"/>
        <w:rPr>
          <w:rFonts w:ascii="宋体" w:hAnsi="宋体" w:cs="宋体"/>
          <w:color w:val="auto"/>
          <w:sz w:val="24"/>
        </w:rPr>
      </w:pPr>
    </w:p>
    <w:p w14:paraId="493BDD53">
      <w:pPr>
        <w:adjustRightInd w:val="0"/>
        <w:snapToGrid w:val="0"/>
        <w:spacing w:line="288" w:lineRule="auto"/>
        <w:jc w:val="center"/>
        <w:outlineLvl w:val="1"/>
        <w:rPr>
          <w:b/>
          <w:bCs/>
          <w:color w:val="auto"/>
          <w:sz w:val="84"/>
          <w:szCs w:val="84"/>
        </w:rPr>
      </w:pPr>
      <w:bookmarkStart w:id="521" w:name="_Toc7605"/>
      <w:r>
        <w:rPr>
          <w:rFonts w:hint="eastAsia"/>
          <w:b/>
          <w:bCs/>
          <w:color w:val="auto"/>
          <w:sz w:val="84"/>
          <w:szCs w:val="84"/>
        </w:rPr>
        <w:t>报价文件</w:t>
      </w:r>
      <w:bookmarkEnd w:id="521"/>
    </w:p>
    <w:p w14:paraId="190CE7EF">
      <w:pPr>
        <w:pStyle w:val="6"/>
        <w:ind w:left="0" w:firstLine="0"/>
        <w:rPr>
          <w:color w:val="auto"/>
        </w:rPr>
      </w:pPr>
      <w:bookmarkStart w:id="522" w:name="_Toc12569"/>
      <w:bookmarkStart w:id="523" w:name="_Toc16624"/>
      <w:bookmarkStart w:id="524" w:name="_Toc11579"/>
      <w:bookmarkStart w:id="525" w:name="_Toc19897"/>
      <w:bookmarkStart w:id="526" w:name="_Toc14186"/>
      <w:bookmarkStart w:id="527" w:name="_Toc4455"/>
      <w:bookmarkStart w:id="528" w:name="_Toc15307"/>
      <w:bookmarkStart w:id="529" w:name="_Toc32416"/>
      <w:bookmarkStart w:id="530" w:name="_Toc24738"/>
      <w:bookmarkStart w:id="531" w:name="_Toc23089"/>
      <w:bookmarkStart w:id="532" w:name="_Toc23539"/>
      <w:bookmarkStart w:id="533" w:name="_Toc18705"/>
      <w:bookmarkStart w:id="534" w:name="_Toc28619"/>
      <w:bookmarkStart w:id="535" w:name="_Toc6771"/>
      <w:bookmarkStart w:id="536" w:name="_Toc10749"/>
      <w:bookmarkStart w:id="537" w:name="_Toc3471"/>
      <w:bookmarkStart w:id="538" w:name="_Toc22542"/>
      <w:bookmarkStart w:id="539" w:name="_Toc19268"/>
      <w:bookmarkStart w:id="540" w:name="_Toc25971"/>
      <w:bookmarkStart w:id="541" w:name="_Toc25012"/>
      <w:bookmarkStart w:id="542" w:name="_Toc14637"/>
      <w:bookmarkStart w:id="543" w:name="_Toc13470"/>
      <w:bookmarkStart w:id="544" w:name="_Toc19949"/>
      <w:bookmarkStart w:id="545" w:name="_Toc20907"/>
      <w:bookmarkStart w:id="546" w:name="_Toc24403"/>
      <w:bookmarkStart w:id="547" w:name="_Toc25418"/>
      <w:bookmarkStart w:id="548" w:name="_Toc27484"/>
      <w:bookmarkStart w:id="549" w:name="_Toc28695"/>
      <w:bookmarkStart w:id="550" w:name="_Toc24678"/>
      <w:bookmarkStart w:id="551" w:name="_Toc12332"/>
      <w:bookmarkStart w:id="552" w:name="_Toc16736"/>
      <w:bookmarkStart w:id="553" w:name="_Toc2198"/>
      <w:bookmarkStart w:id="554" w:name="_Toc5206"/>
      <w:bookmarkStart w:id="555" w:name="_Toc25718"/>
      <w:bookmarkStart w:id="556" w:name="_Toc13060"/>
      <w:bookmarkStart w:id="557" w:name="_Toc23410"/>
      <w:r>
        <w:rPr>
          <w:rFonts w:hint="eastAsia"/>
          <w:color w:val="auto"/>
        </w:rPr>
        <w:t>（1）初次报价一览表</w:t>
      </w:r>
      <w:r>
        <w:rPr>
          <w:rFonts w:hint="eastAsia"/>
          <w:color w:val="auto"/>
        </w:rPr>
        <w:t>、初次报价明细表</w:t>
      </w:r>
      <w:bookmarkEnd w:id="522"/>
    </w:p>
    <w:p w14:paraId="1F09AE62">
      <w:pPr>
        <w:pStyle w:val="6"/>
        <w:tabs>
          <w:tab w:val="left" w:pos="0"/>
          <w:tab w:val="clear" w:pos="1275"/>
        </w:tabs>
        <w:ind w:left="15" w:hanging="15"/>
        <w:rPr>
          <w:rFonts w:ascii="黑体" w:hAnsi="黑体" w:eastAsia="黑体" w:cs="黑体"/>
          <w:color w:val="auto"/>
          <w:szCs w:val="28"/>
        </w:rPr>
      </w:pPr>
    </w:p>
    <w:p w14:paraId="681D9C9A">
      <w:pPr>
        <w:jc w:val="center"/>
        <w:rPr>
          <w:b/>
          <w:bCs/>
          <w:color w:val="auto"/>
          <w:sz w:val="32"/>
          <w:szCs w:val="32"/>
        </w:rPr>
      </w:pPr>
      <w:r>
        <w:rPr>
          <w:rFonts w:hint="eastAsia"/>
          <w:b/>
          <w:bCs/>
          <w:color w:val="auto"/>
          <w:sz w:val="32"/>
          <w:szCs w:val="32"/>
        </w:rPr>
        <w:t>初次报价一览表</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356E8D5F">
      <w:pPr>
        <w:spacing w:line="460" w:lineRule="exact"/>
        <w:rPr>
          <w:color w:val="auto"/>
          <w:sz w:val="24"/>
        </w:rPr>
      </w:pPr>
      <w:r>
        <w:rPr>
          <w:rFonts w:hint="eastAsia"/>
          <w:color w:val="auto"/>
          <w:sz w:val="24"/>
        </w:rPr>
        <w:t>项目名称：</w:t>
      </w:r>
    </w:p>
    <w:p w14:paraId="6E0BE0BB">
      <w:pPr>
        <w:spacing w:line="460" w:lineRule="exact"/>
        <w:rPr>
          <w:color w:val="auto"/>
          <w:sz w:val="24"/>
        </w:rPr>
      </w:pPr>
      <w:r>
        <w:rPr>
          <w:rFonts w:hint="eastAsia"/>
          <w:color w:val="auto"/>
          <w:sz w:val="24"/>
        </w:rPr>
        <w:t>项目编号：</w:t>
      </w:r>
    </w:p>
    <w:p w14:paraId="2A6BEF5D">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743741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53D1C058">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5FA2DB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491289C5">
            <w:pPr>
              <w:spacing w:line="360" w:lineRule="auto"/>
              <w:rPr>
                <w:rFonts w:ascii="宋体" w:hAnsi="宋体"/>
                <w:b/>
                <w:color w:val="auto"/>
                <w:spacing w:val="-6"/>
                <w:sz w:val="24"/>
              </w:rPr>
            </w:pPr>
          </w:p>
          <w:p w14:paraId="78ABF93E">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0B21E196">
            <w:pPr>
              <w:spacing w:line="360" w:lineRule="auto"/>
              <w:rPr>
                <w:rFonts w:ascii="宋体" w:hAnsi="宋体"/>
                <w:color w:val="auto"/>
                <w:spacing w:val="-6"/>
                <w:sz w:val="24"/>
                <w:u w:val="single"/>
              </w:rPr>
            </w:pPr>
          </w:p>
          <w:p w14:paraId="75633D40">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62F38580">
      <w:pPr>
        <w:pStyle w:val="42"/>
        <w:snapToGrid w:val="0"/>
        <w:spacing w:line="400" w:lineRule="exact"/>
        <w:rPr>
          <w:color w:val="auto"/>
          <w:szCs w:val="24"/>
        </w:rPr>
      </w:pPr>
      <w:r>
        <w:rPr>
          <w:rFonts w:hint="eastAsia"/>
          <w:color w:val="auto"/>
          <w:szCs w:val="24"/>
        </w:rPr>
        <w:t>注：本报</w:t>
      </w:r>
      <w:r>
        <w:rPr>
          <w:rFonts w:hint="eastAsia"/>
          <w:color w:val="auto"/>
          <w:szCs w:val="24"/>
        </w:rPr>
        <w:t>价中应包含乙方完成本项目所需的一切费用，包括但不限于面向算网融合的跨域算力动态迁移机制研究服务、其他技术服务费、培训费、保修保换费、保险费、税费等。</w:t>
      </w:r>
    </w:p>
    <w:p w14:paraId="5293FB89">
      <w:pPr>
        <w:pStyle w:val="42"/>
        <w:snapToGrid w:val="0"/>
        <w:spacing w:line="400" w:lineRule="exact"/>
        <w:rPr>
          <w:color w:val="auto"/>
          <w:szCs w:val="24"/>
        </w:rPr>
      </w:pPr>
      <w:r>
        <w:rPr>
          <w:rFonts w:hint="eastAsia"/>
          <w:color w:val="auto"/>
          <w:szCs w:val="24"/>
        </w:rPr>
        <w:t>货币单位：元（人民币）</w:t>
      </w:r>
    </w:p>
    <w:p w14:paraId="611B14DF">
      <w:pPr>
        <w:spacing w:line="360" w:lineRule="auto"/>
        <w:ind w:right="-21" w:rightChars="-10"/>
        <w:rPr>
          <w:color w:val="auto"/>
          <w:sz w:val="24"/>
        </w:rPr>
      </w:pPr>
    </w:p>
    <w:p w14:paraId="12D92491">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480B989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507E779">
      <w:pPr>
        <w:spacing w:before="240" w:beforeLines="100" w:after="240" w:afterLines="100"/>
        <w:jc w:val="left"/>
        <w:rPr>
          <w:color w:val="auto"/>
          <w:sz w:val="24"/>
          <w:szCs w:val="24"/>
        </w:rPr>
      </w:pPr>
      <w:r>
        <w:rPr>
          <w:rFonts w:hint="eastAsia" w:ascii="宋体" w:hAnsi="宋体" w:cs="宋体"/>
          <w:color w:val="auto"/>
          <w:sz w:val="24"/>
        </w:rPr>
        <w:t>日期：      年   月   日</w:t>
      </w:r>
    </w:p>
    <w:p w14:paraId="59FD4C70">
      <w:pPr>
        <w:spacing w:line="360" w:lineRule="auto"/>
        <w:ind w:right="-21" w:rightChars="-10"/>
        <w:rPr>
          <w:color w:val="auto"/>
          <w:sz w:val="24"/>
        </w:rPr>
      </w:pPr>
    </w:p>
    <w:p w14:paraId="299CF5C3">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50"/>
    <w:bookmarkEnd w:id="551"/>
    <w:bookmarkEnd w:id="552"/>
    <w:bookmarkEnd w:id="553"/>
    <w:bookmarkEnd w:id="554"/>
    <w:bookmarkEnd w:id="555"/>
    <w:bookmarkEnd w:id="556"/>
    <w:bookmarkEnd w:id="557"/>
    <w:p w14:paraId="7CC0AE57">
      <w:pPr>
        <w:jc w:val="center"/>
        <w:rPr>
          <w:rFonts w:hint="eastAsia"/>
          <w:b/>
          <w:bCs/>
          <w:color w:val="auto"/>
          <w:sz w:val="32"/>
          <w:szCs w:val="32"/>
        </w:rPr>
      </w:pPr>
      <w:bookmarkStart w:id="558" w:name="_Toc30553"/>
      <w:bookmarkStart w:id="559" w:name="_Toc11074"/>
      <w:bookmarkStart w:id="560" w:name="_Toc5426"/>
      <w:bookmarkStart w:id="561" w:name="_Toc29927"/>
      <w:bookmarkStart w:id="562" w:name="_Toc10548"/>
      <w:bookmarkStart w:id="563" w:name="_Toc11807"/>
      <w:bookmarkStart w:id="564" w:name="_Toc4263"/>
      <w:bookmarkStart w:id="565" w:name="_Toc25520"/>
      <w:bookmarkStart w:id="566" w:name="_Toc5570"/>
      <w:bookmarkStart w:id="567" w:name="_Toc684"/>
      <w:bookmarkStart w:id="568" w:name="_Toc834"/>
      <w:bookmarkStart w:id="569" w:name="_Toc1784"/>
      <w:bookmarkStart w:id="570" w:name="_Toc14388"/>
      <w:bookmarkStart w:id="571" w:name="_Toc21201"/>
      <w:bookmarkStart w:id="572" w:name="_Toc17884"/>
      <w:bookmarkStart w:id="573" w:name="_Toc3023"/>
      <w:bookmarkStart w:id="574" w:name="_Toc9617"/>
      <w:bookmarkStart w:id="575" w:name="_Toc19420"/>
      <w:bookmarkStart w:id="576" w:name="_Toc18289"/>
      <w:bookmarkStart w:id="577" w:name="_Toc17842"/>
      <w:bookmarkStart w:id="578" w:name="_Toc10793"/>
      <w:bookmarkStart w:id="579" w:name="_Toc10028"/>
      <w:bookmarkStart w:id="580" w:name="_Toc17531"/>
      <w:bookmarkStart w:id="581" w:name="_Toc26905"/>
      <w:bookmarkStart w:id="582" w:name="_Toc27143"/>
      <w:bookmarkStart w:id="583" w:name="_Toc13880"/>
      <w:bookmarkStart w:id="584" w:name="_Toc30423"/>
      <w:bookmarkStart w:id="585" w:name="_Toc28934"/>
      <w:bookmarkStart w:id="586" w:name="_Toc7567"/>
      <w:bookmarkStart w:id="587" w:name="_Toc11450"/>
      <w:bookmarkStart w:id="588" w:name="_Toc24960"/>
      <w:bookmarkStart w:id="589" w:name="_Toc2161"/>
      <w:r>
        <w:rPr>
          <w:rFonts w:hint="eastAsia"/>
          <w:b/>
          <w:bCs/>
          <w:color w:val="auto"/>
          <w:sz w:val="32"/>
          <w:szCs w:val="32"/>
        </w:rPr>
        <w:t>初次报价明细表</w:t>
      </w:r>
      <w:bookmarkEnd w:id="558"/>
      <w:bookmarkEnd w:id="559"/>
      <w:bookmarkEnd w:id="560"/>
      <w:bookmarkEnd w:id="561"/>
      <w:bookmarkEnd w:id="562"/>
      <w:bookmarkEnd w:id="563"/>
      <w:bookmarkEnd w:id="564"/>
    </w:p>
    <w:p w14:paraId="167FA0D1">
      <w:pPr>
        <w:spacing w:line="460" w:lineRule="exact"/>
        <w:rPr>
          <w:rFonts w:ascii="宋体"/>
          <w:color w:val="auto"/>
          <w:sz w:val="24"/>
          <w:szCs w:val="24"/>
        </w:rPr>
      </w:pPr>
      <w:bookmarkStart w:id="590" w:name="_Toc17299"/>
      <w:r>
        <w:rPr>
          <w:rFonts w:hint="eastAsia"/>
          <w:color w:val="auto"/>
          <w:sz w:val="24"/>
        </w:rPr>
        <w:t>项目名称：</w:t>
      </w:r>
    </w:p>
    <w:p w14:paraId="05E649AE">
      <w:pPr>
        <w:pStyle w:val="26"/>
        <w:spacing w:line="360" w:lineRule="auto"/>
        <w:ind w:left="-27" w:leftChars="0" w:firstLine="27" w:firstLineChars="0"/>
        <w:rPr>
          <w:rFonts w:ascii="Times New Roman" w:hAnsi="Times New Roman"/>
          <w:color w:val="auto"/>
          <w:sz w:val="24"/>
        </w:rPr>
      </w:pPr>
      <w:r>
        <w:rPr>
          <w:rFonts w:hint="eastAsia" w:ascii="Times New Roman" w:hAnsi="Times New Roman"/>
          <w:color w:val="auto"/>
          <w:sz w:val="24"/>
        </w:rPr>
        <w:t>项目编号</w:t>
      </w:r>
      <w:bookmarkEnd w:id="590"/>
      <w:r>
        <w:rPr>
          <w:rFonts w:hint="eastAsia" w:ascii="Times New Roman" w:hAnsi="Times New Roman"/>
          <w:color w:val="auto"/>
          <w:sz w:val="24"/>
        </w:rPr>
        <w:t>：</w:t>
      </w:r>
    </w:p>
    <w:tbl>
      <w:tblPr>
        <w:tblStyle w:val="45"/>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2821"/>
        <w:gridCol w:w="1904"/>
        <w:gridCol w:w="477"/>
        <w:gridCol w:w="1282"/>
        <w:gridCol w:w="925"/>
        <w:gridCol w:w="1291"/>
      </w:tblGrid>
      <w:tr w14:paraId="2726E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5420FC1B">
            <w:pPr>
              <w:jc w:val="center"/>
              <w:rPr>
                <w:b/>
                <w:bCs/>
                <w:color w:val="auto"/>
                <w:shd w:val="clear" w:color="auto" w:fill="FFFFFF" w:themeFill="background1"/>
              </w:rPr>
            </w:pPr>
            <w:r>
              <w:rPr>
                <w:rFonts w:hint="eastAsia" w:hAnsi="楷体" w:cs="楷体"/>
                <w:b/>
                <w:bCs/>
                <w:color w:val="auto"/>
                <w:shd w:val="clear" w:color="auto" w:fill="FFFFFF" w:themeFill="background1"/>
              </w:rPr>
              <w:t>序号</w:t>
            </w:r>
          </w:p>
        </w:tc>
        <w:tc>
          <w:tcPr>
            <w:tcW w:w="2821" w:type="dxa"/>
            <w:vAlign w:val="center"/>
          </w:tcPr>
          <w:p w14:paraId="4F3EE3C4">
            <w:pPr>
              <w:widowControl/>
              <w:jc w:val="center"/>
              <w:rPr>
                <w:b/>
                <w:bCs/>
                <w:color w:val="auto"/>
                <w:shd w:val="clear" w:color="auto" w:fill="FFFFFF" w:themeFill="background1"/>
              </w:rPr>
            </w:pPr>
            <w:r>
              <w:rPr>
                <w:rFonts w:hint="eastAsia" w:hAnsi="楷体" w:cs="楷体"/>
                <w:b/>
                <w:bCs/>
                <w:color w:val="auto"/>
                <w:shd w:val="clear" w:color="auto" w:fill="FFFFFF" w:themeFill="background1"/>
              </w:rPr>
              <w:t>分类</w:t>
            </w:r>
          </w:p>
        </w:tc>
        <w:tc>
          <w:tcPr>
            <w:tcW w:w="1904" w:type="dxa"/>
            <w:vAlign w:val="center"/>
          </w:tcPr>
          <w:p w14:paraId="25DE16FC">
            <w:pPr>
              <w:jc w:val="center"/>
              <w:rPr>
                <w:b/>
                <w:bCs/>
                <w:color w:val="auto"/>
                <w:shd w:val="clear" w:color="auto" w:fill="FFFFFF" w:themeFill="background1"/>
              </w:rPr>
            </w:pPr>
            <w:r>
              <w:rPr>
                <w:rFonts w:hint="eastAsia" w:hAnsi="楷体" w:cs="楷体"/>
                <w:b/>
                <w:bCs/>
                <w:color w:val="auto"/>
                <w:shd w:val="clear" w:color="auto" w:fill="FFFFFF" w:themeFill="background1"/>
              </w:rPr>
              <w:t>内容</w:t>
            </w:r>
          </w:p>
        </w:tc>
        <w:tc>
          <w:tcPr>
            <w:tcW w:w="477" w:type="dxa"/>
            <w:vAlign w:val="center"/>
          </w:tcPr>
          <w:p w14:paraId="146B364E">
            <w:pPr>
              <w:jc w:val="center"/>
              <w:rPr>
                <w:b/>
                <w:bCs/>
                <w:color w:val="auto"/>
                <w:shd w:val="clear" w:color="auto" w:fill="FFFFFF" w:themeFill="background1"/>
              </w:rPr>
            </w:pPr>
            <w:r>
              <w:rPr>
                <w:rFonts w:hint="eastAsia" w:hAnsi="楷体" w:cs="楷体"/>
                <w:b/>
                <w:bCs/>
                <w:color w:val="auto"/>
                <w:shd w:val="clear" w:color="auto" w:fill="FFFFFF" w:themeFill="background1"/>
              </w:rPr>
              <w:t>单位</w:t>
            </w:r>
          </w:p>
        </w:tc>
        <w:tc>
          <w:tcPr>
            <w:tcW w:w="1282" w:type="dxa"/>
            <w:vAlign w:val="center"/>
          </w:tcPr>
          <w:p w14:paraId="554603A9">
            <w:pPr>
              <w:jc w:val="center"/>
              <w:rPr>
                <w:b/>
                <w:bCs/>
                <w:color w:val="auto"/>
                <w:shd w:val="clear" w:color="auto" w:fill="FFFFFF" w:themeFill="background1"/>
              </w:rPr>
            </w:pPr>
            <w:r>
              <w:rPr>
                <w:rFonts w:hint="eastAsia" w:hAnsi="楷体" w:cs="楷体"/>
                <w:b/>
                <w:bCs/>
                <w:color w:val="auto"/>
                <w:shd w:val="clear" w:color="auto" w:fill="FFFFFF" w:themeFill="background1"/>
              </w:rPr>
              <w:t>数量</w:t>
            </w:r>
          </w:p>
        </w:tc>
        <w:tc>
          <w:tcPr>
            <w:tcW w:w="925" w:type="dxa"/>
            <w:vAlign w:val="center"/>
          </w:tcPr>
          <w:p w14:paraId="3DEB4604">
            <w:pPr>
              <w:jc w:val="center"/>
              <w:rPr>
                <w:b/>
                <w:bCs/>
                <w:color w:val="auto"/>
                <w:shd w:val="clear" w:color="auto" w:fill="FFFFFF" w:themeFill="background1"/>
              </w:rPr>
            </w:pPr>
            <w:r>
              <w:rPr>
                <w:rFonts w:hint="eastAsia" w:hAnsi="楷体" w:cs="楷体"/>
                <w:b/>
                <w:bCs/>
                <w:color w:val="auto"/>
                <w:shd w:val="clear" w:color="auto" w:fill="FFFFFF" w:themeFill="background1"/>
              </w:rPr>
              <w:t>单价</w:t>
            </w:r>
          </w:p>
        </w:tc>
        <w:tc>
          <w:tcPr>
            <w:tcW w:w="1291" w:type="dxa"/>
            <w:vAlign w:val="center"/>
          </w:tcPr>
          <w:p w14:paraId="5586A878">
            <w:pPr>
              <w:jc w:val="center"/>
              <w:rPr>
                <w:b/>
                <w:bCs/>
                <w:color w:val="auto"/>
                <w:shd w:val="clear" w:color="auto" w:fill="FFFFFF" w:themeFill="background1"/>
              </w:rPr>
            </w:pPr>
            <w:r>
              <w:rPr>
                <w:rFonts w:hint="eastAsia" w:hAnsi="楷体" w:cs="楷体"/>
                <w:b/>
                <w:bCs/>
                <w:color w:val="auto"/>
                <w:shd w:val="clear" w:color="auto" w:fill="FFFFFF" w:themeFill="background1"/>
              </w:rPr>
              <w:t>备注</w:t>
            </w:r>
          </w:p>
        </w:tc>
      </w:tr>
      <w:tr w14:paraId="0B149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255F78DF">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1</w:t>
            </w:r>
          </w:p>
        </w:tc>
        <w:tc>
          <w:tcPr>
            <w:tcW w:w="2821" w:type="dxa"/>
            <w:vAlign w:val="center"/>
          </w:tcPr>
          <w:p w14:paraId="0B1D7F81">
            <w:pPr>
              <w:spacing w:line="480" w:lineRule="auto"/>
              <w:jc w:val="center"/>
              <w:rPr>
                <w:color w:val="auto"/>
                <w:shd w:val="clear" w:color="auto" w:fill="FFFFFF" w:themeFill="background1"/>
              </w:rPr>
            </w:pPr>
          </w:p>
        </w:tc>
        <w:tc>
          <w:tcPr>
            <w:tcW w:w="1904" w:type="dxa"/>
            <w:vAlign w:val="center"/>
          </w:tcPr>
          <w:p w14:paraId="20C3B18A">
            <w:pPr>
              <w:spacing w:line="480" w:lineRule="auto"/>
              <w:jc w:val="center"/>
              <w:rPr>
                <w:color w:val="auto"/>
                <w:shd w:val="clear" w:color="auto" w:fill="FFFFFF" w:themeFill="background1"/>
              </w:rPr>
            </w:pPr>
          </w:p>
        </w:tc>
        <w:tc>
          <w:tcPr>
            <w:tcW w:w="477" w:type="dxa"/>
            <w:vAlign w:val="center"/>
          </w:tcPr>
          <w:p w14:paraId="2A60BD59">
            <w:pPr>
              <w:spacing w:line="480" w:lineRule="auto"/>
              <w:jc w:val="center"/>
              <w:rPr>
                <w:color w:val="auto"/>
                <w:shd w:val="clear" w:color="auto" w:fill="FFFFFF" w:themeFill="background1"/>
              </w:rPr>
            </w:pPr>
          </w:p>
        </w:tc>
        <w:tc>
          <w:tcPr>
            <w:tcW w:w="1282" w:type="dxa"/>
            <w:vAlign w:val="center"/>
          </w:tcPr>
          <w:p w14:paraId="3F231622">
            <w:pPr>
              <w:spacing w:line="480" w:lineRule="auto"/>
              <w:jc w:val="center"/>
              <w:rPr>
                <w:color w:val="auto"/>
                <w:shd w:val="clear" w:color="auto" w:fill="FFFFFF" w:themeFill="background1"/>
              </w:rPr>
            </w:pPr>
          </w:p>
        </w:tc>
        <w:tc>
          <w:tcPr>
            <w:tcW w:w="925" w:type="dxa"/>
            <w:vAlign w:val="center"/>
          </w:tcPr>
          <w:p w14:paraId="73DB93B9">
            <w:pPr>
              <w:spacing w:line="480" w:lineRule="auto"/>
              <w:jc w:val="center"/>
              <w:rPr>
                <w:color w:val="auto"/>
                <w:shd w:val="clear" w:color="auto" w:fill="FFFFFF" w:themeFill="background1"/>
              </w:rPr>
            </w:pPr>
          </w:p>
        </w:tc>
        <w:tc>
          <w:tcPr>
            <w:tcW w:w="1291" w:type="dxa"/>
            <w:vAlign w:val="center"/>
          </w:tcPr>
          <w:p w14:paraId="29A095D2">
            <w:pPr>
              <w:spacing w:line="480" w:lineRule="auto"/>
              <w:jc w:val="center"/>
              <w:rPr>
                <w:color w:val="auto"/>
                <w:shd w:val="clear" w:color="auto" w:fill="FFFFFF" w:themeFill="background1"/>
              </w:rPr>
            </w:pPr>
          </w:p>
        </w:tc>
      </w:tr>
      <w:tr w14:paraId="4BA44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3B74FC97">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2</w:t>
            </w:r>
          </w:p>
        </w:tc>
        <w:tc>
          <w:tcPr>
            <w:tcW w:w="2821" w:type="dxa"/>
            <w:vAlign w:val="center"/>
          </w:tcPr>
          <w:p w14:paraId="51EE50CB">
            <w:pPr>
              <w:spacing w:line="480" w:lineRule="auto"/>
              <w:jc w:val="center"/>
              <w:rPr>
                <w:color w:val="auto"/>
                <w:shd w:val="clear" w:color="auto" w:fill="FFFFFF" w:themeFill="background1"/>
              </w:rPr>
            </w:pPr>
          </w:p>
        </w:tc>
        <w:tc>
          <w:tcPr>
            <w:tcW w:w="1904" w:type="dxa"/>
            <w:vAlign w:val="center"/>
          </w:tcPr>
          <w:p w14:paraId="384A7512">
            <w:pPr>
              <w:spacing w:line="480" w:lineRule="auto"/>
              <w:jc w:val="center"/>
              <w:rPr>
                <w:color w:val="auto"/>
                <w:shd w:val="clear" w:color="auto" w:fill="FFFFFF" w:themeFill="background1"/>
              </w:rPr>
            </w:pPr>
          </w:p>
        </w:tc>
        <w:tc>
          <w:tcPr>
            <w:tcW w:w="477" w:type="dxa"/>
            <w:vAlign w:val="center"/>
          </w:tcPr>
          <w:p w14:paraId="071C17A6">
            <w:pPr>
              <w:spacing w:line="480" w:lineRule="auto"/>
              <w:jc w:val="center"/>
              <w:rPr>
                <w:color w:val="auto"/>
                <w:shd w:val="clear" w:color="auto" w:fill="FFFFFF" w:themeFill="background1"/>
              </w:rPr>
            </w:pPr>
          </w:p>
        </w:tc>
        <w:tc>
          <w:tcPr>
            <w:tcW w:w="1282" w:type="dxa"/>
            <w:vAlign w:val="center"/>
          </w:tcPr>
          <w:p w14:paraId="010A4231">
            <w:pPr>
              <w:spacing w:line="480" w:lineRule="auto"/>
              <w:jc w:val="center"/>
              <w:rPr>
                <w:color w:val="auto"/>
                <w:shd w:val="clear" w:color="auto" w:fill="FFFFFF" w:themeFill="background1"/>
              </w:rPr>
            </w:pPr>
          </w:p>
        </w:tc>
        <w:tc>
          <w:tcPr>
            <w:tcW w:w="925" w:type="dxa"/>
            <w:vAlign w:val="center"/>
          </w:tcPr>
          <w:p w14:paraId="518017BF">
            <w:pPr>
              <w:spacing w:line="480" w:lineRule="auto"/>
              <w:jc w:val="center"/>
              <w:rPr>
                <w:color w:val="auto"/>
                <w:shd w:val="clear" w:color="auto" w:fill="FFFFFF" w:themeFill="background1"/>
              </w:rPr>
            </w:pPr>
          </w:p>
        </w:tc>
        <w:tc>
          <w:tcPr>
            <w:tcW w:w="1291" w:type="dxa"/>
            <w:vAlign w:val="center"/>
          </w:tcPr>
          <w:p w14:paraId="6378DEF9">
            <w:pPr>
              <w:spacing w:line="480" w:lineRule="auto"/>
              <w:jc w:val="center"/>
              <w:rPr>
                <w:color w:val="auto"/>
                <w:shd w:val="clear" w:color="auto" w:fill="FFFFFF" w:themeFill="background1"/>
              </w:rPr>
            </w:pPr>
          </w:p>
        </w:tc>
      </w:tr>
      <w:tr w14:paraId="75357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2437A9AA">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3</w:t>
            </w:r>
          </w:p>
        </w:tc>
        <w:tc>
          <w:tcPr>
            <w:tcW w:w="2821" w:type="dxa"/>
            <w:vAlign w:val="center"/>
          </w:tcPr>
          <w:p w14:paraId="6BC848D3">
            <w:pPr>
              <w:spacing w:line="480" w:lineRule="auto"/>
              <w:jc w:val="center"/>
              <w:rPr>
                <w:color w:val="auto"/>
                <w:shd w:val="clear" w:color="auto" w:fill="FFFFFF" w:themeFill="background1"/>
              </w:rPr>
            </w:pPr>
          </w:p>
        </w:tc>
        <w:tc>
          <w:tcPr>
            <w:tcW w:w="1904" w:type="dxa"/>
            <w:vAlign w:val="center"/>
          </w:tcPr>
          <w:p w14:paraId="431CD231">
            <w:pPr>
              <w:spacing w:line="480" w:lineRule="auto"/>
              <w:jc w:val="center"/>
              <w:rPr>
                <w:color w:val="auto"/>
                <w:shd w:val="clear" w:color="auto" w:fill="FFFFFF" w:themeFill="background1"/>
              </w:rPr>
            </w:pPr>
          </w:p>
        </w:tc>
        <w:tc>
          <w:tcPr>
            <w:tcW w:w="477" w:type="dxa"/>
            <w:vAlign w:val="center"/>
          </w:tcPr>
          <w:p w14:paraId="003A7377">
            <w:pPr>
              <w:spacing w:line="480" w:lineRule="auto"/>
              <w:jc w:val="center"/>
              <w:rPr>
                <w:color w:val="auto"/>
                <w:shd w:val="clear" w:color="auto" w:fill="FFFFFF" w:themeFill="background1"/>
              </w:rPr>
            </w:pPr>
          </w:p>
        </w:tc>
        <w:tc>
          <w:tcPr>
            <w:tcW w:w="1282" w:type="dxa"/>
            <w:vAlign w:val="center"/>
          </w:tcPr>
          <w:p w14:paraId="2ECED58C">
            <w:pPr>
              <w:spacing w:line="480" w:lineRule="auto"/>
              <w:jc w:val="center"/>
              <w:rPr>
                <w:color w:val="auto"/>
                <w:shd w:val="clear" w:color="auto" w:fill="FFFFFF" w:themeFill="background1"/>
              </w:rPr>
            </w:pPr>
          </w:p>
        </w:tc>
        <w:tc>
          <w:tcPr>
            <w:tcW w:w="925" w:type="dxa"/>
            <w:vAlign w:val="center"/>
          </w:tcPr>
          <w:p w14:paraId="77FAC389">
            <w:pPr>
              <w:spacing w:line="480" w:lineRule="auto"/>
              <w:jc w:val="center"/>
              <w:rPr>
                <w:color w:val="auto"/>
                <w:shd w:val="clear" w:color="auto" w:fill="FFFFFF" w:themeFill="background1"/>
              </w:rPr>
            </w:pPr>
          </w:p>
        </w:tc>
        <w:tc>
          <w:tcPr>
            <w:tcW w:w="1291" w:type="dxa"/>
            <w:vAlign w:val="center"/>
          </w:tcPr>
          <w:p w14:paraId="4977678F">
            <w:pPr>
              <w:spacing w:line="480" w:lineRule="auto"/>
              <w:jc w:val="center"/>
              <w:rPr>
                <w:color w:val="auto"/>
                <w:shd w:val="clear" w:color="auto" w:fill="FFFFFF" w:themeFill="background1"/>
              </w:rPr>
            </w:pPr>
          </w:p>
        </w:tc>
      </w:tr>
    </w:tbl>
    <w:p w14:paraId="17242027">
      <w:pPr>
        <w:pStyle w:val="42"/>
        <w:snapToGrid w:val="0"/>
        <w:spacing w:line="400" w:lineRule="exact"/>
        <w:rPr>
          <w:color w:val="auto"/>
          <w:szCs w:val="24"/>
        </w:rPr>
      </w:pPr>
      <w:r>
        <w:rPr>
          <w:rFonts w:hint="eastAsia"/>
          <w:color w:val="auto"/>
          <w:szCs w:val="24"/>
        </w:rPr>
        <w:t>注：本报价中应包含</w:t>
      </w:r>
      <w:r>
        <w:rPr>
          <w:rFonts w:hint="eastAsia"/>
          <w:color w:val="auto"/>
          <w:szCs w:val="24"/>
        </w:rPr>
        <w:t>乙方完成本项目所需的一切费用，包括但不限于面向算网融合的跨域算力动态迁移机制研究服务、其他技术服务费、培训费、保修保换费、保险费、税费等。</w:t>
      </w:r>
    </w:p>
    <w:p w14:paraId="08A89E58">
      <w:pPr>
        <w:pStyle w:val="42"/>
        <w:snapToGrid w:val="0"/>
        <w:spacing w:line="400" w:lineRule="exact"/>
        <w:rPr>
          <w:rFonts w:ascii="Times New Roman" w:hAnsi="Times New Roman"/>
          <w:b/>
          <w:bCs/>
          <w:color w:val="auto"/>
          <w:szCs w:val="24"/>
        </w:rPr>
      </w:pPr>
      <w:r>
        <w:rPr>
          <w:rFonts w:hint="eastAsia" w:ascii="Times New Roman" w:hAnsi="Times New Roman"/>
          <w:b/>
          <w:bCs/>
          <w:color w:val="auto"/>
          <w:szCs w:val="24"/>
        </w:rPr>
        <w:t>初次报价明细表和初次报价一览表的总价应保持一致，如有不一致以初次报价一览表为准。</w:t>
      </w:r>
    </w:p>
    <w:p w14:paraId="2C049C4D">
      <w:pPr>
        <w:pStyle w:val="42"/>
        <w:snapToGrid w:val="0"/>
        <w:spacing w:line="400" w:lineRule="exact"/>
        <w:rPr>
          <w:color w:val="auto"/>
          <w:szCs w:val="24"/>
        </w:rPr>
      </w:pPr>
      <w:r>
        <w:rPr>
          <w:rFonts w:hint="eastAsia"/>
          <w:color w:val="auto"/>
          <w:szCs w:val="24"/>
        </w:rPr>
        <w:t>货币单位：元（人民币）</w:t>
      </w:r>
    </w:p>
    <w:p w14:paraId="33AAC660">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2EB181B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52521A7">
      <w:pPr>
        <w:pStyle w:val="26"/>
        <w:spacing w:before="120" w:after="72" w:afterLines="30" w:line="400" w:lineRule="exact"/>
        <w:ind w:left="-27" w:firstLine="422"/>
        <w:jc w:val="left"/>
        <w:rPr>
          <w:rFonts w:ascii="Times New Roman" w:hAnsi="Times New Roman"/>
          <w:color w:val="auto"/>
          <w:spacing w:val="6"/>
          <w:sz w:val="24"/>
        </w:rPr>
      </w:pPr>
      <w:r>
        <w:rPr>
          <w:rFonts w:hint="eastAsia" w:hAnsi="宋体" w:cs="宋体"/>
          <w:color w:val="auto"/>
          <w:sz w:val="24"/>
        </w:rPr>
        <w:t>日期：      年   月   日</w:t>
      </w:r>
    </w:p>
    <w:p w14:paraId="3881AE43">
      <w:pPr>
        <w:jc w:val="center"/>
        <w:rPr>
          <w:rFonts w:hint="eastAsia"/>
          <w:b/>
          <w:bCs/>
          <w:color w:val="auto"/>
          <w:sz w:val="32"/>
          <w:szCs w:val="32"/>
        </w:rPr>
      </w:pPr>
      <w:bookmarkStart w:id="591" w:name="_Toc10198"/>
      <w:bookmarkStart w:id="592" w:name="_Toc2449"/>
      <w:bookmarkStart w:id="593" w:name="_Toc32362"/>
      <w:bookmarkStart w:id="594" w:name="_Toc8084"/>
      <w:bookmarkStart w:id="595" w:name="_Toc16832"/>
      <w:bookmarkStart w:id="596" w:name="_Toc16299"/>
      <w:bookmarkStart w:id="597" w:name="_Toc10325"/>
      <w:bookmarkStart w:id="598" w:name="_Toc22648"/>
      <w:bookmarkStart w:id="599" w:name="_Toc5648"/>
      <w:bookmarkStart w:id="600" w:name="_Toc30565"/>
      <w:bookmarkStart w:id="601" w:name="_Toc1415"/>
    </w:p>
    <w:p w14:paraId="605AAA23">
      <w:pPr>
        <w:jc w:val="center"/>
        <w:rPr>
          <w:rFonts w:hint="eastAsia"/>
          <w:b/>
          <w:bCs/>
          <w:color w:val="auto"/>
          <w:sz w:val="32"/>
          <w:szCs w:val="32"/>
        </w:rPr>
      </w:pPr>
    </w:p>
    <w:p w14:paraId="59E797BD">
      <w:pPr>
        <w:jc w:val="center"/>
        <w:rPr>
          <w:rFonts w:hint="eastAsia"/>
          <w:b/>
          <w:bCs/>
          <w:color w:val="auto"/>
          <w:sz w:val="32"/>
          <w:szCs w:val="32"/>
        </w:rPr>
      </w:pPr>
    </w:p>
    <w:p w14:paraId="3A0F6E52">
      <w:pPr>
        <w:jc w:val="center"/>
        <w:rPr>
          <w:rFonts w:hint="eastAsia"/>
          <w:b/>
          <w:bCs/>
          <w:color w:val="auto"/>
          <w:sz w:val="32"/>
          <w:szCs w:val="32"/>
        </w:rPr>
      </w:pPr>
    </w:p>
    <w:p w14:paraId="3E841FBC">
      <w:pPr>
        <w:jc w:val="center"/>
        <w:rPr>
          <w:rFonts w:hint="eastAsia"/>
          <w:b/>
          <w:bCs/>
          <w:color w:val="auto"/>
          <w:sz w:val="32"/>
          <w:szCs w:val="32"/>
        </w:rPr>
      </w:pPr>
      <w:r>
        <w:rPr>
          <w:rFonts w:hint="eastAsia"/>
          <w:b/>
          <w:bCs/>
          <w:color w:val="auto"/>
          <w:sz w:val="32"/>
          <w:szCs w:val="32"/>
        </w:rPr>
        <w:t>注：响应方针对报价需要说明的其他文件和说明(如有，格式自拟)</w:t>
      </w:r>
      <w:bookmarkEnd w:id="591"/>
      <w:bookmarkEnd w:id="592"/>
      <w:bookmarkEnd w:id="593"/>
      <w:bookmarkEnd w:id="594"/>
      <w:bookmarkEnd w:id="595"/>
      <w:bookmarkEnd w:id="596"/>
      <w:bookmarkEnd w:id="597"/>
      <w:bookmarkEnd w:id="598"/>
      <w:bookmarkEnd w:id="599"/>
      <w:bookmarkEnd w:id="600"/>
      <w:bookmarkEnd w:id="601"/>
    </w:p>
    <w:p w14:paraId="1A1738A8">
      <w:pPr>
        <w:rPr>
          <w:rStyle w:val="57"/>
          <w:rFonts w:ascii="宋体" w:hAnsi="宋体" w:eastAsia="宋体" w:cs="宋体"/>
          <w:bCs/>
          <w:color w:val="auto"/>
          <w:sz w:val="24"/>
          <w:szCs w:val="24"/>
        </w:rPr>
      </w:pPr>
      <w:r>
        <w:rPr>
          <w:rStyle w:val="57"/>
          <w:rFonts w:hint="eastAsia" w:ascii="宋体" w:hAnsi="宋体" w:eastAsia="宋体" w:cs="宋体"/>
          <w:bCs/>
          <w:color w:val="auto"/>
          <w:sz w:val="24"/>
          <w:szCs w:val="24"/>
        </w:rPr>
        <w:br w:type="page"/>
      </w:r>
    </w:p>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14:paraId="52624DF1">
      <w:pPr>
        <w:pStyle w:val="6"/>
        <w:ind w:left="0" w:firstLine="0"/>
        <w:rPr>
          <w:color w:val="auto"/>
        </w:rPr>
      </w:pPr>
      <w:bookmarkStart w:id="602" w:name="_Toc24323"/>
      <w:bookmarkStart w:id="603" w:name="OLE_LINK4"/>
      <w:r>
        <w:rPr>
          <w:rFonts w:hint="eastAsia"/>
          <w:color w:val="auto"/>
        </w:rPr>
        <w:t>（2）中小企业声明函（若属于中小企业）</w:t>
      </w:r>
      <w:bookmarkEnd w:id="602"/>
    </w:p>
    <w:p w14:paraId="46712ED7">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52C51A58">
      <w:pPr>
        <w:snapToGrid w:val="0"/>
        <w:spacing w:line="360" w:lineRule="auto"/>
        <w:jc w:val="center"/>
        <w:rPr>
          <w:b/>
          <w:bCs/>
          <w:color w:val="auto"/>
          <w:sz w:val="24"/>
        </w:rPr>
      </w:pPr>
      <w:r>
        <w:rPr>
          <w:rFonts w:hint="eastAsia"/>
          <w:b/>
          <w:color w:val="auto"/>
          <w:szCs w:val="21"/>
        </w:rPr>
        <w:t>【不属于中小微企业的无需填写、递交】</w:t>
      </w:r>
    </w:p>
    <w:p w14:paraId="3BC66CA0">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w:t>
      </w:r>
      <w:r>
        <w:rPr>
          <w:rFonts w:hint="eastAsia" w:ascii="宋体" w:hAnsi="宋体" w:cs="宋体"/>
          <w:color w:val="auto"/>
          <w:szCs w:val="21"/>
        </w:rPr>
        <w:t>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3C9043E4">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（面向算网融合的跨域算力动态迁移机制研究服务）</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249A3DC9">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567F0F8C">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39E85A57">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5057EE72">
      <w:pPr>
        <w:pStyle w:val="26"/>
        <w:spacing w:line="360" w:lineRule="auto"/>
        <w:ind w:left="-27" w:firstLine="4796" w:firstLineChars="2275"/>
        <w:rPr>
          <w:rFonts w:hAnsi="宋体" w:cs="宋体"/>
          <w:b/>
          <w:bCs/>
          <w:color w:val="auto"/>
          <w:sz w:val="21"/>
          <w:szCs w:val="21"/>
        </w:rPr>
      </w:pPr>
    </w:p>
    <w:p w14:paraId="6F25487C">
      <w:pPr>
        <w:pStyle w:val="26"/>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1CF9EBD7">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5A3CC477">
      <w:pPr>
        <w:pStyle w:val="26"/>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4B56DE62">
      <w:pPr>
        <w:autoSpaceDE w:val="0"/>
        <w:autoSpaceDN w:val="0"/>
        <w:spacing w:line="360" w:lineRule="auto"/>
        <w:rPr>
          <w:color w:val="auto"/>
          <w:szCs w:val="21"/>
          <w:highlight w:val="green"/>
        </w:rPr>
      </w:pPr>
    </w:p>
    <w:p w14:paraId="4023D2DA">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1905327E">
      <w:pPr>
        <w:pStyle w:val="20"/>
        <w:rPr>
          <w:b/>
          <w:bCs/>
          <w:color w:val="auto"/>
        </w:rPr>
      </w:pPr>
      <w:r>
        <w:rPr>
          <w:rFonts w:hint="eastAsia"/>
          <w:b/>
          <w:bCs/>
          <w:color w:val="auto"/>
        </w:rPr>
        <w:t>1.从业人员、营业收入、资产总额填报上一年度数据，无上一年度数据的新成立企业可不填报。</w:t>
      </w:r>
    </w:p>
    <w:p w14:paraId="4DC60FF3">
      <w:pPr>
        <w:pStyle w:val="20"/>
        <w:rPr>
          <w:b/>
          <w:bCs/>
          <w:color w:val="auto"/>
        </w:rPr>
      </w:pPr>
      <w:r>
        <w:rPr>
          <w:rFonts w:hint="eastAsia"/>
          <w:b/>
          <w:bCs/>
          <w:color w:val="auto"/>
        </w:rPr>
        <w:t>2.本项目所属行业见前附表。</w:t>
      </w:r>
    </w:p>
    <w:p w14:paraId="73493BA7">
      <w:pPr>
        <w:pStyle w:val="20"/>
        <w:rPr>
          <w:b/>
          <w:bCs/>
          <w:color w:val="auto"/>
        </w:rPr>
      </w:pPr>
      <w:r>
        <w:rPr>
          <w:rFonts w:hint="eastAsia"/>
          <w:b/>
          <w:bCs/>
          <w:color w:val="auto"/>
        </w:rPr>
        <w:t>3.中小企业划型标准规定（工信部联企业[2011]300号）附后。</w:t>
      </w:r>
    </w:p>
    <w:p w14:paraId="4FF6A10F">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74548523">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276A705F">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531DD448">
      <w:pPr>
        <w:pStyle w:val="20"/>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77AA5E19">
      <w:pPr>
        <w:pStyle w:val="26"/>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08B9DC8F">
      <w:pPr>
        <w:pStyle w:val="26"/>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0DDE1DD6">
      <w:pPr>
        <w:rPr>
          <w:b/>
          <w:color w:val="auto"/>
          <w:sz w:val="32"/>
          <w:szCs w:val="32"/>
        </w:rPr>
      </w:pPr>
    </w:p>
    <w:p w14:paraId="161674E0">
      <w:pPr>
        <w:pStyle w:val="6"/>
        <w:ind w:left="0" w:firstLine="0"/>
        <w:rPr>
          <w:color w:val="auto"/>
        </w:rPr>
      </w:pPr>
      <w:bookmarkStart w:id="604" w:name="_Toc32627"/>
      <w:r>
        <w:rPr>
          <w:rFonts w:hint="eastAsia"/>
          <w:color w:val="auto"/>
        </w:rPr>
        <w:t>（3）属于监狱企业的证明文件（若属于监狱企业）</w:t>
      </w:r>
      <w:bookmarkEnd w:id="604"/>
    </w:p>
    <w:p w14:paraId="1394E3CA">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5CFA7E4B">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504D527A">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1562AB5B">
      <w:pPr>
        <w:adjustRightInd w:val="0"/>
        <w:snapToGrid w:val="0"/>
        <w:spacing w:line="288" w:lineRule="auto"/>
        <w:rPr>
          <w:color w:val="auto"/>
          <w:szCs w:val="21"/>
        </w:rPr>
      </w:pPr>
    </w:p>
    <w:p w14:paraId="74EAC1C3">
      <w:pPr>
        <w:adjustRightInd w:val="0"/>
        <w:snapToGrid w:val="0"/>
        <w:spacing w:line="288" w:lineRule="auto"/>
        <w:rPr>
          <w:b/>
          <w:bCs/>
          <w:color w:val="auto"/>
          <w:szCs w:val="21"/>
        </w:rPr>
      </w:pPr>
      <w:r>
        <w:rPr>
          <w:rFonts w:hint="eastAsia"/>
          <w:b/>
          <w:bCs/>
          <w:color w:val="auto"/>
          <w:szCs w:val="21"/>
        </w:rPr>
        <w:t>说明：</w:t>
      </w:r>
    </w:p>
    <w:p w14:paraId="04CA0C70">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6DCAB53">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33C220A7">
      <w:pPr>
        <w:widowControl/>
        <w:adjustRightInd w:val="0"/>
        <w:snapToGrid w:val="0"/>
        <w:spacing w:line="288" w:lineRule="auto"/>
        <w:jc w:val="left"/>
        <w:rPr>
          <w:b/>
          <w:color w:val="auto"/>
          <w:spacing w:val="-6"/>
          <w:szCs w:val="21"/>
        </w:rPr>
      </w:pPr>
      <w:r>
        <w:rPr>
          <w:b/>
          <w:color w:val="auto"/>
          <w:spacing w:val="-6"/>
          <w:szCs w:val="21"/>
        </w:rPr>
        <w:br w:type="page"/>
      </w:r>
    </w:p>
    <w:p w14:paraId="1B5BC182">
      <w:pPr>
        <w:pStyle w:val="6"/>
        <w:ind w:left="0" w:firstLine="0"/>
        <w:rPr>
          <w:color w:val="auto"/>
        </w:rPr>
      </w:pPr>
      <w:bookmarkStart w:id="605" w:name="_Toc14407"/>
      <w:r>
        <w:rPr>
          <w:rFonts w:hint="eastAsia"/>
          <w:color w:val="auto"/>
        </w:rPr>
        <w:t>（4）残疾人福利性单位声明函（若属于残疾人福利性单位）</w:t>
      </w:r>
      <w:bookmarkEnd w:id="605"/>
    </w:p>
    <w:p w14:paraId="5E8BEDB0">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04A6CA33">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328B9DEA">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7BC35A2D">
      <w:pPr>
        <w:spacing w:line="360" w:lineRule="auto"/>
        <w:ind w:firstLine="504" w:firstLineChars="200"/>
        <w:rPr>
          <w:color w:val="auto"/>
          <w:spacing w:val="6"/>
          <w:sz w:val="24"/>
        </w:rPr>
      </w:pPr>
    </w:p>
    <w:p w14:paraId="455D94C0">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690832DB">
      <w:pPr>
        <w:pStyle w:val="54"/>
        <w:rPr>
          <w:color w:val="auto"/>
        </w:rPr>
      </w:pPr>
    </w:p>
    <w:p w14:paraId="6E6AE949">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1D20199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5792306">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51DC44E5">
      <w:pPr>
        <w:adjustRightInd w:val="0"/>
        <w:snapToGrid w:val="0"/>
        <w:spacing w:line="288" w:lineRule="auto"/>
        <w:rPr>
          <w:rFonts w:ascii="宋体" w:hAnsi="宋体"/>
          <w:b/>
          <w:bCs/>
          <w:color w:val="auto"/>
          <w:szCs w:val="21"/>
        </w:rPr>
      </w:pPr>
    </w:p>
    <w:p w14:paraId="1FE98070">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27021BFB">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0A609BD3">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29E48E2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0667D6E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3E13FF4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256812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41CE487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CDA8586">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1CD60103">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69828DF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603"/>
    <w:p w14:paraId="2CB6C3CE">
      <w:pPr>
        <w:adjustRightInd w:val="0"/>
        <w:snapToGrid w:val="0"/>
        <w:spacing w:line="288" w:lineRule="auto"/>
        <w:jc w:val="center"/>
        <w:outlineLvl w:val="1"/>
        <w:rPr>
          <w:b/>
          <w:bCs/>
          <w:color w:val="auto"/>
          <w:sz w:val="84"/>
          <w:szCs w:val="84"/>
        </w:rPr>
      </w:pPr>
      <w:r>
        <w:rPr>
          <w:rFonts w:hint="eastAsia" w:hAnsi="宋体"/>
          <w:color w:val="auto"/>
          <w:sz w:val="24"/>
        </w:rPr>
        <w:br w:type="page"/>
      </w:r>
      <w:bookmarkStart w:id="606" w:name="_Toc13646"/>
      <w:bookmarkStart w:id="607" w:name="_Toc3902"/>
      <w:bookmarkStart w:id="608" w:name="_Toc6658"/>
      <w:bookmarkStart w:id="609" w:name="_Toc1234"/>
      <w:bookmarkStart w:id="610" w:name="_Toc22262"/>
      <w:bookmarkStart w:id="611" w:name="_Toc32174"/>
      <w:bookmarkStart w:id="612" w:name="_Toc10465"/>
      <w:bookmarkStart w:id="613" w:name="_Toc2678"/>
      <w:bookmarkStart w:id="614" w:name="_Toc25574"/>
      <w:bookmarkStart w:id="615" w:name="_Toc4954"/>
      <w:bookmarkStart w:id="616" w:name="_Toc29034"/>
      <w:bookmarkStart w:id="617" w:name="_Toc17483"/>
      <w:bookmarkStart w:id="618" w:name="_Toc28796"/>
      <w:bookmarkStart w:id="619" w:name="_Toc8554"/>
      <w:bookmarkStart w:id="620" w:name="_Toc27765"/>
      <w:bookmarkStart w:id="621" w:name="_Toc27848"/>
      <w:bookmarkStart w:id="622" w:name="_Toc21599"/>
      <w:bookmarkStart w:id="623" w:name="_Toc13604"/>
      <w:bookmarkStart w:id="624" w:name="_Toc4011"/>
      <w:bookmarkStart w:id="625" w:name="_Toc4882"/>
      <w:bookmarkStart w:id="626" w:name="_Toc10583"/>
      <w:bookmarkStart w:id="627" w:name="_Toc5305"/>
      <w:bookmarkStart w:id="628" w:name="_Toc17061"/>
      <w:bookmarkStart w:id="629" w:name="_Toc19321"/>
      <w:bookmarkStart w:id="630" w:name="_Toc4245"/>
      <w:bookmarkStart w:id="631" w:name="_Toc21390"/>
      <w:bookmarkStart w:id="632" w:name="_Toc13355"/>
      <w:bookmarkStart w:id="633" w:name="_Toc432"/>
      <w:bookmarkStart w:id="634" w:name="_Toc9514"/>
      <w:bookmarkStart w:id="635" w:name="_Toc20322"/>
      <w:bookmarkStart w:id="636" w:name="_Toc31197"/>
      <w:bookmarkStart w:id="637" w:name="_Toc593"/>
      <w:bookmarkStart w:id="638" w:name="_Toc30975"/>
      <w:bookmarkStart w:id="639" w:name="_Toc11033"/>
      <w:bookmarkStart w:id="640" w:name="_Toc2960"/>
      <w:bookmarkStart w:id="641" w:name="_Toc23382"/>
      <w:bookmarkStart w:id="642" w:name="_Toc118516210"/>
      <w:r>
        <w:rPr>
          <w:rFonts w:hint="eastAsia"/>
          <w:b/>
          <w:bCs/>
          <w:color w:val="auto"/>
          <w:sz w:val="84"/>
          <w:szCs w:val="84"/>
        </w:rPr>
        <w:t>商务和技术文件</w:t>
      </w:r>
      <w:bookmarkEnd w:id="606"/>
    </w:p>
    <w:p w14:paraId="205859F8">
      <w:pPr>
        <w:pStyle w:val="6"/>
        <w:tabs>
          <w:tab w:val="left" w:pos="0"/>
          <w:tab w:val="clear" w:pos="1275"/>
        </w:tabs>
        <w:ind w:left="15" w:hanging="15"/>
        <w:rPr>
          <w:color w:val="auto"/>
          <w:sz w:val="24"/>
          <w:szCs w:val="24"/>
        </w:rPr>
      </w:pPr>
    </w:p>
    <w:p w14:paraId="0F757D1A">
      <w:pPr>
        <w:pStyle w:val="6"/>
        <w:ind w:left="0" w:firstLine="0"/>
        <w:rPr>
          <w:color w:val="auto"/>
        </w:rPr>
      </w:pPr>
      <w:bookmarkStart w:id="643" w:name="_Toc9699"/>
      <w:r>
        <w:rPr>
          <w:rFonts w:hint="eastAsia"/>
          <w:color w:val="auto"/>
        </w:rPr>
        <w:t>（1）磋商响应函</w:t>
      </w:r>
      <w:bookmarkEnd w:id="643"/>
      <w:r>
        <w:rPr>
          <w:rFonts w:hint="eastAsia"/>
          <w:color w:val="auto"/>
        </w:rPr>
        <w:t xml:space="preserve">   </w:t>
      </w:r>
    </w:p>
    <w:p w14:paraId="71D00ACB">
      <w:pPr>
        <w:jc w:val="center"/>
        <w:rPr>
          <w:b/>
          <w:color w:val="auto"/>
          <w:sz w:val="32"/>
          <w:szCs w:val="32"/>
        </w:rPr>
      </w:pPr>
      <w:r>
        <w:rPr>
          <w:rFonts w:hint="eastAsia"/>
          <w:b/>
          <w:color w:val="auto"/>
          <w:sz w:val="32"/>
          <w:szCs w:val="32"/>
        </w:rPr>
        <w:t>磋商响应函</w:t>
      </w:r>
    </w:p>
    <w:p w14:paraId="11C95D76">
      <w:pPr>
        <w:pStyle w:val="26"/>
        <w:ind w:left="-27" w:firstLine="530"/>
        <w:rPr>
          <w:rFonts w:ascii="Times New Roman" w:hAnsi="Times New Roman"/>
          <w:b/>
          <w:color w:val="auto"/>
          <w:sz w:val="30"/>
        </w:rPr>
      </w:pPr>
    </w:p>
    <w:p w14:paraId="64CFB60E">
      <w:pPr>
        <w:pStyle w:val="26"/>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01C631D6">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4C5B4E37">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7B5ABC06">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p>
    <w:p w14:paraId="765EC5A7">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7C4BF6F3">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03BD5ED8">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31E56062">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0FBB6DB4">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63B8D6DE">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1253ABEF">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46F6BF9C">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677F387E">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2209040A">
      <w:pPr>
        <w:pStyle w:val="26"/>
        <w:spacing w:line="312" w:lineRule="auto"/>
        <w:ind w:left="-27" w:firstLine="422"/>
        <w:rPr>
          <w:rFonts w:ascii="Times New Roman" w:hAnsi="Times New Roman"/>
          <w:color w:val="auto"/>
          <w:sz w:val="24"/>
        </w:rPr>
      </w:pPr>
    </w:p>
    <w:p w14:paraId="5A2670E9">
      <w:pPr>
        <w:pStyle w:val="26"/>
        <w:spacing w:line="312" w:lineRule="auto"/>
        <w:ind w:left="-27" w:firstLine="422"/>
        <w:rPr>
          <w:rFonts w:ascii="Times New Roman" w:hAnsi="Times New Roman"/>
          <w:color w:val="auto"/>
          <w:sz w:val="24"/>
        </w:rPr>
      </w:pPr>
    </w:p>
    <w:p w14:paraId="33F4FDC2">
      <w:pPr>
        <w:pStyle w:val="26"/>
        <w:spacing w:line="312" w:lineRule="auto"/>
        <w:ind w:left="-27" w:firstLine="480" w:firstLineChars="200"/>
        <w:rPr>
          <w:rFonts w:ascii="Times New Roman" w:hAnsi="Times New Roman"/>
          <w:color w:val="auto"/>
          <w:sz w:val="24"/>
        </w:rPr>
      </w:pPr>
    </w:p>
    <w:p w14:paraId="6A659FE4">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1EA5DF8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4E8B342">
      <w:pPr>
        <w:spacing w:before="240" w:beforeLines="100" w:after="240" w:afterLines="100"/>
        <w:jc w:val="left"/>
        <w:rPr>
          <w:color w:val="auto"/>
          <w:sz w:val="24"/>
          <w:szCs w:val="24"/>
        </w:rPr>
      </w:pPr>
      <w:r>
        <w:rPr>
          <w:rFonts w:hint="eastAsia" w:ascii="宋体" w:hAnsi="宋体" w:cs="宋体"/>
          <w:color w:val="auto"/>
          <w:sz w:val="24"/>
        </w:rPr>
        <w:t>日期：      年   月   日</w:t>
      </w:r>
    </w:p>
    <w:p w14:paraId="4331A61F">
      <w:pPr>
        <w:rPr>
          <w:color w:val="auto"/>
          <w:sz w:val="24"/>
          <w:szCs w:val="24"/>
        </w:rPr>
      </w:pPr>
    </w:p>
    <w:p w14:paraId="4C786D44">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14:paraId="56C90543">
      <w:pPr>
        <w:pStyle w:val="6"/>
        <w:ind w:left="0" w:firstLine="0"/>
        <w:rPr>
          <w:color w:val="auto"/>
        </w:rPr>
      </w:pPr>
      <w:bookmarkStart w:id="644" w:name="_Toc17045"/>
      <w:r>
        <w:rPr>
          <w:rFonts w:hint="eastAsia"/>
          <w:color w:val="auto"/>
        </w:rPr>
        <w:t>（2）法定代表人授权书（非法定代表人参加时提供）</w:t>
      </w:r>
      <w:bookmarkEnd w:id="644"/>
    </w:p>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14:paraId="21673587">
      <w:pPr>
        <w:pStyle w:val="26"/>
        <w:tabs>
          <w:tab w:val="left" w:pos="450"/>
        </w:tabs>
        <w:spacing w:line="400" w:lineRule="atLeast"/>
        <w:ind w:left="-27" w:firstLine="422"/>
        <w:rPr>
          <w:rFonts w:ascii="Times New Roman" w:hAnsi="Times New Roman"/>
          <w:color w:val="auto"/>
          <w:sz w:val="24"/>
          <w:szCs w:val="24"/>
        </w:rPr>
      </w:pPr>
    </w:p>
    <w:p w14:paraId="186DAA55">
      <w:pPr>
        <w:pStyle w:val="26"/>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7E9DA040">
      <w:pPr>
        <w:pStyle w:val="26"/>
        <w:spacing w:line="600" w:lineRule="atLeast"/>
        <w:ind w:left="-27" w:firstLine="493"/>
        <w:rPr>
          <w:rFonts w:ascii="Times New Roman" w:hAnsi="Times New Roman"/>
          <w:color w:val="auto"/>
          <w:sz w:val="28"/>
          <w:u w:val="single"/>
        </w:rPr>
      </w:pPr>
    </w:p>
    <w:p w14:paraId="484B3799">
      <w:pPr>
        <w:pStyle w:val="26"/>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48E20F34">
      <w:pPr>
        <w:pStyle w:val="26"/>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2CADAD5E">
      <w:pPr>
        <w:pStyle w:val="26"/>
        <w:spacing w:line="600" w:lineRule="atLeast"/>
        <w:ind w:left="-27" w:firstLine="422"/>
        <w:rPr>
          <w:rFonts w:ascii="Times New Roman" w:hAnsi="Times New Roman"/>
          <w:color w:val="auto"/>
          <w:sz w:val="24"/>
          <w:szCs w:val="24"/>
        </w:rPr>
      </w:pPr>
    </w:p>
    <w:p w14:paraId="3FD84752">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年12月（含）以后任意一月社保缴纳证明。</w:t>
      </w:r>
    </w:p>
    <w:p w14:paraId="73E928C0">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1F6A626A">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28D12C39">
      <w:pPr>
        <w:pStyle w:val="26"/>
        <w:spacing w:line="400" w:lineRule="atLeast"/>
        <w:ind w:left="-27" w:firstLine="422"/>
        <w:rPr>
          <w:rFonts w:ascii="Times New Roman" w:hAnsi="Times New Roman"/>
          <w:color w:val="auto"/>
          <w:sz w:val="24"/>
          <w:szCs w:val="24"/>
        </w:rPr>
      </w:pPr>
    </w:p>
    <w:p w14:paraId="1C84BFFB">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6AC6D0BF">
      <w:pPr>
        <w:pStyle w:val="26"/>
        <w:spacing w:line="400" w:lineRule="atLeast"/>
        <w:ind w:left="-27" w:firstLine="422"/>
        <w:rPr>
          <w:rFonts w:ascii="Times New Roman" w:hAnsi="Times New Roman"/>
          <w:color w:val="auto"/>
          <w:sz w:val="24"/>
          <w:szCs w:val="24"/>
        </w:rPr>
      </w:pPr>
    </w:p>
    <w:p w14:paraId="08A6734A">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56D69C1E">
      <w:pPr>
        <w:pStyle w:val="26"/>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525151B0">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7142AA22">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0F4EEB08">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491A8B0A">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038A7846">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7A047D2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093A5E8E">
      <w:pPr>
        <w:pStyle w:val="26"/>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0F656A04">
      <w:pPr>
        <w:widowControl/>
        <w:ind w:firstLine="723" w:firstLineChars="225"/>
        <w:jc w:val="left"/>
        <w:rPr>
          <w:b/>
          <w:color w:val="auto"/>
          <w:sz w:val="32"/>
          <w:szCs w:val="32"/>
        </w:rPr>
      </w:pPr>
      <w:r>
        <w:rPr>
          <w:rFonts w:hint="eastAsia"/>
          <w:b/>
          <w:color w:val="auto"/>
          <w:sz w:val="32"/>
          <w:szCs w:val="32"/>
        </w:rPr>
        <w:t>法定代表人身份证复印件（正反面）</w:t>
      </w:r>
    </w:p>
    <w:p w14:paraId="01B32EE9">
      <w:pPr>
        <w:widowControl/>
        <w:ind w:firstLine="723" w:firstLineChars="225"/>
        <w:jc w:val="left"/>
        <w:rPr>
          <w:b/>
          <w:color w:val="auto"/>
          <w:sz w:val="32"/>
          <w:szCs w:val="32"/>
        </w:rPr>
      </w:pPr>
    </w:p>
    <w:p w14:paraId="2CCE9F9B">
      <w:pPr>
        <w:widowControl/>
        <w:ind w:firstLine="723" w:firstLineChars="225"/>
        <w:jc w:val="left"/>
        <w:rPr>
          <w:b/>
          <w:color w:val="auto"/>
          <w:sz w:val="32"/>
          <w:szCs w:val="32"/>
        </w:rPr>
      </w:pPr>
      <w:r>
        <w:rPr>
          <w:rFonts w:hint="eastAsia"/>
          <w:b/>
          <w:color w:val="auto"/>
          <w:sz w:val="32"/>
          <w:szCs w:val="32"/>
        </w:rPr>
        <w:t>授权代表人身份证复印件（正反面）</w:t>
      </w:r>
    </w:p>
    <w:p w14:paraId="6318360C">
      <w:pPr>
        <w:widowControl/>
        <w:ind w:firstLine="723" w:firstLineChars="225"/>
        <w:jc w:val="left"/>
        <w:rPr>
          <w:b/>
          <w:color w:val="auto"/>
          <w:sz w:val="32"/>
          <w:szCs w:val="32"/>
        </w:rPr>
      </w:pPr>
    </w:p>
    <w:p w14:paraId="310AA628">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453D83C1">
      <w:pPr>
        <w:pStyle w:val="6"/>
        <w:ind w:left="0" w:firstLine="0"/>
        <w:rPr>
          <w:color w:val="auto"/>
        </w:rPr>
      </w:pPr>
      <w:bookmarkStart w:id="645" w:name="_Toc28894"/>
      <w:r>
        <w:rPr>
          <w:rFonts w:hint="eastAsia"/>
          <w:color w:val="auto"/>
        </w:rPr>
        <w:t>（</w:t>
      </w:r>
      <w:r>
        <w:rPr>
          <w:rFonts w:hint="eastAsia"/>
          <w:color w:val="auto"/>
        </w:rPr>
        <w:t>3）授权代表社保缴纳证明</w:t>
      </w:r>
      <w:bookmarkEnd w:id="645"/>
    </w:p>
    <w:p w14:paraId="7AAEAD39">
      <w:pPr>
        <w:rPr>
          <w:rFonts w:ascii="宋体" w:hAnsi="宋体" w:cs="宋体"/>
          <w:b/>
          <w:color w:val="auto"/>
          <w:spacing w:val="-6"/>
          <w:sz w:val="32"/>
          <w:szCs w:val="32"/>
        </w:rPr>
      </w:pPr>
    </w:p>
    <w:p w14:paraId="060A93C2">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年12月（含）以后任意一月授权代表社保缴纳证明</w:t>
      </w:r>
    </w:p>
    <w:p w14:paraId="4F98DB5E">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494F434F">
      <w:pPr>
        <w:widowControl/>
        <w:ind w:firstLine="723" w:firstLineChars="225"/>
        <w:jc w:val="left"/>
        <w:rPr>
          <w:b/>
          <w:color w:val="auto"/>
          <w:sz w:val="32"/>
          <w:szCs w:val="32"/>
        </w:rPr>
      </w:pPr>
    </w:p>
    <w:p w14:paraId="6165877E">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0476C025">
      <w:pPr>
        <w:pStyle w:val="6"/>
        <w:ind w:left="0" w:firstLine="0"/>
        <w:rPr>
          <w:color w:val="auto"/>
        </w:rPr>
      </w:pPr>
      <w:bookmarkStart w:id="646" w:name="_Toc26387"/>
      <w:bookmarkStart w:id="647" w:name="_Toc30038"/>
      <w:bookmarkStart w:id="648" w:name="_Toc21021"/>
      <w:bookmarkStart w:id="649" w:name="_Toc2212"/>
      <w:bookmarkStart w:id="650" w:name="_Toc23121"/>
      <w:bookmarkStart w:id="651" w:name="_Toc25749"/>
      <w:bookmarkStart w:id="652" w:name="_Toc19676"/>
      <w:bookmarkStart w:id="653" w:name="_Toc14222"/>
      <w:bookmarkStart w:id="654" w:name="_Toc4883"/>
      <w:bookmarkStart w:id="655" w:name="_Toc25890"/>
      <w:bookmarkStart w:id="656" w:name="_Toc10709"/>
      <w:bookmarkStart w:id="657" w:name="_Toc20443"/>
      <w:bookmarkStart w:id="658" w:name="_Toc9338"/>
      <w:bookmarkStart w:id="659" w:name="_Toc26242"/>
      <w:bookmarkStart w:id="660" w:name="_Toc3968"/>
      <w:bookmarkStart w:id="661" w:name="_Toc22103"/>
      <w:bookmarkStart w:id="662" w:name="_Toc31568"/>
      <w:bookmarkStart w:id="663" w:name="_Toc2974"/>
      <w:bookmarkStart w:id="664" w:name="_Toc14954"/>
      <w:bookmarkStart w:id="665" w:name="_Toc24848"/>
      <w:bookmarkStart w:id="666" w:name="_Toc11332"/>
      <w:bookmarkStart w:id="667" w:name="_Toc14931"/>
      <w:bookmarkStart w:id="668" w:name="_Toc24184"/>
      <w:bookmarkStart w:id="669" w:name="_Toc350"/>
      <w:bookmarkStart w:id="670" w:name="_Toc28598"/>
      <w:bookmarkStart w:id="671" w:name="_Toc32360"/>
      <w:bookmarkStart w:id="672" w:name="_Toc11813"/>
      <w:bookmarkStart w:id="673" w:name="_Toc12615"/>
      <w:bookmarkStart w:id="674" w:name="_Toc5481"/>
      <w:bookmarkStart w:id="675" w:name="_Toc30387"/>
      <w:bookmarkStart w:id="676" w:name="_Toc14198"/>
      <w:bookmarkStart w:id="677" w:name="_Toc772"/>
      <w:bookmarkStart w:id="678" w:name="_Toc2570"/>
      <w:bookmarkStart w:id="679" w:name="_Toc18481"/>
      <w:bookmarkStart w:id="680" w:name="_Toc4577"/>
      <w:bookmarkStart w:id="681" w:name="_Toc31464"/>
      <w:bookmarkStart w:id="682" w:name="_Toc31758"/>
      <w:bookmarkStart w:id="683" w:name="_Toc26592"/>
      <w:bookmarkStart w:id="684" w:name="_Toc20129"/>
      <w:r>
        <w:rPr>
          <w:rFonts w:hint="eastAsia"/>
          <w:color w:val="auto"/>
        </w:rPr>
        <w:t>（4）法定代表人资格证明书</w:t>
      </w:r>
      <w:bookmarkEnd w:id="646"/>
      <w:bookmarkEnd w:id="647"/>
      <w:bookmarkEnd w:id="648"/>
      <w:bookmarkEnd w:id="649"/>
      <w:bookmarkEnd w:id="650"/>
      <w:bookmarkEnd w:id="651"/>
      <w:bookmarkEnd w:id="652"/>
      <w:bookmarkEnd w:id="653"/>
      <w:bookmarkEnd w:id="654"/>
      <w:bookmarkEnd w:id="655"/>
      <w:r>
        <w:rPr>
          <w:rFonts w:hint="eastAsia"/>
          <w:color w:val="auto"/>
        </w:rPr>
        <w:t>（法定代表人参加时提供）</w:t>
      </w:r>
      <w:bookmarkEnd w:id="656"/>
    </w:p>
    <w:p w14:paraId="5E847E66">
      <w:pPr>
        <w:pStyle w:val="2"/>
        <w:ind w:left="0" w:leftChars="0" w:firstLine="0" w:firstLineChars="0"/>
        <w:rPr>
          <w:color w:val="auto"/>
        </w:rPr>
      </w:pPr>
    </w:p>
    <w:p w14:paraId="737C212F">
      <w:pPr>
        <w:pStyle w:val="26"/>
        <w:tabs>
          <w:tab w:val="left" w:pos="450"/>
        </w:tabs>
        <w:spacing w:line="400" w:lineRule="atLeast"/>
        <w:ind w:left="-27" w:firstLine="565"/>
        <w:jc w:val="center"/>
        <w:rPr>
          <w:rFonts w:ascii="Times New Roman" w:hAnsi="Times New Roman"/>
          <w:b/>
          <w:color w:val="auto"/>
          <w:sz w:val="32"/>
          <w:szCs w:val="32"/>
        </w:rPr>
      </w:pPr>
      <w:bookmarkStart w:id="685" w:name="_Toc10019"/>
      <w:r>
        <w:rPr>
          <w:rFonts w:hint="eastAsia" w:ascii="Times New Roman" w:hAnsi="Times New Roman"/>
          <w:b/>
          <w:color w:val="auto"/>
          <w:sz w:val="32"/>
          <w:szCs w:val="32"/>
        </w:rPr>
        <w:t>法定代表人资格证明书</w:t>
      </w:r>
      <w:bookmarkEnd w:id="685"/>
    </w:p>
    <w:p w14:paraId="3539ECBD">
      <w:pPr>
        <w:spacing w:line="360" w:lineRule="auto"/>
        <w:jc w:val="center"/>
        <w:rPr>
          <w:b/>
          <w:color w:val="auto"/>
          <w:spacing w:val="-6"/>
          <w:sz w:val="24"/>
        </w:rPr>
      </w:pPr>
    </w:p>
    <w:p w14:paraId="52E954B6">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6565F732">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55F94825">
      <w:pPr>
        <w:spacing w:line="360" w:lineRule="auto"/>
        <w:ind w:firstLine="456" w:firstLineChars="200"/>
        <w:rPr>
          <w:bCs/>
          <w:color w:val="auto"/>
          <w:spacing w:val="-6"/>
          <w:sz w:val="24"/>
        </w:rPr>
      </w:pPr>
      <w:r>
        <w:rPr>
          <w:bCs/>
          <w:color w:val="auto"/>
          <w:spacing w:val="-6"/>
          <w:sz w:val="24"/>
        </w:rPr>
        <w:t>特此证明。</w:t>
      </w:r>
    </w:p>
    <w:p w14:paraId="1708CFEF">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56456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3A456D88">
            <w:pPr>
              <w:jc w:val="center"/>
              <w:rPr>
                <w:color w:val="auto"/>
                <w:sz w:val="24"/>
              </w:rPr>
            </w:pPr>
            <w:r>
              <w:rPr>
                <w:color w:val="auto"/>
                <w:sz w:val="24"/>
              </w:rPr>
              <w:t>法定代表人身份证(正、反面)复印件粘贴处</w:t>
            </w:r>
          </w:p>
          <w:p w14:paraId="25DE9566">
            <w:pPr>
              <w:spacing w:line="360" w:lineRule="auto"/>
              <w:jc w:val="center"/>
              <w:rPr>
                <w:bCs/>
                <w:color w:val="auto"/>
                <w:spacing w:val="-6"/>
                <w:sz w:val="24"/>
              </w:rPr>
            </w:pPr>
          </w:p>
        </w:tc>
      </w:tr>
    </w:tbl>
    <w:p w14:paraId="66241340">
      <w:pPr>
        <w:spacing w:line="360" w:lineRule="auto"/>
        <w:rPr>
          <w:bCs/>
          <w:color w:val="auto"/>
          <w:spacing w:val="-6"/>
          <w:sz w:val="24"/>
        </w:rPr>
      </w:pPr>
    </w:p>
    <w:p w14:paraId="4473B2DB">
      <w:pPr>
        <w:spacing w:line="360" w:lineRule="auto"/>
        <w:ind w:right="456"/>
        <w:rPr>
          <w:b/>
          <w:bCs/>
          <w:color w:val="auto"/>
          <w:spacing w:val="-6"/>
          <w:sz w:val="24"/>
        </w:rPr>
      </w:pPr>
    </w:p>
    <w:p w14:paraId="4165B5B1">
      <w:pPr>
        <w:pStyle w:val="26"/>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7D9EF05A">
      <w:pPr>
        <w:pStyle w:val="26"/>
        <w:spacing w:line="400" w:lineRule="atLeast"/>
        <w:ind w:left="-27" w:firstLine="2530" w:firstLineChars="1050"/>
        <w:rPr>
          <w:rFonts w:ascii="Times New Roman" w:hAnsi="Times New Roman"/>
          <w:b/>
          <w:bCs/>
          <w:color w:val="auto"/>
          <w:sz w:val="24"/>
          <w:szCs w:val="24"/>
        </w:rPr>
      </w:pPr>
    </w:p>
    <w:p w14:paraId="21B87781">
      <w:pPr>
        <w:pStyle w:val="26"/>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26BC0BB8">
      <w:pPr>
        <w:spacing w:line="360" w:lineRule="auto"/>
        <w:ind w:left="3578" w:leftChars="1704" w:right="456"/>
        <w:rPr>
          <w:b/>
          <w:bCs/>
          <w:color w:val="auto"/>
          <w:sz w:val="24"/>
          <w:szCs w:val="24"/>
        </w:rPr>
      </w:pPr>
      <w:r>
        <w:rPr>
          <w:rFonts w:hint="eastAsia"/>
          <w:b/>
          <w:bCs/>
          <w:color w:val="auto"/>
          <w:sz w:val="24"/>
          <w:szCs w:val="24"/>
        </w:rPr>
        <w:t xml:space="preserve"> </w:t>
      </w:r>
    </w:p>
    <w:p w14:paraId="40EFE177">
      <w:pPr>
        <w:spacing w:line="360" w:lineRule="auto"/>
        <w:ind w:left="3360" w:leftChars="1600" w:right="456"/>
        <w:rPr>
          <w:color w:val="auto"/>
          <w:sz w:val="24"/>
          <w:szCs w:val="24"/>
        </w:rPr>
      </w:pPr>
    </w:p>
    <w:p w14:paraId="65B3C1BA">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14:paraId="03CEBDCF">
      <w:pPr>
        <w:pStyle w:val="6"/>
        <w:ind w:left="0" w:firstLine="0"/>
        <w:rPr>
          <w:color w:val="auto"/>
        </w:rPr>
      </w:pPr>
      <w:bookmarkStart w:id="686" w:name="_Toc171"/>
      <w:bookmarkStart w:id="687" w:name="_Toc20101"/>
      <w:bookmarkStart w:id="688" w:name="_Toc30169"/>
      <w:bookmarkStart w:id="689" w:name="_Toc21937"/>
      <w:bookmarkStart w:id="690" w:name="_Toc24530"/>
      <w:bookmarkStart w:id="691" w:name="_Toc22052"/>
      <w:bookmarkStart w:id="692" w:name="_Toc27945"/>
      <w:bookmarkStart w:id="693" w:name="_Toc21741"/>
      <w:bookmarkStart w:id="694" w:name="_Toc15720"/>
      <w:bookmarkStart w:id="695" w:name="_Toc32367"/>
      <w:bookmarkStart w:id="696" w:name="_Toc23078"/>
      <w:bookmarkStart w:id="697" w:name="_Toc1553"/>
      <w:bookmarkStart w:id="698" w:name="_Toc6625"/>
      <w:bookmarkStart w:id="699" w:name="_Toc26243"/>
      <w:bookmarkStart w:id="700" w:name="_Toc30921"/>
      <w:bookmarkStart w:id="701" w:name="_Toc15510"/>
      <w:bookmarkStart w:id="702" w:name="_Toc5970"/>
      <w:bookmarkStart w:id="703" w:name="_Toc25655"/>
      <w:bookmarkStart w:id="704" w:name="_Toc16347"/>
      <w:bookmarkStart w:id="705" w:name="_Toc17219"/>
      <w:bookmarkStart w:id="706" w:name="_Toc32465"/>
      <w:bookmarkStart w:id="707" w:name="_Toc11889"/>
      <w:bookmarkStart w:id="708" w:name="_Toc4163"/>
      <w:bookmarkStart w:id="709" w:name="_Toc29343"/>
      <w:bookmarkStart w:id="710" w:name="_Toc1334"/>
      <w:bookmarkStart w:id="711" w:name="_Toc2218"/>
      <w:bookmarkStart w:id="712" w:name="_Toc3162"/>
      <w:bookmarkStart w:id="713" w:name="_Toc3893"/>
      <w:bookmarkStart w:id="714" w:name="_Toc11492"/>
      <w:bookmarkStart w:id="715" w:name="_Toc17126"/>
      <w:bookmarkStart w:id="716" w:name="_Toc441"/>
      <w:bookmarkStart w:id="717" w:name="_Toc27347"/>
      <w:bookmarkStart w:id="718" w:name="_Toc30022"/>
      <w:bookmarkStart w:id="719" w:name="_Toc24989"/>
      <w:bookmarkStart w:id="720" w:name="_Toc20480"/>
      <w:bookmarkStart w:id="721" w:name="_Toc27024"/>
      <w:r>
        <w:rPr>
          <w:rFonts w:hint="eastAsia"/>
          <w:color w:val="auto"/>
        </w:rPr>
        <w:t>（5）采购需求偏离表</w:t>
      </w:r>
      <w:bookmarkEnd w:id="686"/>
    </w:p>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14:paraId="06B870A8">
      <w:pPr>
        <w:jc w:val="center"/>
        <w:rPr>
          <w:b/>
          <w:bCs/>
          <w:color w:val="auto"/>
          <w:sz w:val="32"/>
        </w:rPr>
      </w:pPr>
      <w:r>
        <w:rPr>
          <w:rFonts w:hint="eastAsia"/>
          <w:b/>
          <w:bCs/>
          <w:color w:val="auto"/>
          <w:sz w:val="32"/>
        </w:rPr>
        <w:t>采购需求偏离表</w:t>
      </w:r>
    </w:p>
    <w:p w14:paraId="09A82484">
      <w:pPr>
        <w:rPr>
          <w:b/>
          <w:bCs/>
          <w:color w:val="auto"/>
          <w:sz w:val="32"/>
        </w:rPr>
      </w:pPr>
    </w:p>
    <w:p w14:paraId="05C33E59">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0731B4B8">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7D280654">
      <w:pPr>
        <w:pStyle w:val="26"/>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58AA0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6A8981FB">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337A6563">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681C8CF9">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069D5367">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382D8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6EFB90B3">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6EE29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E9387AF">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5272C010">
            <w:pPr>
              <w:rPr>
                <w:rFonts w:ascii="宋体" w:hAnsi="宋体" w:cs="宋体"/>
                <w:color w:val="auto"/>
                <w:szCs w:val="21"/>
              </w:rPr>
            </w:pPr>
          </w:p>
        </w:tc>
        <w:tc>
          <w:tcPr>
            <w:tcW w:w="2574" w:type="dxa"/>
            <w:vAlign w:val="center"/>
          </w:tcPr>
          <w:p w14:paraId="1841B8CC">
            <w:pPr>
              <w:rPr>
                <w:rFonts w:ascii="宋体" w:hAnsi="宋体" w:cs="宋体"/>
                <w:color w:val="auto"/>
                <w:szCs w:val="21"/>
              </w:rPr>
            </w:pPr>
          </w:p>
        </w:tc>
        <w:tc>
          <w:tcPr>
            <w:tcW w:w="2124" w:type="dxa"/>
            <w:vAlign w:val="center"/>
          </w:tcPr>
          <w:p w14:paraId="4F6C269F">
            <w:pPr>
              <w:rPr>
                <w:rFonts w:ascii="宋体" w:hAnsi="宋体" w:cs="宋体"/>
                <w:color w:val="auto"/>
                <w:szCs w:val="21"/>
              </w:rPr>
            </w:pPr>
          </w:p>
        </w:tc>
      </w:tr>
      <w:tr w14:paraId="0F30D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313E60">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20FC9797">
            <w:pPr>
              <w:rPr>
                <w:rFonts w:ascii="宋体" w:hAnsi="宋体" w:cs="宋体"/>
                <w:color w:val="auto"/>
                <w:szCs w:val="21"/>
              </w:rPr>
            </w:pPr>
          </w:p>
        </w:tc>
        <w:tc>
          <w:tcPr>
            <w:tcW w:w="2574" w:type="dxa"/>
            <w:vAlign w:val="center"/>
          </w:tcPr>
          <w:p w14:paraId="0636483D">
            <w:pPr>
              <w:rPr>
                <w:rFonts w:ascii="宋体" w:hAnsi="宋体" w:cs="宋体"/>
                <w:color w:val="auto"/>
                <w:szCs w:val="21"/>
              </w:rPr>
            </w:pPr>
          </w:p>
        </w:tc>
        <w:tc>
          <w:tcPr>
            <w:tcW w:w="2124" w:type="dxa"/>
            <w:vAlign w:val="center"/>
          </w:tcPr>
          <w:p w14:paraId="0D5C5432">
            <w:pPr>
              <w:rPr>
                <w:rFonts w:ascii="宋体" w:hAnsi="宋体" w:cs="宋体"/>
                <w:color w:val="auto"/>
                <w:szCs w:val="21"/>
              </w:rPr>
            </w:pPr>
          </w:p>
        </w:tc>
      </w:tr>
      <w:tr w14:paraId="4A7D7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8D10E3F">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7E6CE7BB">
            <w:pPr>
              <w:rPr>
                <w:rFonts w:ascii="宋体" w:hAnsi="宋体" w:cs="宋体"/>
                <w:color w:val="auto"/>
                <w:szCs w:val="21"/>
              </w:rPr>
            </w:pPr>
          </w:p>
        </w:tc>
        <w:tc>
          <w:tcPr>
            <w:tcW w:w="2574" w:type="dxa"/>
            <w:vAlign w:val="center"/>
          </w:tcPr>
          <w:p w14:paraId="6DA175F1">
            <w:pPr>
              <w:rPr>
                <w:rFonts w:ascii="宋体" w:hAnsi="宋体" w:cs="宋体"/>
                <w:color w:val="auto"/>
                <w:szCs w:val="21"/>
              </w:rPr>
            </w:pPr>
          </w:p>
        </w:tc>
        <w:tc>
          <w:tcPr>
            <w:tcW w:w="2124" w:type="dxa"/>
            <w:vAlign w:val="center"/>
          </w:tcPr>
          <w:p w14:paraId="64D6D8A5">
            <w:pPr>
              <w:rPr>
                <w:rFonts w:ascii="宋体" w:hAnsi="宋体" w:cs="宋体"/>
                <w:color w:val="auto"/>
                <w:szCs w:val="21"/>
              </w:rPr>
            </w:pPr>
          </w:p>
        </w:tc>
      </w:tr>
      <w:tr w14:paraId="7BE5B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10B63361">
            <w:pPr>
              <w:rPr>
                <w:rFonts w:ascii="宋体" w:hAnsi="宋体" w:cs="宋体"/>
                <w:color w:val="auto"/>
                <w:szCs w:val="21"/>
              </w:rPr>
            </w:pPr>
            <w:r>
              <w:rPr>
                <w:rFonts w:hint="eastAsia" w:ascii="宋体" w:hAnsi="宋体" w:cs="宋体"/>
                <w:b/>
                <w:bCs/>
                <w:color w:val="auto"/>
                <w:szCs w:val="21"/>
              </w:rPr>
              <w:t>技术参数、功能、服务等技术要求</w:t>
            </w:r>
          </w:p>
        </w:tc>
      </w:tr>
      <w:tr w14:paraId="63D5B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49962D3">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56CB5652">
            <w:pPr>
              <w:jc w:val="left"/>
              <w:rPr>
                <w:rFonts w:ascii="宋体" w:hAnsi="宋体" w:cs="宋体"/>
                <w:color w:val="auto"/>
                <w:szCs w:val="21"/>
              </w:rPr>
            </w:pPr>
          </w:p>
        </w:tc>
        <w:tc>
          <w:tcPr>
            <w:tcW w:w="2574" w:type="dxa"/>
            <w:vAlign w:val="center"/>
          </w:tcPr>
          <w:p w14:paraId="6AF07587">
            <w:pPr>
              <w:jc w:val="left"/>
              <w:rPr>
                <w:rFonts w:ascii="宋体" w:hAnsi="宋体" w:cs="宋体"/>
                <w:color w:val="auto"/>
                <w:szCs w:val="21"/>
              </w:rPr>
            </w:pPr>
          </w:p>
        </w:tc>
        <w:tc>
          <w:tcPr>
            <w:tcW w:w="2124" w:type="dxa"/>
            <w:vAlign w:val="center"/>
          </w:tcPr>
          <w:p w14:paraId="4FA1C88D">
            <w:pPr>
              <w:jc w:val="left"/>
              <w:rPr>
                <w:rFonts w:ascii="宋体" w:hAnsi="宋体" w:cs="宋体"/>
                <w:color w:val="auto"/>
                <w:szCs w:val="21"/>
              </w:rPr>
            </w:pPr>
          </w:p>
        </w:tc>
      </w:tr>
      <w:tr w14:paraId="22672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C605E6C">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6077A531">
            <w:pPr>
              <w:jc w:val="left"/>
              <w:rPr>
                <w:rFonts w:ascii="宋体" w:hAnsi="宋体" w:cs="宋体"/>
                <w:color w:val="auto"/>
                <w:szCs w:val="21"/>
              </w:rPr>
            </w:pPr>
          </w:p>
        </w:tc>
        <w:tc>
          <w:tcPr>
            <w:tcW w:w="2574" w:type="dxa"/>
            <w:vAlign w:val="center"/>
          </w:tcPr>
          <w:p w14:paraId="1BA97E59">
            <w:pPr>
              <w:jc w:val="left"/>
              <w:rPr>
                <w:rFonts w:ascii="宋体" w:hAnsi="宋体" w:cs="宋体"/>
                <w:color w:val="auto"/>
                <w:szCs w:val="21"/>
              </w:rPr>
            </w:pPr>
          </w:p>
        </w:tc>
        <w:tc>
          <w:tcPr>
            <w:tcW w:w="2124" w:type="dxa"/>
            <w:vAlign w:val="center"/>
          </w:tcPr>
          <w:p w14:paraId="6473C349">
            <w:pPr>
              <w:jc w:val="left"/>
              <w:rPr>
                <w:rFonts w:ascii="宋体" w:hAnsi="宋体" w:cs="宋体"/>
                <w:color w:val="auto"/>
                <w:szCs w:val="21"/>
              </w:rPr>
            </w:pPr>
          </w:p>
        </w:tc>
      </w:tr>
      <w:tr w14:paraId="0415F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A1EB4B6">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6BA5A4E6">
            <w:pPr>
              <w:jc w:val="left"/>
              <w:rPr>
                <w:rFonts w:ascii="宋体" w:hAnsi="宋体" w:cs="宋体"/>
                <w:color w:val="auto"/>
                <w:szCs w:val="21"/>
              </w:rPr>
            </w:pPr>
          </w:p>
        </w:tc>
        <w:tc>
          <w:tcPr>
            <w:tcW w:w="2574" w:type="dxa"/>
            <w:vAlign w:val="center"/>
          </w:tcPr>
          <w:p w14:paraId="0B5E5DF4">
            <w:pPr>
              <w:jc w:val="left"/>
              <w:rPr>
                <w:rFonts w:ascii="宋体" w:hAnsi="宋体" w:cs="宋体"/>
                <w:color w:val="auto"/>
                <w:szCs w:val="21"/>
              </w:rPr>
            </w:pPr>
          </w:p>
        </w:tc>
        <w:tc>
          <w:tcPr>
            <w:tcW w:w="2124" w:type="dxa"/>
            <w:vAlign w:val="center"/>
          </w:tcPr>
          <w:p w14:paraId="4B481C57">
            <w:pPr>
              <w:jc w:val="left"/>
              <w:rPr>
                <w:rFonts w:ascii="宋体" w:hAnsi="宋体" w:cs="宋体"/>
                <w:color w:val="auto"/>
                <w:szCs w:val="21"/>
              </w:rPr>
            </w:pPr>
          </w:p>
        </w:tc>
      </w:tr>
    </w:tbl>
    <w:p w14:paraId="42DCBEED">
      <w:pPr>
        <w:spacing w:line="360" w:lineRule="auto"/>
        <w:rPr>
          <w:rFonts w:ascii="宋体" w:hAnsi="宋体"/>
          <w:b/>
          <w:bCs/>
          <w:color w:val="auto"/>
          <w:spacing w:val="-6"/>
          <w:szCs w:val="21"/>
        </w:rPr>
      </w:pPr>
    </w:p>
    <w:p w14:paraId="768B9913">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6DD9AF83">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3C970307">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22019A82">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79537E6C">
      <w:pPr>
        <w:pStyle w:val="26"/>
        <w:spacing w:line="400" w:lineRule="atLeast"/>
        <w:ind w:left="-27" w:firstLine="422"/>
        <w:rPr>
          <w:rFonts w:ascii="Times New Roman" w:hAnsi="Times New Roman"/>
          <w:color w:val="auto"/>
          <w:sz w:val="24"/>
        </w:rPr>
      </w:pPr>
    </w:p>
    <w:p w14:paraId="76F2348F">
      <w:pPr>
        <w:pStyle w:val="26"/>
        <w:spacing w:line="400" w:lineRule="atLeast"/>
        <w:ind w:left="-27" w:firstLine="422"/>
        <w:rPr>
          <w:rFonts w:ascii="Times New Roman" w:hAnsi="Times New Roman"/>
          <w:color w:val="auto"/>
          <w:sz w:val="24"/>
        </w:rPr>
      </w:pPr>
    </w:p>
    <w:p w14:paraId="3A9F4488">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0505F46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FF195DB">
      <w:pPr>
        <w:spacing w:before="240" w:beforeLines="100" w:after="240" w:afterLines="100"/>
        <w:jc w:val="left"/>
        <w:rPr>
          <w:color w:val="auto"/>
          <w:sz w:val="24"/>
          <w:szCs w:val="24"/>
        </w:rPr>
      </w:pPr>
      <w:r>
        <w:rPr>
          <w:rFonts w:hint="eastAsia" w:ascii="宋体" w:hAnsi="宋体" w:cs="宋体"/>
          <w:color w:val="auto"/>
          <w:sz w:val="24"/>
        </w:rPr>
        <w:t>日期：      年   月   日</w:t>
      </w:r>
    </w:p>
    <w:p w14:paraId="420E98BB">
      <w:pPr>
        <w:pStyle w:val="26"/>
        <w:spacing w:line="400" w:lineRule="atLeast"/>
        <w:ind w:left="-27" w:firstLine="528"/>
        <w:rPr>
          <w:rFonts w:ascii="Times New Roman" w:hAnsi="Times New Roman"/>
          <w:color w:val="auto"/>
          <w:sz w:val="30"/>
        </w:rPr>
      </w:pPr>
    </w:p>
    <w:p w14:paraId="551CFF44">
      <w:pPr>
        <w:pStyle w:val="6"/>
        <w:ind w:left="0" w:firstLine="0"/>
        <w:rPr>
          <w:color w:val="auto"/>
        </w:rPr>
      </w:pPr>
      <w:r>
        <w:rPr>
          <w:bCs/>
          <w:color w:val="auto"/>
          <w:sz w:val="32"/>
        </w:rPr>
        <w:br w:type="page"/>
      </w:r>
      <w:bookmarkStart w:id="722" w:name="_Toc20327"/>
      <w:bookmarkStart w:id="723" w:name="_Toc31125"/>
      <w:bookmarkStart w:id="724" w:name="_Toc2658"/>
      <w:bookmarkStart w:id="725" w:name="_Toc21740"/>
      <w:bookmarkStart w:id="726" w:name="_Toc23576"/>
      <w:bookmarkStart w:id="727" w:name="_Toc14028"/>
      <w:bookmarkStart w:id="728" w:name="_Toc10611"/>
      <w:bookmarkStart w:id="729" w:name="_Toc29052"/>
      <w:bookmarkStart w:id="730" w:name="_Toc27033"/>
      <w:bookmarkStart w:id="731" w:name="_Toc32055"/>
      <w:bookmarkStart w:id="732" w:name="_Toc21842"/>
      <w:bookmarkStart w:id="733" w:name="_Toc7973"/>
      <w:bookmarkStart w:id="734" w:name="_Toc24720"/>
      <w:bookmarkStart w:id="735" w:name="_Toc24911"/>
      <w:bookmarkStart w:id="736" w:name="_Toc1162"/>
      <w:bookmarkStart w:id="737" w:name="_Toc31984"/>
      <w:bookmarkStart w:id="738" w:name="_Toc8117"/>
      <w:bookmarkStart w:id="739" w:name="_Toc25833"/>
      <w:bookmarkStart w:id="740" w:name="_Toc15291"/>
      <w:bookmarkStart w:id="741" w:name="_Toc18959"/>
      <w:bookmarkStart w:id="742" w:name="_Toc16944"/>
      <w:bookmarkStart w:id="743" w:name="_Toc10664"/>
      <w:bookmarkStart w:id="744" w:name="_Toc19442"/>
      <w:bookmarkStart w:id="745" w:name="_Toc5267"/>
      <w:bookmarkStart w:id="746" w:name="_Toc12587"/>
      <w:bookmarkStart w:id="747" w:name="_Toc5561"/>
      <w:bookmarkStart w:id="748" w:name="_Toc18149"/>
      <w:bookmarkStart w:id="749" w:name="_Toc13064"/>
      <w:bookmarkStart w:id="750" w:name="_Toc21289"/>
      <w:bookmarkStart w:id="751" w:name="_Toc13471"/>
      <w:bookmarkStart w:id="752" w:name="_Toc21423"/>
      <w:bookmarkStart w:id="753" w:name="_Toc12636"/>
      <w:bookmarkStart w:id="754" w:name="_Toc5417"/>
      <w:bookmarkStart w:id="755" w:name="_Toc28469"/>
      <w:bookmarkStart w:id="756" w:name="_Toc27408"/>
      <w:bookmarkStart w:id="757" w:name="_Toc4311"/>
      <w:bookmarkStart w:id="758" w:name="_Toc23122"/>
      <w:bookmarkStart w:id="759" w:name="_Toc32508"/>
      <w:bookmarkStart w:id="760" w:name="_Toc19416"/>
      <w:bookmarkStart w:id="761" w:name="_Toc13985"/>
      <w:bookmarkStart w:id="762" w:name="_Toc9470"/>
      <w:bookmarkStart w:id="763" w:name="_Toc20418"/>
      <w:bookmarkStart w:id="764" w:name="_Toc17790"/>
      <w:bookmarkStart w:id="765" w:name="_Toc22720"/>
      <w:bookmarkStart w:id="766" w:name="_Toc22688"/>
      <w:bookmarkStart w:id="767" w:name="_Toc16502"/>
      <w:bookmarkStart w:id="768" w:name="_Toc1110"/>
      <w:bookmarkStart w:id="769" w:name="_Toc26665"/>
      <w:bookmarkStart w:id="770" w:name="_Toc14653"/>
      <w:bookmarkStart w:id="771" w:name="_Toc22794"/>
      <w:bookmarkStart w:id="772" w:name="_Toc3703"/>
      <w:bookmarkStart w:id="773" w:name="_Toc3061"/>
      <w:bookmarkStart w:id="774" w:name="_Toc27705"/>
      <w:bookmarkStart w:id="775" w:name="_Toc23923"/>
      <w:bookmarkStart w:id="776" w:name="_Toc15898"/>
      <w:bookmarkStart w:id="777" w:name="_Toc12787"/>
      <w:bookmarkStart w:id="778" w:name="_Toc26450"/>
      <w:bookmarkStart w:id="779" w:name="_Toc16636"/>
      <w:bookmarkStart w:id="780" w:name="_Toc16423"/>
      <w:bookmarkStart w:id="781" w:name="_Toc18451"/>
      <w:bookmarkStart w:id="782" w:name="_Toc25187"/>
      <w:r>
        <w:rPr>
          <w:rFonts w:hint="eastAsia"/>
          <w:color w:val="auto"/>
        </w:rPr>
        <w:t>（6）响应方基本情况表</w:t>
      </w:r>
      <w:bookmarkEnd w:id="722"/>
    </w:p>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14:paraId="0FD9FB40">
      <w:pPr>
        <w:jc w:val="center"/>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0E115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2FA5BB1">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33F9071B">
            <w:pPr>
              <w:spacing w:line="360" w:lineRule="auto"/>
              <w:rPr>
                <w:rFonts w:ascii="宋体" w:hAnsi="宋体" w:cs="宋体"/>
                <w:color w:val="auto"/>
                <w:szCs w:val="21"/>
              </w:rPr>
            </w:pPr>
            <w:r>
              <w:rPr>
                <w:rFonts w:hint="eastAsia" w:ascii="宋体" w:hAnsi="宋体" w:cs="宋体"/>
                <w:color w:val="auto"/>
                <w:szCs w:val="21"/>
              </w:rPr>
              <w:t>企业名称：</w:t>
            </w:r>
          </w:p>
        </w:tc>
      </w:tr>
      <w:tr w14:paraId="45027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6A7CA98">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0B349115">
            <w:pPr>
              <w:spacing w:line="360" w:lineRule="auto"/>
              <w:rPr>
                <w:rFonts w:ascii="宋体" w:hAnsi="宋体" w:cs="宋体"/>
                <w:color w:val="auto"/>
                <w:szCs w:val="21"/>
              </w:rPr>
            </w:pPr>
            <w:r>
              <w:rPr>
                <w:rFonts w:hint="eastAsia" w:ascii="宋体" w:hAnsi="宋体" w:cs="宋体"/>
                <w:color w:val="auto"/>
                <w:szCs w:val="21"/>
              </w:rPr>
              <w:t>总部地址：</w:t>
            </w:r>
          </w:p>
        </w:tc>
      </w:tr>
      <w:tr w14:paraId="1BF00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E47923F">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6E63A7B2">
            <w:pPr>
              <w:spacing w:line="360" w:lineRule="auto"/>
              <w:rPr>
                <w:rFonts w:ascii="宋体" w:hAnsi="宋体" w:cs="宋体"/>
                <w:color w:val="auto"/>
                <w:szCs w:val="21"/>
              </w:rPr>
            </w:pPr>
            <w:r>
              <w:rPr>
                <w:rFonts w:hint="eastAsia" w:ascii="宋体" w:hAnsi="宋体" w:cs="宋体"/>
                <w:color w:val="auto"/>
                <w:szCs w:val="21"/>
              </w:rPr>
              <w:t>当地代表处地址：</w:t>
            </w:r>
          </w:p>
        </w:tc>
      </w:tr>
      <w:tr w14:paraId="18BB7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DD923A0">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5B0D7483">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5EB6CC7E">
            <w:pPr>
              <w:spacing w:line="360" w:lineRule="auto"/>
              <w:rPr>
                <w:rFonts w:ascii="宋体" w:hAnsi="宋体" w:cs="宋体"/>
                <w:color w:val="auto"/>
                <w:szCs w:val="21"/>
              </w:rPr>
            </w:pPr>
            <w:r>
              <w:rPr>
                <w:rFonts w:hint="eastAsia" w:ascii="宋体" w:hAnsi="宋体" w:cs="宋体"/>
                <w:color w:val="auto"/>
                <w:szCs w:val="21"/>
              </w:rPr>
              <w:t>联系人：</w:t>
            </w:r>
          </w:p>
        </w:tc>
      </w:tr>
      <w:tr w14:paraId="1FA9D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7A90BF5">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6E99455A">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6F3AE468">
            <w:pPr>
              <w:spacing w:line="360" w:lineRule="auto"/>
              <w:rPr>
                <w:rFonts w:ascii="宋体" w:hAnsi="宋体" w:cs="宋体"/>
                <w:color w:val="auto"/>
                <w:szCs w:val="21"/>
              </w:rPr>
            </w:pPr>
            <w:r>
              <w:rPr>
                <w:rFonts w:hint="eastAsia" w:ascii="宋体" w:hAnsi="宋体" w:cs="宋体"/>
                <w:color w:val="auto"/>
                <w:szCs w:val="21"/>
              </w:rPr>
              <w:t>电子信箱：</w:t>
            </w:r>
          </w:p>
        </w:tc>
      </w:tr>
      <w:tr w14:paraId="60918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3BB1807">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178B86C4">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106D597A">
            <w:pPr>
              <w:spacing w:line="360" w:lineRule="auto"/>
              <w:rPr>
                <w:rFonts w:ascii="宋体" w:hAnsi="宋体" w:cs="宋体"/>
                <w:color w:val="auto"/>
                <w:szCs w:val="21"/>
              </w:rPr>
            </w:pPr>
            <w:r>
              <w:rPr>
                <w:rFonts w:hint="eastAsia" w:ascii="宋体" w:hAnsi="宋体" w:cs="宋体"/>
                <w:color w:val="auto"/>
                <w:szCs w:val="21"/>
              </w:rPr>
              <w:t>注册年份：</w:t>
            </w:r>
          </w:p>
        </w:tc>
      </w:tr>
      <w:tr w14:paraId="5254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09947F1">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17DDD93A">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48316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989B3EF">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5FFE8BB3">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0AC65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87A7B97">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5D5859D2">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664C148B">
            <w:pPr>
              <w:spacing w:line="360" w:lineRule="auto"/>
              <w:rPr>
                <w:rFonts w:ascii="宋体" w:hAnsi="宋体" w:cs="宋体"/>
                <w:color w:val="auto"/>
                <w:szCs w:val="21"/>
              </w:rPr>
            </w:pPr>
          </w:p>
        </w:tc>
      </w:tr>
      <w:tr w14:paraId="309A5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42572DF">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54D7F1A6">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743C1A87">
            <w:pPr>
              <w:spacing w:line="360" w:lineRule="auto"/>
              <w:rPr>
                <w:rFonts w:ascii="宋体" w:hAnsi="宋体" w:cs="宋体"/>
                <w:color w:val="auto"/>
                <w:szCs w:val="21"/>
              </w:rPr>
            </w:pPr>
          </w:p>
        </w:tc>
      </w:tr>
    </w:tbl>
    <w:p w14:paraId="240000C0">
      <w:pPr>
        <w:spacing w:line="360" w:lineRule="auto"/>
        <w:ind w:firstLine="240" w:firstLineChars="100"/>
        <w:rPr>
          <w:color w:val="auto"/>
          <w:sz w:val="24"/>
          <w:szCs w:val="24"/>
        </w:rPr>
      </w:pPr>
      <w:r>
        <w:rPr>
          <w:rFonts w:hint="eastAsia"/>
          <w:color w:val="auto"/>
          <w:sz w:val="24"/>
          <w:szCs w:val="24"/>
        </w:rPr>
        <w:t>说明：</w:t>
      </w:r>
    </w:p>
    <w:p w14:paraId="72A583E9">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2C4E1ED1">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0A3D264C">
      <w:pPr>
        <w:spacing w:line="360" w:lineRule="auto"/>
        <w:ind w:firstLine="360" w:firstLineChars="150"/>
        <w:jc w:val="left"/>
        <w:rPr>
          <w:color w:val="auto"/>
          <w:sz w:val="24"/>
          <w:szCs w:val="24"/>
        </w:rPr>
      </w:pPr>
    </w:p>
    <w:p w14:paraId="439ACB06">
      <w:pPr>
        <w:spacing w:line="360" w:lineRule="auto"/>
        <w:ind w:firstLine="420"/>
        <w:jc w:val="left"/>
        <w:rPr>
          <w:color w:val="auto"/>
          <w:sz w:val="24"/>
          <w:szCs w:val="24"/>
        </w:rPr>
      </w:pPr>
    </w:p>
    <w:p w14:paraId="2D3B7C9B">
      <w:pPr>
        <w:spacing w:line="360" w:lineRule="auto"/>
        <w:ind w:firstLine="420"/>
        <w:jc w:val="left"/>
        <w:rPr>
          <w:color w:val="auto"/>
          <w:sz w:val="24"/>
          <w:szCs w:val="24"/>
        </w:rPr>
      </w:pPr>
    </w:p>
    <w:p w14:paraId="246B5D7F">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1F5AA75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E254AE5">
      <w:pPr>
        <w:spacing w:before="240" w:beforeLines="100" w:after="240" w:afterLines="100"/>
        <w:jc w:val="left"/>
        <w:rPr>
          <w:color w:val="auto"/>
          <w:sz w:val="24"/>
          <w:szCs w:val="24"/>
        </w:rPr>
      </w:pPr>
      <w:r>
        <w:rPr>
          <w:rFonts w:hint="eastAsia" w:ascii="宋体" w:hAnsi="宋体" w:cs="宋体"/>
          <w:color w:val="auto"/>
          <w:sz w:val="24"/>
        </w:rPr>
        <w:t>日期：      年   月   日</w:t>
      </w:r>
    </w:p>
    <w:p w14:paraId="7A9F40CE">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0D487570">
      <w:pPr>
        <w:pStyle w:val="6"/>
        <w:ind w:left="0" w:firstLine="0"/>
        <w:rPr>
          <w:color w:val="auto"/>
        </w:rPr>
      </w:pPr>
      <w:bookmarkStart w:id="783" w:name="_Toc8233"/>
      <w:bookmarkStart w:id="784" w:name="_Toc21767"/>
      <w:bookmarkStart w:id="785" w:name="_Toc3841"/>
      <w:bookmarkStart w:id="786" w:name="_Toc20174"/>
      <w:bookmarkStart w:id="787" w:name="_Toc21110"/>
      <w:bookmarkStart w:id="788" w:name="_Toc17265"/>
      <w:bookmarkStart w:id="789" w:name="_Toc16592"/>
      <w:bookmarkStart w:id="790" w:name="_Toc5024"/>
      <w:bookmarkStart w:id="791" w:name="_Toc18777"/>
      <w:bookmarkStart w:id="792" w:name="_Toc24426"/>
      <w:bookmarkStart w:id="793" w:name="_Toc3327"/>
      <w:r>
        <w:rPr>
          <w:rFonts w:hint="eastAsia"/>
          <w:color w:val="auto"/>
        </w:rPr>
        <w:t>（7）供应商同类合同一览表</w:t>
      </w:r>
      <w:bookmarkEnd w:id="783"/>
    </w:p>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4"/>
    <w:bookmarkEnd w:id="785"/>
    <w:bookmarkEnd w:id="786"/>
    <w:bookmarkEnd w:id="787"/>
    <w:bookmarkEnd w:id="788"/>
    <w:bookmarkEnd w:id="789"/>
    <w:bookmarkEnd w:id="790"/>
    <w:bookmarkEnd w:id="791"/>
    <w:bookmarkEnd w:id="792"/>
    <w:bookmarkEnd w:id="793"/>
    <w:p w14:paraId="06068691">
      <w:pPr>
        <w:adjustRightInd w:val="0"/>
        <w:snapToGrid w:val="0"/>
        <w:spacing w:line="288" w:lineRule="auto"/>
        <w:jc w:val="center"/>
        <w:rPr>
          <w:rFonts w:hint="eastAsia"/>
          <w:color w:val="auto"/>
          <w:sz w:val="24"/>
          <w:szCs w:val="24"/>
        </w:rPr>
      </w:pPr>
      <w:bookmarkStart w:id="794"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369F8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9B350C4">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31ACCE53">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2FF56B90">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68936F14">
            <w:pPr>
              <w:adjustRightInd w:val="0"/>
              <w:snapToGrid w:val="0"/>
              <w:spacing w:line="288" w:lineRule="auto"/>
              <w:jc w:val="center"/>
              <w:rPr>
                <w:color w:val="auto"/>
                <w:sz w:val="24"/>
                <w:szCs w:val="24"/>
              </w:rPr>
            </w:pPr>
            <w:r>
              <w:rPr>
                <w:rFonts w:hint="eastAsia"/>
                <w:color w:val="auto"/>
                <w:sz w:val="24"/>
                <w:szCs w:val="24"/>
              </w:rPr>
              <w:t>合同金额</w:t>
            </w:r>
          </w:p>
          <w:p w14:paraId="2A9AA7DD">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61DB9A21">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564F2E36">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516BBB8A">
            <w:pPr>
              <w:adjustRightInd w:val="0"/>
              <w:snapToGrid w:val="0"/>
              <w:spacing w:line="288" w:lineRule="auto"/>
              <w:jc w:val="center"/>
              <w:rPr>
                <w:color w:val="auto"/>
                <w:sz w:val="24"/>
                <w:szCs w:val="24"/>
              </w:rPr>
            </w:pPr>
            <w:r>
              <w:rPr>
                <w:rFonts w:hint="eastAsia"/>
                <w:color w:val="auto"/>
                <w:sz w:val="24"/>
                <w:szCs w:val="24"/>
              </w:rPr>
              <w:t>采购单位</w:t>
            </w:r>
          </w:p>
          <w:p w14:paraId="161E95CA">
            <w:pPr>
              <w:adjustRightInd w:val="0"/>
              <w:snapToGrid w:val="0"/>
              <w:spacing w:line="288" w:lineRule="auto"/>
              <w:jc w:val="center"/>
              <w:rPr>
                <w:color w:val="auto"/>
                <w:sz w:val="24"/>
                <w:szCs w:val="24"/>
              </w:rPr>
            </w:pPr>
            <w:r>
              <w:rPr>
                <w:rFonts w:hint="eastAsia"/>
                <w:color w:val="auto"/>
                <w:sz w:val="24"/>
                <w:szCs w:val="24"/>
              </w:rPr>
              <w:t>联系人及电话</w:t>
            </w:r>
          </w:p>
        </w:tc>
      </w:tr>
      <w:tr w14:paraId="565FB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197F3EB">
            <w:pPr>
              <w:adjustRightInd w:val="0"/>
              <w:snapToGrid w:val="0"/>
              <w:spacing w:line="288" w:lineRule="auto"/>
              <w:jc w:val="center"/>
              <w:rPr>
                <w:color w:val="auto"/>
                <w:sz w:val="24"/>
                <w:szCs w:val="24"/>
              </w:rPr>
            </w:pPr>
          </w:p>
        </w:tc>
        <w:tc>
          <w:tcPr>
            <w:tcW w:w="1380" w:type="dxa"/>
            <w:vAlign w:val="center"/>
          </w:tcPr>
          <w:p w14:paraId="3FF21C17">
            <w:pPr>
              <w:adjustRightInd w:val="0"/>
              <w:snapToGrid w:val="0"/>
              <w:spacing w:line="288" w:lineRule="auto"/>
              <w:jc w:val="center"/>
              <w:rPr>
                <w:color w:val="auto"/>
                <w:sz w:val="24"/>
                <w:szCs w:val="24"/>
              </w:rPr>
            </w:pPr>
          </w:p>
        </w:tc>
        <w:tc>
          <w:tcPr>
            <w:tcW w:w="1510" w:type="dxa"/>
            <w:vAlign w:val="center"/>
          </w:tcPr>
          <w:p w14:paraId="470D14E9">
            <w:pPr>
              <w:adjustRightInd w:val="0"/>
              <w:snapToGrid w:val="0"/>
              <w:spacing w:line="288" w:lineRule="auto"/>
              <w:jc w:val="center"/>
              <w:rPr>
                <w:color w:val="auto"/>
                <w:sz w:val="24"/>
                <w:szCs w:val="24"/>
              </w:rPr>
            </w:pPr>
          </w:p>
        </w:tc>
        <w:tc>
          <w:tcPr>
            <w:tcW w:w="1256" w:type="dxa"/>
            <w:vAlign w:val="center"/>
          </w:tcPr>
          <w:p w14:paraId="45F07A86">
            <w:pPr>
              <w:adjustRightInd w:val="0"/>
              <w:snapToGrid w:val="0"/>
              <w:spacing w:line="288" w:lineRule="auto"/>
              <w:jc w:val="center"/>
              <w:rPr>
                <w:color w:val="auto"/>
                <w:sz w:val="24"/>
                <w:szCs w:val="24"/>
              </w:rPr>
            </w:pPr>
          </w:p>
        </w:tc>
        <w:tc>
          <w:tcPr>
            <w:tcW w:w="732" w:type="dxa"/>
            <w:vAlign w:val="center"/>
          </w:tcPr>
          <w:p w14:paraId="4E039991">
            <w:pPr>
              <w:adjustRightInd w:val="0"/>
              <w:snapToGrid w:val="0"/>
              <w:spacing w:line="288" w:lineRule="auto"/>
              <w:jc w:val="center"/>
              <w:rPr>
                <w:color w:val="auto"/>
                <w:sz w:val="24"/>
                <w:szCs w:val="24"/>
              </w:rPr>
            </w:pPr>
          </w:p>
        </w:tc>
        <w:tc>
          <w:tcPr>
            <w:tcW w:w="1005" w:type="dxa"/>
            <w:vAlign w:val="center"/>
          </w:tcPr>
          <w:p w14:paraId="1625A5C7">
            <w:pPr>
              <w:adjustRightInd w:val="0"/>
              <w:snapToGrid w:val="0"/>
              <w:spacing w:line="288" w:lineRule="auto"/>
              <w:jc w:val="center"/>
              <w:rPr>
                <w:color w:val="auto"/>
                <w:sz w:val="24"/>
                <w:szCs w:val="24"/>
              </w:rPr>
            </w:pPr>
          </w:p>
        </w:tc>
        <w:tc>
          <w:tcPr>
            <w:tcW w:w="1675" w:type="dxa"/>
            <w:vAlign w:val="center"/>
          </w:tcPr>
          <w:p w14:paraId="28C6346C">
            <w:pPr>
              <w:adjustRightInd w:val="0"/>
              <w:snapToGrid w:val="0"/>
              <w:spacing w:line="288" w:lineRule="auto"/>
              <w:jc w:val="center"/>
              <w:rPr>
                <w:color w:val="auto"/>
                <w:sz w:val="24"/>
                <w:szCs w:val="24"/>
              </w:rPr>
            </w:pPr>
          </w:p>
        </w:tc>
      </w:tr>
      <w:tr w14:paraId="5B139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84E9C57">
            <w:pPr>
              <w:adjustRightInd w:val="0"/>
              <w:snapToGrid w:val="0"/>
              <w:spacing w:line="288" w:lineRule="auto"/>
              <w:jc w:val="center"/>
              <w:rPr>
                <w:color w:val="auto"/>
                <w:sz w:val="24"/>
                <w:szCs w:val="24"/>
              </w:rPr>
            </w:pPr>
          </w:p>
        </w:tc>
        <w:tc>
          <w:tcPr>
            <w:tcW w:w="1380" w:type="dxa"/>
            <w:vAlign w:val="center"/>
          </w:tcPr>
          <w:p w14:paraId="49FBDA97">
            <w:pPr>
              <w:adjustRightInd w:val="0"/>
              <w:snapToGrid w:val="0"/>
              <w:spacing w:line="288" w:lineRule="auto"/>
              <w:jc w:val="center"/>
              <w:rPr>
                <w:color w:val="auto"/>
                <w:sz w:val="24"/>
                <w:szCs w:val="24"/>
              </w:rPr>
            </w:pPr>
          </w:p>
        </w:tc>
        <w:tc>
          <w:tcPr>
            <w:tcW w:w="1510" w:type="dxa"/>
            <w:vAlign w:val="center"/>
          </w:tcPr>
          <w:p w14:paraId="01980435">
            <w:pPr>
              <w:adjustRightInd w:val="0"/>
              <w:snapToGrid w:val="0"/>
              <w:spacing w:line="288" w:lineRule="auto"/>
              <w:jc w:val="center"/>
              <w:rPr>
                <w:color w:val="auto"/>
                <w:sz w:val="24"/>
                <w:szCs w:val="24"/>
              </w:rPr>
            </w:pPr>
          </w:p>
        </w:tc>
        <w:tc>
          <w:tcPr>
            <w:tcW w:w="1256" w:type="dxa"/>
            <w:vAlign w:val="center"/>
          </w:tcPr>
          <w:p w14:paraId="00813AD1">
            <w:pPr>
              <w:adjustRightInd w:val="0"/>
              <w:snapToGrid w:val="0"/>
              <w:spacing w:line="288" w:lineRule="auto"/>
              <w:jc w:val="center"/>
              <w:rPr>
                <w:color w:val="auto"/>
                <w:sz w:val="24"/>
                <w:szCs w:val="24"/>
              </w:rPr>
            </w:pPr>
          </w:p>
        </w:tc>
        <w:tc>
          <w:tcPr>
            <w:tcW w:w="732" w:type="dxa"/>
            <w:vAlign w:val="center"/>
          </w:tcPr>
          <w:p w14:paraId="772EF482">
            <w:pPr>
              <w:adjustRightInd w:val="0"/>
              <w:snapToGrid w:val="0"/>
              <w:spacing w:line="288" w:lineRule="auto"/>
              <w:jc w:val="center"/>
              <w:rPr>
                <w:color w:val="auto"/>
                <w:sz w:val="24"/>
                <w:szCs w:val="24"/>
              </w:rPr>
            </w:pPr>
          </w:p>
        </w:tc>
        <w:tc>
          <w:tcPr>
            <w:tcW w:w="1005" w:type="dxa"/>
            <w:vAlign w:val="center"/>
          </w:tcPr>
          <w:p w14:paraId="75708350">
            <w:pPr>
              <w:adjustRightInd w:val="0"/>
              <w:snapToGrid w:val="0"/>
              <w:spacing w:line="288" w:lineRule="auto"/>
              <w:jc w:val="center"/>
              <w:rPr>
                <w:color w:val="auto"/>
                <w:sz w:val="24"/>
                <w:szCs w:val="24"/>
              </w:rPr>
            </w:pPr>
          </w:p>
        </w:tc>
        <w:tc>
          <w:tcPr>
            <w:tcW w:w="1675" w:type="dxa"/>
            <w:vAlign w:val="center"/>
          </w:tcPr>
          <w:p w14:paraId="618A1326">
            <w:pPr>
              <w:adjustRightInd w:val="0"/>
              <w:snapToGrid w:val="0"/>
              <w:spacing w:line="288" w:lineRule="auto"/>
              <w:jc w:val="center"/>
              <w:rPr>
                <w:color w:val="auto"/>
                <w:sz w:val="24"/>
                <w:szCs w:val="24"/>
              </w:rPr>
            </w:pPr>
          </w:p>
        </w:tc>
      </w:tr>
      <w:tr w14:paraId="3BF79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FA75C3D">
            <w:pPr>
              <w:adjustRightInd w:val="0"/>
              <w:snapToGrid w:val="0"/>
              <w:spacing w:line="288" w:lineRule="auto"/>
              <w:jc w:val="center"/>
              <w:rPr>
                <w:color w:val="auto"/>
                <w:sz w:val="24"/>
                <w:szCs w:val="24"/>
              </w:rPr>
            </w:pPr>
          </w:p>
        </w:tc>
        <w:tc>
          <w:tcPr>
            <w:tcW w:w="1380" w:type="dxa"/>
            <w:vAlign w:val="center"/>
          </w:tcPr>
          <w:p w14:paraId="01B46538">
            <w:pPr>
              <w:adjustRightInd w:val="0"/>
              <w:snapToGrid w:val="0"/>
              <w:spacing w:line="288" w:lineRule="auto"/>
              <w:jc w:val="center"/>
              <w:rPr>
                <w:color w:val="auto"/>
                <w:sz w:val="24"/>
                <w:szCs w:val="24"/>
              </w:rPr>
            </w:pPr>
          </w:p>
        </w:tc>
        <w:tc>
          <w:tcPr>
            <w:tcW w:w="1510" w:type="dxa"/>
            <w:vAlign w:val="center"/>
          </w:tcPr>
          <w:p w14:paraId="3E0F7082">
            <w:pPr>
              <w:adjustRightInd w:val="0"/>
              <w:snapToGrid w:val="0"/>
              <w:spacing w:line="288" w:lineRule="auto"/>
              <w:jc w:val="center"/>
              <w:rPr>
                <w:color w:val="auto"/>
                <w:sz w:val="24"/>
                <w:szCs w:val="24"/>
              </w:rPr>
            </w:pPr>
          </w:p>
        </w:tc>
        <w:tc>
          <w:tcPr>
            <w:tcW w:w="1256" w:type="dxa"/>
            <w:vAlign w:val="center"/>
          </w:tcPr>
          <w:p w14:paraId="0FC21313">
            <w:pPr>
              <w:adjustRightInd w:val="0"/>
              <w:snapToGrid w:val="0"/>
              <w:spacing w:line="288" w:lineRule="auto"/>
              <w:jc w:val="center"/>
              <w:rPr>
                <w:color w:val="auto"/>
                <w:sz w:val="24"/>
                <w:szCs w:val="24"/>
              </w:rPr>
            </w:pPr>
          </w:p>
        </w:tc>
        <w:tc>
          <w:tcPr>
            <w:tcW w:w="732" w:type="dxa"/>
            <w:vAlign w:val="center"/>
          </w:tcPr>
          <w:p w14:paraId="0D2C279B">
            <w:pPr>
              <w:adjustRightInd w:val="0"/>
              <w:snapToGrid w:val="0"/>
              <w:spacing w:line="288" w:lineRule="auto"/>
              <w:jc w:val="center"/>
              <w:rPr>
                <w:color w:val="auto"/>
                <w:sz w:val="24"/>
                <w:szCs w:val="24"/>
              </w:rPr>
            </w:pPr>
          </w:p>
        </w:tc>
        <w:tc>
          <w:tcPr>
            <w:tcW w:w="1005" w:type="dxa"/>
            <w:vAlign w:val="center"/>
          </w:tcPr>
          <w:p w14:paraId="051A2DD9">
            <w:pPr>
              <w:adjustRightInd w:val="0"/>
              <w:snapToGrid w:val="0"/>
              <w:spacing w:line="288" w:lineRule="auto"/>
              <w:jc w:val="center"/>
              <w:rPr>
                <w:color w:val="auto"/>
                <w:sz w:val="24"/>
                <w:szCs w:val="24"/>
              </w:rPr>
            </w:pPr>
          </w:p>
        </w:tc>
        <w:tc>
          <w:tcPr>
            <w:tcW w:w="1675" w:type="dxa"/>
            <w:vAlign w:val="center"/>
          </w:tcPr>
          <w:p w14:paraId="2692D23A">
            <w:pPr>
              <w:adjustRightInd w:val="0"/>
              <w:snapToGrid w:val="0"/>
              <w:spacing w:line="288" w:lineRule="auto"/>
              <w:jc w:val="center"/>
              <w:rPr>
                <w:color w:val="auto"/>
                <w:sz w:val="24"/>
                <w:szCs w:val="24"/>
              </w:rPr>
            </w:pPr>
          </w:p>
        </w:tc>
      </w:tr>
      <w:tr w14:paraId="182D8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BC1C098">
            <w:pPr>
              <w:adjustRightInd w:val="0"/>
              <w:snapToGrid w:val="0"/>
              <w:spacing w:line="288" w:lineRule="auto"/>
              <w:jc w:val="center"/>
              <w:rPr>
                <w:color w:val="auto"/>
                <w:sz w:val="24"/>
                <w:szCs w:val="24"/>
              </w:rPr>
            </w:pPr>
          </w:p>
        </w:tc>
        <w:tc>
          <w:tcPr>
            <w:tcW w:w="1380" w:type="dxa"/>
            <w:vAlign w:val="center"/>
          </w:tcPr>
          <w:p w14:paraId="661243E5">
            <w:pPr>
              <w:adjustRightInd w:val="0"/>
              <w:snapToGrid w:val="0"/>
              <w:spacing w:line="288" w:lineRule="auto"/>
              <w:jc w:val="center"/>
              <w:rPr>
                <w:color w:val="auto"/>
                <w:sz w:val="24"/>
                <w:szCs w:val="24"/>
              </w:rPr>
            </w:pPr>
          </w:p>
        </w:tc>
        <w:tc>
          <w:tcPr>
            <w:tcW w:w="1510" w:type="dxa"/>
            <w:vAlign w:val="center"/>
          </w:tcPr>
          <w:p w14:paraId="1908F4BF">
            <w:pPr>
              <w:adjustRightInd w:val="0"/>
              <w:snapToGrid w:val="0"/>
              <w:spacing w:line="288" w:lineRule="auto"/>
              <w:jc w:val="center"/>
              <w:rPr>
                <w:color w:val="auto"/>
                <w:sz w:val="24"/>
                <w:szCs w:val="24"/>
              </w:rPr>
            </w:pPr>
          </w:p>
        </w:tc>
        <w:tc>
          <w:tcPr>
            <w:tcW w:w="1256" w:type="dxa"/>
            <w:vAlign w:val="center"/>
          </w:tcPr>
          <w:p w14:paraId="26640788">
            <w:pPr>
              <w:adjustRightInd w:val="0"/>
              <w:snapToGrid w:val="0"/>
              <w:spacing w:line="288" w:lineRule="auto"/>
              <w:jc w:val="center"/>
              <w:rPr>
                <w:color w:val="auto"/>
                <w:sz w:val="24"/>
                <w:szCs w:val="24"/>
              </w:rPr>
            </w:pPr>
          </w:p>
        </w:tc>
        <w:tc>
          <w:tcPr>
            <w:tcW w:w="732" w:type="dxa"/>
            <w:vAlign w:val="center"/>
          </w:tcPr>
          <w:p w14:paraId="2333D14C">
            <w:pPr>
              <w:adjustRightInd w:val="0"/>
              <w:snapToGrid w:val="0"/>
              <w:spacing w:line="288" w:lineRule="auto"/>
              <w:jc w:val="center"/>
              <w:rPr>
                <w:color w:val="auto"/>
                <w:sz w:val="24"/>
                <w:szCs w:val="24"/>
              </w:rPr>
            </w:pPr>
          </w:p>
        </w:tc>
        <w:tc>
          <w:tcPr>
            <w:tcW w:w="1005" w:type="dxa"/>
            <w:vAlign w:val="center"/>
          </w:tcPr>
          <w:p w14:paraId="3598B2D6">
            <w:pPr>
              <w:adjustRightInd w:val="0"/>
              <w:snapToGrid w:val="0"/>
              <w:spacing w:line="288" w:lineRule="auto"/>
              <w:jc w:val="center"/>
              <w:rPr>
                <w:color w:val="auto"/>
                <w:sz w:val="24"/>
                <w:szCs w:val="24"/>
              </w:rPr>
            </w:pPr>
          </w:p>
        </w:tc>
        <w:tc>
          <w:tcPr>
            <w:tcW w:w="1675" w:type="dxa"/>
            <w:vAlign w:val="center"/>
          </w:tcPr>
          <w:p w14:paraId="4689C067">
            <w:pPr>
              <w:adjustRightInd w:val="0"/>
              <w:snapToGrid w:val="0"/>
              <w:spacing w:line="288" w:lineRule="auto"/>
              <w:jc w:val="center"/>
              <w:rPr>
                <w:color w:val="auto"/>
                <w:sz w:val="24"/>
                <w:szCs w:val="24"/>
              </w:rPr>
            </w:pPr>
          </w:p>
        </w:tc>
      </w:tr>
    </w:tbl>
    <w:p w14:paraId="53180D5E">
      <w:pPr>
        <w:adjustRightInd w:val="0"/>
        <w:snapToGrid w:val="0"/>
        <w:spacing w:line="288" w:lineRule="auto"/>
        <w:rPr>
          <w:color w:val="auto"/>
          <w:sz w:val="24"/>
          <w:szCs w:val="24"/>
        </w:rPr>
      </w:pPr>
    </w:p>
    <w:p w14:paraId="3E487706">
      <w:pPr>
        <w:adjustRightInd w:val="0"/>
        <w:snapToGrid w:val="0"/>
        <w:spacing w:line="288" w:lineRule="auto"/>
        <w:rPr>
          <w:color w:val="auto"/>
          <w:sz w:val="24"/>
          <w:szCs w:val="24"/>
        </w:rPr>
      </w:pPr>
      <w:r>
        <w:rPr>
          <w:rFonts w:hint="eastAsia"/>
          <w:color w:val="auto"/>
          <w:sz w:val="24"/>
          <w:szCs w:val="24"/>
        </w:rPr>
        <w:t>说明：</w:t>
      </w:r>
    </w:p>
    <w:p w14:paraId="6BD68B2C">
      <w:pPr>
        <w:adjustRightInd w:val="0"/>
        <w:snapToGrid w:val="0"/>
        <w:spacing w:line="288" w:lineRule="auto"/>
        <w:rPr>
          <w:color w:val="auto"/>
          <w:sz w:val="24"/>
          <w:szCs w:val="24"/>
        </w:rPr>
      </w:pPr>
      <w:r>
        <w:rPr>
          <w:rFonts w:hint="eastAsia"/>
          <w:color w:val="auto"/>
          <w:sz w:val="24"/>
          <w:szCs w:val="24"/>
        </w:rPr>
        <w:t>1.供应商须提供上述业绩合同扫描件；</w:t>
      </w:r>
    </w:p>
    <w:p w14:paraId="4DEE4CEC">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5F1177D1">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07EDC77B">
      <w:pPr>
        <w:pStyle w:val="26"/>
        <w:spacing w:line="360" w:lineRule="auto"/>
        <w:ind w:left="-27" w:firstLine="424"/>
        <w:rPr>
          <w:rFonts w:ascii="Times New Roman" w:hAnsi="Times New Roman"/>
          <w:b/>
          <w:bCs/>
          <w:color w:val="auto"/>
          <w:sz w:val="24"/>
          <w:szCs w:val="24"/>
        </w:rPr>
      </w:pPr>
    </w:p>
    <w:p w14:paraId="5D3C46F0">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2D453AA">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54B0A00">
      <w:pPr>
        <w:spacing w:line="360" w:lineRule="auto"/>
        <w:rPr>
          <w:color w:val="auto"/>
          <w:sz w:val="24"/>
          <w:szCs w:val="24"/>
        </w:rPr>
      </w:pPr>
      <w:r>
        <w:rPr>
          <w:rFonts w:hint="eastAsia" w:ascii="宋体" w:hAnsi="宋体" w:cs="宋体"/>
          <w:color w:val="auto"/>
          <w:sz w:val="24"/>
        </w:rPr>
        <w:t>日期：      年   月   日</w:t>
      </w:r>
    </w:p>
    <w:p w14:paraId="16D13FA5">
      <w:pPr>
        <w:rPr>
          <w:rFonts w:ascii="黑体" w:hAnsi="黑体" w:eastAsia="黑体" w:cs="黑体"/>
          <w:color w:val="auto"/>
          <w:sz w:val="28"/>
          <w:szCs w:val="28"/>
        </w:rPr>
      </w:pPr>
      <w:bookmarkStart w:id="795" w:name="_Toc9100"/>
      <w:bookmarkStart w:id="796" w:name="_Toc12743"/>
      <w:bookmarkStart w:id="797" w:name="_Toc27754"/>
      <w:bookmarkStart w:id="798" w:name="_Toc20235"/>
      <w:bookmarkStart w:id="799" w:name="_Toc16499"/>
      <w:bookmarkStart w:id="800" w:name="_Toc25395"/>
      <w:bookmarkStart w:id="801" w:name="_Toc21474"/>
      <w:bookmarkStart w:id="802" w:name="_Toc9428"/>
      <w:bookmarkStart w:id="803" w:name="_Toc27736"/>
      <w:bookmarkStart w:id="804" w:name="_Toc28010"/>
      <w:bookmarkStart w:id="805" w:name="_Toc29300"/>
      <w:bookmarkStart w:id="806" w:name="_Toc8383"/>
      <w:bookmarkStart w:id="807" w:name="_Toc18122"/>
      <w:bookmarkStart w:id="808" w:name="_Toc29974"/>
      <w:bookmarkStart w:id="809" w:name="_Toc6410"/>
      <w:bookmarkStart w:id="810" w:name="_Toc30618"/>
      <w:bookmarkStart w:id="811" w:name="_Toc5640"/>
      <w:bookmarkStart w:id="812" w:name="_Toc3809"/>
      <w:bookmarkStart w:id="813" w:name="_Toc9650"/>
      <w:bookmarkStart w:id="814" w:name="_Toc32660"/>
      <w:bookmarkStart w:id="815" w:name="_Toc22005"/>
      <w:bookmarkStart w:id="816" w:name="_Toc11435"/>
      <w:bookmarkStart w:id="817" w:name="_Toc20421"/>
      <w:bookmarkStart w:id="818" w:name="_Toc21901"/>
      <w:bookmarkStart w:id="819" w:name="_Toc31965"/>
      <w:bookmarkStart w:id="820" w:name="_Toc26175"/>
      <w:bookmarkStart w:id="821" w:name="_Toc25847"/>
      <w:bookmarkStart w:id="822" w:name="_Toc23972"/>
      <w:bookmarkStart w:id="823" w:name="_Toc1352"/>
      <w:bookmarkStart w:id="824" w:name="_Toc24884"/>
      <w:bookmarkStart w:id="825" w:name="_Toc27924"/>
      <w:r>
        <w:rPr>
          <w:rFonts w:hint="eastAsia" w:ascii="黑体" w:hAnsi="黑体" w:eastAsia="黑体" w:cs="黑体"/>
          <w:color w:val="auto"/>
          <w:sz w:val="28"/>
          <w:szCs w:val="28"/>
        </w:rPr>
        <w:br w:type="page"/>
      </w:r>
    </w:p>
    <w:p w14:paraId="4C794565">
      <w:pPr>
        <w:pStyle w:val="6"/>
        <w:ind w:left="0" w:firstLine="0"/>
        <w:rPr>
          <w:color w:val="auto"/>
        </w:rPr>
      </w:pPr>
      <w:bookmarkStart w:id="826" w:name="_Toc4847"/>
      <w:r>
        <w:rPr>
          <w:rFonts w:hint="eastAsia"/>
          <w:color w:val="auto"/>
        </w:rPr>
        <w:t>（8）</w:t>
      </w:r>
      <w:bookmarkEnd w:id="795"/>
      <w:bookmarkEnd w:id="796"/>
      <w:bookmarkEnd w:id="797"/>
      <w:r>
        <w:rPr>
          <w:rFonts w:hint="eastAsia"/>
          <w:color w:val="auto"/>
        </w:rPr>
        <w:t>详细技术和服务方案</w:t>
      </w:r>
      <w:bookmarkEnd w:id="798"/>
      <w:bookmarkEnd w:id="799"/>
      <w:bookmarkEnd w:id="800"/>
      <w:bookmarkEnd w:id="801"/>
      <w:bookmarkEnd w:id="802"/>
      <w:bookmarkEnd w:id="803"/>
      <w:bookmarkEnd w:id="804"/>
      <w:bookmarkEnd w:id="826"/>
    </w:p>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14:paraId="794E9168">
      <w:pPr>
        <w:spacing w:line="420" w:lineRule="exact"/>
        <w:rPr>
          <w:color w:val="auto"/>
          <w:sz w:val="24"/>
        </w:rPr>
      </w:pPr>
      <w:r>
        <w:rPr>
          <w:rFonts w:hint="eastAsia"/>
          <w:color w:val="auto"/>
          <w:sz w:val="24"/>
        </w:rPr>
        <w:t>（根据采购需求及评分标准要求编制）</w:t>
      </w:r>
    </w:p>
    <w:p w14:paraId="07775969">
      <w:pPr>
        <w:pStyle w:val="26"/>
        <w:snapToGrid w:val="0"/>
        <w:spacing w:line="440" w:lineRule="exact"/>
        <w:ind w:left="-27" w:firstLine="422"/>
        <w:rPr>
          <w:rFonts w:asciiTheme="majorEastAsia" w:hAnsiTheme="majorEastAsia" w:eastAsiaTheme="majorEastAsia" w:cstheme="majorEastAsia"/>
          <w:color w:val="auto"/>
          <w:sz w:val="24"/>
          <w:szCs w:val="24"/>
        </w:rPr>
      </w:pPr>
    </w:p>
    <w:p w14:paraId="2542F297">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AE6916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835E03A">
      <w:pPr>
        <w:spacing w:before="312" w:beforeLines="100" w:after="312" w:afterLines="100"/>
        <w:jc w:val="left"/>
        <w:rPr>
          <w:color w:val="auto"/>
          <w:sz w:val="24"/>
          <w:szCs w:val="24"/>
        </w:rPr>
      </w:pPr>
      <w:r>
        <w:rPr>
          <w:rFonts w:hint="eastAsia" w:ascii="宋体" w:hAnsi="宋体" w:cs="宋体"/>
          <w:color w:val="auto"/>
          <w:sz w:val="24"/>
        </w:rPr>
        <w:t>日期：      年   月   日</w:t>
      </w:r>
    </w:p>
    <w:p w14:paraId="2D4751D1">
      <w:pPr>
        <w:rPr>
          <w:color w:val="auto"/>
        </w:rPr>
      </w:pPr>
    </w:p>
    <w:p w14:paraId="02496716">
      <w:pPr>
        <w:pStyle w:val="6"/>
        <w:ind w:left="0" w:firstLine="0"/>
        <w:rPr>
          <w:color w:val="auto"/>
        </w:rPr>
      </w:pPr>
      <w:bookmarkStart w:id="827" w:name="_Toc23685"/>
      <w:bookmarkStart w:id="828" w:name="_Toc3089"/>
      <w:bookmarkStart w:id="829" w:name="_Toc21572"/>
      <w:bookmarkStart w:id="830" w:name="_Toc21017"/>
      <w:bookmarkStart w:id="831" w:name="_Toc14897"/>
      <w:bookmarkStart w:id="832" w:name="_Toc10148"/>
      <w:bookmarkStart w:id="833" w:name="_Toc19068"/>
      <w:bookmarkStart w:id="834" w:name="_Toc13211"/>
      <w:bookmarkStart w:id="835" w:name="_Toc30629"/>
      <w:bookmarkStart w:id="836" w:name="_Toc1664"/>
      <w:bookmarkStart w:id="837" w:name="_Toc1378"/>
      <w:r>
        <w:rPr>
          <w:rFonts w:hint="eastAsia"/>
          <w:color w:val="auto"/>
        </w:rPr>
        <w:t>（9）</w:t>
      </w:r>
      <w:bookmarkEnd w:id="827"/>
      <w:r>
        <w:rPr>
          <w:rFonts w:hint="eastAsia"/>
          <w:color w:val="auto"/>
        </w:rPr>
        <w:t>项目组成员一览表</w:t>
      </w:r>
      <w:bookmarkEnd w:id="828"/>
      <w:bookmarkEnd w:id="829"/>
      <w:bookmarkEnd w:id="830"/>
      <w:bookmarkEnd w:id="831"/>
      <w:bookmarkEnd w:id="832"/>
      <w:bookmarkEnd w:id="833"/>
      <w:bookmarkEnd w:id="834"/>
      <w:bookmarkEnd w:id="835"/>
    </w:p>
    <w:bookmarkEnd w:id="836"/>
    <w:bookmarkEnd w:id="837"/>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7DEE2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37E80FC">
            <w:pPr>
              <w:pStyle w:val="26"/>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3806A75F">
            <w:pPr>
              <w:pStyle w:val="26"/>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0A145B06">
            <w:pPr>
              <w:pStyle w:val="26"/>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09FB6F64">
            <w:pPr>
              <w:pStyle w:val="26"/>
              <w:snapToGrid w:val="0"/>
              <w:spacing w:line="440" w:lineRule="exact"/>
              <w:ind w:left="-27" w:firstLine="370"/>
              <w:jc w:val="center"/>
              <w:rPr>
                <w:color w:val="auto"/>
                <w:sz w:val="21"/>
                <w:szCs w:val="21"/>
              </w:rPr>
            </w:pPr>
            <w:r>
              <w:rPr>
                <w:rFonts w:hint="eastAsia"/>
                <w:color w:val="auto"/>
                <w:sz w:val="21"/>
                <w:szCs w:val="21"/>
              </w:rPr>
              <w:t>证书编号</w:t>
            </w:r>
          </w:p>
        </w:tc>
        <w:tc>
          <w:tcPr>
            <w:tcW w:w="1327" w:type="dxa"/>
          </w:tcPr>
          <w:p w14:paraId="09E83F8F">
            <w:pPr>
              <w:pStyle w:val="26"/>
              <w:snapToGrid w:val="0"/>
              <w:spacing w:line="440" w:lineRule="exact"/>
              <w:ind w:left="-27" w:firstLine="370"/>
              <w:jc w:val="center"/>
              <w:rPr>
                <w:color w:val="auto"/>
                <w:sz w:val="21"/>
                <w:szCs w:val="21"/>
              </w:rPr>
            </w:pPr>
            <w:r>
              <w:rPr>
                <w:rFonts w:hint="eastAsia"/>
                <w:color w:val="auto"/>
                <w:sz w:val="21"/>
                <w:szCs w:val="21"/>
              </w:rPr>
              <w:t>发证部门</w:t>
            </w:r>
          </w:p>
        </w:tc>
        <w:tc>
          <w:tcPr>
            <w:tcW w:w="1648" w:type="dxa"/>
          </w:tcPr>
          <w:p w14:paraId="4C2FE4C4">
            <w:pPr>
              <w:pStyle w:val="26"/>
              <w:snapToGrid w:val="0"/>
              <w:spacing w:line="440" w:lineRule="exact"/>
              <w:ind w:left="-27" w:firstLine="370"/>
              <w:jc w:val="center"/>
              <w:rPr>
                <w:color w:val="auto"/>
                <w:sz w:val="21"/>
                <w:szCs w:val="21"/>
              </w:rPr>
            </w:pPr>
            <w:r>
              <w:rPr>
                <w:rFonts w:hint="eastAsia"/>
                <w:color w:val="auto"/>
                <w:sz w:val="21"/>
                <w:szCs w:val="21"/>
              </w:rPr>
              <w:t>持证有效期</w:t>
            </w:r>
          </w:p>
        </w:tc>
      </w:tr>
      <w:tr w14:paraId="3D03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34BE8C0">
            <w:pPr>
              <w:pStyle w:val="26"/>
              <w:snapToGrid w:val="0"/>
              <w:spacing w:line="440" w:lineRule="exact"/>
              <w:ind w:left="-27" w:firstLine="370"/>
              <w:rPr>
                <w:color w:val="auto"/>
                <w:sz w:val="21"/>
                <w:szCs w:val="21"/>
              </w:rPr>
            </w:pPr>
          </w:p>
        </w:tc>
        <w:tc>
          <w:tcPr>
            <w:tcW w:w="1326" w:type="dxa"/>
          </w:tcPr>
          <w:p w14:paraId="17BCBFFB">
            <w:pPr>
              <w:pStyle w:val="26"/>
              <w:snapToGrid w:val="0"/>
              <w:spacing w:line="440" w:lineRule="exact"/>
              <w:ind w:left="-27" w:firstLine="370"/>
              <w:rPr>
                <w:color w:val="auto"/>
                <w:sz w:val="21"/>
                <w:szCs w:val="21"/>
              </w:rPr>
            </w:pPr>
          </w:p>
        </w:tc>
        <w:tc>
          <w:tcPr>
            <w:tcW w:w="1327" w:type="dxa"/>
          </w:tcPr>
          <w:p w14:paraId="40C151A4">
            <w:pPr>
              <w:pStyle w:val="26"/>
              <w:snapToGrid w:val="0"/>
              <w:spacing w:line="440" w:lineRule="exact"/>
              <w:ind w:left="-27" w:firstLine="370"/>
              <w:rPr>
                <w:color w:val="auto"/>
                <w:sz w:val="21"/>
                <w:szCs w:val="21"/>
              </w:rPr>
            </w:pPr>
          </w:p>
        </w:tc>
        <w:tc>
          <w:tcPr>
            <w:tcW w:w="1327" w:type="dxa"/>
          </w:tcPr>
          <w:p w14:paraId="5FA5BA06">
            <w:pPr>
              <w:pStyle w:val="26"/>
              <w:snapToGrid w:val="0"/>
              <w:spacing w:line="440" w:lineRule="exact"/>
              <w:ind w:left="-27" w:firstLine="370"/>
              <w:rPr>
                <w:color w:val="auto"/>
                <w:sz w:val="21"/>
                <w:szCs w:val="21"/>
              </w:rPr>
            </w:pPr>
          </w:p>
        </w:tc>
        <w:tc>
          <w:tcPr>
            <w:tcW w:w="1327" w:type="dxa"/>
          </w:tcPr>
          <w:p w14:paraId="0C606967">
            <w:pPr>
              <w:pStyle w:val="26"/>
              <w:snapToGrid w:val="0"/>
              <w:spacing w:line="440" w:lineRule="exact"/>
              <w:ind w:left="-27" w:firstLine="370"/>
              <w:rPr>
                <w:color w:val="auto"/>
                <w:sz w:val="21"/>
                <w:szCs w:val="21"/>
              </w:rPr>
            </w:pPr>
          </w:p>
        </w:tc>
        <w:tc>
          <w:tcPr>
            <w:tcW w:w="1648" w:type="dxa"/>
          </w:tcPr>
          <w:p w14:paraId="6E4752DD">
            <w:pPr>
              <w:pStyle w:val="26"/>
              <w:snapToGrid w:val="0"/>
              <w:spacing w:line="440" w:lineRule="exact"/>
              <w:ind w:left="-27" w:firstLine="370"/>
              <w:rPr>
                <w:color w:val="auto"/>
                <w:sz w:val="21"/>
                <w:szCs w:val="21"/>
              </w:rPr>
            </w:pPr>
          </w:p>
        </w:tc>
      </w:tr>
      <w:tr w14:paraId="09121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F0DD51B">
            <w:pPr>
              <w:pStyle w:val="26"/>
              <w:snapToGrid w:val="0"/>
              <w:spacing w:line="440" w:lineRule="exact"/>
              <w:ind w:left="-27" w:firstLine="370"/>
              <w:rPr>
                <w:color w:val="auto"/>
                <w:sz w:val="21"/>
                <w:szCs w:val="21"/>
              </w:rPr>
            </w:pPr>
          </w:p>
        </w:tc>
        <w:tc>
          <w:tcPr>
            <w:tcW w:w="1326" w:type="dxa"/>
          </w:tcPr>
          <w:p w14:paraId="6673B5DB">
            <w:pPr>
              <w:pStyle w:val="26"/>
              <w:snapToGrid w:val="0"/>
              <w:spacing w:line="440" w:lineRule="exact"/>
              <w:ind w:left="-27" w:firstLine="370"/>
              <w:rPr>
                <w:color w:val="auto"/>
                <w:sz w:val="21"/>
                <w:szCs w:val="21"/>
              </w:rPr>
            </w:pPr>
          </w:p>
        </w:tc>
        <w:tc>
          <w:tcPr>
            <w:tcW w:w="1327" w:type="dxa"/>
          </w:tcPr>
          <w:p w14:paraId="5F3D4636">
            <w:pPr>
              <w:pStyle w:val="26"/>
              <w:snapToGrid w:val="0"/>
              <w:spacing w:line="440" w:lineRule="exact"/>
              <w:ind w:left="-27" w:firstLine="370"/>
              <w:rPr>
                <w:color w:val="auto"/>
                <w:sz w:val="21"/>
                <w:szCs w:val="21"/>
              </w:rPr>
            </w:pPr>
          </w:p>
        </w:tc>
        <w:tc>
          <w:tcPr>
            <w:tcW w:w="1327" w:type="dxa"/>
          </w:tcPr>
          <w:p w14:paraId="18EE1FE9">
            <w:pPr>
              <w:pStyle w:val="26"/>
              <w:snapToGrid w:val="0"/>
              <w:spacing w:line="440" w:lineRule="exact"/>
              <w:ind w:left="-27" w:firstLine="370"/>
              <w:rPr>
                <w:color w:val="auto"/>
                <w:sz w:val="21"/>
                <w:szCs w:val="21"/>
              </w:rPr>
            </w:pPr>
          </w:p>
        </w:tc>
        <w:tc>
          <w:tcPr>
            <w:tcW w:w="1327" w:type="dxa"/>
          </w:tcPr>
          <w:p w14:paraId="4AF15CDC">
            <w:pPr>
              <w:pStyle w:val="26"/>
              <w:snapToGrid w:val="0"/>
              <w:spacing w:line="440" w:lineRule="exact"/>
              <w:ind w:left="-27" w:firstLine="370"/>
              <w:rPr>
                <w:color w:val="auto"/>
                <w:sz w:val="21"/>
                <w:szCs w:val="21"/>
              </w:rPr>
            </w:pPr>
          </w:p>
        </w:tc>
        <w:tc>
          <w:tcPr>
            <w:tcW w:w="1648" w:type="dxa"/>
          </w:tcPr>
          <w:p w14:paraId="3B115264">
            <w:pPr>
              <w:pStyle w:val="26"/>
              <w:snapToGrid w:val="0"/>
              <w:spacing w:line="440" w:lineRule="exact"/>
              <w:ind w:left="-27" w:firstLine="370"/>
              <w:rPr>
                <w:color w:val="auto"/>
                <w:sz w:val="21"/>
                <w:szCs w:val="21"/>
              </w:rPr>
            </w:pPr>
          </w:p>
        </w:tc>
      </w:tr>
      <w:tr w14:paraId="6AE43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C1B1FB9">
            <w:pPr>
              <w:pStyle w:val="26"/>
              <w:snapToGrid w:val="0"/>
              <w:spacing w:line="440" w:lineRule="exact"/>
              <w:ind w:left="-27" w:firstLine="370"/>
              <w:rPr>
                <w:color w:val="auto"/>
                <w:sz w:val="21"/>
                <w:szCs w:val="21"/>
              </w:rPr>
            </w:pPr>
          </w:p>
        </w:tc>
        <w:tc>
          <w:tcPr>
            <w:tcW w:w="1326" w:type="dxa"/>
          </w:tcPr>
          <w:p w14:paraId="768547CF">
            <w:pPr>
              <w:pStyle w:val="26"/>
              <w:snapToGrid w:val="0"/>
              <w:spacing w:line="440" w:lineRule="exact"/>
              <w:ind w:left="-27" w:firstLine="370"/>
              <w:rPr>
                <w:color w:val="auto"/>
                <w:sz w:val="21"/>
                <w:szCs w:val="21"/>
              </w:rPr>
            </w:pPr>
          </w:p>
        </w:tc>
        <w:tc>
          <w:tcPr>
            <w:tcW w:w="1327" w:type="dxa"/>
          </w:tcPr>
          <w:p w14:paraId="4E1DEC32">
            <w:pPr>
              <w:pStyle w:val="26"/>
              <w:snapToGrid w:val="0"/>
              <w:spacing w:line="440" w:lineRule="exact"/>
              <w:ind w:left="-27" w:firstLine="370"/>
              <w:rPr>
                <w:color w:val="auto"/>
                <w:sz w:val="21"/>
                <w:szCs w:val="21"/>
              </w:rPr>
            </w:pPr>
          </w:p>
        </w:tc>
        <w:tc>
          <w:tcPr>
            <w:tcW w:w="1327" w:type="dxa"/>
          </w:tcPr>
          <w:p w14:paraId="635FE907">
            <w:pPr>
              <w:pStyle w:val="26"/>
              <w:snapToGrid w:val="0"/>
              <w:spacing w:line="440" w:lineRule="exact"/>
              <w:ind w:left="-27" w:firstLine="370"/>
              <w:rPr>
                <w:color w:val="auto"/>
                <w:sz w:val="21"/>
                <w:szCs w:val="21"/>
              </w:rPr>
            </w:pPr>
          </w:p>
        </w:tc>
        <w:tc>
          <w:tcPr>
            <w:tcW w:w="1327" w:type="dxa"/>
          </w:tcPr>
          <w:p w14:paraId="3A456461">
            <w:pPr>
              <w:pStyle w:val="26"/>
              <w:snapToGrid w:val="0"/>
              <w:spacing w:line="440" w:lineRule="exact"/>
              <w:ind w:left="-27" w:firstLine="370"/>
              <w:rPr>
                <w:color w:val="auto"/>
                <w:sz w:val="21"/>
                <w:szCs w:val="21"/>
              </w:rPr>
            </w:pPr>
          </w:p>
        </w:tc>
        <w:tc>
          <w:tcPr>
            <w:tcW w:w="1648" w:type="dxa"/>
          </w:tcPr>
          <w:p w14:paraId="69D6C65C">
            <w:pPr>
              <w:pStyle w:val="26"/>
              <w:snapToGrid w:val="0"/>
              <w:spacing w:line="440" w:lineRule="exact"/>
              <w:ind w:left="-27" w:firstLine="370"/>
              <w:rPr>
                <w:color w:val="auto"/>
                <w:sz w:val="21"/>
                <w:szCs w:val="21"/>
              </w:rPr>
            </w:pPr>
          </w:p>
        </w:tc>
      </w:tr>
      <w:tr w14:paraId="1BFD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2F39BB9">
            <w:pPr>
              <w:pStyle w:val="26"/>
              <w:snapToGrid w:val="0"/>
              <w:spacing w:line="440" w:lineRule="exact"/>
              <w:ind w:left="-27" w:firstLine="370"/>
              <w:rPr>
                <w:color w:val="auto"/>
                <w:sz w:val="21"/>
                <w:szCs w:val="21"/>
              </w:rPr>
            </w:pPr>
          </w:p>
        </w:tc>
        <w:tc>
          <w:tcPr>
            <w:tcW w:w="1326" w:type="dxa"/>
          </w:tcPr>
          <w:p w14:paraId="0DCF49EF">
            <w:pPr>
              <w:pStyle w:val="26"/>
              <w:snapToGrid w:val="0"/>
              <w:spacing w:line="440" w:lineRule="exact"/>
              <w:ind w:left="-27" w:firstLine="370"/>
              <w:rPr>
                <w:color w:val="auto"/>
                <w:sz w:val="21"/>
                <w:szCs w:val="21"/>
              </w:rPr>
            </w:pPr>
          </w:p>
        </w:tc>
        <w:tc>
          <w:tcPr>
            <w:tcW w:w="1327" w:type="dxa"/>
          </w:tcPr>
          <w:p w14:paraId="23815C0E">
            <w:pPr>
              <w:pStyle w:val="26"/>
              <w:snapToGrid w:val="0"/>
              <w:spacing w:line="440" w:lineRule="exact"/>
              <w:ind w:left="-27" w:firstLine="370"/>
              <w:rPr>
                <w:color w:val="auto"/>
                <w:sz w:val="21"/>
                <w:szCs w:val="21"/>
              </w:rPr>
            </w:pPr>
          </w:p>
        </w:tc>
        <w:tc>
          <w:tcPr>
            <w:tcW w:w="1327" w:type="dxa"/>
          </w:tcPr>
          <w:p w14:paraId="3BFA5F06">
            <w:pPr>
              <w:pStyle w:val="26"/>
              <w:snapToGrid w:val="0"/>
              <w:spacing w:line="440" w:lineRule="exact"/>
              <w:ind w:left="-27" w:firstLine="370"/>
              <w:rPr>
                <w:color w:val="auto"/>
                <w:sz w:val="21"/>
                <w:szCs w:val="21"/>
              </w:rPr>
            </w:pPr>
          </w:p>
        </w:tc>
        <w:tc>
          <w:tcPr>
            <w:tcW w:w="1327" w:type="dxa"/>
          </w:tcPr>
          <w:p w14:paraId="497C93D6">
            <w:pPr>
              <w:pStyle w:val="26"/>
              <w:snapToGrid w:val="0"/>
              <w:spacing w:line="440" w:lineRule="exact"/>
              <w:ind w:left="-27" w:firstLine="370"/>
              <w:rPr>
                <w:color w:val="auto"/>
                <w:sz w:val="21"/>
                <w:szCs w:val="21"/>
              </w:rPr>
            </w:pPr>
          </w:p>
        </w:tc>
        <w:tc>
          <w:tcPr>
            <w:tcW w:w="1648" w:type="dxa"/>
          </w:tcPr>
          <w:p w14:paraId="0052EB56">
            <w:pPr>
              <w:pStyle w:val="26"/>
              <w:snapToGrid w:val="0"/>
              <w:spacing w:line="440" w:lineRule="exact"/>
              <w:ind w:left="-27" w:firstLine="370"/>
              <w:rPr>
                <w:color w:val="auto"/>
                <w:sz w:val="21"/>
                <w:szCs w:val="21"/>
              </w:rPr>
            </w:pPr>
          </w:p>
        </w:tc>
      </w:tr>
      <w:tr w14:paraId="1D65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84279A1">
            <w:pPr>
              <w:pStyle w:val="26"/>
              <w:snapToGrid w:val="0"/>
              <w:spacing w:line="440" w:lineRule="exact"/>
              <w:ind w:left="-27" w:firstLine="370"/>
              <w:rPr>
                <w:color w:val="auto"/>
                <w:sz w:val="21"/>
                <w:szCs w:val="21"/>
              </w:rPr>
            </w:pPr>
          </w:p>
        </w:tc>
        <w:tc>
          <w:tcPr>
            <w:tcW w:w="1326" w:type="dxa"/>
          </w:tcPr>
          <w:p w14:paraId="7AE26DCB">
            <w:pPr>
              <w:pStyle w:val="26"/>
              <w:snapToGrid w:val="0"/>
              <w:spacing w:line="440" w:lineRule="exact"/>
              <w:ind w:left="-27" w:firstLine="370"/>
              <w:rPr>
                <w:color w:val="auto"/>
                <w:sz w:val="21"/>
                <w:szCs w:val="21"/>
              </w:rPr>
            </w:pPr>
          </w:p>
        </w:tc>
        <w:tc>
          <w:tcPr>
            <w:tcW w:w="1327" w:type="dxa"/>
          </w:tcPr>
          <w:p w14:paraId="0A8021C1">
            <w:pPr>
              <w:pStyle w:val="26"/>
              <w:snapToGrid w:val="0"/>
              <w:spacing w:line="440" w:lineRule="exact"/>
              <w:ind w:left="-27" w:firstLine="370"/>
              <w:rPr>
                <w:color w:val="auto"/>
                <w:sz w:val="21"/>
                <w:szCs w:val="21"/>
              </w:rPr>
            </w:pPr>
          </w:p>
        </w:tc>
        <w:tc>
          <w:tcPr>
            <w:tcW w:w="1327" w:type="dxa"/>
          </w:tcPr>
          <w:p w14:paraId="7D8B249A">
            <w:pPr>
              <w:pStyle w:val="26"/>
              <w:snapToGrid w:val="0"/>
              <w:spacing w:line="440" w:lineRule="exact"/>
              <w:ind w:left="-27" w:firstLine="370"/>
              <w:rPr>
                <w:color w:val="auto"/>
                <w:sz w:val="21"/>
                <w:szCs w:val="21"/>
              </w:rPr>
            </w:pPr>
          </w:p>
        </w:tc>
        <w:tc>
          <w:tcPr>
            <w:tcW w:w="1327" w:type="dxa"/>
          </w:tcPr>
          <w:p w14:paraId="3B10DC6D">
            <w:pPr>
              <w:pStyle w:val="26"/>
              <w:snapToGrid w:val="0"/>
              <w:spacing w:line="440" w:lineRule="exact"/>
              <w:ind w:left="-27" w:firstLine="370"/>
              <w:rPr>
                <w:color w:val="auto"/>
                <w:sz w:val="21"/>
                <w:szCs w:val="21"/>
              </w:rPr>
            </w:pPr>
          </w:p>
        </w:tc>
        <w:tc>
          <w:tcPr>
            <w:tcW w:w="1648" w:type="dxa"/>
          </w:tcPr>
          <w:p w14:paraId="56A3D492">
            <w:pPr>
              <w:pStyle w:val="26"/>
              <w:snapToGrid w:val="0"/>
              <w:spacing w:line="440" w:lineRule="exact"/>
              <w:ind w:left="-27" w:firstLine="370"/>
              <w:rPr>
                <w:color w:val="auto"/>
                <w:sz w:val="21"/>
                <w:szCs w:val="21"/>
              </w:rPr>
            </w:pPr>
          </w:p>
        </w:tc>
      </w:tr>
    </w:tbl>
    <w:p w14:paraId="0F527EB0">
      <w:pPr>
        <w:pStyle w:val="26"/>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214A4A6B">
      <w:pPr>
        <w:pStyle w:val="26"/>
        <w:spacing w:line="360" w:lineRule="auto"/>
        <w:ind w:left="-27" w:firstLine="422"/>
        <w:rPr>
          <w:rFonts w:ascii="Times New Roman" w:hAnsi="Times New Roman"/>
          <w:color w:val="auto"/>
          <w:sz w:val="24"/>
          <w:szCs w:val="24"/>
        </w:rPr>
      </w:pPr>
    </w:p>
    <w:p w14:paraId="1464A6F9">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5B1C693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467260E">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057FDF59">
      <w:pPr>
        <w:pStyle w:val="6"/>
        <w:ind w:left="0" w:firstLine="0"/>
        <w:jc w:val="left"/>
        <w:rPr>
          <w:rFonts w:ascii="黑体" w:hAnsi="黑体" w:eastAsia="黑体" w:cs="黑体"/>
          <w:color w:val="auto"/>
          <w:sz w:val="24"/>
          <w:szCs w:val="24"/>
        </w:rPr>
      </w:pPr>
    </w:p>
    <w:p w14:paraId="7BF46C74">
      <w:pPr>
        <w:pStyle w:val="6"/>
        <w:ind w:left="0" w:firstLine="0"/>
        <w:rPr>
          <w:color w:val="auto"/>
        </w:rPr>
      </w:pPr>
      <w:bookmarkStart w:id="838" w:name="_Toc13735"/>
      <w:bookmarkStart w:id="839" w:name="_Toc31661"/>
      <w:bookmarkStart w:id="840" w:name="_Toc14194"/>
      <w:bookmarkStart w:id="841" w:name="_Toc3547"/>
      <w:bookmarkStart w:id="842" w:name="_Toc30223"/>
      <w:bookmarkStart w:id="843" w:name="_Toc2271"/>
      <w:bookmarkStart w:id="844" w:name="_Toc15835"/>
      <w:bookmarkStart w:id="845" w:name="_Toc20288"/>
      <w:bookmarkStart w:id="846" w:name="_Toc3296"/>
      <w:bookmarkStart w:id="847" w:name="_Toc29121"/>
      <w:bookmarkStart w:id="848" w:name="_Toc10021"/>
      <w:r>
        <w:rPr>
          <w:rFonts w:hint="eastAsia"/>
          <w:color w:val="auto"/>
        </w:rPr>
        <w:t>（10）关于对磋商文件中有关条款的拒绝声明</w:t>
      </w:r>
      <w:bookmarkEnd w:id="794"/>
      <w:r>
        <w:rPr>
          <w:rFonts w:hint="eastAsia"/>
          <w:color w:val="auto"/>
        </w:rPr>
        <w:t>(如有)</w:t>
      </w:r>
      <w:bookmarkEnd w:id="838"/>
      <w:bookmarkEnd w:id="839"/>
      <w:bookmarkEnd w:id="840"/>
      <w:bookmarkEnd w:id="841"/>
      <w:bookmarkEnd w:id="842"/>
      <w:bookmarkEnd w:id="843"/>
      <w:bookmarkEnd w:id="844"/>
      <w:bookmarkEnd w:id="845"/>
      <w:bookmarkEnd w:id="846"/>
      <w:bookmarkEnd w:id="847"/>
      <w:bookmarkEnd w:id="848"/>
      <w:r>
        <w:rPr>
          <w:rFonts w:hint="eastAsia"/>
          <w:color w:val="auto"/>
        </w:rPr>
        <w:t xml:space="preserve"> </w:t>
      </w:r>
    </w:p>
    <w:bookmarkEnd w:id="0"/>
    <w:bookmarkEnd w:id="254"/>
    <w:bookmarkEnd w:id="642"/>
    <w:p w14:paraId="421FEF91">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CCC440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554BBCE">
      <w:pPr>
        <w:spacing w:before="312" w:beforeLines="100" w:after="312" w:afterLines="100"/>
        <w:jc w:val="left"/>
        <w:rPr>
          <w:color w:val="auto"/>
          <w:sz w:val="24"/>
        </w:rPr>
      </w:pPr>
      <w:r>
        <w:rPr>
          <w:rFonts w:hint="eastAsia" w:ascii="宋体" w:hAnsi="宋体" w:cs="宋体"/>
          <w:color w:val="auto"/>
          <w:sz w:val="24"/>
        </w:rPr>
        <w:t>日期：      年   月   日</w:t>
      </w:r>
    </w:p>
    <w:p w14:paraId="19235D5C">
      <w:pPr>
        <w:pStyle w:val="6"/>
        <w:ind w:left="0" w:firstLine="0"/>
        <w:jc w:val="left"/>
        <w:rPr>
          <w:color w:val="auto"/>
        </w:rPr>
      </w:pPr>
      <w:bookmarkStart w:id="849" w:name="_Toc19427"/>
      <w:r>
        <w:rPr>
          <w:rFonts w:hint="eastAsia"/>
          <w:color w:val="auto"/>
        </w:rPr>
        <w:t>评分标准索引表</w:t>
      </w:r>
      <w:bookmarkEnd w:id="849"/>
    </w:p>
    <w:p w14:paraId="7C5D297B">
      <w:pPr>
        <w:jc w:val="center"/>
        <w:rPr>
          <w:color w:val="auto"/>
          <w:sz w:val="36"/>
          <w:szCs w:val="36"/>
        </w:rPr>
      </w:pPr>
      <w:r>
        <w:rPr>
          <w:rFonts w:hint="eastAsia"/>
          <w:color w:val="auto"/>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6E3991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5192B55A">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4E147088">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21C9AFF5">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2F128F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5CD6E44E">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4252B90C">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219628B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F69DEEE">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C944EBF">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7082F7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2789948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A38487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A8CB78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25F008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C17BA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B18AF4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957405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1B06CC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097881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9386F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9FEC738">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0FFE98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E22C93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044DE0D">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DC61C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62D0CE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D71342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44C22C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6CF1CA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D906D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68A776A">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897844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94E3CA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75DFA82">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8B362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30283A37">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FC6F66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FCA04E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B432A46">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8F279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1D6855CD">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62497D5A">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14CCAC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C4EE346">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1FDEC0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1FD3B4E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2FE5429">
            <w:pPr>
              <w:rPr>
                <w:color w:val="auto"/>
                <w:sz w:val="24"/>
                <w:szCs w:val="24"/>
              </w:rPr>
            </w:pPr>
          </w:p>
          <w:p w14:paraId="4931C01E">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24EBA6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4C0D276">
            <w:pPr>
              <w:jc w:val="left"/>
              <w:rPr>
                <w:rFonts w:ascii="楷体_GB2312" w:eastAsia="楷体_GB2312"/>
                <w:color w:val="auto"/>
                <w:sz w:val="24"/>
                <w:szCs w:val="24"/>
              </w:rPr>
            </w:pPr>
            <w:r>
              <w:rPr>
                <w:rFonts w:hint="eastAsia" w:ascii="仿宋_GB2312" w:eastAsia="仿宋_GB2312"/>
                <w:color w:val="auto"/>
                <w:sz w:val="24"/>
                <w:szCs w:val="24"/>
              </w:rPr>
              <w:t>……</w:t>
            </w:r>
          </w:p>
        </w:tc>
      </w:tr>
      <w:tr w14:paraId="7E4E72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682C799">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AB802C4">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EC471B6">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F2368E7">
            <w:pPr>
              <w:jc w:val="left"/>
              <w:rPr>
                <w:rFonts w:ascii="楷体_GB2312" w:eastAsia="楷体_GB2312"/>
                <w:color w:val="auto"/>
                <w:sz w:val="24"/>
                <w:szCs w:val="24"/>
              </w:rPr>
            </w:pPr>
          </w:p>
        </w:tc>
      </w:tr>
      <w:tr w14:paraId="6FBA1D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5355592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155127A">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98B217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B36219E">
            <w:pPr>
              <w:jc w:val="left"/>
              <w:rPr>
                <w:rFonts w:ascii="楷体_GB2312" w:eastAsia="楷体_GB2312"/>
                <w:color w:val="auto"/>
                <w:sz w:val="24"/>
                <w:szCs w:val="24"/>
              </w:rPr>
            </w:pPr>
          </w:p>
        </w:tc>
      </w:tr>
      <w:tr w14:paraId="19B071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011CC36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F9F20AB">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7336AC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E70A74F">
            <w:pPr>
              <w:jc w:val="left"/>
              <w:rPr>
                <w:rFonts w:ascii="楷体_GB2312" w:eastAsia="楷体_GB2312"/>
                <w:color w:val="auto"/>
                <w:sz w:val="24"/>
                <w:szCs w:val="24"/>
              </w:rPr>
            </w:pPr>
          </w:p>
        </w:tc>
      </w:tr>
      <w:tr w14:paraId="19C391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1B9081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CE7E78B">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B70E5C0">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B19B65C">
            <w:pPr>
              <w:jc w:val="left"/>
              <w:rPr>
                <w:rFonts w:ascii="楷体_GB2312" w:eastAsia="楷体_GB2312"/>
                <w:color w:val="auto"/>
                <w:sz w:val="24"/>
                <w:szCs w:val="24"/>
              </w:rPr>
            </w:pPr>
          </w:p>
        </w:tc>
      </w:tr>
      <w:tr w14:paraId="13AEF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5775EC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CA524E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DBD7BB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BEE3B54">
            <w:pPr>
              <w:jc w:val="left"/>
              <w:rPr>
                <w:rFonts w:ascii="楷体_GB2312" w:eastAsia="楷体_GB2312"/>
                <w:color w:val="auto"/>
                <w:sz w:val="24"/>
                <w:szCs w:val="24"/>
              </w:rPr>
            </w:pPr>
          </w:p>
        </w:tc>
      </w:tr>
    </w:tbl>
    <w:p w14:paraId="1099ABCB">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1E883">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118AA377">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63F8323A">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2858D648">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318744FE">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76A249FE">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7636820"/>
    </w:sdtPr>
    <w:sdtContent>
      <w:p w14:paraId="7BB409E9">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48083DAA">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C7AB5">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B539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1607C"/>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3EF3"/>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7816DB"/>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0A647F"/>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3D3372"/>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74E1569"/>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BD91FAD"/>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6F0E53"/>
    <w:rsid w:val="41CE2CE1"/>
    <w:rsid w:val="41D50910"/>
    <w:rsid w:val="42311557"/>
    <w:rsid w:val="42466D08"/>
    <w:rsid w:val="42655CCD"/>
    <w:rsid w:val="42801AE4"/>
    <w:rsid w:val="42A560BC"/>
    <w:rsid w:val="42C53929"/>
    <w:rsid w:val="42CF43AB"/>
    <w:rsid w:val="42FD37A7"/>
    <w:rsid w:val="43042F99"/>
    <w:rsid w:val="43213292"/>
    <w:rsid w:val="433576D8"/>
    <w:rsid w:val="43CB0A25"/>
    <w:rsid w:val="43EE26C4"/>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334CC1"/>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4613D7"/>
    <w:rsid w:val="595D4F93"/>
    <w:rsid w:val="59933DC0"/>
    <w:rsid w:val="59DB5516"/>
    <w:rsid w:val="59F976BD"/>
    <w:rsid w:val="5A07181E"/>
    <w:rsid w:val="5A3C597F"/>
    <w:rsid w:val="5A412DEA"/>
    <w:rsid w:val="5A881B78"/>
    <w:rsid w:val="5AB0041A"/>
    <w:rsid w:val="5AD13F62"/>
    <w:rsid w:val="5B647768"/>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903501"/>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AC0ADB"/>
    <w:rsid w:val="75C0317E"/>
    <w:rsid w:val="76083C1D"/>
    <w:rsid w:val="76866775"/>
    <w:rsid w:val="768C5B5D"/>
    <w:rsid w:val="769E7DAB"/>
    <w:rsid w:val="76AE283F"/>
    <w:rsid w:val="76B42471"/>
    <w:rsid w:val="76DA2CF4"/>
    <w:rsid w:val="770472F5"/>
    <w:rsid w:val="775C0AB5"/>
    <w:rsid w:val="7797212E"/>
    <w:rsid w:val="77AE407D"/>
    <w:rsid w:val="785173F2"/>
    <w:rsid w:val="785D2EF0"/>
    <w:rsid w:val="78913A5E"/>
    <w:rsid w:val="78E40A8A"/>
    <w:rsid w:val="790A76C0"/>
    <w:rsid w:val="791D4BC5"/>
    <w:rsid w:val="79352EE7"/>
    <w:rsid w:val="797D0282"/>
    <w:rsid w:val="79866985"/>
    <w:rsid w:val="798D7B3C"/>
    <w:rsid w:val="79950701"/>
    <w:rsid w:val="7A4F73D6"/>
    <w:rsid w:val="7AA2699A"/>
    <w:rsid w:val="7B140310"/>
    <w:rsid w:val="7B5E1D50"/>
    <w:rsid w:val="7B636AFA"/>
    <w:rsid w:val="7B7760C9"/>
    <w:rsid w:val="7B8414B2"/>
    <w:rsid w:val="7C376D58"/>
    <w:rsid w:val="7C6F730C"/>
    <w:rsid w:val="7C9020F0"/>
    <w:rsid w:val="7CCB17EF"/>
    <w:rsid w:val="7CD82E9A"/>
    <w:rsid w:val="7D00550F"/>
    <w:rsid w:val="7D344D95"/>
    <w:rsid w:val="7D450117"/>
    <w:rsid w:val="7D485DF1"/>
    <w:rsid w:val="7D5052A6"/>
    <w:rsid w:val="7E2824B1"/>
    <w:rsid w:val="7E4F670F"/>
    <w:rsid w:val="7E6E2528"/>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60"/>
    <w:qFormat/>
    <w:uiPriority w:val="99"/>
    <w:pPr>
      <w:keepNext/>
      <w:keepLines/>
      <w:spacing w:before="280" w:after="290" w:line="376" w:lineRule="auto"/>
      <w:outlineLvl w:val="4"/>
    </w:pPr>
    <w:rPr>
      <w:b/>
      <w:bCs/>
      <w:sz w:val="28"/>
      <w:szCs w:val="28"/>
    </w:rPr>
  </w:style>
  <w:style w:type="paragraph" w:styleId="10">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4"/>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1"/>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styleId="21">
    <w:name w:val="Body Text First Indent"/>
    <w:basedOn w:val="20"/>
    <w:link w:val="68"/>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2"/>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3"/>
    <w:qFormat/>
    <w:uiPriority w:val="99"/>
    <w:pPr>
      <w:ind w:left="2500" w:leftChars="2500"/>
    </w:pPr>
    <w:rPr>
      <w:rFonts w:ascii="宋体" w:hAnsi="宋体"/>
      <w:kern w:val="2"/>
      <w:sz w:val="24"/>
    </w:rPr>
  </w:style>
  <w:style w:type="paragraph" w:styleId="29">
    <w:name w:val="Body Text Indent 2"/>
    <w:basedOn w:val="1"/>
    <w:link w:val="74"/>
    <w:qFormat/>
    <w:uiPriority w:val="99"/>
    <w:pPr>
      <w:spacing w:after="120" w:line="480" w:lineRule="auto"/>
      <w:ind w:left="420" w:leftChars="200"/>
    </w:pPr>
    <w:rPr>
      <w:kern w:val="2"/>
    </w:rPr>
  </w:style>
  <w:style w:type="paragraph" w:styleId="30">
    <w:name w:val="Balloon Text"/>
    <w:basedOn w:val="1"/>
    <w:link w:val="75"/>
    <w:qFormat/>
    <w:uiPriority w:val="99"/>
    <w:rPr>
      <w:sz w:val="18"/>
    </w:rPr>
  </w:style>
  <w:style w:type="paragraph" w:styleId="31">
    <w:name w:val="footer"/>
    <w:basedOn w:val="1"/>
    <w:link w:val="76"/>
    <w:qFormat/>
    <w:uiPriority w:val="99"/>
    <w:pPr>
      <w:tabs>
        <w:tab w:val="center" w:pos="4153"/>
        <w:tab w:val="right" w:pos="8306"/>
      </w:tabs>
      <w:snapToGrid w:val="0"/>
      <w:jc w:val="left"/>
    </w:pPr>
    <w:rPr>
      <w:sz w:val="18"/>
    </w:rPr>
  </w:style>
  <w:style w:type="paragraph" w:styleId="32">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80"/>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1"/>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6"/>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character" w:customStyle="1" w:styleId="53">
    <w:name w:val="标题 1 Char"/>
    <w:qFormat/>
    <w:uiPriority w:val="99"/>
    <w:rPr>
      <w:rFonts w:eastAsia="黑体"/>
      <w:b/>
      <w:snapToGrid w:val="0"/>
      <w:kern w:val="44"/>
      <w:sz w:val="36"/>
      <w:lang w:val="en-US" w:eastAsia="zh-CN"/>
    </w:rPr>
  </w:style>
  <w:style w:type="paragraph" w:customStyle="1" w:styleId="54">
    <w:name w:val="Default"/>
    <w:next w:val="55"/>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5">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6">
    <w:name w:val="标题 1 字符"/>
    <w:basedOn w:val="47"/>
    <w:link w:val="4"/>
    <w:qFormat/>
    <w:locked/>
    <w:uiPriority w:val="99"/>
    <w:rPr>
      <w:rFonts w:eastAsia="黑体" w:cs="Times New Roman"/>
      <w:b/>
      <w:kern w:val="44"/>
      <w:sz w:val="36"/>
    </w:rPr>
  </w:style>
  <w:style w:type="character" w:customStyle="1" w:styleId="57">
    <w:name w:val="标题 2 字符"/>
    <w:basedOn w:val="47"/>
    <w:link w:val="5"/>
    <w:qFormat/>
    <w:locked/>
    <w:uiPriority w:val="99"/>
    <w:rPr>
      <w:rFonts w:ascii="Arial" w:hAnsi="Arial" w:eastAsia="黑体" w:cs="Times New Roman"/>
      <w:b/>
      <w:snapToGrid w:val="0"/>
      <w:kern w:val="44"/>
      <w:sz w:val="28"/>
    </w:rPr>
  </w:style>
  <w:style w:type="character" w:customStyle="1" w:styleId="58">
    <w:name w:val="标题 3 字符"/>
    <w:basedOn w:val="47"/>
    <w:link w:val="6"/>
    <w:qFormat/>
    <w:locked/>
    <w:uiPriority w:val="99"/>
    <w:rPr>
      <w:rFonts w:ascii="宋体" w:cs="Times New Roman"/>
      <w:b/>
      <w:kern w:val="2"/>
      <w:sz w:val="28"/>
    </w:rPr>
  </w:style>
  <w:style w:type="character" w:customStyle="1" w:styleId="59">
    <w:name w:val="标题 4 字符"/>
    <w:basedOn w:val="47"/>
    <w:link w:val="7"/>
    <w:qFormat/>
    <w:locked/>
    <w:uiPriority w:val="99"/>
    <w:rPr>
      <w:rFonts w:ascii="黑体" w:eastAsia="黑体" w:cs="Times New Roman"/>
      <w:b/>
      <w:kern w:val="2"/>
      <w:sz w:val="24"/>
    </w:rPr>
  </w:style>
  <w:style w:type="character" w:customStyle="1" w:styleId="60">
    <w:name w:val="标题 5 字符"/>
    <w:basedOn w:val="47"/>
    <w:link w:val="9"/>
    <w:qFormat/>
    <w:locked/>
    <w:uiPriority w:val="99"/>
    <w:rPr>
      <w:rFonts w:cs="Times New Roman"/>
      <w:b/>
      <w:snapToGrid w:val="0"/>
      <w:sz w:val="28"/>
    </w:rPr>
  </w:style>
  <w:style w:type="character" w:customStyle="1" w:styleId="61">
    <w:name w:val="标题 6 字符"/>
    <w:basedOn w:val="47"/>
    <w:link w:val="10"/>
    <w:qFormat/>
    <w:locked/>
    <w:uiPriority w:val="99"/>
    <w:rPr>
      <w:rFonts w:ascii="黑体" w:hAnsi="黑体" w:eastAsia="楷体" w:cs="Times New Roman"/>
      <w:b/>
      <w:kern w:val="2"/>
      <w:sz w:val="24"/>
    </w:rPr>
  </w:style>
  <w:style w:type="character" w:customStyle="1" w:styleId="62">
    <w:name w:val="标题 7 字符"/>
    <w:basedOn w:val="47"/>
    <w:link w:val="11"/>
    <w:qFormat/>
    <w:locked/>
    <w:uiPriority w:val="99"/>
    <w:rPr>
      <w:rFonts w:ascii="Arial" w:hAnsi="Arial" w:cs="Times New Roman"/>
      <w:b/>
      <w:kern w:val="2"/>
      <w:sz w:val="24"/>
    </w:rPr>
  </w:style>
  <w:style w:type="character" w:customStyle="1" w:styleId="63">
    <w:name w:val="标题 8 字符"/>
    <w:basedOn w:val="47"/>
    <w:link w:val="12"/>
    <w:qFormat/>
    <w:locked/>
    <w:uiPriority w:val="99"/>
    <w:rPr>
      <w:rFonts w:ascii="黑体" w:hAnsi="黑体" w:eastAsia="楷体" w:cs="Times New Roman"/>
      <w:kern w:val="2"/>
      <w:sz w:val="24"/>
    </w:rPr>
  </w:style>
  <w:style w:type="character" w:customStyle="1" w:styleId="64">
    <w:name w:val="标题 9 字符"/>
    <w:basedOn w:val="47"/>
    <w:link w:val="13"/>
    <w:qFormat/>
    <w:locked/>
    <w:uiPriority w:val="99"/>
    <w:rPr>
      <w:rFonts w:ascii="黑体" w:hAnsi="黑体" w:eastAsia="楷体" w:cs="Times New Roman"/>
      <w:kern w:val="2"/>
      <w:sz w:val="21"/>
    </w:rPr>
  </w:style>
  <w:style w:type="character" w:customStyle="1" w:styleId="65">
    <w:name w:val="批注文字 字符"/>
    <w:basedOn w:val="47"/>
    <w:link w:val="18"/>
    <w:qFormat/>
    <w:locked/>
    <w:uiPriority w:val="99"/>
    <w:rPr>
      <w:rFonts w:cs="Times New Roman"/>
      <w:kern w:val="2"/>
      <w:sz w:val="21"/>
    </w:rPr>
  </w:style>
  <w:style w:type="character" w:customStyle="1" w:styleId="66">
    <w:name w:val="批注主题 字符"/>
    <w:basedOn w:val="65"/>
    <w:link w:val="44"/>
    <w:qFormat/>
    <w:locked/>
    <w:uiPriority w:val="99"/>
    <w:rPr>
      <w:rFonts w:cs="Times New Roman"/>
      <w:b/>
      <w:kern w:val="2"/>
      <w:sz w:val="21"/>
    </w:rPr>
  </w:style>
  <w:style w:type="character" w:customStyle="1" w:styleId="67">
    <w:name w:val="正文文本 字符"/>
    <w:basedOn w:val="47"/>
    <w:link w:val="20"/>
    <w:qFormat/>
    <w:locked/>
    <w:uiPriority w:val="99"/>
    <w:rPr>
      <w:rFonts w:cs="Times New Roman"/>
      <w:snapToGrid w:val="0"/>
      <w:sz w:val="21"/>
    </w:rPr>
  </w:style>
  <w:style w:type="character" w:customStyle="1" w:styleId="68">
    <w:name w:val="正文文本首行缩进 字符"/>
    <w:basedOn w:val="67"/>
    <w:link w:val="21"/>
    <w:qFormat/>
    <w:locked/>
    <w:uiPriority w:val="99"/>
    <w:rPr>
      <w:rFonts w:cs="Times New Roman"/>
      <w:snapToGrid w:val="0"/>
      <w:sz w:val="21"/>
    </w:rPr>
  </w:style>
  <w:style w:type="character" w:customStyle="1" w:styleId="69">
    <w:name w:val="文档结构图 字符"/>
    <w:basedOn w:val="47"/>
    <w:link w:val="17"/>
    <w:qFormat/>
    <w:locked/>
    <w:uiPriority w:val="99"/>
    <w:rPr>
      <w:rFonts w:cs="Times New Roman"/>
      <w:snapToGrid w:val="0"/>
      <w:sz w:val="21"/>
      <w:shd w:val="clear" w:color="auto" w:fill="000080"/>
    </w:rPr>
  </w:style>
  <w:style w:type="character" w:customStyle="1" w:styleId="70">
    <w:name w:val="正文文本 3 字符"/>
    <w:basedOn w:val="47"/>
    <w:link w:val="19"/>
    <w:semiHidden/>
    <w:qFormat/>
    <w:locked/>
    <w:uiPriority w:val="99"/>
    <w:rPr>
      <w:rFonts w:cs="Times New Roman"/>
      <w:kern w:val="0"/>
      <w:sz w:val="16"/>
      <w:szCs w:val="16"/>
    </w:rPr>
  </w:style>
  <w:style w:type="character" w:customStyle="1" w:styleId="71">
    <w:name w:val="正文文本缩进 字符"/>
    <w:basedOn w:val="47"/>
    <w:link w:val="3"/>
    <w:qFormat/>
    <w:locked/>
    <w:uiPriority w:val="99"/>
    <w:rPr>
      <w:rFonts w:ascii="宋体" w:eastAsia="宋体" w:cs="Times New Roman"/>
      <w:snapToGrid w:val="0"/>
      <w:sz w:val="24"/>
    </w:rPr>
  </w:style>
  <w:style w:type="character" w:customStyle="1" w:styleId="72">
    <w:name w:val="纯文本 字符"/>
    <w:basedOn w:val="47"/>
    <w:link w:val="26"/>
    <w:qFormat/>
    <w:locked/>
    <w:uiPriority w:val="99"/>
    <w:rPr>
      <w:rFonts w:ascii="宋体" w:hAnsi="Courier New" w:cs="Times New Roman"/>
      <w:sz w:val="18"/>
    </w:rPr>
  </w:style>
  <w:style w:type="character" w:customStyle="1" w:styleId="73">
    <w:name w:val="日期 字符"/>
    <w:basedOn w:val="47"/>
    <w:link w:val="28"/>
    <w:qFormat/>
    <w:locked/>
    <w:uiPriority w:val="99"/>
    <w:rPr>
      <w:rFonts w:ascii="宋体" w:eastAsia="宋体" w:cs="Times New Roman"/>
      <w:kern w:val="2"/>
      <w:sz w:val="24"/>
    </w:rPr>
  </w:style>
  <w:style w:type="character" w:customStyle="1" w:styleId="74">
    <w:name w:val="正文文本缩进 2 字符"/>
    <w:basedOn w:val="47"/>
    <w:link w:val="29"/>
    <w:qFormat/>
    <w:locked/>
    <w:uiPriority w:val="99"/>
    <w:rPr>
      <w:rFonts w:cs="Times New Roman"/>
      <w:kern w:val="2"/>
      <w:sz w:val="21"/>
    </w:rPr>
  </w:style>
  <w:style w:type="character" w:customStyle="1" w:styleId="75">
    <w:name w:val="批注框文本 字符"/>
    <w:basedOn w:val="47"/>
    <w:link w:val="30"/>
    <w:qFormat/>
    <w:locked/>
    <w:uiPriority w:val="99"/>
    <w:rPr>
      <w:rFonts w:cs="Times New Roman"/>
      <w:snapToGrid w:val="0"/>
      <w:sz w:val="18"/>
    </w:rPr>
  </w:style>
  <w:style w:type="character" w:customStyle="1" w:styleId="76">
    <w:name w:val="页脚 字符"/>
    <w:basedOn w:val="47"/>
    <w:link w:val="31"/>
    <w:qFormat/>
    <w:locked/>
    <w:uiPriority w:val="99"/>
    <w:rPr>
      <w:rFonts w:eastAsia="宋体" w:cs="Times New Roman"/>
      <w:snapToGrid w:val="0"/>
      <w:sz w:val="18"/>
      <w:lang w:val="en-US" w:eastAsia="zh-CN"/>
    </w:rPr>
  </w:style>
  <w:style w:type="character" w:customStyle="1" w:styleId="77">
    <w:name w:val="正文文本首行缩进 2 字符"/>
    <w:basedOn w:val="71"/>
    <w:link w:val="2"/>
    <w:qFormat/>
    <w:locked/>
    <w:uiPriority w:val="99"/>
    <w:rPr>
      <w:rFonts w:ascii="宋体" w:eastAsia="宋体" w:cs="Times New Roman"/>
      <w:snapToGrid w:val="0"/>
      <w:kern w:val="2"/>
      <w:sz w:val="24"/>
    </w:rPr>
  </w:style>
  <w:style w:type="character" w:customStyle="1" w:styleId="78">
    <w:name w:val="页眉 字符"/>
    <w:basedOn w:val="47"/>
    <w:link w:val="32"/>
    <w:qFormat/>
    <w:locked/>
    <w:uiPriority w:val="99"/>
    <w:rPr>
      <w:rFonts w:eastAsia="宋体" w:cs="Times New Roman"/>
      <w:snapToGrid w:val="0"/>
      <w:sz w:val="18"/>
      <w:lang w:val="en-US" w:eastAsia="zh-CN"/>
    </w:rPr>
  </w:style>
  <w:style w:type="character" w:customStyle="1" w:styleId="79">
    <w:name w:val="副标题 字符"/>
    <w:basedOn w:val="47"/>
    <w:link w:val="35"/>
    <w:qFormat/>
    <w:locked/>
    <w:uiPriority w:val="99"/>
    <w:rPr>
      <w:rFonts w:ascii="Cambria" w:hAnsi="Cambria" w:cs="Times New Roman"/>
      <w:b/>
      <w:snapToGrid w:val="0"/>
      <w:kern w:val="28"/>
      <w:sz w:val="32"/>
    </w:rPr>
  </w:style>
  <w:style w:type="character" w:customStyle="1" w:styleId="80">
    <w:name w:val="正文文本缩进 3 字符"/>
    <w:basedOn w:val="47"/>
    <w:link w:val="38"/>
    <w:qFormat/>
    <w:locked/>
    <w:uiPriority w:val="99"/>
    <w:rPr>
      <w:rFonts w:cs="Times New Roman"/>
      <w:snapToGrid w:val="0"/>
      <w:sz w:val="16"/>
    </w:rPr>
  </w:style>
  <w:style w:type="character" w:customStyle="1" w:styleId="81">
    <w:name w:val="正文文本 2 字符"/>
    <w:basedOn w:val="47"/>
    <w:link w:val="41"/>
    <w:qFormat/>
    <w:locked/>
    <w:uiPriority w:val="99"/>
    <w:rPr>
      <w:rFonts w:eastAsia="宋体" w:cs="Times New Roman"/>
      <w:kern w:val="2"/>
      <w:sz w:val="24"/>
      <w:lang w:val="en-US" w:eastAsia="zh-CN"/>
    </w:rPr>
  </w:style>
  <w:style w:type="character" w:customStyle="1" w:styleId="82">
    <w:name w:val="标题 字符"/>
    <w:basedOn w:val="47"/>
    <w:link w:val="43"/>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7"/>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7"/>
    <w:qFormat/>
    <w:uiPriority w:val="99"/>
    <w:rPr>
      <w:rFonts w:ascii="Calibri" w:hAnsi="Calibri"/>
      <w:b/>
      <w:color w:val="000000"/>
      <w:sz w:val="24"/>
      <w:u w:val="none"/>
    </w:rPr>
  </w:style>
  <w:style w:type="character" w:customStyle="1" w:styleId="88">
    <w:name w:val="font31"/>
    <w:basedOn w:val="47"/>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正文文字3"/>
    <w:basedOn w:val="20"/>
    <w:qFormat/>
    <w:uiPriority w:val="0"/>
    <w:pPr>
      <w:adjustRightInd w:val="0"/>
      <w:spacing w:line="360" w:lineRule="atLeast"/>
      <w:ind w:left="72" w:leftChars="30" w:right="72" w:rightChars="30"/>
      <w:textAlignment w:val="baseline"/>
    </w:pPr>
    <w:rPr>
      <w:kern w:val="0"/>
      <w:sz w:val="21"/>
      <w:szCs w:val="20"/>
    </w:rPr>
  </w:style>
  <w:style w:type="paragraph" w:customStyle="1" w:styleId="196">
    <w:name w:val="正文文字1"/>
    <w:basedOn w:val="20"/>
    <w:qFormat/>
    <w:uiPriority w:val="0"/>
    <w:pPr>
      <w:adjustRightInd w:val="0"/>
      <w:spacing w:line="360" w:lineRule="atLeast"/>
      <w:ind w:left="72" w:leftChars="30" w:right="72" w:rightChars="30"/>
      <w:textAlignment w:val="baseline"/>
    </w:pPr>
    <w:rPr>
      <w:kern w:val="0"/>
      <w:sz w:val="21"/>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41</Pages>
  <Words>23134</Words>
  <Characters>24135</Characters>
  <Lines>257</Lines>
  <Paragraphs>72</Paragraphs>
  <TotalTime>47</TotalTime>
  <ScaleCrop>false</ScaleCrop>
  <LinksUpToDate>false</LinksUpToDate>
  <CharactersWithSpaces>25622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2018-07-16T07:39:00Z</dcterms:created>
  <dc:creator>小周</dc:creator>
  <cp:lastModifiedBy>我不绝望</cp:lastModifiedBy>
  <cp:lastPrinted>2021-06-24T02:10:00Z</cp:lastPrinted>
  <dcterms:modified xsi:type="dcterms:W3CDTF">2025-09-09T08:20:26Z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8EDFB732A38A4CAC96E18AD3A56F0EB4</vt:lpwstr>
  </property>
  <property fmtid="{D5CDD505-2E9C-101B-9397-08002B2CF9AE}" pid="4" name="KSOTemplateDocerSaveRecord">
    <vt:lpwstr>eyJoZGlkIjoiYmZkNTU4MjU5MTQ4N2U3YWJhOWQ2NTliNDk4NzBhNDAiLCJ1c2VySWQiOiIzMTc1NTUxMjIifQ==</vt:lpwstr>
  </property>
</Properties>
</file>