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探测预警与信息对抗研究院设备采购</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探测预警与信息对抗研究院设备采购</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QSZB-Z(H)-B23314(CS)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[2023]54546号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探测预警与信息对抗研究院设备采购</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2023年</w:t>
      </w:r>
      <w:r>
        <w:rPr>
          <w:rFonts w:hint="eastAsia"/>
          <w:b/>
          <w:color w:val="auto"/>
          <w:sz w:val="21"/>
          <w:szCs w:val="21"/>
          <w:highlight w:val="none"/>
          <w:u w:val="single"/>
          <w:lang w:eastAsia="zh-CN"/>
        </w:rPr>
        <w:t>8月18日13:30:00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02"/>
      <w:bookmarkStart w:id="1" w:name="_Toc35393621"/>
      <w:bookmarkStart w:id="2" w:name="_Toc28359079"/>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QSZB-Z(H)-B23314(CS)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探测预警与信息对抗研究院设备采购</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color w:val="auto"/>
          <w:sz w:val="21"/>
          <w:szCs w:val="21"/>
          <w:highlight w:val="none"/>
          <w:lang w:val="en-US"/>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738000</w:t>
      </w:r>
    </w:p>
    <w:p>
      <w:pPr>
        <w:adjustRightInd w:val="0"/>
        <w:snapToGrid w:val="0"/>
        <w:spacing w:line="288" w:lineRule="auto"/>
        <w:ind w:firstLine="420" w:firstLineChars="200"/>
        <w:rPr>
          <w:rFonts w:hint="eastAsia" w:eastAsia="宋体"/>
          <w:color w:val="auto"/>
          <w:sz w:val="21"/>
          <w:szCs w:val="21"/>
          <w:highlight w:val="none"/>
          <w:lang w:val="en-US" w:eastAsia="zh-CN"/>
        </w:rPr>
      </w:pPr>
      <w:r>
        <w:rPr>
          <w:color w:val="auto"/>
          <w:sz w:val="21"/>
          <w:szCs w:val="21"/>
          <w:highlight w:val="none"/>
        </w:rPr>
        <w:t>5.</w:t>
      </w:r>
      <w:r>
        <w:rPr>
          <w:rFonts w:hint="eastAsia"/>
          <w:color w:val="auto"/>
          <w:sz w:val="21"/>
          <w:szCs w:val="21"/>
          <w:highlight w:val="none"/>
        </w:rPr>
        <w:t>最高限价（元）：738000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z w:val="21"/>
          <w:szCs w:val="21"/>
          <w:highlight w:val="none"/>
          <w:lang w:val="en-US" w:eastAsia="zh-CN"/>
        </w:rPr>
        <w:t>自</w:t>
      </w:r>
      <w:r>
        <w:rPr>
          <w:rFonts w:hint="eastAsia"/>
          <w:color w:val="auto"/>
          <w:spacing w:val="-6"/>
          <w:sz w:val="21"/>
          <w:szCs w:val="21"/>
          <w:highlight w:val="none"/>
        </w:rPr>
        <w:t>合同签订之日起</w:t>
      </w:r>
      <w:r>
        <w:rPr>
          <w:rFonts w:hint="eastAsia"/>
          <w:color w:val="auto"/>
          <w:spacing w:val="-6"/>
          <w:sz w:val="21"/>
          <w:szCs w:val="21"/>
          <w:highlight w:val="none"/>
          <w:lang w:val="en-US" w:eastAsia="zh-CN"/>
        </w:rPr>
        <w:t>45</w:t>
      </w:r>
      <w:r>
        <w:rPr>
          <w:rFonts w:hint="eastAsia"/>
          <w:color w:val="auto"/>
          <w:spacing w:val="-6"/>
          <w:sz w:val="21"/>
          <w:szCs w:val="21"/>
          <w:highlight w:val="none"/>
        </w:rPr>
        <w:t>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2"/>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rFonts w:hint="eastAsia" w:eastAsia="宋体"/>
                <w:bCs/>
                <w:color w:val="auto"/>
                <w:sz w:val="21"/>
                <w:szCs w:val="21"/>
                <w:highlight w:val="none"/>
                <w:lang w:eastAsia="zh-CN"/>
              </w:rPr>
            </w:pPr>
            <w:r>
              <w:rPr>
                <w:rFonts w:hint="eastAsia"/>
                <w:bCs/>
                <w:color w:val="auto"/>
                <w:sz w:val="21"/>
                <w:szCs w:val="21"/>
                <w:highlight w:val="none"/>
                <w:lang w:eastAsia="zh-CN"/>
              </w:rPr>
              <w:t>探测预警与信息对抗研究院设备采购</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rFonts w:hint="eastAsia" w:eastAsia="宋体"/>
                <w:bCs/>
                <w:color w:val="auto"/>
                <w:sz w:val="21"/>
                <w:szCs w:val="21"/>
                <w:highlight w:val="none"/>
                <w:lang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35393791"/>
      <w:bookmarkStart w:id="6" w:name="_Toc35393622"/>
      <w:bookmarkStart w:id="7" w:name="_Toc28359003"/>
      <w:bookmarkStart w:id="8" w:name="_Toc28359080"/>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w:t>
      </w:r>
      <w:r>
        <w:rPr>
          <w:rFonts w:hint="eastAsia" w:cs="Times New Roman"/>
          <w:color w:val="auto"/>
          <w:sz w:val="21"/>
          <w:szCs w:val="21"/>
          <w:highlight w:val="none"/>
          <w:lang w:val="en-US" w:eastAsia="zh-CN"/>
        </w:rPr>
        <w:t>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624"/>
      <w:bookmarkStart w:id="14" w:name="_Toc28359082"/>
      <w:bookmarkStart w:id="15" w:name="_Toc28359005"/>
      <w:bookmarkStart w:id="16" w:name="_Toc35393793"/>
      <w:r>
        <w:rPr>
          <w:rFonts w:hint="eastAsia"/>
          <w:color w:val="auto"/>
          <w:sz w:val="21"/>
          <w:szCs w:val="21"/>
          <w:highlight w:val="none"/>
        </w:rPr>
        <w:t>时间：2023年</w:t>
      </w:r>
      <w:r>
        <w:rPr>
          <w:rFonts w:hint="eastAsia"/>
          <w:color w:val="auto"/>
          <w:sz w:val="21"/>
          <w:szCs w:val="21"/>
          <w:highlight w:val="none"/>
          <w:lang w:val="en-US" w:eastAsia="zh-CN"/>
        </w:rPr>
        <w:t>8</w:t>
      </w:r>
      <w:r>
        <w:rPr>
          <w:rFonts w:hint="eastAsia"/>
          <w:color w:val="auto"/>
          <w:sz w:val="21"/>
          <w:szCs w:val="21"/>
          <w:highlight w:val="none"/>
        </w:rPr>
        <w:t>月</w:t>
      </w:r>
      <w:r>
        <w:rPr>
          <w:rFonts w:hint="eastAsia"/>
          <w:color w:val="auto"/>
          <w:sz w:val="21"/>
          <w:szCs w:val="21"/>
          <w:highlight w:val="none"/>
          <w:lang w:val="en-US" w:eastAsia="zh-CN"/>
        </w:rPr>
        <w:t>7</w:t>
      </w:r>
      <w:r>
        <w:rPr>
          <w:rFonts w:hint="eastAsia"/>
          <w:color w:val="auto"/>
          <w:sz w:val="21"/>
          <w:szCs w:val="21"/>
          <w:highlight w:val="none"/>
        </w:rPr>
        <w:t>日至2023年</w:t>
      </w:r>
      <w:r>
        <w:rPr>
          <w:rFonts w:hint="eastAsia"/>
          <w:color w:val="auto"/>
          <w:sz w:val="21"/>
          <w:szCs w:val="21"/>
          <w:highlight w:val="none"/>
          <w:lang w:eastAsia="zh-CN"/>
        </w:rPr>
        <w:t>8月18日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截止时间：2023年</w:t>
      </w:r>
      <w:r>
        <w:rPr>
          <w:rFonts w:hint="eastAsia"/>
          <w:bCs/>
          <w:color w:val="auto"/>
          <w:sz w:val="21"/>
          <w:szCs w:val="21"/>
          <w:highlight w:val="none"/>
          <w:lang w:eastAsia="zh-CN"/>
        </w:rPr>
        <w:t>8月18日13:30:00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28359007"/>
      <w:bookmarkStart w:id="19" w:name="_Toc35393625"/>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开启时间：2023年</w:t>
      </w:r>
      <w:r>
        <w:rPr>
          <w:rFonts w:hint="eastAsia"/>
          <w:bCs/>
          <w:color w:val="auto"/>
          <w:sz w:val="21"/>
          <w:szCs w:val="21"/>
          <w:highlight w:val="none"/>
          <w:lang w:eastAsia="zh-CN"/>
        </w:rPr>
        <w:t>8月18日13:30:00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6</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08"/>
      <w:bookmarkStart w:id="24" w:name="_Toc35393627"/>
      <w:bookmarkStart w:id="25" w:name="_Toc35393796"/>
      <w:bookmarkStart w:id="26"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姚老师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13282105137</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3.同级政府采购监督管理部门</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名称：杭州电子科技大学国有资产与实验室管理处</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地址：杭州市钱塘区白杨街道2号大街1158号</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联系人：亓老师</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监督投诉电话：0571-87713574</w:t>
      </w:r>
    </w:p>
    <w:p>
      <w:pPr>
        <w:adjustRightInd w:val="0"/>
        <w:snapToGrid w:val="0"/>
        <w:spacing w:line="288" w:lineRule="auto"/>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ascii="宋体" w:hAnsi="宋体" w:eastAsia="宋体" w:cs="宋体"/>
          <w:color w:val="auto"/>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608"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302"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608"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报价</w:t>
            </w:r>
            <w:r>
              <w:rPr>
                <w:rFonts w:hint="eastAsia"/>
                <w:color w:val="auto"/>
                <w:sz w:val="21"/>
                <w:szCs w:val="21"/>
                <w:highlight w:val="none"/>
              </w:rPr>
              <w:t>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本项目属性为：货物</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三、成交方需提供增值税专用发票，开票信息如下：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bookmarkStart w:id="30"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lang w:val="en-US" w:eastAsia="zh-CN"/>
              </w:rPr>
              <w:t>自</w:t>
            </w:r>
            <w:r>
              <w:rPr>
                <w:rFonts w:hint="eastAsia"/>
                <w:color w:val="auto"/>
                <w:sz w:val="21"/>
                <w:szCs w:val="21"/>
                <w:highlight w:val="none"/>
              </w:rPr>
              <w:t>合同签订之日起</w:t>
            </w:r>
            <w:r>
              <w:rPr>
                <w:rFonts w:hint="eastAsia"/>
                <w:color w:val="auto"/>
                <w:sz w:val="21"/>
                <w:szCs w:val="21"/>
                <w:highlight w:val="none"/>
                <w:lang w:val="en-US" w:eastAsia="zh-CN"/>
              </w:rPr>
              <w:t>45</w:t>
            </w:r>
            <w:r>
              <w:rPr>
                <w:rFonts w:hint="eastAsia"/>
                <w:color w:val="auto"/>
                <w:sz w:val="21"/>
                <w:szCs w:val="21"/>
                <w:highlight w:val="none"/>
              </w:rPr>
              <w:t>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泛在计算与存储开发平台</w:t>
            </w:r>
            <w:r>
              <w:rPr>
                <w:rFonts w:hint="eastAsia"/>
                <w:color w:val="auto"/>
                <w:sz w:val="21"/>
                <w:szCs w:val="21"/>
                <w:highlight w:val="none"/>
                <w:lang w:eastAsia="zh-CN"/>
              </w:rPr>
              <w:t>、</w:t>
            </w:r>
            <w:r>
              <w:rPr>
                <w:rFonts w:hint="eastAsia"/>
                <w:color w:val="auto"/>
                <w:sz w:val="21"/>
                <w:szCs w:val="21"/>
                <w:highlight w:val="none"/>
              </w:rPr>
              <w:t>LCR数字电桥</w:t>
            </w:r>
            <w:r>
              <w:rPr>
                <w:rFonts w:hint="eastAsia"/>
                <w:color w:val="auto"/>
                <w:sz w:val="21"/>
                <w:szCs w:val="21"/>
                <w:highlight w:val="none"/>
                <w:lang w:val="en-US" w:eastAsia="zh-CN"/>
              </w:rPr>
              <w:t>3年，其余设备</w:t>
            </w:r>
            <w:r>
              <w:rPr>
                <w:rFonts w:hint="eastAsia"/>
                <w:color w:val="auto"/>
                <w:sz w:val="21"/>
                <w:szCs w:val="21"/>
                <w:highlight w:val="none"/>
              </w:rPr>
              <w:t>1年，项目验收合格后开始计算。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电话技术支持时间：2小时以内；</w:t>
            </w:r>
          </w:p>
          <w:p>
            <w:pPr>
              <w:adjustRightInd w:val="0"/>
              <w:snapToGrid w:val="0"/>
              <w:spacing w:line="288" w:lineRule="auto"/>
              <w:rPr>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w:t>
            </w:r>
            <w:r>
              <w:rPr>
                <w:color w:val="auto"/>
                <w:sz w:val="21"/>
                <w:szCs w:val="21"/>
                <w:highlight w:val="none"/>
              </w:rPr>
              <w:t xml:space="preserve"> </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.需实现的功能或者目标：满足</w:t>
      </w:r>
      <w:r>
        <w:rPr>
          <w:rFonts w:hint="eastAsia"/>
          <w:b/>
          <w:bCs/>
          <w:color w:val="auto"/>
          <w:sz w:val="21"/>
          <w:szCs w:val="21"/>
          <w:highlight w:val="none"/>
          <w:lang w:eastAsia="zh-CN"/>
        </w:rPr>
        <w:t>探测预警与信息对抗研究院设备采购</w:t>
      </w:r>
      <w:r>
        <w:rPr>
          <w:rFonts w:hint="eastAsia"/>
          <w:b/>
          <w:bCs/>
          <w:color w:val="auto"/>
          <w:sz w:val="21"/>
          <w:szCs w:val="21"/>
          <w:highlight w:val="none"/>
        </w:rPr>
        <w:t>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2"/>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47"/>
        <w:gridCol w:w="731"/>
        <w:gridCol w:w="694"/>
        <w:gridCol w:w="6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947" w:type="dxa"/>
            <w:vAlign w:val="center"/>
          </w:tcPr>
          <w:p>
            <w:pPr>
              <w:adjustRightInd w:val="0"/>
              <w:snapToGrid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731" w:type="dxa"/>
            <w:vAlign w:val="center"/>
          </w:tcPr>
          <w:p>
            <w:pPr>
              <w:adjustRightInd w:val="0"/>
              <w:snapToGrid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94" w:type="dxa"/>
            <w:vAlign w:val="center"/>
          </w:tcPr>
          <w:p>
            <w:pPr>
              <w:adjustRightInd w:val="0"/>
              <w:snapToGrid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029" w:type="dxa"/>
            <w:vAlign w:val="center"/>
          </w:tcPr>
          <w:p>
            <w:pPr>
              <w:adjustRightInd w:val="0"/>
              <w:snapToGrid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47"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泛在计算与存储开发平台</w:t>
            </w:r>
          </w:p>
          <w:p>
            <w:pPr>
              <w:adjustRightInd w:val="0"/>
              <w:snapToGrid w:val="0"/>
              <w:spacing w:line="24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核心产品</w:t>
            </w:r>
            <w:r>
              <w:rPr>
                <w:rFonts w:hint="eastAsia" w:ascii="宋体" w:hAnsi="宋体" w:eastAsia="宋体" w:cs="宋体"/>
                <w:b/>
                <w:bCs/>
                <w:color w:val="auto"/>
                <w:sz w:val="21"/>
                <w:szCs w:val="21"/>
                <w:highlight w:val="none"/>
                <w:lang w:eastAsia="zh-CN"/>
              </w:rPr>
              <w:t>）</w:t>
            </w:r>
          </w:p>
        </w:tc>
        <w:tc>
          <w:tcPr>
            <w:tcW w:w="731"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94"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029" w:type="dxa"/>
            <w:vAlign w:val="center"/>
          </w:tcPr>
          <w:p>
            <w:pPr>
              <w:pStyle w:val="4"/>
              <w:spacing w:line="240" w:lineRule="auto"/>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隐私计算工作站（</w:t>
            </w:r>
            <w:r>
              <w:rPr>
                <w:rFonts w:hint="eastAsia" w:ascii="宋体" w:hAnsi="宋体" w:eastAsia="宋体" w:cs="宋体"/>
                <w:b/>
                <w:bCs/>
                <w:color w:val="auto"/>
                <w:sz w:val="21"/>
                <w:szCs w:val="21"/>
                <w:highlight w:val="none"/>
                <w:lang w:val="en-US" w:eastAsia="zh-CN"/>
              </w:rPr>
              <w:t>2台</w:t>
            </w:r>
            <w:r>
              <w:rPr>
                <w:rFonts w:hint="eastAsia" w:ascii="宋体" w:hAnsi="宋体" w:eastAsia="宋体" w:cs="宋体"/>
                <w:b/>
                <w:bCs/>
                <w:color w:val="auto"/>
                <w:sz w:val="21"/>
                <w:szCs w:val="21"/>
                <w:highlight w:val="none"/>
                <w:lang w:eastAsia="zh-CN"/>
              </w:rPr>
              <w:t>）：</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CPU不低于：i9 13900KS；</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GPU不低于：RTX4090*2；</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不低于Intel Z790主板，支持双路GPU；</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DDR5 128G（32G*4）；</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≥2T*2 SSD+≥16T HDD；</w:t>
            </w:r>
          </w:p>
          <w:p>
            <w:pPr>
              <w:pStyle w:val="4"/>
              <w:spacing w:line="24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6.全塔式工作站机箱，服务器电源≥1600W；</w:t>
            </w:r>
          </w:p>
          <w:p>
            <w:pPr>
              <w:pStyle w:val="4"/>
              <w:spacing w:line="240" w:lineRule="auto"/>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eastAsia="zh-CN"/>
              </w:rPr>
              <w:t>固定计算与存储节点（</w:t>
            </w:r>
            <w:r>
              <w:rPr>
                <w:rFonts w:hint="eastAsia" w:ascii="宋体" w:hAnsi="宋体" w:eastAsia="宋体" w:cs="宋体"/>
                <w:b/>
                <w:bCs/>
                <w:color w:val="auto"/>
                <w:sz w:val="21"/>
                <w:szCs w:val="21"/>
                <w:highlight w:val="none"/>
                <w:lang w:val="en-US" w:eastAsia="zh-CN"/>
              </w:rPr>
              <w:t>30台</w:t>
            </w:r>
            <w:r>
              <w:rPr>
                <w:rFonts w:hint="eastAsia" w:ascii="宋体" w:hAnsi="宋体" w:eastAsia="宋体" w:cs="宋体"/>
                <w:b/>
                <w:bCs/>
                <w:color w:val="auto"/>
                <w:sz w:val="21"/>
                <w:szCs w:val="21"/>
                <w:highlight w:val="none"/>
                <w:lang w:eastAsia="zh-CN"/>
              </w:rPr>
              <w:t>）：</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CPU不低于：i5</w:t>
            </w:r>
            <w:r>
              <w:rPr>
                <w:rFonts w:hint="eastAsia" w:ascii="宋体" w:hAnsi="宋体" w:eastAsia="宋体" w:cs="宋体"/>
                <w:color w:val="auto"/>
                <w:sz w:val="21"/>
                <w:szCs w:val="21"/>
                <w:highlight w:val="none"/>
                <w:lang w:val="en-US" w:eastAsia="zh-CN"/>
              </w:rPr>
              <w:t xml:space="preserve"> 13代</w:t>
            </w:r>
            <w:r>
              <w:rPr>
                <w:rFonts w:hint="eastAsia" w:ascii="宋体" w:hAnsi="宋体" w:eastAsia="宋体" w:cs="宋体"/>
                <w:color w:val="auto"/>
                <w:sz w:val="21"/>
                <w:szCs w:val="21"/>
                <w:highlight w:val="none"/>
                <w:lang w:val="en-US" w:eastAsia="zh-CN"/>
              </w:rPr>
              <w:t>桌面</w:t>
            </w:r>
            <w:r>
              <w:rPr>
                <w:rFonts w:hint="eastAsia" w:ascii="宋体" w:hAnsi="宋体" w:eastAsia="宋体" w:cs="宋体"/>
                <w:color w:val="auto"/>
                <w:sz w:val="21"/>
                <w:szCs w:val="21"/>
                <w:highlight w:val="none"/>
                <w:lang w:val="en-US" w:eastAsia="zh-CN"/>
              </w:rPr>
              <w:t>处理器</w:t>
            </w:r>
            <w:r>
              <w:rPr>
                <w:rFonts w:hint="eastAsia" w:ascii="宋体" w:hAnsi="宋体" w:eastAsia="宋体" w:cs="宋体"/>
                <w:color w:val="auto"/>
                <w:sz w:val="21"/>
                <w:szCs w:val="21"/>
                <w:highlight w:val="none"/>
                <w:lang w:eastAsia="zh-CN"/>
              </w:rPr>
              <w:t>；</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16G内存；</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512G SSD；</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27寸</w:t>
            </w:r>
            <w:r>
              <w:rPr>
                <w:rFonts w:hint="eastAsia" w:ascii="宋体" w:hAnsi="宋体" w:eastAsia="宋体" w:cs="宋体"/>
                <w:color w:val="auto"/>
                <w:sz w:val="21"/>
                <w:szCs w:val="21"/>
                <w:highlight w:val="none"/>
                <w:lang w:val="en-US" w:eastAsia="zh-CN"/>
              </w:rPr>
              <w:t>显示屏</w:t>
            </w:r>
            <w:r>
              <w:rPr>
                <w:rFonts w:hint="eastAsia" w:ascii="宋体" w:hAnsi="宋体" w:eastAsia="宋体" w:cs="宋体"/>
                <w:color w:val="auto"/>
                <w:sz w:val="21"/>
                <w:szCs w:val="21"/>
                <w:highlight w:val="none"/>
                <w:lang w:eastAsia="zh-CN"/>
              </w:rPr>
              <w:t>（一体机）；</w:t>
            </w:r>
          </w:p>
          <w:p>
            <w:pPr>
              <w:pStyle w:val="4"/>
              <w:spacing w:line="24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5.配有无线键盘鼠标套装；</w:t>
            </w:r>
          </w:p>
          <w:p>
            <w:pPr>
              <w:pStyle w:val="4"/>
              <w:spacing w:line="240" w:lineRule="auto"/>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eastAsia="zh-CN"/>
              </w:rPr>
              <w:t>移动计算与存储节点（</w:t>
            </w:r>
            <w:r>
              <w:rPr>
                <w:rFonts w:hint="eastAsia" w:ascii="宋体" w:hAnsi="宋体" w:eastAsia="宋体" w:cs="宋体"/>
                <w:b/>
                <w:bCs/>
                <w:color w:val="auto"/>
                <w:sz w:val="21"/>
                <w:szCs w:val="21"/>
                <w:highlight w:val="none"/>
                <w:lang w:val="en-US" w:eastAsia="zh-CN"/>
              </w:rPr>
              <w:t>8台</w:t>
            </w:r>
            <w:r>
              <w:rPr>
                <w:rFonts w:hint="eastAsia" w:ascii="宋体" w:hAnsi="宋体" w:eastAsia="宋体" w:cs="宋体"/>
                <w:b/>
                <w:bCs/>
                <w:color w:val="auto"/>
                <w:sz w:val="21"/>
                <w:szCs w:val="21"/>
                <w:highlight w:val="none"/>
                <w:lang w:eastAsia="zh-CN"/>
              </w:rPr>
              <w:t>）：</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CPU</w:t>
            </w:r>
            <w:r>
              <w:rPr>
                <w:rFonts w:hint="eastAsia" w:ascii="宋体" w:hAnsi="宋体" w:eastAsia="宋体" w:cs="宋体"/>
                <w:color w:val="auto"/>
                <w:sz w:val="21"/>
                <w:szCs w:val="21"/>
                <w:highlight w:val="none"/>
                <w:lang w:val="en-US" w:eastAsia="zh-CN"/>
              </w:rPr>
              <w:t>不低于：</w:t>
            </w:r>
            <w:r>
              <w:rPr>
                <w:rFonts w:hint="eastAsia" w:ascii="宋体" w:hAnsi="宋体" w:eastAsia="宋体" w:cs="宋体"/>
                <w:color w:val="auto"/>
                <w:sz w:val="21"/>
                <w:szCs w:val="21"/>
                <w:highlight w:val="none"/>
                <w:lang w:eastAsia="zh-CN"/>
              </w:rPr>
              <w:t>i7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13代移动</w:t>
            </w:r>
            <w:r>
              <w:rPr>
                <w:rFonts w:hint="eastAsia" w:ascii="宋体" w:hAnsi="宋体" w:eastAsia="宋体" w:cs="宋体"/>
                <w:color w:val="auto"/>
                <w:sz w:val="21"/>
                <w:szCs w:val="21"/>
                <w:highlight w:val="none"/>
                <w:lang w:val="en-US" w:eastAsia="zh-CN"/>
              </w:rPr>
              <w:t>处理器</w:t>
            </w:r>
            <w:r>
              <w:rPr>
                <w:rFonts w:hint="eastAsia" w:ascii="宋体" w:hAnsi="宋体" w:eastAsia="宋体" w:cs="宋体"/>
                <w:color w:val="auto"/>
                <w:sz w:val="21"/>
                <w:szCs w:val="21"/>
                <w:highlight w:val="none"/>
                <w:lang w:eastAsia="zh-CN"/>
              </w:rPr>
              <w:t>；</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32G内存；</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512G SSD；</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4.GPU不低于：</w:t>
            </w:r>
            <w:r>
              <w:rPr>
                <w:rFonts w:hint="eastAsia" w:ascii="宋体" w:hAnsi="宋体" w:eastAsia="宋体" w:cs="宋体"/>
                <w:color w:val="auto"/>
                <w:sz w:val="21"/>
                <w:szCs w:val="21"/>
                <w:highlight w:val="none"/>
                <w:lang w:eastAsia="zh-CN"/>
              </w:rPr>
              <w:t>RTX3050；</w:t>
            </w:r>
          </w:p>
          <w:p>
            <w:pPr>
              <w:pStyle w:val="4"/>
              <w:spacing w:line="24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lang w:eastAsia="zh-CN"/>
              </w:rPr>
              <w:t>寸显示屏。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947"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LCR数字电桥</w:t>
            </w:r>
          </w:p>
        </w:tc>
        <w:tc>
          <w:tcPr>
            <w:tcW w:w="731"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94"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台</w:t>
            </w:r>
          </w:p>
        </w:tc>
        <w:tc>
          <w:tcPr>
            <w:tcW w:w="6029" w:type="dxa"/>
            <w:vAlign w:val="center"/>
          </w:tcPr>
          <w:p>
            <w:pPr>
              <w:pStyle w:val="4"/>
              <w:spacing w:line="240" w:lineRule="auto"/>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电阻、电容、电感等基础元件进行拆选</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2.测试参数≥15个；</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3.测量准确度：0.05%；</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4.测试频率：20Hz-1MHz；</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5.AC信号电平：5mVrms-2Vrms，50uArms-20mArms；</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6.信号源输出阻抗：30,50,100Ω；</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7.含配套线缆与夹具。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947"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VPX开发平台</w:t>
            </w:r>
          </w:p>
        </w:tc>
        <w:tc>
          <w:tcPr>
            <w:tcW w:w="731"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94"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个</w:t>
            </w:r>
          </w:p>
        </w:tc>
        <w:tc>
          <w:tcPr>
            <w:tcW w:w="6029" w:type="dxa"/>
            <w:vAlign w:val="center"/>
          </w:tcPr>
          <w:p>
            <w:pPr>
              <w:pStyle w:val="4"/>
              <w:spacing w:line="240" w:lineRule="auto"/>
              <w:ind w:firstLine="0"/>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val="en-US" w:eastAsia="zh-CN"/>
              </w:rPr>
              <w:t>一、</w:t>
            </w:r>
            <w:r>
              <w:rPr>
                <w:rFonts w:hint="eastAsia" w:ascii="宋体" w:hAnsi="宋体" w:eastAsia="宋体" w:cs="宋体"/>
                <w:b/>
                <w:bCs/>
                <w:color w:val="auto"/>
                <w:spacing w:val="0"/>
                <w:sz w:val="21"/>
                <w:szCs w:val="21"/>
                <w:highlight w:val="none"/>
              </w:rPr>
              <w:t>VPX机箱</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1个</w:t>
            </w:r>
            <w:r>
              <w:rPr>
                <w:rFonts w:hint="eastAsia" w:ascii="宋体" w:hAnsi="宋体" w:eastAsia="宋体" w:cs="宋体"/>
                <w:b/>
                <w:bCs/>
                <w:color w:val="auto"/>
                <w:spacing w:val="0"/>
                <w:sz w:val="21"/>
                <w:szCs w:val="21"/>
                <w:highlight w:val="none"/>
                <w:lang w:eastAsia="zh-CN"/>
              </w:rPr>
              <w:t>）：</w:t>
            </w:r>
          </w:p>
          <w:p>
            <w:pPr>
              <w:pStyle w:val="4"/>
              <w:spacing w:line="240" w:lineRule="auto"/>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标准19英寸上架，总高4U，支持3U高度竖插板，16插槽</w:t>
            </w:r>
            <w:r>
              <w:rPr>
                <w:rFonts w:hint="eastAsia" w:ascii="宋体" w:hAnsi="宋体" w:eastAsia="宋体" w:cs="宋体"/>
                <w:color w:val="auto"/>
                <w:spacing w:val="0"/>
                <w:sz w:val="21"/>
                <w:szCs w:val="21"/>
                <w:highlight w:val="none"/>
                <w:lang w:eastAsia="zh-CN"/>
              </w:rPr>
              <w:t>；</w:t>
            </w:r>
          </w:p>
          <w:p>
            <w:pPr>
              <w:pStyle w:val="4"/>
              <w:spacing w:line="240" w:lineRule="auto"/>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b/>
                <w:bCs/>
                <w:color w:val="auto"/>
                <w:spacing w:val="0"/>
                <w:sz w:val="21"/>
                <w:szCs w:val="21"/>
                <w:highlight w:val="none"/>
                <w:lang w:val="en-US" w:eastAsia="zh-CN"/>
              </w:rPr>
              <w:t>二、</w:t>
            </w:r>
            <w:r>
              <w:rPr>
                <w:rFonts w:hint="eastAsia" w:ascii="宋体" w:hAnsi="宋体" w:eastAsia="宋体" w:cs="宋体"/>
                <w:b/>
                <w:bCs/>
                <w:color w:val="auto"/>
                <w:spacing w:val="0"/>
                <w:sz w:val="21"/>
                <w:szCs w:val="21"/>
                <w:highlight w:val="none"/>
              </w:rPr>
              <w:t>VPX电源</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1块</w:t>
            </w:r>
            <w:r>
              <w:rPr>
                <w:rFonts w:hint="eastAsia" w:ascii="宋体" w:hAnsi="宋体" w:eastAsia="宋体" w:cs="宋体"/>
                <w:b/>
                <w:bCs/>
                <w:color w:val="auto"/>
                <w:spacing w:val="0"/>
                <w:sz w:val="21"/>
                <w:szCs w:val="21"/>
                <w:highlight w:val="none"/>
                <w:lang w:eastAsia="zh-CN"/>
              </w:rPr>
              <w:t>）：</w:t>
            </w:r>
          </w:p>
          <w:p>
            <w:pPr>
              <w:pStyle w:val="4"/>
              <w:spacing w:line="240" w:lineRule="auto"/>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AC转DC，功率300w，支持-40°~+70°宽温环境下工作</w:t>
            </w:r>
            <w:r>
              <w:rPr>
                <w:rFonts w:hint="eastAsia" w:ascii="宋体" w:hAnsi="宋体" w:eastAsia="宋体" w:cs="宋体"/>
                <w:color w:val="auto"/>
                <w:spacing w:val="0"/>
                <w:sz w:val="21"/>
                <w:szCs w:val="21"/>
                <w:highlight w:val="none"/>
                <w:lang w:eastAsia="zh-CN"/>
              </w:rPr>
              <w:t>；</w:t>
            </w:r>
          </w:p>
          <w:p>
            <w:pPr>
              <w:pStyle w:val="4"/>
              <w:spacing w:line="240" w:lineRule="auto"/>
              <w:ind w:firstLine="0"/>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val="en-US" w:eastAsia="zh-CN"/>
              </w:rPr>
              <w:t>三、</w:t>
            </w:r>
            <w:r>
              <w:rPr>
                <w:rFonts w:hint="eastAsia" w:ascii="宋体" w:hAnsi="宋体" w:eastAsia="宋体" w:cs="宋体"/>
                <w:b/>
                <w:bCs/>
                <w:color w:val="auto"/>
                <w:spacing w:val="0"/>
                <w:sz w:val="21"/>
                <w:szCs w:val="21"/>
                <w:highlight w:val="none"/>
              </w:rPr>
              <w:t>VPX控制器</w:t>
            </w:r>
            <w:r>
              <w:rPr>
                <w:rFonts w:hint="eastAsia" w:ascii="宋体" w:hAnsi="宋体" w:eastAsia="宋体" w:cs="宋体"/>
                <w:b/>
                <w:bCs/>
                <w:color w:val="auto"/>
                <w:spacing w:val="0"/>
                <w:sz w:val="21"/>
                <w:szCs w:val="21"/>
                <w:highlight w:val="none"/>
                <w:lang w:eastAsia="zh-CN"/>
              </w:rPr>
              <w:t>（1块）：</w:t>
            </w:r>
          </w:p>
          <w:p>
            <w:pPr>
              <w:pStyle w:val="4"/>
              <w:spacing w:line="240" w:lineRule="auto"/>
              <w:ind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CPU</w:t>
            </w:r>
            <w:r>
              <w:rPr>
                <w:rFonts w:hint="eastAsia" w:ascii="宋体" w:hAnsi="宋体" w:eastAsia="宋体" w:cs="宋体"/>
                <w:color w:val="auto"/>
                <w:spacing w:val="0"/>
                <w:sz w:val="21"/>
                <w:szCs w:val="21"/>
                <w:highlight w:val="none"/>
                <w:lang w:val="en-US" w:eastAsia="zh-CN"/>
              </w:rPr>
              <w:t>不低于：</w:t>
            </w:r>
            <w:r>
              <w:rPr>
                <w:rFonts w:hint="eastAsia" w:ascii="宋体" w:hAnsi="宋体" w:eastAsia="宋体" w:cs="宋体"/>
                <w:color w:val="auto"/>
                <w:spacing w:val="0"/>
                <w:sz w:val="21"/>
                <w:szCs w:val="21"/>
                <w:highlight w:val="none"/>
              </w:rPr>
              <w:t>板载 Intel 六代 i7 6820EQ 2.8GHz 四核八线程；</w:t>
            </w:r>
          </w:p>
          <w:p>
            <w:pPr>
              <w:pStyle w:val="4"/>
              <w:spacing w:line="240" w:lineRule="auto"/>
              <w:ind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内存</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16GB DDR4-1866/ 2133 双通道；</w:t>
            </w:r>
          </w:p>
          <w:p>
            <w:pPr>
              <w:pStyle w:val="4"/>
              <w:spacing w:line="240" w:lineRule="auto"/>
              <w:ind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3.</w:t>
            </w:r>
            <w:r>
              <w:rPr>
                <w:rFonts w:hint="eastAsia" w:ascii="宋体" w:hAnsi="宋体" w:eastAsia="宋体" w:cs="宋体"/>
                <w:color w:val="auto"/>
                <w:spacing w:val="0"/>
                <w:sz w:val="21"/>
                <w:szCs w:val="21"/>
                <w:highlight w:val="none"/>
              </w:rPr>
              <w:t>支持MSATA；</w:t>
            </w:r>
          </w:p>
          <w:p>
            <w:pPr>
              <w:pStyle w:val="4"/>
              <w:spacing w:line="240" w:lineRule="auto"/>
              <w:ind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4个X4PCIe；</w:t>
            </w:r>
          </w:p>
          <w:p>
            <w:pPr>
              <w:pStyle w:val="4"/>
              <w:spacing w:line="240" w:lineRule="auto"/>
              <w:ind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5.</w:t>
            </w:r>
            <w:r>
              <w:rPr>
                <w:rFonts w:hint="eastAsia" w:ascii="宋体" w:hAnsi="宋体" w:eastAsia="宋体" w:cs="宋体"/>
                <w:color w:val="auto"/>
                <w:spacing w:val="0"/>
                <w:sz w:val="21"/>
                <w:szCs w:val="21"/>
                <w:highlight w:val="none"/>
              </w:rPr>
              <w:t>支持-40°~+70°宽温环境下工作；</w:t>
            </w:r>
          </w:p>
          <w:p>
            <w:pPr>
              <w:pStyle w:val="4"/>
              <w:spacing w:line="240" w:lineRule="auto"/>
              <w:ind w:firstLine="0"/>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6.</w:t>
            </w:r>
            <w:r>
              <w:rPr>
                <w:rFonts w:hint="eastAsia" w:ascii="宋体" w:hAnsi="宋体" w:eastAsia="宋体" w:cs="宋体"/>
                <w:color w:val="auto"/>
                <w:spacing w:val="0"/>
                <w:sz w:val="21"/>
                <w:szCs w:val="21"/>
                <w:highlight w:val="none"/>
              </w:rPr>
              <w:t>抗振动、冲击、温度冲击；</w:t>
            </w:r>
          </w:p>
          <w:p>
            <w:pPr>
              <w:pStyle w:val="4"/>
              <w:spacing w:line="240" w:lineRule="auto"/>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7.</w:t>
            </w:r>
            <w:r>
              <w:rPr>
                <w:rFonts w:hint="eastAsia" w:ascii="宋体" w:hAnsi="宋体" w:eastAsia="宋体" w:cs="宋体"/>
                <w:color w:val="auto"/>
                <w:spacing w:val="0"/>
                <w:sz w:val="21"/>
                <w:szCs w:val="21"/>
                <w:highlight w:val="none"/>
              </w:rPr>
              <w:t>背板传输速率</w:t>
            </w:r>
            <w:r>
              <w:rPr>
                <w:rFonts w:hint="eastAsia" w:ascii="宋体" w:hAnsi="宋体" w:eastAsia="宋体" w:cs="宋体"/>
                <w:color w:val="auto"/>
                <w:spacing w:val="0"/>
                <w:sz w:val="21"/>
                <w:szCs w:val="21"/>
                <w:highlight w:val="none"/>
                <w:lang w:eastAsia="zh-CN"/>
              </w:rPr>
              <w:t>：≥</w:t>
            </w:r>
            <w:r>
              <w:rPr>
                <w:rFonts w:hint="eastAsia" w:ascii="宋体" w:hAnsi="宋体" w:eastAsia="宋体" w:cs="宋体"/>
                <w:color w:val="auto"/>
                <w:spacing w:val="0"/>
                <w:sz w:val="21"/>
                <w:szCs w:val="21"/>
                <w:highlight w:val="none"/>
              </w:rPr>
              <w:t>6.25Gbps</w:t>
            </w:r>
            <w:r>
              <w:rPr>
                <w:rFonts w:hint="eastAsia" w:ascii="宋体" w:hAnsi="宋体" w:eastAsia="宋体" w:cs="宋体"/>
                <w:color w:val="auto"/>
                <w:spacing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947"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嵌入式密码装备开发平台</w:t>
            </w:r>
          </w:p>
        </w:tc>
        <w:tc>
          <w:tcPr>
            <w:tcW w:w="731"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94"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个</w:t>
            </w:r>
          </w:p>
        </w:tc>
        <w:tc>
          <w:tcPr>
            <w:tcW w:w="6029" w:type="dxa"/>
            <w:vAlign w:val="center"/>
          </w:tcPr>
          <w:p>
            <w:pPr>
              <w:pStyle w:val="4"/>
              <w:numPr>
                <w:ilvl w:val="0"/>
                <w:numId w:val="1"/>
              </w:numPr>
              <w:spacing w:line="240" w:lineRule="auto"/>
              <w:ind w:firstLine="0"/>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FPGA板卡</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14套，所有板卡必须支持二次开发，含示例、原理图资料和工具链，配置不低于以下参数</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val="0"/>
                <w:bCs w:val="0"/>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一</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rPr>
              <w:t>主控芯片：XCKU060</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2套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XCKU060-2FFVA1156I处理器</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2.</w:t>
            </w:r>
            <w:r>
              <w:rPr>
                <w:rFonts w:hint="eastAsia" w:ascii="宋体" w:hAnsi="宋体" w:eastAsia="宋体" w:cs="宋体"/>
                <w:color w:val="auto"/>
                <w:spacing w:val="0"/>
                <w:sz w:val="21"/>
                <w:szCs w:val="21"/>
                <w:highlight w:val="none"/>
              </w:rPr>
              <w:t>DDR4 4GBytes</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3.</w:t>
            </w:r>
            <w:r>
              <w:rPr>
                <w:rFonts w:hint="eastAsia" w:ascii="宋体" w:hAnsi="宋体" w:eastAsia="宋体" w:cs="宋体"/>
                <w:color w:val="auto"/>
                <w:spacing w:val="0"/>
                <w:sz w:val="21"/>
                <w:szCs w:val="21"/>
                <w:highlight w:val="none"/>
              </w:rPr>
              <w:t>2路千兆以太网</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4.</w:t>
            </w:r>
            <w:r>
              <w:rPr>
                <w:rFonts w:hint="eastAsia" w:ascii="宋体" w:hAnsi="宋体" w:eastAsia="宋体" w:cs="宋体"/>
                <w:color w:val="auto"/>
                <w:spacing w:val="0"/>
                <w:sz w:val="21"/>
                <w:szCs w:val="21"/>
                <w:highlight w:val="none"/>
              </w:rPr>
              <w:t>1路USB232接口</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5.</w:t>
            </w:r>
            <w:r>
              <w:rPr>
                <w:rFonts w:hint="eastAsia" w:ascii="宋体" w:hAnsi="宋体" w:eastAsia="宋体" w:cs="宋体"/>
                <w:color w:val="auto"/>
                <w:spacing w:val="0"/>
                <w:sz w:val="21"/>
                <w:szCs w:val="21"/>
                <w:highlight w:val="none"/>
              </w:rPr>
              <w:t>1路PCIE3.0 x8接口</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6.</w:t>
            </w:r>
            <w:r>
              <w:rPr>
                <w:rFonts w:hint="eastAsia" w:ascii="宋体" w:hAnsi="宋体" w:eastAsia="宋体" w:cs="宋体"/>
                <w:color w:val="auto"/>
                <w:spacing w:val="0"/>
                <w:sz w:val="21"/>
                <w:szCs w:val="21"/>
                <w:highlight w:val="none"/>
              </w:rPr>
              <w:t>4路SFP+</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二</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rPr>
              <w:t>主控芯片：ZYNQ7100</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2套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Zynq7100处理器；</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PS端DDR3 1GBytes；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PL端DDR3 2GBytes；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EMMC 8GBytes；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SPI-Flash 256Mbits；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6</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rPr>
              <w:t>1路PCIE2.0 x8接口；</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7、2路SFP+ </w:t>
            </w:r>
          </w:p>
          <w:p>
            <w:pPr>
              <w:pStyle w:val="4"/>
              <w:numPr>
                <w:ilvl w:val="0"/>
                <w:numId w:val="0"/>
              </w:numPr>
              <w:spacing w:line="24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三</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rPr>
              <w:t>主控芯片：ZYNQ7045</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2套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1、Zynq7045处理器；</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2、PS端DDR3 1GBytes；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3、PL端DDR3 2GBytes；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4、EMMC 8GBytes；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5、SPI-Flash 256Mbits；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6、1路PCIE2.0 x8接口；</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7、2路SFP+</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四</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rPr>
              <w:t>主控芯片：PH1A90</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4套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1、PH1A90处理器；</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2、DDR3 1GBytes；</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3、SPI-Flash 128Mbit；</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4、1路千兆网口；</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5、1路USB转串口；</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6、1路RS4851路；</w:t>
            </w:r>
          </w:p>
          <w:p>
            <w:pPr>
              <w:pStyle w:val="4"/>
              <w:numPr>
                <w:ilvl w:val="0"/>
                <w:numId w:val="0"/>
              </w:numP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7、1路HDMI输出；</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8、1路20脚CEP接口</w:t>
            </w:r>
            <w:r>
              <w:rPr>
                <w:rFonts w:hint="eastAsia" w:ascii="宋体" w:hAnsi="宋体" w:eastAsia="宋体" w:cs="宋体"/>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五</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rPr>
              <w:t>主控芯片：Zynq7020+AD9363</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2套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1、Zynq7020处理器；</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2、DDR3 1GBytes；</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3、SPI-Flash 32MBytes；</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4、千兆以太网接口；</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5、325MHz-3.8GHz射频；</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6、通道2R2T，2x2 MIMO；</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7、带宽200K-20MHz；</w:t>
            </w:r>
          </w:p>
          <w:p>
            <w:pPr>
              <w:pStyle w:val="4"/>
              <w:numPr>
                <w:ilvl w:val="0"/>
                <w:numId w:val="0"/>
              </w:numPr>
              <w:spacing w:line="240" w:lineRule="auto"/>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六</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rPr>
              <w:t>主控芯片：Zynq7020+AD9361</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2套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1、Zynq7020处理器；</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2、DDR3 1GBytes；</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3、SPI-Flash 32MBytes；</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4、千兆以太网接口；</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5、70MHz-6GHz射频；</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6、通道2R2T，2x2 MIMO；</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7、带宽200K-56MHz；</w:t>
            </w:r>
          </w:p>
          <w:p>
            <w:pPr>
              <w:pStyle w:val="4"/>
              <w:spacing w:line="240" w:lineRule="auto"/>
              <w:ind w:firstLine="0"/>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val="en-US" w:eastAsia="zh-CN"/>
              </w:rPr>
              <w:t>二、</w:t>
            </w:r>
            <w:r>
              <w:rPr>
                <w:rFonts w:hint="eastAsia" w:ascii="宋体" w:hAnsi="宋体" w:eastAsia="宋体" w:cs="宋体"/>
                <w:b/>
                <w:bCs/>
                <w:color w:val="auto"/>
                <w:spacing w:val="0"/>
                <w:sz w:val="21"/>
                <w:szCs w:val="21"/>
                <w:highlight w:val="none"/>
              </w:rPr>
              <w:t>嵌入式板卡（1</w:t>
            </w:r>
            <w:r>
              <w:rPr>
                <w:rFonts w:hint="eastAsia" w:ascii="宋体" w:hAnsi="宋体" w:eastAsia="宋体" w:cs="宋体"/>
                <w:b/>
                <w:bCs/>
                <w:color w:val="auto"/>
                <w:spacing w:val="0"/>
                <w:sz w:val="21"/>
                <w:szCs w:val="21"/>
                <w:highlight w:val="none"/>
                <w:lang w:val="en-US" w:eastAsia="zh-CN"/>
              </w:rPr>
              <w:t>0</w:t>
            </w:r>
            <w:r>
              <w:rPr>
                <w:rFonts w:hint="eastAsia" w:ascii="宋体" w:hAnsi="宋体" w:eastAsia="宋体" w:cs="宋体"/>
                <w:b/>
                <w:bCs/>
                <w:color w:val="auto"/>
                <w:spacing w:val="0"/>
                <w:sz w:val="21"/>
                <w:szCs w:val="21"/>
                <w:highlight w:val="none"/>
              </w:rPr>
              <w:t>套</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所有板卡必须支持二次开发，含示例、原理图资料和工具链，配置不低于以下参数</w:t>
            </w:r>
            <w:r>
              <w:rPr>
                <w:rFonts w:hint="eastAsia" w:ascii="宋体" w:hAnsi="宋体" w:eastAsia="宋体" w:cs="宋体"/>
                <w:b/>
                <w:bCs/>
                <w:color w:val="auto"/>
                <w:spacing w:val="0"/>
                <w:sz w:val="21"/>
                <w:szCs w:val="21"/>
                <w:highlight w:val="none"/>
              </w:rPr>
              <w:t>）</w:t>
            </w:r>
            <w:r>
              <w:rPr>
                <w:rFonts w:hint="eastAsia" w:ascii="宋体" w:hAnsi="宋体" w:eastAsia="宋体" w:cs="宋体"/>
                <w:b w:val="0"/>
                <w:bCs w:val="0"/>
                <w:color w:val="auto"/>
                <w:spacing w:val="0"/>
                <w:sz w:val="21"/>
                <w:szCs w:val="21"/>
                <w:highlight w:val="none"/>
                <w:lang w:eastAsia="zh-CN"/>
              </w:rPr>
              <w:t>：</w:t>
            </w:r>
          </w:p>
          <w:p>
            <w:pPr>
              <w:pStyle w:val="4"/>
              <w:spacing w:line="240" w:lineRule="auto"/>
              <w:ind w:firstLine="0"/>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一</w:t>
            </w:r>
            <w:r>
              <w:rPr>
                <w:rFonts w:hint="eastAsia" w:ascii="宋体" w:hAnsi="宋体" w:eastAsia="宋体" w:cs="宋体"/>
                <w:b/>
                <w:bCs/>
                <w:color w:val="auto"/>
                <w:spacing w:val="0"/>
                <w:sz w:val="21"/>
                <w:szCs w:val="21"/>
                <w:highlight w:val="none"/>
                <w:lang w:eastAsia="zh-CN"/>
              </w:rPr>
              <w:t>）2K1500LA开发板（</w:t>
            </w:r>
            <w:r>
              <w:rPr>
                <w:rFonts w:hint="eastAsia" w:ascii="宋体" w:hAnsi="宋体" w:eastAsia="宋体" w:cs="宋体"/>
                <w:b/>
                <w:bCs/>
                <w:color w:val="auto"/>
                <w:spacing w:val="0"/>
                <w:sz w:val="21"/>
                <w:szCs w:val="21"/>
                <w:highlight w:val="none"/>
                <w:lang w:val="en-US" w:eastAsia="zh-CN"/>
              </w:rPr>
              <w:t>2套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1、2K1500LA处理器；</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2、M.2 WIFI插槽；</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3、M.2 SSD插槽；</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4、2路USB；</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5、1路HDMI；</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6、2路网口；</w:t>
            </w:r>
          </w:p>
          <w:p>
            <w:pPr>
              <w:pStyle w:val="4"/>
              <w:numPr>
                <w:ilvl w:val="0"/>
                <w:numId w:val="0"/>
              </w:numPr>
              <w:spacing w:line="240" w:lineRule="auto"/>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二</w:t>
            </w:r>
            <w:r>
              <w:rPr>
                <w:rFonts w:hint="eastAsia" w:ascii="宋体" w:hAnsi="宋体" w:eastAsia="宋体" w:cs="宋体"/>
                <w:b/>
                <w:bCs/>
                <w:color w:val="auto"/>
                <w:spacing w:val="0"/>
                <w:sz w:val="21"/>
                <w:szCs w:val="21"/>
                <w:highlight w:val="none"/>
                <w:lang w:eastAsia="zh-CN"/>
              </w:rPr>
              <w:t>）3A5000_7A2000开发板（</w:t>
            </w:r>
            <w:r>
              <w:rPr>
                <w:rFonts w:hint="eastAsia" w:ascii="宋体" w:hAnsi="宋体" w:eastAsia="宋体" w:cs="宋体"/>
                <w:b/>
                <w:bCs/>
                <w:color w:val="auto"/>
                <w:spacing w:val="0"/>
                <w:sz w:val="21"/>
                <w:szCs w:val="21"/>
                <w:highlight w:val="none"/>
                <w:lang w:val="en-US" w:eastAsia="zh-CN"/>
              </w:rPr>
              <w:t>2套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1、3A5000处理器；</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2、DDR4 8GBytes；</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3、USB3.0 4路；</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4、USB2.0 4路；</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5、TTL串口6路；</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6、SATA3.0 4路；</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7、千兆以太网 2路；</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8、PCIEx16、PCIEX8、PCIEX4各一个；</w:t>
            </w:r>
          </w:p>
          <w:p>
            <w:pPr>
              <w:pStyle w:val="4"/>
              <w:numPr>
                <w:ilvl w:val="0"/>
                <w:numId w:val="0"/>
              </w:numPr>
              <w:spacing w:line="240" w:lineRule="auto"/>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三</w:t>
            </w:r>
            <w:r>
              <w:rPr>
                <w:rFonts w:hint="eastAsia" w:ascii="宋体" w:hAnsi="宋体" w:eastAsia="宋体" w:cs="宋体"/>
                <w:b/>
                <w:bCs/>
                <w:color w:val="auto"/>
                <w:spacing w:val="0"/>
                <w:sz w:val="21"/>
                <w:szCs w:val="21"/>
                <w:highlight w:val="none"/>
                <w:lang w:eastAsia="zh-CN"/>
              </w:rPr>
              <w:t>）D1-H开发板（</w:t>
            </w:r>
            <w:r>
              <w:rPr>
                <w:rFonts w:hint="eastAsia" w:ascii="宋体" w:hAnsi="宋体" w:eastAsia="宋体" w:cs="宋体"/>
                <w:b/>
                <w:bCs/>
                <w:color w:val="auto"/>
                <w:spacing w:val="0"/>
                <w:sz w:val="21"/>
                <w:szCs w:val="21"/>
                <w:highlight w:val="none"/>
                <w:lang w:val="en-US" w:eastAsia="zh-CN"/>
              </w:rPr>
              <w:t>3套</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1</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lang w:eastAsia="zh-CN"/>
              </w:rPr>
              <w:t>DRAM DDR3 1GB/2GB，792MHz；</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2</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lang w:eastAsia="zh-CN"/>
              </w:rPr>
              <w:t>板载256MB spi-nand，支持USB外接U盘及SD卡拓展存储；</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3</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lang w:eastAsia="zh-CN"/>
              </w:rPr>
              <w:t>支持千兆以太网，支持2.4G WiFi及蓝牙，板载天线；</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4</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lang w:eastAsia="zh-CN"/>
              </w:rPr>
              <w:t>支持MIPI-DSI+TP屏幕接口，支持HDMI输出，支持SPI屏幕；</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5</w:t>
            </w:r>
            <w:r>
              <w:rPr>
                <w:rFonts w:hint="eastAsia" w:ascii="宋体" w:hAnsi="宋体" w:eastAsia="宋体" w:cs="宋体"/>
                <w:color w:val="auto"/>
                <w:spacing w:val="0"/>
                <w:sz w:val="21"/>
                <w:szCs w:val="21"/>
                <w:highlight w:val="none"/>
                <w:lang w:val="en-US" w:eastAsia="zh-CN"/>
              </w:rPr>
              <w:t>.</w:t>
            </w:r>
            <w:r>
              <w:rPr>
                <w:rFonts w:hint="eastAsia" w:ascii="宋体" w:hAnsi="宋体" w:eastAsia="宋体" w:cs="宋体"/>
                <w:color w:val="auto"/>
                <w:spacing w:val="0"/>
                <w:sz w:val="21"/>
                <w:szCs w:val="21"/>
                <w:highlight w:val="none"/>
                <w:lang w:eastAsia="zh-CN"/>
              </w:rPr>
              <w:t>主控：D1 C906 RISC-V；</w:t>
            </w:r>
          </w:p>
          <w:p>
            <w:pPr>
              <w:pStyle w:val="4"/>
              <w:numPr>
                <w:ilvl w:val="0"/>
                <w:numId w:val="0"/>
              </w:numPr>
              <w:spacing w:line="240"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四</w:t>
            </w:r>
            <w:r>
              <w:rPr>
                <w:rFonts w:hint="eastAsia" w:ascii="宋体" w:hAnsi="宋体" w:eastAsia="宋体" w:cs="宋体"/>
                <w:b/>
                <w:bCs/>
                <w:color w:val="auto"/>
                <w:spacing w:val="0"/>
                <w:sz w:val="21"/>
                <w:szCs w:val="21"/>
                <w:highlight w:val="none"/>
                <w:lang w:eastAsia="zh-CN"/>
              </w:rPr>
              <w:t>）RK3588</w:t>
            </w:r>
            <w:r>
              <w:rPr>
                <w:rFonts w:hint="eastAsia" w:ascii="宋体" w:hAnsi="宋体" w:eastAsia="宋体" w:cs="宋体"/>
                <w:b/>
                <w:bCs/>
                <w:color w:val="auto"/>
                <w:spacing w:val="0"/>
                <w:sz w:val="21"/>
                <w:szCs w:val="21"/>
                <w:highlight w:val="none"/>
                <w:lang w:val="en-US" w:eastAsia="zh-CN"/>
              </w:rPr>
              <w:t>开发板（3套）：</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1.主控</w:t>
            </w:r>
            <w:r>
              <w:rPr>
                <w:rFonts w:hint="eastAsia" w:ascii="宋体" w:hAnsi="宋体" w:eastAsia="宋体" w:cs="宋体"/>
                <w:color w:val="auto"/>
                <w:spacing w:val="0"/>
                <w:sz w:val="21"/>
                <w:szCs w:val="21"/>
                <w:highlight w:val="none"/>
                <w:lang w:eastAsia="zh-CN"/>
              </w:rPr>
              <w:t>RK3588，</w:t>
            </w:r>
            <w:r>
              <w:rPr>
                <w:rFonts w:hint="eastAsia" w:ascii="宋体" w:hAnsi="宋体" w:eastAsia="宋体" w:cs="宋体"/>
                <w:color w:val="auto"/>
                <w:spacing w:val="0"/>
                <w:sz w:val="21"/>
                <w:szCs w:val="21"/>
                <w:highlight w:val="none"/>
                <w:lang w:val="en-US" w:eastAsia="zh-CN"/>
              </w:rPr>
              <w:t>主频 2.4Ghz；</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2.16GB LPDDR4，可以外接 eMMC模块；</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3.支持8K视频解码；</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4.2.5G高速双网口；</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5.支持2230 Wi-Fi 6/BT模块的M.2插槽；</w:t>
            </w:r>
          </w:p>
          <w:p>
            <w:pPr>
              <w:pStyle w:val="4"/>
              <w:numPr>
                <w:ilvl w:val="0"/>
                <w:numId w:val="0"/>
              </w:numPr>
              <w:spacing w:line="24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6.2个USB 3.0；</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7.2个USB 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947"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软件无线电平台</w:t>
            </w:r>
          </w:p>
        </w:tc>
        <w:tc>
          <w:tcPr>
            <w:tcW w:w="731"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94"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个</w:t>
            </w:r>
          </w:p>
        </w:tc>
        <w:tc>
          <w:tcPr>
            <w:tcW w:w="6029" w:type="dxa"/>
            <w:vAlign w:val="center"/>
          </w:tcPr>
          <w:p>
            <w:pPr>
              <w:pStyle w:val="4"/>
              <w:numPr>
                <w:ilvl w:val="0"/>
                <w:numId w:val="2"/>
              </w:numPr>
              <w:spacing w:line="240" w:lineRule="auto"/>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b/>
                <w:bCs/>
                <w:color w:val="auto"/>
                <w:spacing w:val="0"/>
                <w:sz w:val="21"/>
                <w:szCs w:val="21"/>
                <w:highlight w:val="none"/>
              </w:rPr>
              <w:t>节点1</w:t>
            </w:r>
            <w:r>
              <w:rPr>
                <w:rFonts w:hint="eastAsia" w:ascii="宋体" w:hAnsi="宋体" w:eastAsia="宋体" w:cs="宋体"/>
                <w:b/>
                <w:bCs/>
                <w:color w:val="auto"/>
                <w:spacing w:val="0"/>
                <w:sz w:val="21"/>
                <w:szCs w:val="21"/>
                <w:highlight w:val="none"/>
                <w:lang w:eastAsia="zh-CN"/>
              </w:rPr>
              <w:t>（</w:t>
            </w:r>
            <w:r>
              <w:rPr>
                <w:rFonts w:hint="eastAsia" w:ascii="宋体" w:hAnsi="宋体" w:eastAsia="宋体" w:cs="宋体"/>
                <w:b/>
                <w:bCs/>
                <w:color w:val="auto"/>
                <w:spacing w:val="0"/>
                <w:sz w:val="21"/>
                <w:szCs w:val="21"/>
                <w:highlight w:val="none"/>
                <w:lang w:val="en-US" w:eastAsia="zh-CN"/>
              </w:rPr>
              <w:t>1个</w:t>
            </w:r>
            <w:r>
              <w:rPr>
                <w:rFonts w:hint="eastAsia" w:ascii="宋体" w:hAnsi="宋体" w:eastAsia="宋体" w:cs="宋体"/>
                <w:b/>
                <w:bCs/>
                <w:color w:val="auto"/>
                <w:spacing w:val="0"/>
                <w:sz w:val="21"/>
                <w:szCs w:val="21"/>
                <w:highlight w:val="none"/>
                <w:lang w:eastAsia="zh-CN"/>
              </w:rPr>
              <w:t>）：</w:t>
            </w:r>
          </w:p>
          <w:p>
            <w:pPr>
              <w:pStyle w:val="4"/>
              <w:numPr>
                <w:ilvl w:val="0"/>
                <w:numId w:val="0"/>
              </w:numPr>
              <w:spacing w:line="24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1.配置不低于</w:t>
            </w:r>
            <w:r>
              <w:rPr>
                <w:rFonts w:hint="eastAsia" w:ascii="宋体" w:hAnsi="宋体" w:eastAsia="宋体" w:cs="宋体"/>
                <w:color w:val="auto"/>
                <w:spacing w:val="0"/>
                <w:sz w:val="21"/>
                <w:szCs w:val="21"/>
                <w:highlight w:val="none"/>
              </w:rPr>
              <w:t>USRP X310 0-6GHz, 14bit ADC/16bit DAC, 200Msps, K7 FPGA，2个UBX-160</w:t>
            </w:r>
            <w:r>
              <w:rPr>
                <w:rFonts w:hint="eastAsia" w:ascii="宋体" w:hAnsi="宋体" w:eastAsia="宋体" w:cs="宋体"/>
                <w:color w:val="auto"/>
                <w:spacing w:val="0"/>
                <w:sz w:val="21"/>
                <w:szCs w:val="21"/>
                <w:highlight w:val="none"/>
                <w:lang w:eastAsia="zh-CN"/>
              </w:rPr>
              <w:t>；</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调谐频率覆盖</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 MHz - 6 GHz范围；</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接收通道数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最大接收带宽：</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在10MHz～500MHz的中心频率范围内，最大带宽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84MHz；</w:t>
            </w:r>
          </w:p>
          <w:p>
            <w:pPr>
              <w:pStyle w:val="23"/>
              <w:numPr>
                <w:ilvl w:val="0"/>
                <w:numId w:val="0"/>
              </w:numPr>
              <w:spacing w:line="240" w:lineRule="auto"/>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在500MHz～6GHz的中心频率范围内，最大带宽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160MHz</w:t>
            </w:r>
            <w:r>
              <w:rPr>
                <w:rFonts w:hint="eastAsia" w:ascii="宋体" w:hAnsi="宋体" w:eastAsia="宋体" w:cs="宋体"/>
                <w:color w:val="auto"/>
                <w:sz w:val="21"/>
                <w:szCs w:val="21"/>
                <w:lang w:eastAsia="zh-CN"/>
              </w:rPr>
              <w:t>；</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ADC分辨率≥14位；</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ADC最高采样率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200MS/s；</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单路接收最大I/Q采样传输速率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200Msps；</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发射通道数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w:t>
            </w:r>
          </w:p>
          <w:p>
            <w:pPr>
              <w:pStyle w:val="23"/>
              <w:numPr>
                <w:ilvl w:val="0"/>
                <w:numId w:val="0"/>
              </w:numPr>
              <w:spacing w:line="240" w:lineRule="auto"/>
              <w:ind w:left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最大发射带宽：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160 MHz</w:t>
            </w:r>
            <w:r>
              <w:rPr>
                <w:rFonts w:hint="eastAsia" w:ascii="宋体" w:hAnsi="宋体" w:eastAsia="宋体" w:cs="宋体"/>
                <w:color w:val="auto"/>
                <w:sz w:val="21"/>
                <w:szCs w:val="21"/>
                <w:lang w:eastAsia="zh-CN"/>
              </w:rPr>
              <w:t>；</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DAC分辨率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16位；</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DAC最高采样率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800Msps；</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单路发射最大I/Q采样传输速率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200Msps；</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rPr>
              <w:t>FPGA规格不低于XC7K410T；</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14.</w:t>
            </w:r>
            <w:r>
              <w:rPr>
                <w:rFonts w:hint="eastAsia" w:ascii="宋体" w:hAnsi="宋体" w:eastAsia="宋体" w:cs="宋体"/>
                <w:color w:val="auto"/>
                <w:sz w:val="21"/>
                <w:szCs w:val="21"/>
              </w:rPr>
              <w:t>支持matlab、labview、gnuradio等开发平台；</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15.</w:t>
            </w:r>
            <w:r>
              <w:rPr>
                <w:rFonts w:hint="eastAsia" w:ascii="宋体" w:hAnsi="宋体" w:eastAsia="宋体" w:cs="宋体"/>
                <w:color w:val="auto"/>
                <w:sz w:val="21"/>
                <w:szCs w:val="21"/>
              </w:rPr>
              <w:t>附带1个兼容射频前端的万兆网卡和1条SFP+直连线；</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16.</w:t>
            </w:r>
            <w:r>
              <w:rPr>
                <w:rFonts w:hint="eastAsia" w:ascii="宋体" w:hAnsi="宋体" w:eastAsia="宋体" w:cs="宋体"/>
                <w:color w:val="auto"/>
                <w:sz w:val="21"/>
                <w:szCs w:val="21"/>
              </w:rPr>
              <w:t>提供基于GNURadio 3.8的ble广播信道信息接收解调程序；</w:t>
            </w:r>
          </w:p>
          <w:p>
            <w:pPr>
              <w:pStyle w:val="23"/>
              <w:numPr>
                <w:ilvl w:val="0"/>
                <w:numId w:val="0"/>
              </w:numPr>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17.</w:t>
            </w:r>
            <w:r>
              <w:rPr>
                <w:rFonts w:hint="eastAsia" w:ascii="宋体" w:hAnsi="宋体" w:eastAsia="宋体" w:cs="宋体"/>
                <w:color w:val="auto"/>
                <w:sz w:val="21"/>
                <w:szCs w:val="21"/>
              </w:rPr>
              <w:t>提供基于GNURadio 3.8的频谱扫描程序；</w:t>
            </w:r>
          </w:p>
          <w:p>
            <w:pPr>
              <w:pStyle w:val="23"/>
              <w:numPr>
                <w:ilvl w:val="0"/>
                <w:numId w:val="0"/>
              </w:numPr>
              <w:spacing w:line="240" w:lineRule="auto"/>
              <w:ind w:leftChars="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z w:val="21"/>
                <w:szCs w:val="21"/>
                <w:lang w:val="en-US" w:eastAsia="zh-CN"/>
              </w:rPr>
              <w:t>18.</w:t>
            </w:r>
            <w:r>
              <w:rPr>
                <w:rFonts w:hint="eastAsia" w:ascii="宋体" w:hAnsi="宋体" w:eastAsia="宋体" w:cs="宋体"/>
                <w:color w:val="auto"/>
                <w:sz w:val="21"/>
                <w:szCs w:val="21"/>
              </w:rPr>
              <w:t>提供基于GNURadio 3.8的DOA测向程序；</w:t>
            </w:r>
          </w:p>
          <w:p>
            <w:pPr>
              <w:pStyle w:val="4"/>
              <w:numPr>
                <w:ilvl w:val="0"/>
                <w:numId w:val="2"/>
              </w:numPr>
              <w:spacing w:line="240" w:lineRule="auto"/>
              <w:ind w:left="0" w:leftChars="0" w:firstLine="0" w:firstLineChars="0"/>
              <w:rPr>
                <w:rFonts w:hint="eastAsia" w:ascii="宋体" w:hAnsi="宋体" w:eastAsia="宋体" w:cs="宋体"/>
                <w:color w:val="auto"/>
                <w:spacing w:val="0"/>
                <w:sz w:val="21"/>
                <w:szCs w:val="21"/>
                <w:highlight w:val="none"/>
                <w:lang w:eastAsia="zh-CN"/>
              </w:rPr>
            </w:pPr>
            <w:r>
              <w:rPr>
                <w:rFonts w:hint="eastAsia" w:ascii="宋体" w:hAnsi="宋体" w:eastAsia="宋体" w:cs="宋体"/>
                <w:b/>
                <w:bCs/>
                <w:color w:val="auto"/>
                <w:spacing w:val="0"/>
                <w:sz w:val="21"/>
                <w:szCs w:val="21"/>
                <w:highlight w:val="none"/>
              </w:rPr>
              <w:t>节点2（</w:t>
            </w:r>
            <w:r>
              <w:rPr>
                <w:rFonts w:hint="eastAsia" w:ascii="宋体" w:hAnsi="宋体" w:eastAsia="宋体" w:cs="宋体"/>
                <w:b/>
                <w:bCs/>
                <w:color w:val="auto"/>
                <w:spacing w:val="0"/>
                <w:sz w:val="21"/>
                <w:szCs w:val="21"/>
                <w:highlight w:val="none"/>
                <w:lang w:val="en-US" w:eastAsia="zh-CN"/>
              </w:rPr>
              <w:t>2</w:t>
            </w:r>
            <w:r>
              <w:rPr>
                <w:rFonts w:hint="eastAsia" w:ascii="宋体" w:hAnsi="宋体" w:eastAsia="宋体" w:cs="宋体"/>
                <w:b/>
                <w:bCs/>
                <w:color w:val="auto"/>
                <w:spacing w:val="0"/>
                <w:sz w:val="21"/>
                <w:szCs w:val="21"/>
                <w:highlight w:val="none"/>
              </w:rPr>
              <w:t>套）：</w:t>
            </w:r>
          </w:p>
          <w:p>
            <w:pPr>
              <w:pStyle w:val="4"/>
              <w:numPr>
                <w:ilvl w:val="0"/>
                <w:numId w:val="0"/>
              </w:numPr>
              <w:spacing w:line="240" w:lineRule="auto"/>
              <w:ind w:leftChars="0"/>
              <w:rPr>
                <w:rFonts w:hint="eastAsia" w:ascii="宋体" w:hAnsi="宋体" w:eastAsia="宋体" w:cs="宋体"/>
                <w:color w:val="auto"/>
                <w:spacing w:val="0"/>
                <w:sz w:val="21"/>
                <w:szCs w:val="21"/>
                <w:highlight w:val="none"/>
                <w:lang w:eastAsia="zh-CN"/>
              </w:rPr>
            </w:pPr>
            <w:r>
              <w:rPr>
                <w:rFonts w:hint="eastAsia" w:ascii="宋体" w:hAnsi="宋体" w:eastAsia="宋体" w:cs="宋体"/>
                <w:b w:val="0"/>
                <w:bCs w:val="0"/>
                <w:color w:val="auto"/>
                <w:spacing w:val="0"/>
                <w:sz w:val="21"/>
                <w:szCs w:val="21"/>
                <w:highlight w:val="none"/>
                <w:lang w:val="en-US" w:eastAsia="zh-CN"/>
              </w:rPr>
              <w:t>1.</w:t>
            </w:r>
            <w:r>
              <w:rPr>
                <w:rFonts w:hint="eastAsia" w:ascii="宋体" w:hAnsi="宋体" w:eastAsia="宋体" w:cs="宋体"/>
                <w:color w:val="auto"/>
                <w:spacing w:val="0"/>
                <w:sz w:val="21"/>
                <w:szCs w:val="21"/>
                <w:highlight w:val="none"/>
              </w:rPr>
              <w:t>配置不低于USRP B210 70M-6GHz, AD9361, 61Msps, S6 FPGA</w:t>
            </w:r>
            <w:r>
              <w:rPr>
                <w:rFonts w:hint="eastAsia" w:ascii="宋体" w:hAnsi="宋体" w:eastAsia="宋体" w:cs="宋体"/>
                <w:color w:val="auto"/>
                <w:spacing w:val="0"/>
                <w:sz w:val="21"/>
                <w:szCs w:val="21"/>
                <w:highlight w:val="none"/>
                <w:lang w:eastAsia="zh-CN"/>
              </w:rPr>
              <w:t>；</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ADC最大采样速率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61.44MS/s；</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ADC分辨率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12bits；</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DAC最大采样速率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61.44MS/s；</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DAC分辨率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12bits；</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频率范围：覆盖70Mhz~6GHz；</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发射和接收最大带宽：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56MHz；</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发射通道数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2个；</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接收通道数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2个；</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FPGA：不低于Xilinx Spartan 6 XC6SLX150；</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支持GNU Radio, LabVIEW 和 Matlab平台；</w:t>
            </w:r>
          </w:p>
          <w:p>
            <w:pPr>
              <w:pStyle w:val="23"/>
              <w:widowControl/>
              <w:numPr>
                <w:ilvl w:val="0"/>
                <w:numId w:val="0"/>
              </w:numPr>
              <w:autoSpaceDE w:val="0"/>
              <w:autoSpaceDN w:val="0"/>
              <w:spacing w:line="240" w:lineRule="auto"/>
              <w:ind w:lef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带金属外壳一个；</w:t>
            </w:r>
          </w:p>
          <w:p>
            <w:pPr>
              <w:pStyle w:val="23"/>
              <w:widowControl/>
              <w:numPr>
                <w:ilvl w:val="0"/>
                <w:numId w:val="0"/>
              </w:numPr>
              <w:autoSpaceDE w:val="0"/>
              <w:autoSpaceDN w:val="0"/>
              <w:spacing w:line="240" w:lineRule="auto"/>
              <w:ind w:leftChars="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rPr>
              <w:t>提供基于GNURadio 3.8的视频传输示例程序</w:t>
            </w:r>
            <w:r>
              <w:rPr>
                <w:rFonts w:hint="eastAsia" w:ascii="宋体" w:hAnsi="宋体" w:eastAsia="宋体" w:cs="宋体"/>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947"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人工智能无人机科创平台</w:t>
            </w:r>
          </w:p>
        </w:tc>
        <w:tc>
          <w:tcPr>
            <w:tcW w:w="731"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694" w:type="dxa"/>
            <w:vAlign w:val="center"/>
          </w:tcPr>
          <w:p>
            <w:pPr>
              <w:adjustRightInd w:val="0"/>
              <w:snapToGrid w:val="0"/>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套</w:t>
            </w:r>
          </w:p>
        </w:tc>
        <w:tc>
          <w:tcPr>
            <w:tcW w:w="6029" w:type="dxa"/>
            <w:vAlign w:val="center"/>
          </w:tcPr>
          <w:p>
            <w:pPr>
              <w:pStyle w:val="4"/>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1.</w:t>
            </w:r>
            <w:r>
              <w:rPr>
                <w:rFonts w:hint="eastAsia" w:ascii="宋体" w:hAnsi="宋体" w:eastAsia="宋体" w:cs="宋体"/>
                <w:color w:val="auto"/>
                <w:kern w:val="2"/>
                <w:sz w:val="21"/>
                <w:szCs w:val="21"/>
                <w:lang w:val="en-US" w:eastAsia="zh-CN" w:bidi="ar-SA"/>
              </w:rPr>
              <w:t>包含自主定位与导航、人工智能及神经网络，计算机视觉，图像处理算法等；</w:t>
            </w:r>
          </w:p>
          <w:p>
            <w:pPr>
              <w:pStyle w:val="23"/>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2.双路BEC，稳定的2路5V、3A输出，线性12V稳压；</w:t>
            </w:r>
          </w:p>
          <w:p>
            <w:pPr>
              <w:pStyle w:val="23"/>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3.BEC输入端具有TVS保护，防止插拔电池时火花高压冲击DC芯片；</w:t>
            </w:r>
          </w:p>
          <w:p>
            <w:pPr>
              <w:pStyle w:val="23"/>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4.带有5V LED灯光控制，长亮，慢闪烁，快闪，低电压报警，有3.4V，3.5V，3.6V 截止电压可选择；</w:t>
            </w:r>
          </w:p>
          <w:p>
            <w:pPr>
              <w:pStyle w:val="23"/>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5.飞行控制系统支持M3、M4、H7芯片,飞控系统支持基于模型设计，飞控系统支持基于MATLAB &amp; Simulink算法生产的代码，支持mavlink；</w:t>
            </w:r>
          </w:p>
          <w:p>
            <w:pPr>
              <w:pStyle w:val="23"/>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6.传感器配置不低于：ICM20689陀螺仪，SPL06气压计，IST8310地磁计，激光传感器MiniTof模块，光流模块，PPM/sbus二合一接收。4个2pin的电子调速器接口，7个4pin的接口，以上接口均为带自锁的2.0接口，方便插拔；</w:t>
            </w:r>
          </w:p>
          <w:p>
            <w:pPr>
              <w:pStyle w:val="23"/>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7.64M-bit/8M-byte FLASH芯片，133MHz</w:t>
            </w:r>
            <w:r>
              <w:rPr>
                <w:rFonts w:hint="eastAsia" w:cs="宋体"/>
                <w:color w:val="auto"/>
                <w:kern w:val="2"/>
                <w:sz w:val="21"/>
                <w:szCs w:val="21"/>
                <w:lang w:val="en-US" w:eastAsia="zh-CN" w:bidi="ar-SA"/>
              </w:rPr>
              <w:t xml:space="preserve"> </w:t>
            </w:r>
            <w:r>
              <w:rPr>
                <w:rFonts w:hint="eastAsia" w:ascii="宋体" w:hAnsi="宋体" w:eastAsia="宋体" w:cs="宋体"/>
                <w:color w:val="auto"/>
                <w:kern w:val="2"/>
                <w:sz w:val="21"/>
                <w:szCs w:val="21"/>
                <w:lang w:val="en-US" w:eastAsia="zh-CN" w:bidi="ar-SA"/>
              </w:rPr>
              <w:t>SPI接口，1个type c 接口，2个扩展按键，一个RGB灯，引出18个扩展口，具有双工的蓝牙模块和地面站进行通信，1个RGB灯，三重起飞保护；</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8.传输频率：2.4GHz，调制模式：GFSK，信道带宽：400KHz，信道间隔：1200KHz，发射功率：＜100mW，接收灵敏度：-104dBM，扩频方式：FHSS，领道抑制比：＞36dBM,传输速率：38kbps,通道分辨路：2048，PWM输出范围：1.0ms~2.0ms，8通道，同时支持SBUS和PWM，距离2km；</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9.具有实时图传功能，无人机的视觉系统摄像头模组的像素数≥200万像素；</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10.无人机智能数据处理平台主处理器性能不低于：Cortex-A72 (ARM v8) 64位 SoC 1.5GHz 4核，引出一个2pin接口，2个USB3.0接口，2个4pin接口，一个5pin接口，一个TYPE C接口，引出系统烧写的接口，引出8个扩展口；</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11.天线频率范围：2400-2500/5150-5850 MHz，最大功率10W，工作频段：100-700MHz，驻波比≤1.92，峰值增益2±0.5dBi，输出阻抗50Ω,辐射方向：全向，极化方式：垂直；</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12.无人机的智能数据处理平台搭载不低于8GB LPDDR4-3200 SDRAM内存，32G EMMC；</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13.无人机的机器视觉系统硬件支持2.4 GHz 和5.0 GHz IEEE 802.11ac无线,低功耗蓝牙5.0,BLE板载天线；</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14.测量半径：0.05m-30m，测量盲区：0.05m，采样速度32000次/秒，扫描频率：8-15Hz，角度分辨率：0.12°，系统误差：±30mm，测距分辨力：13mm；</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15.无人机双目视觉技术参数：支持6自由度数据，向前/向后、向上/向下、向左/向右、俯仰、滚动和偏航等运动，双鱼眼镜头OV9282可视角163±5°，惯性测量单元：不低于BMI055，视觉处理单元：VPU，曝光方式：全局曝光；</w:t>
            </w:r>
          </w:p>
          <w:p>
            <w:pPr>
              <w:pStyle w:val="23"/>
              <w:keepNext w:val="0"/>
              <w:keepLines w:val="0"/>
              <w:pageBreakBefore w:val="0"/>
              <w:numPr>
                <w:ilvl w:val="0"/>
                <w:numId w:val="0"/>
              </w:numPr>
              <w:kinsoku/>
              <w:wordWrap/>
              <w:overflowPunct/>
              <w:topLinePunct w:val="0"/>
              <w:autoSpaceDE/>
              <w:autoSpaceDN/>
              <w:bidi w:val="0"/>
              <w:adjustRightInd/>
              <w:snapToGrid/>
              <w:spacing w:line="240" w:lineRule="auto"/>
              <w:ind w:leftChars="0"/>
              <w:jc w:val="left"/>
              <w:rPr>
                <w:rFonts w:hint="eastAsia" w:ascii="宋体" w:hAnsi="宋体" w:eastAsia="宋体" w:cs="宋体"/>
                <w:color w:val="auto"/>
                <w:spacing w:val="0"/>
                <w:sz w:val="21"/>
                <w:szCs w:val="21"/>
                <w:highlight w:val="none"/>
              </w:rPr>
            </w:pPr>
            <w:r>
              <w:rPr>
                <w:rFonts w:hint="eastAsia" w:ascii="宋体" w:hAnsi="宋体" w:eastAsia="宋体" w:cs="宋体"/>
                <w:color w:val="auto"/>
                <w:kern w:val="2"/>
                <w:sz w:val="21"/>
                <w:szCs w:val="21"/>
                <w:lang w:val="en-US" w:eastAsia="zh-CN" w:bidi="ar-SA"/>
              </w:rPr>
              <w:t>16.地面站软件功能：可以实时显示无人机的姿态，包括高度，俯仰，翻滚，航向，磁力计数据，气压计数据，高度数据，电池电量等。</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探测预警与信息对抗研究院设备采购</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▲1.供应商代表是法定代表人（单位负责人、自然人本人）的，须提供本人身份证明。</w:t>
            </w:r>
          </w:p>
          <w:p>
            <w:pPr>
              <w:adjustRightInd w:val="0"/>
              <w:snapToGrid w:val="0"/>
              <w:spacing w:line="288" w:lineRule="auto"/>
              <w:rPr>
                <w:color w:val="auto"/>
                <w:sz w:val="21"/>
                <w:szCs w:val="21"/>
                <w:highlight w:val="none"/>
              </w:rPr>
            </w:pPr>
            <w:r>
              <w:rPr>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rPr>
              <w:t>2022年12月</w:t>
            </w:r>
            <w:r>
              <w:rPr>
                <w:color w:val="auto"/>
                <w:sz w:val="21"/>
                <w:szCs w:val="21"/>
                <w:highlight w:val="none"/>
              </w:rPr>
              <w:t>（含）以后任意一月）；</w:t>
            </w:r>
          </w:p>
          <w:p>
            <w:pPr>
              <w:adjustRightInd w:val="0"/>
              <w:snapToGrid w:val="0"/>
              <w:spacing w:line="288" w:lineRule="auto"/>
              <w:rPr>
                <w:color w:val="auto"/>
                <w:sz w:val="21"/>
                <w:szCs w:val="21"/>
                <w:highlight w:val="none"/>
              </w:rPr>
            </w:pPr>
            <w:r>
              <w:rPr>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1"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rPr>
                <w:color w:val="auto"/>
                <w:sz w:val="21"/>
                <w:szCs w:val="21"/>
                <w:highlight w:val="none"/>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货物运输</w:t>
            </w:r>
            <w:r>
              <w:rPr>
                <w:rFonts w:hint="eastAsia"/>
                <w:color w:val="auto"/>
                <w:spacing w:val="-6"/>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adjustRightInd w:val="0"/>
              <w:snapToGrid w:val="0"/>
              <w:spacing w:line="288" w:lineRule="auto"/>
              <w:rPr>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hint="eastAsia" w:eastAsia="宋体" w:cs="Times New Roman"/>
                <w:color w:val="auto"/>
                <w:sz w:val="21"/>
                <w:szCs w:val="21"/>
                <w:highlight w:val="none"/>
                <w:lang w:val="en-US" w:eastAsia="zh-CN"/>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r>
              <w:rPr>
                <w:rFonts w:hint="eastAsia" w:cs="Times New Roman"/>
                <w:color w:val="auto"/>
                <w:sz w:val="21"/>
                <w:szCs w:val="21"/>
                <w:highlight w:val="none"/>
                <w:lang w:val="en-US" w:eastAsia="zh-CN"/>
              </w:rPr>
              <w:t>无</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探测预警与信息对抗研究院设备采购</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货物运输</w:t>
      </w:r>
      <w:r>
        <w:rPr>
          <w:rFonts w:hint="eastAsia"/>
          <w:color w:val="auto"/>
          <w:spacing w:val="-6"/>
          <w:sz w:val="21"/>
          <w:szCs w:val="21"/>
          <w:highlight w:val="none"/>
          <w:lang w:bidi="ar"/>
        </w:rPr>
        <w:t>。</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bookmarkStart w:id="38" w:name="_Hlk117025274"/>
            <w:r>
              <w:rPr>
                <w:rFonts w:hint="eastAsia" w:ascii="宋体" w:hAnsi="宋体" w:eastAsia="宋体" w:cs="宋体"/>
                <w:b/>
                <w:bCs/>
                <w:color w:val="auto"/>
                <w:sz w:val="21"/>
                <w:szCs w:val="21"/>
                <w:highlight w:val="none"/>
              </w:rPr>
              <w:t>评审因素</w:t>
            </w:r>
          </w:p>
        </w:tc>
        <w:tc>
          <w:tcPr>
            <w:tcW w:w="667" w:type="dxa"/>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764" w:type="dxa"/>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noWrap w:val="0"/>
            <w:vAlign w:val="center"/>
          </w:tcPr>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最后磋商报价</w:t>
            </w: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30</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noWrap w:val="0"/>
            <w:vAlign w:val="center"/>
          </w:tcPr>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67" w:type="dxa"/>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7764" w:type="dxa"/>
            <w:noWrap w:val="0"/>
            <w:vAlign w:val="center"/>
          </w:tcPr>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noWrap w:val="0"/>
            <w:vAlign w:val="center"/>
          </w:tcPr>
          <w:p>
            <w:pPr>
              <w:adjustRightInd w:val="0"/>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供应商信誉</w:t>
            </w:r>
          </w:p>
        </w:tc>
        <w:tc>
          <w:tcPr>
            <w:tcW w:w="667" w:type="dxa"/>
            <w:noWrap w:val="0"/>
            <w:vAlign w:val="center"/>
          </w:tcPr>
          <w:p>
            <w:pPr>
              <w:adjustRightInd w:val="0"/>
              <w:snapToGrid w:val="0"/>
              <w:spacing w:line="288"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1</w:t>
            </w:r>
          </w:p>
        </w:tc>
        <w:tc>
          <w:tcPr>
            <w:tcW w:w="7764" w:type="dxa"/>
            <w:noWrap w:val="0"/>
            <w:vAlign w:val="center"/>
          </w:tcPr>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响应方具有有效的质量管理体系认证证书</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分（提供证书扫描件、国家认证认可监督管理委员会官网（http://www.cnca.gov.cn/）查询截图，不提供不得分）。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政策功能</w:t>
            </w:r>
          </w:p>
        </w:tc>
        <w:tc>
          <w:tcPr>
            <w:tcW w:w="667" w:type="dxa"/>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764" w:type="dxa"/>
            <w:noWrap w:val="0"/>
            <w:vAlign w:val="center"/>
          </w:tcPr>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响应产品属于品目清单范围且提供国家确定的认证机构出具的有效的节能产品认证证书（扫描件）的得1分；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响应产品属于品目清单范围且提供国家确定的认证机构出具的有效的环境标志产品认证证书（扫描件）的得1分；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注：政府强制采购的节能产品的除外。</w:t>
            </w:r>
            <w:bookmarkStart w:id="47" w:name="_GoBack"/>
            <w:bookmark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noWrap w:val="0"/>
            <w:vAlign w:val="center"/>
          </w:tcPr>
          <w:p>
            <w:pPr>
              <w:adjustRightInd w:val="0"/>
              <w:snapToGrid w:val="0"/>
              <w:spacing w:line="288"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技术分（6</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67" w:type="dxa"/>
            <w:noWrap w:val="0"/>
            <w:vAlign w:val="center"/>
          </w:tcPr>
          <w:p>
            <w:pPr>
              <w:adjustRightInd w:val="0"/>
              <w:snapToGrid w:val="0"/>
              <w:spacing w:line="288"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24</w:t>
            </w:r>
          </w:p>
        </w:tc>
        <w:tc>
          <w:tcPr>
            <w:tcW w:w="7764" w:type="dxa"/>
            <w:noWrap w:val="0"/>
            <w:vAlign w:val="center"/>
          </w:tcPr>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w:t>
            </w:r>
            <w:bookmarkStart w:id="39" w:name="_Hlk117025051"/>
            <w:r>
              <w:rPr>
                <w:rFonts w:hint="eastAsia" w:ascii="宋体" w:hAnsi="宋体" w:eastAsia="宋体" w:cs="宋体"/>
                <w:color w:val="auto"/>
                <w:sz w:val="21"/>
                <w:szCs w:val="21"/>
                <w:highlight w:val="none"/>
              </w:rPr>
              <w:t>▲</w:t>
            </w:r>
            <w:bookmarkEnd w:id="39"/>
            <w:r>
              <w:rPr>
                <w:rFonts w:hint="eastAsia" w:ascii="宋体" w:hAnsi="宋体" w:eastAsia="宋体" w:cs="宋体"/>
                <w:color w:val="auto"/>
                <w:sz w:val="21"/>
                <w:szCs w:val="21"/>
                <w:highlight w:val="none"/>
              </w:rPr>
              <w:t>”条款（不可偏离）的响应无效；</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满足磋商文件明确的全部技术条款要求的该项得满分；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每项扣</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8项及以上</w:t>
            </w:r>
            <w:r>
              <w:rPr>
                <w:rFonts w:hint="eastAsia" w:ascii="宋体" w:hAnsi="宋体" w:eastAsia="宋体" w:cs="宋体"/>
                <w:color w:val="auto"/>
                <w:sz w:val="21"/>
                <w:szCs w:val="21"/>
                <w:highlight w:val="none"/>
              </w:rPr>
              <w:t>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color w:val="auto"/>
                <w:sz w:val="21"/>
                <w:szCs w:val="21"/>
                <w:highlight w:val="none"/>
                <w:lang w:bidi="ar"/>
              </w:rPr>
              <w:t>产品功能及配置</w:t>
            </w: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响应产品功能的先进性、完整性和适用性。</w:t>
            </w:r>
          </w:p>
          <w:p>
            <w:pPr>
              <w:adjustRightInd w:val="0"/>
              <w:snapToGrid w:val="0"/>
              <w:spacing w:line="288"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响应产品功能</w:t>
            </w:r>
            <w:r>
              <w:rPr>
                <w:rFonts w:hint="eastAsia" w:ascii="宋体" w:hAnsi="宋体" w:eastAsia="宋体" w:cs="宋体"/>
                <w:color w:val="auto"/>
                <w:sz w:val="21"/>
                <w:szCs w:val="21"/>
                <w:highlight w:val="none"/>
                <w:lang w:val="en-US" w:eastAsia="zh-CN" w:bidi="ar"/>
              </w:rPr>
              <w:t>完善的得5分</w:t>
            </w:r>
            <w:r>
              <w:rPr>
                <w:rFonts w:hint="eastAsia" w:ascii="宋体" w:hAnsi="宋体" w:eastAsia="宋体" w:cs="宋体"/>
                <w:color w:val="auto"/>
                <w:sz w:val="21"/>
                <w:szCs w:val="21"/>
                <w:highlight w:val="none"/>
                <w:lang w:eastAsia="zh-CN" w:bidi="ar"/>
              </w:rPr>
              <w:t>；</w:t>
            </w:r>
          </w:p>
          <w:p>
            <w:pPr>
              <w:adjustRightInd w:val="0"/>
              <w:snapToGrid w:val="0"/>
              <w:spacing w:line="288"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响应产品功能</w:t>
            </w:r>
            <w:r>
              <w:rPr>
                <w:rFonts w:hint="eastAsia" w:ascii="宋体" w:hAnsi="宋体" w:eastAsia="宋体" w:cs="宋体"/>
                <w:color w:val="auto"/>
                <w:sz w:val="21"/>
                <w:szCs w:val="21"/>
                <w:highlight w:val="none"/>
                <w:lang w:val="en-US" w:eastAsia="zh-CN" w:bidi="ar"/>
              </w:rPr>
              <w:t>较为</w:t>
            </w:r>
            <w:r>
              <w:rPr>
                <w:rFonts w:hint="eastAsia" w:ascii="宋体" w:hAnsi="宋体" w:eastAsia="宋体" w:cs="宋体"/>
                <w:color w:val="auto"/>
                <w:sz w:val="21"/>
                <w:szCs w:val="21"/>
                <w:highlight w:val="none"/>
                <w:lang w:eastAsia="zh-CN" w:bidi="ar"/>
              </w:rPr>
              <w:t>完善的得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eastAsia="zh-CN" w:bidi="ar"/>
              </w:rPr>
              <w:t>分；</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响应产品功能存在较大欠缺的得1分；</w:t>
            </w:r>
          </w:p>
          <w:p>
            <w:pPr>
              <w:adjustRightInd w:val="0"/>
              <w:snapToGrid w:val="0"/>
              <w:spacing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响应产品配置的先进性、完整性和适用性。</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响应产品配置先进完整，适用性强的得5分；</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响应产品配置较为先进完整，适用性较强的得3分；</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响应产品配置存在较大欠缺的得1分；</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项目实施方案</w:t>
            </w: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项目实施计划详细完整程度，符合项目进度要求，投入人员数量和综合素质。</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项目实施计划详细完整，符合项目进度要求，投入人员数量</w:t>
            </w:r>
            <w:r>
              <w:rPr>
                <w:rFonts w:hint="eastAsia" w:ascii="宋体" w:hAnsi="宋体" w:eastAsia="宋体" w:cs="宋体"/>
                <w:color w:val="auto"/>
                <w:sz w:val="21"/>
                <w:szCs w:val="21"/>
                <w:highlight w:val="none"/>
                <w:lang w:val="en-US" w:eastAsia="zh-CN" w:bidi="ar"/>
              </w:rPr>
              <w:t>丰富</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综合素质</w:t>
            </w:r>
            <w:r>
              <w:rPr>
                <w:rFonts w:hint="eastAsia" w:ascii="宋体" w:hAnsi="宋体" w:eastAsia="宋体" w:cs="宋体"/>
                <w:color w:val="auto"/>
                <w:sz w:val="21"/>
                <w:szCs w:val="21"/>
                <w:highlight w:val="none"/>
                <w:lang w:val="en-US" w:eastAsia="zh-CN" w:bidi="ar"/>
              </w:rPr>
              <w:t>强的得5分；</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项目实施计划较为完整，较为符合项目进度要求，投入人员数量较为丰富，综合素质较强的得3分；</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项目实施计划存在较大欠缺的得1分；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安装调试</w:t>
            </w: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安装、调试方法或方案的详细完整度、合理可行性。</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安装、调试方法或方案的详细完整、合理可行</w:t>
            </w:r>
            <w:r>
              <w:rPr>
                <w:rFonts w:hint="eastAsia" w:ascii="宋体" w:hAnsi="宋体" w:eastAsia="宋体" w:cs="宋体"/>
                <w:color w:val="auto"/>
                <w:sz w:val="21"/>
                <w:szCs w:val="21"/>
                <w:highlight w:val="none"/>
                <w:lang w:val="en-US" w:eastAsia="zh-CN" w:bidi="ar"/>
              </w:rPr>
              <w:t>的得5分；</w:t>
            </w:r>
          </w:p>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安装、调试方法或方案的</w:t>
            </w:r>
            <w:r>
              <w:rPr>
                <w:rFonts w:hint="eastAsia" w:ascii="宋体" w:hAnsi="宋体" w:eastAsia="宋体" w:cs="宋体"/>
                <w:color w:val="auto"/>
                <w:sz w:val="21"/>
                <w:szCs w:val="21"/>
                <w:highlight w:val="none"/>
                <w:lang w:val="en-US" w:eastAsia="zh-CN" w:bidi="ar"/>
              </w:rPr>
              <w:t>较为</w:t>
            </w:r>
            <w:r>
              <w:rPr>
                <w:rFonts w:hint="eastAsia" w:ascii="宋体" w:hAnsi="宋体" w:eastAsia="宋体" w:cs="宋体"/>
                <w:color w:val="auto"/>
                <w:sz w:val="21"/>
                <w:szCs w:val="21"/>
                <w:highlight w:val="none"/>
                <w:lang w:bidi="ar"/>
              </w:rPr>
              <w:t>完整、较为合理可行的得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安装、调试方法或方案存在较大欠缺的得1分；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售后服务</w:t>
            </w: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售后服务方案、售后服务承诺的可行性及服务承诺落实的保障措施。</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售后服务方案、售后服务承诺可行</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服务承诺落实的保障措施</w:t>
            </w:r>
            <w:r>
              <w:rPr>
                <w:rFonts w:hint="eastAsia" w:ascii="宋体" w:hAnsi="宋体" w:eastAsia="宋体" w:cs="宋体"/>
                <w:color w:val="auto"/>
                <w:sz w:val="21"/>
                <w:szCs w:val="21"/>
                <w:highlight w:val="none"/>
                <w:lang w:val="en-US" w:eastAsia="zh-CN" w:bidi="ar"/>
              </w:rPr>
              <w:t>强的得5分；</w:t>
            </w:r>
          </w:p>
          <w:p>
            <w:pPr>
              <w:adjustRightInd w:val="0"/>
              <w:snapToGrid w:val="0"/>
              <w:spacing w:line="288"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售后服务方案、售后服务承诺</w:t>
            </w:r>
            <w:r>
              <w:rPr>
                <w:rFonts w:hint="eastAsia" w:ascii="宋体" w:hAnsi="宋体" w:eastAsia="宋体" w:cs="宋体"/>
                <w:color w:val="auto"/>
                <w:sz w:val="21"/>
                <w:szCs w:val="21"/>
                <w:highlight w:val="none"/>
                <w:lang w:val="en-US" w:eastAsia="zh-CN" w:bidi="ar"/>
              </w:rPr>
              <w:t>较为</w:t>
            </w:r>
            <w:r>
              <w:rPr>
                <w:rFonts w:hint="eastAsia" w:ascii="宋体" w:hAnsi="宋体" w:eastAsia="宋体" w:cs="宋体"/>
                <w:color w:val="auto"/>
                <w:sz w:val="21"/>
                <w:szCs w:val="21"/>
                <w:highlight w:val="none"/>
                <w:lang w:bidi="ar"/>
              </w:rPr>
              <w:t>可行，服务承诺落实的保障措施</w:t>
            </w:r>
            <w:r>
              <w:rPr>
                <w:rFonts w:hint="eastAsia" w:ascii="宋体" w:hAnsi="宋体" w:eastAsia="宋体" w:cs="宋体"/>
                <w:color w:val="auto"/>
                <w:sz w:val="21"/>
                <w:szCs w:val="21"/>
                <w:highlight w:val="none"/>
                <w:lang w:val="en-US" w:eastAsia="zh-CN" w:bidi="ar"/>
              </w:rPr>
              <w:t>较</w:t>
            </w:r>
            <w:r>
              <w:rPr>
                <w:rFonts w:hint="eastAsia" w:ascii="宋体" w:hAnsi="宋体" w:eastAsia="宋体" w:cs="宋体"/>
                <w:color w:val="auto"/>
                <w:sz w:val="21"/>
                <w:szCs w:val="21"/>
                <w:highlight w:val="none"/>
                <w:lang w:bidi="ar"/>
              </w:rPr>
              <w:t>强的得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r>
              <w:rPr>
                <w:rFonts w:hint="eastAsia" w:ascii="宋体" w:hAnsi="宋体" w:eastAsia="宋体" w:cs="宋体"/>
                <w:color w:val="auto"/>
                <w:sz w:val="21"/>
                <w:szCs w:val="21"/>
                <w:highlight w:val="none"/>
                <w:lang w:eastAsia="zh-CN" w:bidi="ar"/>
              </w:rPr>
              <w:t>；</w:t>
            </w:r>
          </w:p>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售后服务方案、售后服务承诺存在较大欠缺的得1分；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技术服务、培训</w:t>
            </w: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服务力量和服务保障，培训计划内容、培训范围，实施及针对性。</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服务力量和服务保障</w:t>
            </w:r>
            <w:r>
              <w:rPr>
                <w:rFonts w:hint="eastAsia" w:ascii="宋体" w:hAnsi="宋体" w:eastAsia="宋体" w:cs="宋体"/>
                <w:color w:val="auto"/>
                <w:sz w:val="21"/>
                <w:szCs w:val="21"/>
                <w:highlight w:val="none"/>
                <w:lang w:val="en-US" w:eastAsia="zh-CN" w:bidi="ar"/>
              </w:rPr>
              <w:t>措施强</w:t>
            </w:r>
            <w:r>
              <w:rPr>
                <w:rFonts w:hint="eastAsia" w:ascii="宋体" w:hAnsi="宋体" w:eastAsia="宋体" w:cs="宋体"/>
                <w:color w:val="auto"/>
                <w:sz w:val="21"/>
                <w:szCs w:val="21"/>
                <w:highlight w:val="none"/>
                <w:lang w:bidi="ar"/>
              </w:rPr>
              <w:t>，培训计划内容、培训范围</w:t>
            </w:r>
            <w:r>
              <w:rPr>
                <w:rFonts w:hint="eastAsia" w:ascii="宋体" w:hAnsi="宋体" w:eastAsia="宋体" w:cs="宋体"/>
                <w:color w:val="auto"/>
                <w:sz w:val="21"/>
                <w:szCs w:val="21"/>
                <w:highlight w:val="none"/>
                <w:lang w:val="en-US" w:eastAsia="zh-CN" w:bidi="ar"/>
              </w:rPr>
              <w:t>完整且有</w:t>
            </w:r>
            <w:r>
              <w:rPr>
                <w:rFonts w:hint="eastAsia" w:ascii="宋体" w:hAnsi="宋体" w:eastAsia="宋体" w:cs="宋体"/>
                <w:color w:val="auto"/>
                <w:sz w:val="21"/>
                <w:szCs w:val="21"/>
                <w:highlight w:val="none"/>
                <w:lang w:bidi="ar"/>
              </w:rPr>
              <w:t>针对性</w:t>
            </w:r>
            <w:r>
              <w:rPr>
                <w:rFonts w:hint="eastAsia" w:ascii="宋体" w:hAnsi="宋体" w:eastAsia="宋体" w:cs="宋体"/>
                <w:color w:val="auto"/>
                <w:sz w:val="21"/>
                <w:szCs w:val="21"/>
                <w:highlight w:val="none"/>
                <w:lang w:val="en-US" w:eastAsia="zh-CN" w:bidi="ar"/>
              </w:rPr>
              <w:t>的得5分；</w:t>
            </w:r>
          </w:p>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服务力量和服务保障措施</w:t>
            </w:r>
            <w:r>
              <w:rPr>
                <w:rFonts w:hint="eastAsia" w:ascii="宋体" w:hAnsi="宋体" w:eastAsia="宋体" w:cs="宋体"/>
                <w:color w:val="auto"/>
                <w:sz w:val="21"/>
                <w:szCs w:val="21"/>
                <w:highlight w:val="none"/>
                <w:lang w:val="en-US" w:eastAsia="zh-CN" w:bidi="ar"/>
              </w:rPr>
              <w:t>较</w:t>
            </w:r>
            <w:r>
              <w:rPr>
                <w:rFonts w:hint="eastAsia" w:ascii="宋体" w:hAnsi="宋体" w:eastAsia="宋体" w:cs="宋体"/>
                <w:color w:val="auto"/>
                <w:sz w:val="21"/>
                <w:szCs w:val="21"/>
                <w:highlight w:val="none"/>
                <w:lang w:bidi="ar"/>
              </w:rPr>
              <w:t>强，培训计划内容、培训范围较</w:t>
            </w:r>
            <w:r>
              <w:rPr>
                <w:rFonts w:hint="eastAsia" w:ascii="宋体" w:hAnsi="宋体" w:eastAsia="宋体" w:cs="宋体"/>
                <w:color w:val="auto"/>
                <w:sz w:val="21"/>
                <w:szCs w:val="21"/>
                <w:highlight w:val="none"/>
                <w:lang w:val="en-US" w:eastAsia="zh-CN" w:bidi="ar"/>
              </w:rPr>
              <w:t>为</w:t>
            </w:r>
            <w:r>
              <w:rPr>
                <w:rFonts w:hint="eastAsia" w:ascii="宋体" w:hAnsi="宋体" w:eastAsia="宋体" w:cs="宋体"/>
                <w:color w:val="auto"/>
                <w:sz w:val="21"/>
                <w:szCs w:val="21"/>
                <w:highlight w:val="none"/>
                <w:lang w:bidi="ar"/>
              </w:rPr>
              <w:t>完整的得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p>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服务力量和服务保障措施存在较大欠缺的得1分；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bidi="ar"/>
              </w:rPr>
              <w:t>配件耗材</w:t>
            </w: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质保期满后配件、附件、备品备件的准备、收费标准和保障措施。</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收费标准</w:t>
            </w:r>
            <w:r>
              <w:rPr>
                <w:rFonts w:hint="eastAsia" w:ascii="宋体" w:hAnsi="宋体" w:eastAsia="宋体" w:cs="宋体"/>
                <w:color w:val="auto"/>
                <w:sz w:val="21"/>
                <w:szCs w:val="21"/>
                <w:highlight w:val="none"/>
                <w:lang w:val="en-US" w:eastAsia="zh-CN" w:bidi="ar"/>
              </w:rPr>
              <w:t>合理</w:t>
            </w:r>
            <w:r>
              <w:rPr>
                <w:rFonts w:hint="eastAsia" w:ascii="宋体" w:hAnsi="宋体" w:eastAsia="宋体" w:cs="宋体"/>
                <w:color w:val="auto"/>
                <w:sz w:val="21"/>
                <w:szCs w:val="21"/>
                <w:highlight w:val="none"/>
                <w:lang w:eastAsia="zh-CN" w:bidi="ar"/>
              </w:rPr>
              <w:t>，配件、附件、备品备件的</w:t>
            </w:r>
            <w:r>
              <w:rPr>
                <w:rFonts w:hint="eastAsia" w:ascii="宋体" w:hAnsi="宋体" w:eastAsia="宋体" w:cs="宋体"/>
                <w:color w:val="auto"/>
                <w:sz w:val="21"/>
                <w:szCs w:val="21"/>
                <w:highlight w:val="none"/>
                <w:lang w:bidi="ar"/>
              </w:rPr>
              <w:t>保障措施</w:t>
            </w:r>
            <w:r>
              <w:rPr>
                <w:rFonts w:hint="eastAsia" w:ascii="宋体" w:hAnsi="宋体" w:eastAsia="宋体" w:cs="宋体"/>
                <w:color w:val="auto"/>
                <w:sz w:val="21"/>
                <w:szCs w:val="21"/>
                <w:highlight w:val="none"/>
                <w:lang w:val="en-US" w:eastAsia="zh-CN" w:bidi="ar"/>
              </w:rPr>
              <w:t>强的得5分；</w:t>
            </w:r>
          </w:p>
          <w:p>
            <w:pPr>
              <w:adjustRightInd w:val="0"/>
              <w:snapToGrid w:val="0"/>
              <w:spacing w:line="288" w:lineRule="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收费标准</w:t>
            </w:r>
            <w:r>
              <w:rPr>
                <w:rFonts w:hint="eastAsia" w:ascii="宋体" w:hAnsi="宋体" w:eastAsia="宋体" w:cs="宋体"/>
                <w:color w:val="auto"/>
                <w:sz w:val="21"/>
                <w:szCs w:val="21"/>
                <w:highlight w:val="none"/>
                <w:lang w:val="en-US" w:eastAsia="zh-CN" w:bidi="ar"/>
              </w:rPr>
              <w:t>较为</w:t>
            </w:r>
            <w:r>
              <w:rPr>
                <w:rFonts w:hint="eastAsia" w:ascii="宋体" w:hAnsi="宋体" w:eastAsia="宋体" w:cs="宋体"/>
                <w:color w:val="auto"/>
                <w:sz w:val="21"/>
                <w:szCs w:val="21"/>
                <w:highlight w:val="none"/>
                <w:lang w:bidi="ar"/>
              </w:rPr>
              <w:t>合理，配件、附件、备品备件的保障措施较强的得</w:t>
            </w:r>
            <w:r>
              <w:rPr>
                <w:rFonts w:hint="eastAsia" w:ascii="宋体" w:hAnsi="宋体" w:eastAsia="宋体" w:cs="宋体"/>
                <w:color w:val="auto"/>
                <w:sz w:val="21"/>
                <w:szCs w:val="21"/>
                <w:highlight w:val="none"/>
                <w:lang w:val="en-US" w:eastAsia="zh-CN" w:bidi="ar"/>
              </w:rPr>
              <w:t>3</w:t>
            </w:r>
            <w:r>
              <w:rPr>
                <w:rFonts w:hint="eastAsia" w:ascii="宋体" w:hAnsi="宋体" w:eastAsia="宋体" w:cs="宋体"/>
                <w:color w:val="auto"/>
                <w:sz w:val="21"/>
                <w:szCs w:val="21"/>
                <w:highlight w:val="none"/>
                <w:lang w:bidi="ar"/>
              </w:rPr>
              <w:t>分</w:t>
            </w:r>
            <w:r>
              <w:rPr>
                <w:rFonts w:hint="eastAsia" w:ascii="宋体" w:hAnsi="宋体" w:eastAsia="宋体" w:cs="宋体"/>
                <w:color w:val="auto"/>
                <w:sz w:val="21"/>
                <w:szCs w:val="21"/>
                <w:highlight w:val="none"/>
                <w:lang w:eastAsia="zh-CN" w:bidi="ar"/>
              </w:rPr>
              <w:t>；</w:t>
            </w:r>
          </w:p>
          <w:p>
            <w:pPr>
              <w:adjustRightInd w:val="0"/>
              <w:snapToGrid w:val="0"/>
              <w:spacing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备品备件的保障措施存在较大欠缺的得1分；</w:t>
            </w:r>
          </w:p>
          <w:p>
            <w:pPr>
              <w:adjustRightInd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宋体" w:hAnsi="宋体" w:eastAsia="宋体" w:cs="宋体"/>
                <w:b/>
                <w:color w:val="auto"/>
                <w:sz w:val="21"/>
                <w:szCs w:val="21"/>
                <w:highlight w:val="none"/>
                <w:lang w:bidi="ar"/>
              </w:rPr>
            </w:pPr>
            <w:r>
              <w:rPr>
                <w:rFonts w:hint="eastAsia" w:ascii="宋体" w:hAnsi="宋体" w:eastAsia="宋体" w:cs="宋体"/>
                <w:b/>
                <w:bCs/>
                <w:color w:val="auto"/>
                <w:sz w:val="21"/>
                <w:szCs w:val="21"/>
                <w:highlight w:val="none"/>
              </w:rPr>
              <w:t>服务响应效率保障</w:t>
            </w:r>
          </w:p>
        </w:tc>
        <w:tc>
          <w:tcPr>
            <w:tcW w:w="66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宋体" w:hAnsi="宋体" w:eastAsia="宋体" w:cs="宋体"/>
                <w:b/>
                <w:color w:val="auto"/>
                <w:sz w:val="21"/>
                <w:szCs w:val="21"/>
                <w:highlight w:val="none"/>
                <w:lang w:eastAsia="zh-CN" w:bidi="ar"/>
              </w:rPr>
            </w:pPr>
            <w:r>
              <w:rPr>
                <w:rFonts w:hint="eastAsia" w:ascii="宋体" w:hAnsi="宋体" w:eastAsia="宋体" w:cs="宋体"/>
                <w:b/>
                <w:color w:val="auto"/>
                <w:sz w:val="21"/>
                <w:szCs w:val="21"/>
                <w:highlight w:val="none"/>
                <w:lang w:val="en-US" w:eastAsia="zh-CN" w:bidi="ar"/>
              </w:rPr>
              <w:t>5</w:t>
            </w:r>
          </w:p>
        </w:tc>
        <w:tc>
          <w:tcPr>
            <w:tcW w:w="77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响应方服务响应效率保障方案，包括服务响应效率承诺、保障服务质量的措施。</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服务响应效率承诺可行性强、保障服务质量的措施有针对性的得5分；</w:t>
            </w:r>
          </w:p>
          <w:p>
            <w:pPr>
              <w:adjustRightInd w:val="0"/>
              <w:snapToGrid w:val="0"/>
              <w:spacing w:line="288" w:lineRule="auto"/>
              <w:rPr>
                <w:rFonts w:hint="eastAsia"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服务响应效率承诺</w:t>
            </w:r>
            <w:r>
              <w:rPr>
                <w:rFonts w:hint="eastAsia" w:ascii="宋体" w:hAnsi="宋体" w:eastAsia="宋体" w:cs="宋体"/>
                <w:color w:val="auto"/>
                <w:sz w:val="21"/>
                <w:szCs w:val="21"/>
                <w:highlight w:val="none"/>
                <w:lang w:val="en-US" w:eastAsia="zh-CN" w:bidi="ar"/>
              </w:rPr>
              <w:t>、保障服务质量的措施较有针对性的得3分；</w:t>
            </w:r>
          </w:p>
          <w:p>
            <w:pPr>
              <w:adjustRightInd w:val="0"/>
              <w:snapToGrid w:val="0"/>
              <w:spacing w:line="288" w:lineRule="auto"/>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服务响应效率承诺、保障服务质量的措施存在较大欠缺的得1分；</w:t>
            </w:r>
          </w:p>
          <w:p>
            <w:pPr>
              <w:adjustRightInd w:val="0"/>
              <w:snapToGrid w:val="0"/>
              <w:spacing w:line="288" w:lineRule="auto"/>
              <w:rPr>
                <w:rFonts w:hint="default" w:ascii="宋体" w:hAnsi="宋体" w:eastAsia="宋体" w:cs="宋体"/>
                <w:color w:val="auto"/>
                <w:highlight w:val="none"/>
                <w:lang w:val="en-US" w:eastAsia="zh-CN"/>
              </w:rPr>
            </w:pPr>
            <w:r>
              <w:rPr>
                <w:rFonts w:hint="default" w:ascii="宋体" w:hAnsi="宋体" w:eastAsia="宋体" w:cs="宋体"/>
                <w:color w:val="auto"/>
                <w:sz w:val="21"/>
                <w:szCs w:val="21"/>
                <w:highlight w:val="none"/>
                <w:lang w:val="en-US" w:eastAsia="zh-CN" w:bidi="ar"/>
              </w:rPr>
              <w:t>未提供相关内容的不得分。</w:t>
            </w:r>
          </w:p>
        </w:tc>
      </w:tr>
      <w:bookmarkEnd w:id="38"/>
    </w:tbl>
    <w:p>
      <w:pPr>
        <w:adjustRightInd w:val="0"/>
        <w:snapToGrid w:val="0"/>
        <w:spacing w:line="288" w:lineRule="auto"/>
        <w:jc w:val="left"/>
        <w:rPr>
          <w:b/>
          <w:color w:val="auto"/>
          <w:sz w:val="21"/>
          <w:szCs w:val="21"/>
        </w:rPr>
      </w:pPr>
      <w:r>
        <w:rPr>
          <w:rFonts w:hint="eastAsia"/>
          <w:b/>
          <w:color w:val="auto"/>
          <w:sz w:val="21"/>
          <w:szCs w:val="21"/>
        </w:rPr>
        <w:t>说明</w:t>
      </w:r>
      <w:r>
        <w:rPr>
          <w:b/>
          <w:color w:val="auto"/>
          <w:sz w:val="21"/>
          <w:szCs w:val="21"/>
        </w:rPr>
        <w:t>：</w:t>
      </w:r>
    </w:p>
    <w:p>
      <w:pPr>
        <w:adjustRightInd w:val="0"/>
        <w:snapToGrid w:val="0"/>
        <w:spacing w:line="288" w:lineRule="auto"/>
        <w:jc w:val="left"/>
        <w:rPr>
          <w:b/>
          <w:color w:val="auto"/>
          <w:sz w:val="21"/>
          <w:szCs w:val="21"/>
        </w:rPr>
      </w:pPr>
      <w:r>
        <w:rPr>
          <w:b/>
          <w:color w:val="auto"/>
          <w:sz w:val="21"/>
          <w:szCs w:val="21"/>
        </w:rPr>
        <w:t>1.</w:t>
      </w:r>
      <w:r>
        <w:rPr>
          <w:rFonts w:hint="eastAsia"/>
          <w:b/>
          <w:color w:val="auto"/>
          <w:sz w:val="21"/>
          <w:szCs w:val="21"/>
        </w:rPr>
        <w:t>根据《政府采购促进中小企业发展管理办法》（财库〔2020〕46号）、《关于进一步加大政府采购支持中小企业力度的通知》（财库〔2022〕19号）的规定，对符合规定的小微企业报价给予</w:t>
      </w:r>
      <w:r>
        <w:rPr>
          <w:rFonts w:hint="eastAsia" w:ascii="宋体" w:eastAsia="宋体"/>
          <w:b/>
          <w:color w:val="auto"/>
          <w:sz w:val="21"/>
          <w:szCs w:val="21"/>
          <w:lang w:val="en-US" w:eastAsia="zh-CN"/>
        </w:rPr>
        <w:t>1</w:t>
      </w:r>
      <w:r>
        <w:rPr>
          <w:b/>
          <w:color w:val="auto"/>
          <w:sz w:val="21"/>
          <w:szCs w:val="21"/>
        </w:rPr>
        <w:t>0</w:t>
      </w:r>
      <w:r>
        <w:rPr>
          <w:rFonts w:hint="eastAsia"/>
          <w:b/>
          <w:color w:val="auto"/>
          <w:sz w:val="21"/>
          <w:szCs w:val="21"/>
        </w:rPr>
        <w:t>%的扣除后计算价格得分。</w:t>
      </w:r>
    </w:p>
    <w:p>
      <w:pPr>
        <w:adjustRightInd w:val="0"/>
        <w:snapToGrid w:val="0"/>
        <w:spacing w:line="288" w:lineRule="auto"/>
        <w:ind w:firstLine="396" w:firstLineChars="200"/>
        <w:jc w:val="left"/>
        <w:rPr>
          <w:b/>
          <w:color w:val="auto"/>
          <w:sz w:val="21"/>
          <w:szCs w:val="21"/>
        </w:rPr>
      </w:pPr>
      <w:r>
        <w:rPr>
          <w:rFonts w:hint="eastAsia"/>
          <w:color w:val="auto"/>
          <w:spacing w:val="-6"/>
          <w:sz w:val="21"/>
          <w:szCs w:val="21"/>
          <w:u w:val="single"/>
        </w:rPr>
        <w:t>对于联合协议或者分包意向协议约定小微企业的合同份额占到合同总金额30%以上的，对联合体或者大中型企业的报价给予</w:t>
      </w:r>
      <w:r>
        <w:rPr>
          <w:rFonts w:hint="eastAsia" w:ascii="宋体" w:eastAsia="宋体"/>
          <w:color w:val="auto"/>
          <w:spacing w:val="-6"/>
          <w:sz w:val="21"/>
          <w:szCs w:val="21"/>
          <w:u w:val="single"/>
          <w:lang w:val="en-US" w:eastAsia="zh-CN"/>
        </w:rPr>
        <w:t>4%</w:t>
      </w:r>
      <w:r>
        <w:rPr>
          <w:rFonts w:hint="eastAsia"/>
          <w:color w:val="auto"/>
          <w:spacing w:val="-6"/>
          <w:sz w:val="21"/>
          <w:szCs w:val="21"/>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rPr>
      </w:pPr>
      <w:bookmarkStart w:id="40" w:name="_Hlk81817373"/>
      <w:r>
        <w:rPr>
          <w:rFonts w:hint="eastAsia" w:cs="Times New Roman"/>
          <w:b/>
          <w:bCs/>
          <w:color w:val="auto"/>
          <w:spacing w:val="-6"/>
          <w:sz w:val="21"/>
          <w:szCs w:val="21"/>
        </w:rPr>
        <w:t>2</w:t>
      </w:r>
      <w:r>
        <w:rPr>
          <w:rFonts w:cs="Times New Roman"/>
          <w:b/>
          <w:bCs/>
          <w:color w:val="auto"/>
          <w:spacing w:val="-6"/>
          <w:sz w:val="21"/>
          <w:szCs w:val="21"/>
        </w:rPr>
        <w:t>.</w:t>
      </w:r>
      <w:r>
        <w:rPr>
          <w:rFonts w:hint="eastAsia" w:cs="Times New Roman"/>
          <w:b/>
          <w:bCs/>
          <w:color w:val="auto"/>
          <w:spacing w:val="-6"/>
          <w:sz w:val="21"/>
          <w:szCs w:val="21"/>
        </w:rPr>
        <w:t>根据《</w:t>
      </w:r>
      <w:r>
        <w:rPr>
          <w:rFonts w:cs="Times New Roman"/>
          <w:b/>
          <w:bCs/>
          <w:color w:val="auto"/>
          <w:spacing w:val="-6"/>
          <w:sz w:val="21"/>
          <w:szCs w:val="21"/>
        </w:rPr>
        <w:t>关于政府采购支持监狱企业发展有关问题的通知</w:t>
      </w:r>
      <w:r>
        <w:rPr>
          <w:rFonts w:hint="eastAsia" w:cs="Times New Roman"/>
          <w:b/>
          <w:bCs/>
          <w:color w:val="auto"/>
          <w:spacing w:val="-6"/>
          <w:sz w:val="21"/>
          <w:szCs w:val="21"/>
        </w:rPr>
        <w:t>》（</w:t>
      </w:r>
      <w:r>
        <w:rPr>
          <w:rFonts w:cs="Times New Roman"/>
          <w:b/>
          <w:bCs/>
          <w:color w:val="auto"/>
          <w:spacing w:val="-6"/>
          <w:sz w:val="21"/>
          <w:szCs w:val="21"/>
        </w:rPr>
        <w:t>财库[2014]68号</w:t>
      </w:r>
      <w:r>
        <w:rPr>
          <w:rFonts w:hint="eastAsia" w:cs="Times New Roman"/>
          <w:b/>
          <w:bCs/>
          <w:color w:val="auto"/>
          <w:spacing w:val="-6"/>
          <w:sz w:val="21"/>
          <w:szCs w:val="21"/>
        </w:rPr>
        <w:t>）的规定，</w:t>
      </w:r>
      <w:r>
        <w:rPr>
          <w:rFonts w:hint="eastAsia"/>
          <w:color w:val="auto"/>
          <w:kern w:val="0"/>
          <w:sz w:val="21"/>
          <w:szCs w:val="21"/>
        </w:rPr>
        <w:t>监狱企业参加政府采购活动时，提供由省级以上监狱管理局</w:t>
      </w:r>
      <w:r>
        <w:rPr>
          <w:rFonts w:hint="eastAsia"/>
          <w:color w:val="auto"/>
          <w:kern w:val="0"/>
          <w:sz w:val="21"/>
          <w:szCs w:val="21"/>
        </w:rPr>
        <w:t>、戒毒管理局（含新疆生产建设兵团）出具的属于监狱企业的证明文件的，在政府采购活动中，监狱企业视</w:t>
      </w:r>
      <w:r>
        <w:rPr>
          <w:rFonts w:hint="eastAsia"/>
          <w:color w:val="auto"/>
          <w:kern w:val="0"/>
          <w:sz w:val="21"/>
          <w:szCs w:val="21"/>
        </w:rPr>
        <w:t>同小型、微型企业，享受预留份额、评审中价格扣除等政府采购促进中小企业发展的政府采购政策。</w:t>
      </w:r>
    </w:p>
    <w:bookmarkEnd w:id="40"/>
    <w:p>
      <w:pPr>
        <w:adjustRightInd w:val="0"/>
        <w:snapToGrid w:val="0"/>
        <w:spacing w:line="288" w:lineRule="auto"/>
        <w:jc w:val="left"/>
        <w:rPr>
          <w:b/>
          <w:color w:val="auto"/>
          <w:sz w:val="21"/>
          <w:szCs w:val="21"/>
          <w:highlight w:val="none"/>
        </w:rPr>
      </w:pPr>
      <w:r>
        <w:rPr>
          <w:rFonts w:hint="eastAsia" w:cs="Times New Roman"/>
          <w:b/>
          <w:bCs/>
          <w:color w:val="auto"/>
          <w:spacing w:val="-6"/>
          <w:sz w:val="21"/>
          <w:szCs w:val="21"/>
        </w:rPr>
        <w:t>3</w:t>
      </w:r>
      <w:r>
        <w:rPr>
          <w:rFonts w:cs="Times New Roman"/>
          <w:b/>
          <w:bCs/>
          <w:color w:val="auto"/>
          <w:spacing w:val="-6"/>
          <w:sz w:val="21"/>
          <w:szCs w:val="21"/>
        </w:rPr>
        <w:t>.</w:t>
      </w:r>
      <w:r>
        <w:rPr>
          <w:rFonts w:hint="eastAsia" w:cs="Times New Roman"/>
          <w:b/>
          <w:bCs/>
          <w:color w:val="auto"/>
          <w:spacing w:val="-6"/>
          <w:sz w:val="21"/>
          <w:szCs w:val="21"/>
        </w:rPr>
        <w:t>根据《关于促进残疾人就业政府采购政策的通知》（财库[2017]141号）的规定，</w:t>
      </w:r>
      <w:r>
        <w:rPr>
          <w:rFonts w:hint="eastAsia"/>
          <w:color w:val="auto"/>
          <w:sz w:val="21"/>
          <w:szCs w:val="21"/>
        </w:rPr>
        <w:t>符合条件的残疾人福利性单位在参加政府采购活动时，</w:t>
      </w:r>
      <w:r>
        <w:rPr>
          <w:rFonts w:hint="eastAsia"/>
          <w:color w:val="auto"/>
          <w:sz w:val="21"/>
          <w:szCs w:val="21"/>
        </w:rPr>
        <w:t>提供财库</w:t>
      </w:r>
      <w:r>
        <w:rPr>
          <w:color w:val="auto"/>
          <w:sz w:val="21"/>
          <w:szCs w:val="21"/>
        </w:rPr>
        <w:t>[2017]141号</w:t>
      </w:r>
      <w:r>
        <w:rPr>
          <w:rFonts w:hint="eastAsia"/>
          <w:color w:val="auto"/>
          <w:sz w:val="21"/>
          <w:szCs w:val="21"/>
        </w:rPr>
        <w:t>文件</w:t>
      </w:r>
      <w:r>
        <w:rPr>
          <w:rFonts w:hint="eastAsia"/>
          <w:color w:val="auto"/>
          <w:sz w:val="21"/>
          <w:szCs w:val="21"/>
        </w:rPr>
        <w:t>规定的《残疾人福利性单位声明函》的，在政府采购活</w:t>
      </w:r>
      <w:r>
        <w:rPr>
          <w:rFonts w:hint="eastAsia"/>
          <w:color w:val="auto"/>
          <w:sz w:val="21"/>
          <w:szCs w:val="21"/>
        </w:rPr>
        <w:t>动中，残疾人福利性单位视同小型、微型企业，享受预留份额、评审中价格扣除等促进中小企业发展的政府采购政策。</w:t>
      </w:r>
      <w:r>
        <w:rPr>
          <w:rFonts w:cs="Times New Roman"/>
          <w:color w:val="auto"/>
          <w:spacing w:val="-6"/>
          <w:sz w:val="21"/>
          <w:szCs w:val="21"/>
        </w:rPr>
        <w:t>残疾人福利性单位属于小型、微型企业的，不重复享受政策。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QSZB-Z(H)-B23314(CS)</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[2023]54546号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探测预警与信息对抗研究院设备采购</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泛在计算与存储开发平台、LCR数字电桥</w:t>
      </w:r>
      <w:r>
        <w:rPr>
          <w:rFonts w:hint="eastAsia" w:ascii="Times New Roman" w:hAnsi="Times New Roman"/>
          <w:color w:val="auto"/>
          <w:spacing w:val="-6"/>
          <w:sz w:val="21"/>
          <w:szCs w:val="21"/>
          <w:highlight w:val="none"/>
          <w:lang w:val="en-US" w:eastAsia="zh-CN"/>
        </w:rPr>
        <w:t xml:space="preserve">   </w:t>
      </w:r>
      <w:r>
        <w:rPr>
          <w:rFonts w:hint="eastAsia" w:ascii="Times New Roman" w:hAnsi="Times New Roman"/>
          <w:color w:val="auto"/>
          <w:spacing w:val="-6"/>
          <w:sz w:val="21"/>
          <w:szCs w:val="21"/>
          <w:highlight w:val="none"/>
        </w:rPr>
        <w:t>年，其余设备</w:t>
      </w:r>
      <w:r>
        <w:rPr>
          <w:rFonts w:hint="eastAsia" w:ascii="Times New Roman" w:hAnsi="Times New Roman"/>
          <w:color w:val="auto"/>
          <w:spacing w:val="-6"/>
          <w:sz w:val="21"/>
          <w:szCs w:val="21"/>
          <w:highlight w:val="none"/>
          <w:lang w:val="en-US" w:eastAsia="zh-CN"/>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w:t>
      </w:r>
      <w:r>
        <w:rPr>
          <w:rFonts w:hint="eastAsia" w:cs="Times New Roman"/>
          <w:color w:val="auto"/>
          <w:spacing w:val="-6"/>
          <w:sz w:val="21"/>
          <w:szCs w:val="21"/>
          <w:highlight w:val="none"/>
          <w:lang w:val="en-US" w:eastAsia="zh-CN"/>
        </w:rPr>
        <w:t>45</w:t>
      </w:r>
      <w:r>
        <w:rPr>
          <w:rFonts w:hint="eastAsia" w:cs="Times New Roman"/>
          <w:color w:val="auto"/>
          <w:spacing w:val="-6"/>
          <w:sz w:val="21"/>
          <w:szCs w:val="21"/>
          <w:highlight w:val="none"/>
        </w:rPr>
        <w:t>日内交付。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设备自验收合格后起保修泛在计算与存储开发平台、LCR数字电桥   年，其余设备   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3"/>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1"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4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2"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rFonts w:hint="eastAsia" w:eastAsia="宋体"/>
          <w:b/>
          <w:bCs/>
          <w:color w:val="auto"/>
          <w:sz w:val="21"/>
          <w:szCs w:val="21"/>
          <w:highlight w:val="none"/>
          <w:lang w:val="en-US" w:eastAsia="zh-CN"/>
        </w:rPr>
      </w:pPr>
      <w:r>
        <w:rPr>
          <w:rFonts w:hint="eastAsia"/>
          <w:b/>
          <w:bCs/>
          <w:color w:val="auto"/>
          <w:sz w:val="21"/>
          <w:szCs w:val="21"/>
          <w:highlight w:val="none"/>
        </w:rPr>
        <w:t>（</w:t>
      </w:r>
      <w:r>
        <w:rPr>
          <w:b/>
          <w:bCs/>
          <w:color w:val="auto"/>
          <w:sz w:val="21"/>
          <w:szCs w:val="21"/>
          <w:highlight w:val="none"/>
        </w:rPr>
        <w:t>3）落实政府采购政策需满足的资格要求：</w:t>
      </w:r>
      <w:r>
        <w:rPr>
          <w:rFonts w:hint="eastAsia"/>
          <w:b/>
          <w:bCs/>
          <w:color w:val="auto"/>
          <w:sz w:val="21"/>
          <w:szCs w:val="21"/>
          <w:highlight w:val="none"/>
          <w:lang w:val="en-US" w:eastAsia="zh-CN"/>
        </w:rPr>
        <w:t>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4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rPr>
        <w:t>中小企业声明函（若属于中小企业）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3</w:t>
      </w:r>
      <w:r>
        <w:rPr>
          <w:rFonts w:hint="eastAsia"/>
          <w:color w:val="auto"/>
          <w:sz w:val="21"/>
          <w:szCs w:val="21"/>
          <w:highlight w:val="none"/>
          <w:lang w:eastAsia="zh-CN"/>
        </w:rPr>
        <w:t>）</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4</w:t>
      </w:r>
      <w:r>
        <w:rPr>
          <w:rFonts w:hint="eastAsia"/>
          <w:color w:val="auto"/>
          <w:sz w:val="21"/>
          <w:szCs w:val="21"/>
          <w:highlight w:val="none"/>
          <w:lang w:eastAsia="zh-CN"/>
        </w:rPr>
        <w:t>）</w:t>
      </w:r>
      <w:r>
        <w:rPr>
          <w:rFonts w:hint="eastAsia"/>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3"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3"/>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4" w:name="_Hlk94097338"/>
      <w:r>
        <w:rPr>
          <w:rFonts w:hint="eastAsia"/>
          <w:b/>
          <w:bCs/>
          <w:color w:val="auto"/>
          <w:sz w:val="21"/>
          <w:szCs w:val="21"/>
          <w:highlight w:val="none"/>
        </w:rPr>
        <w:t>资格审查要求的资格证明材料(均需加盖公章)</w:t>
      </w:r>
    </w:p>
    <w:bookmarkEnd w:id="44"/>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widowControl/>
        <w:adjustRightInd w:val="0"/>
        <w:snapToGrid w:val="0"/>
        <w:spacing w:line="288" w:lineRule="auto"/>
        <w:jc w:val="left"/>
        <w:rPr>
          <w:rFonts w:hint="eastAsia" w:eastAsia="宋体" w:cs="Times New Roman"/>
          <w:b/>
          <w:bCs/>
          <w:color w:val="auto"/>
          <w:spacing w:val="-6"/>
          <w:sz w:val="21"/>
          <w:szCs w:val="21"/>
          <w:highlight w:val="none"/>
          <w:lang w:val="en-US" w:eastAsia="zh-CN"/>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r>
        <w:rPr>
          <w:rFonts w:hint="eastAsia"/>
          <w:b/>
          <w:color w:val="auto"/>
          <w:spacing w:val="-6"/>
          <w:sz w:val="21"/>
          <w:szCs w:val="21"/>
          <w:highlight w:val="none"/>
          <w:lang w:val="en-US" w:eastAsia="zh-CN"/>
        </w:rPr>
        <w:t>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探测预警与信息对抗研究院设备采购</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QSZB-Z(H)-B23314(CS)</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lang w:eastAsia="zh-CN"/>
        </w:rPr>
        <w:t>（</w:t>
      </w:r>
      <w:r>
        <w:rPr>
          <w:rFonts w:hint="eastAsia"/>
          <w:b/>
          <w:bCs/>
          <w:color w:val="auto"/>
          <w:sz w:val="21"/>
          <w:szCs w:val="21"/>
          <w:highlight w:val="none"/>
          <w:lang w:val="en-US" w:eastAsia="zh-CN"/>
        </w:rPr>
        <w:t>2</w:t>
      </w:r>
      <w:r>
        <w:rPr>
          <w:rFonts w:hint="eastAsia"/>
          <w:b/>
          <w:bCs/>
          <w:color w:val="auto"/>
          <w:sz w:val="21"/>
          <w:szCs w:val="21"/>
          <w:highlight w:val="none"/>
          <w:lang w:eastAsia="zh-CN"/>
        </w:rPr>
        <w:t>）</w:t>
      </w: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杭州电子科技大学</w:t>
      </w:r>
      <w:r>
        <w:rPr>
          <w:color w:val="auto"/>
          <w:sz w:val="21"/>
          <w:szCs w:val="21"/>
          <w:highlight w:val="none"/>
        </w:rPr>
        <w:t>的</w:t>
      </w:r>
      <w:r>
        <w:rPr>
          <w:rFonts w:hint="eastAsia" w:eastAsia="宋体"/>
          <w:color w:val="auto"/>
          <w:sz w:val="21"/>
          <w:szCs w:val="21"/>
          <w:highlight w:val="none"/>
          <w:u w:val="single"/>
          <w:lang w:eastAsia="zh-CN"/>
        </w:rPr>
        <w:t>探测预警与信息对抗研究院设备采购</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eastAsia="宋体"/>
          <w:color w:val="auto"/>
          <w:sz w:val="21"/>
          <w:szCs w:val="21"/>
          <w:highlight w:val="none"/>
          <w:lang w:eastAsia="zh-CN"/>
        </w:rPr>
      </w:pPr>
      <w:r>
        <w:rPr>
          <w:color w:val="auto"/>
          <w:sz w:val="21"/>
          <w:szCs w:val="21"/>
          <w:highlight w:val="none"/>
          <w:u w:val="single"/>
        </w:rPr>
        <w:t>1.</w:t>
      </w:r>
      <w:r>
        <w:rPr>
          <w:rFonts w:hint="eastAsia" w:eastAsia="宋体"/>
          <w:color w:val="auto"/>
          <w:sz w:val="21"/>
          <w:szCs w:val="21"/>
          <w:highlight w:val="none"/>
          <w:u w:val="single"/>
          <w:lang w:eastAsia="zh-CN"/>
        </w:rPr>
        <w:t>泛在计算与存储开发平台</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eastAsia="宋体"/>
          <w:color w:val="auto"/>
          <w:sz w:val="21"/>
          <w:szCs w:val="21"/>
          <w:highlight w:val="none"/>
          <w:lang w:eastAsia="zh-CN"/>
        </w:rPr>
        <w:t>；</w:t>
      </w:r>
    </w:p>
    <w:p>
      <w:pPr>
        <w:adjustRightInd w:val="0"/>
        <w:snapToGrid w:val="0"/>
        <w:spacing w:line="288" w:lineRule="auto"/>
        <w:ind w:firstLine="495" w:firstLineChars="236"/>
        <w:rPr>
          <w:rFonts w:hint="eastAsia" w:eastAsia="宋体"/>
          <w:color w:val="auto"/>
          <w:sz w:val="21"/>
          <w:szCs w:val="21"/>
          <w:highlight w:val="none"/>
          <w:lang w:eastAsia="zh-CN"/>
        </w:rPr>
      </w:pPr>
      <w:r>
        <w:rPr>
          <w:rFonts w:hint="eastAsia" w:ascii="宋体" w:eastAsia="宋体"/>
          <w:color w:val="auto"/>
          <w:sz w:val="21"/>
          <w:szCs w:val="21"/>
          <w:highlight w:val="none"/>
          <w:u w:val="single"/>
          <w:lang w:val="en-US" w:eastAsia="zh-CN"/>
        </w:rPr>
        <w:t>2</w:t>
      </w:r>
      <w:r>
        <w:rPr>
          <w:color w:val="auto"/>
          <w:sz w:val="21"/>
          <w:szCs w:val="21"/>
          <w:highlight w:val="none"/>
          <w:u w:val="single"/>
        </w:rPr>
        <w:t>.</w:t>
      </w:r>
      <w:r>
        <w:rPr>
          <w:rFonts w:hint="eastAsia" w:eastAsia="宋体"/>
          <w:color w:val="auto"/>
          <w:sz w:val="21"/>
          <w:szCs w:val="21"/>
          <w:highlight w:val="none"/>
          <w:u w:val="single"/>
          <w:lang w:eastAsia="zh-CN"/>
        </w:rPr>
        <w:t>LCR数字电桥</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lang w:eastAsia="zh-CN"/>
        </w:rPr>
        <w:t>；</w:t>
      </w:r>
    </w:p>
    <w:p>
      <w:pPr>
        <w:adjustRightInd w:val="0"/>
        <w:snapToGrid w:val="0"/>
        <w:spacing w:line="288" w:lineRule="auto"/>
        <w:ind w:firstLine="495" w:firstLineChars="236"/>
        <w:rPr>
          <w:rFonts w:hint="eastAsia" w:eastAsia="宋体"/>
          <w:color w:val="auto"/>
          <w:sz w:val="21"/>
          <w:szCs w:val="21"/>
          <w:highlight w:val="none"/>
          <w:lang w:eastAsia="zh-CN"/>
        </w:rPr>
      </w:pPr>
      <w:r>
        <w:rPr>
          <w:rFonts w:hint="eastAsia"/>
          <w:color w:val="auto"/>
          <w:sz w:val="21"/>
          <w:szCs w:val="21"/>
          <w:highlight w:val="none"/>
          <w:u w:val="single"/>
          <w:lang w:val="en-US" w:eastAsia="zh-CN"/>
        </w:rPr>
        <w:t>3</w:t>
      </w:r>
      <w:r>
        <w:rPr>
          <w:color w:val="auto"/>
          <w:sz w:val="21"/>
          <w:szCs w:val="21"/>
          <w:highlight w:val="none"/>
          <w:u w:val="single"/>
        </w:rPr>
        <w:t>.</w:t>
      </w:r>
      <w:r>
        <w:rPr>
          <w:rFonts w:hint="eastAsia" w:eastAsia="宋体"/>
          <w:color w:val="auto"/>
          <w:sz w:val="21"/>
          <w:szCs w:val="21"/>
          <w:highlight w:val="none"/>
          <w:u w:val="single"/>
          <w:lang w:eastAsia="zh-CN"/>
        </w:rPr>
        <w:t>VPX开发平台</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eastAsia="宋体"/>
          <w:color w:val="auto"/>
          <w:sz w:val="21"/>
          <w:szCs w:val="21"/>
          <w:highlight w:val="none"/>
          <w:lang w:eastAsia="zh-CN"/>
        </w:rPr>
        <w:t>；</w:t>
      </w:r>
    </w:p>
    <w:p>
      <w:pPr>
        <w:adjustRightInd w:val="0"/>
        <w:snapToGrid w:val="0"/>
        <w:spacing w:line="288" w:lineRule="auto"/>
        <w:ind w:firstLine="495" w:firstLineChars="236"/>
        <w:rPr>
          <w:rFonts w:hint="eastAsia" w:eastAsia="宋体"/>
          <w:color w:val="auto"/>
          <w:sz w:val="21"/>
          <w:szCs w:val="21"/>
          <w:highlight w:val="none"/>
          <w:lang w:eastAsia="zh-CN"/>
        </w:rPr>
      </w:pPr>
      <w:r>
        <w:rPr>
          <w:rFonts w:hint="eastAsia"/>
          <w:color w:val="auto"/>
          <w:sz w:val="21"/>
          <w:szCs w:val="21"/>
          <w:highlight w:val="none"/>
          <w:u w:val="single"/>
          <w:lang w:val="en-US" w:eastAsia="zh-CN"/>
        </w:rPr>
        <w:t>4</w:t>
      </w:r>
      <w:r>
        <w:rPr>
          <w:color w:val="auto"/>
          <w:sz w:val="21"/>
          <w:szCs w:val="21"/>
          <w:highlight w:val="none"/>
          <w:u w:val="single"/>
        </w:rPr>
        <w:t>.</w:t>
      </w:r>
      <w:r>
        <w:rPr>
          <w:rFonts w:hint="eastAsia" w:eastAsia="宋体"/>
          <w:color w:val="auto"/>
          <w:sz w:val="21"/>
          <w:szCs w:val="21"/>
          <w:highlight w:val="none"/>
          <w:u w:val="single"/>
          <w:lang w:eastAsia="zh-CN"/>
        </w:rPr>
        <w:t>嵌入式密码装备开发平台</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eastAsia="宋体"/>
          <w:color w:val="auto"/>
          <w:sz w:val="21"/>
          <w:szCs w:val="21"/>
          <w:highlight w:val="none"/>
          <w:lang w:eastAsia="zh-CN"/>
        </w:rPr>
        <w:t>；</w:t>
      </w:r>
    </w:p>
    <w:p>
      <w:pPr>
        <w:adjustRightInd w:val="0"/>
        <w:snapToGrid w:val="0"/>
        <w:spacing w:line="288" w:lineRule="auto"/>
        <w:ind w:firstLine="495" w:firstLineChars="236"/>
        <w:rPr>
          <w:rFonts w:hint="eastAsia" w:eastAsia="宋体"/>
          <w:color w:val="auto"/>
          <w:sz w:val="21"/>
          <w:szCs w:val="21"/>
          <w:highlight w:val="none"/>
          <w:lang w:eastAsia="zh-CN"/>
        </w:rPr>
      </w:pPr>
      <w:r>
        <w:rPr>
          <w:rFonts w:hint="eastAsia"/>
          <w:color w:val="auto"/>
          <w:sz w:val="21"/>
          <w:szCs w:val="21"/>
          <w:highlight w:val="none"/>
          <w:u w:val="single"/>
          <w:lang w:val="en-US" w:eastAsia="zh-CN"/>
        </w:rPr>
        <w:t>5</w:t>
      </w:r>
      <w:r>
        <w:rPr>
          <w:color w:val="auto"/>
          <w:sz w:val="21"/>
          <w:szCs w:val="21"/>
          <w:highlight w:val="none"/>
          <w:u w:val="single"/>
        </w:rPr>
        <w:t>.</w:t>
      </w:r>
      <w:r>
        <w:rPr>
          <w:rFonts w:hint="eastAsia" w:eastAsia="宋体"/>
          <w:color w:val="auto"/>
          <w:sz w:val="21"/>
          <w:szCs w:val="21"/>
          <w:highlight w:val="none"/>
          <w:u w:val="single"/>
          <w:lang w:eastAsia="zh-CN"/>
        </w:rPr>
        <w:t>软件无线电平台</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eastAsia="宋体"/>
          <w:color w:val="auto"/>
          <w:sz w:val="21"/>
          <w:szCs w:val="21"/>
          <w:highlight w:val="none"/>
          <w:lang w:eastAsia="zh-CN"/>
        </w:rPr>
        <w:t>；</w:t>
      </w:r>
    </w:p>
    <w:p>
      <w:pPr>
        <w:adjustRightInd w:val="0"/>
        <w:snapToGrid w:val="0"/>
        <w:spacing w:line="288" w:lineRule="auto"/>
        <w:ind w:firstLine="495" w:firstLineChars="236"/>
        <w:rPr>
          <w:rFonts w:hint="eastAsia" w:eastAsia="宋体"/>
          <w:color w:val="auto"/>
          <w:sz w:val="21"/>
          <w:szCs w:val="21"/>
          <w:highlight w:val="none"/>
          <w:lang w:eastAsia="zh-CN"/>
        </w:rPr>
      </w:pPr>
      <w:r>
        <w:rPr>
          <w:rFonts w:hint="eastAsia"/>
          <w:color w:val="auto"/>
          <w:sz w:val="21"/>
          <w:szCs w:val="21"/>
          <w:highlight w:val="none"/>
          <w:u w:val="single"/>
          <w:lang w:val="en-US" w:eastAsia="zh-CN"/>
        </w:rPr>
        <w:t>6</w:t>
      </w:r>
      <w:r>
        <w:rPr>
          <w:color w:val="auto"/>
          <w:sz w:val="21"/>
          <w:szCs w:val="21"/>
          <w:highlight w:val="none"/>
          <w:u w:val="single"/>
        </w:rPr>
        <w:t>.</w:t>
      </w:r>
      <w:r>
        <w:rPr>
          <w:rFonts w:hint="eastAsia" w:eastAsia="宋体"/>
          <w:color w:val="auto"/>
          <w:sz w:val="21"/>
          <w:szCs w:val="21"/>
          <w:highlight w:val="none"/>
          <w:u w:val="single"/>
          <w:lang w:eastAsia="zh-CN"/>
        </w:rPr>
        <w:t>人工智能无人机科创平台</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eastAsia="宋体"/>
          <w:color w:val="auto"/>
          <w:sz w:val="21"/>
          <w:szCs w:val="21"/>
          <w:highlight w:val="none"/>
          <w:lang w:eastAsia="zh-CN"/>
        </w:rPr>
        <w:t>；</w:t>
      </w:r>
    </w:p>
    <w:p>
      <w:pPr>
        <w:adjustRightInd w:val="0"/>
        <w:snapToGrid w:val="0"/>
        <w:spacing w:line="288" w:lineRule="auto"/>
        <w:ind w:firstLine="495" w:firstLineChars="236"/>
        <w:rPr>
          <w:rFonts w:hint="eastAsia" w:eastAsia="宋体"/>
          <w:color w:val="auto"/>
          <w:sz w:val="21"/>
          <w:szCs w:val="21"/>
          <w:highlight w:val="none"/>
          <w:lang w:eastAsia="zh-CN"/>
        </w:rPr>
      </w:pPr>
      <w:r>
        <w:rPr>
          <w:rFonts w:hint="eastAsia"/>
          <w:color w:val="auto"/>
          <w:sz w:val="21"/>
          <w:szCs w:val="21"/>
          <w:highlight w:val="none"/>
          <w:u w:val="single"/>
          <w:lang w:val="en-US" w:eastAsia="zh-CN"/>
        </w:rPr>
        <w:t>7</w:t>
      </w:r>
      <w:r>
        <w:rPr>
          <w:color w:val="auto"/>
          <w:sz w:val="21"/>
          <w:szCs w:val="21"/>
          <w:highlight w:val="none"/>
          <w:u w:val="single"/>
        </w:rPr>
        <w:t>.</w:t>
      </w:r>
      <w:r>
        <w:rPr>
          <w:rFonts w:hint="eastAsia" w:eastAsia="宋体"/>
          <w:color w:val="auto"/>
          <w:sz w:val="21"/>
          <w:szCs w:val="21"/>
          <w:highlight w:val="none"/>
          <w:u w:val="single"/>
          <w:lang w:eastAsia="zh-CN"/>
        </w:rPr>
        <w:t>高精度融合定位系统</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eastAsia="宋体"/>
          <w:color w:val="auto"/>
          <w:sz w:val="21"/>
          <w:szCs w:val="21"/>
          <w:highlight w:val="none"/>
          <w:lang w:eastAsia="zh-CN"/>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5"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5"/>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w:t>
      </w:r>
      <w:r>
        <w:rPr>
          <w:rFonts w:hint="eastAsia" w:cs="Times New Roman"/>
          <w:bCs/>
          <w:color w:val="auto"/>
          <w:spacing w:val="-6"/>
          <w:sz w:val="21"/>
          <w:szCs w:val="21"/>
          <w:highlight w:val="none"/>
          <w:u w:val="single"/>
          <w:lang w:eastAsia="zh-CN"/>
        </w:rPr>
        <w:t>探测预警与信息对抗研究院设备采购</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QSZB-Z(H)-B23314(CS)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w:t>
      </w:r>
      <w:r>
        <w:rPr>
          <w:rFonts w:hint="eastAsia" w:cs="Times New Roman"/>
          <w:bCs/>
          <w:color w:val="auto"/>
          <w:spacing w:val="-6"/>
          <w:sz w:val="21"/>
          <w:szCs w:val="21"/>
          <w:highlight w:val="none"/>
          <w:lang w:eastAsia="zh-CN"/>
        </w:rPr>
        <w:t>探测预警与信息对抗研究院设备采购</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QSZB-Z(H)-B23314(CS)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▲提供授权代表社保缴纳证明（2022年12月（含）以后任意一月）。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附：授权代表社保缴纳证明（2022年12月（含）以后任意一月）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探测预警与信息对抗研究院设备采购</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QSZB-Z(H)-B23314(CS)</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2"/>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b/>
          <w:color w:val="auto"/>
          <w:spacing w:val="-6"/>
          <w:sz w:val="21"/>
          <w:szCs w:val="21"/>
          <w:highlight w:val="none"/>
        </w:rPr>
      </w:pPr>
      <w:bookmarkStart w:id="46" w:name="_Hlk71885757"/>
      <w:r>
        <w:rPr>
          <w:rFonts w:hint="eastAsia"/>
          <w:b/>
          <w:color w:val="auto"/>
          <w:spacing w:val="-6"/>
          <w:sz w:val="21"/>
          <w:szCs w:val="21"/>
          <w:highlight w:val="none"/>
        </w:rPr>
        <w:t>（6）技术方案：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bookmarkEnd w:id="46"/>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（9）供应商需要说明的其他文件和材料。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lang w:eastAsia="zh-CN"/>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lang w:eastAsia="zh-CN"/>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306580"/>
    <w:multiLevelType w:val="singleLevel"/>
    <w:tmpl w:val="F3306580"/>
    <w:lvl w:ilvl="0" w:tentative="0">
      <w:start w:val="1"/>
      <w:numFmt w:val="chineseCounting"/>
      <w:suff w:val="nothing"/>
      <w:lvlText w:val="%1、"/>
      <w:lvlJc w:val="left"/>
      <w:rPr>
        <w:rFonts w:hint="eastAsia"/>
      </w:rPr>
    </w:lvl>
  </w:abstractNum>
  <w:abstractNum w:abstractNumId="1">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327482EA"/>
    <w:multiLevelType w:val="singleLevel"/>
    <w:tmpl w:val="327482EA"/>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2C34"/>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D1814"/>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7BA"/>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C0DD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4473C"/>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CE2C3C"/>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79376A"/>
    <w:rsid w:val="31A353BC"/>
    <w:rsid w:val="31B10509"/>
    <w:rsid w:val="31BD5198"/>
    <w:rsid w:val="31C169C5"/>
    <w:rsid w:val="31DB0F40"/>
    <w:rsid w:val="321C1DAA"/>
    <w:rsid w:val="3230228C"/>
    <w:rsid w:val="324637C9"/>
    <w:rsid w:val="3253058A"/>
    <w:rsid w:val="32626B6D"/>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806379"/>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5DA4283"/>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9844EC"/>
    <w:rsid w:val="4EC93248"/>
    <w:rsid w:val="4ECB500C"/>
    <w:rsid w:val="4EDF069F"/>
    <w:rsid w:val="4EFE5BE2"/>
    <w:rsid w:val="4EFE6728"/>
    <w:rsid w:val="4F05236E"/>
    <w:rsid w:val="4F0B787A"/>
    <w:rsid w:val="4F1203F1"/>
    <w:rsid w:val="4F187DE9"/>
    <w:rsid w:val="4F210F21"/>
    <w:rsid w:val="4F3718E3"/>
    <w:rsid w:val="4F7B269C"/>
    <w:rsid w:val="4FDA0DAB"/>
    <w:rsid w:val="4FEC3BFA"/>
    <w:rsid w:val="4FF534DD"/>
    <w:rsid w:val="507239EE"/>
    <w:rsid w:val="5088341F"/>
    <w:rsid w:val="50AD2A54"/>
    <w:rsid w:val="50BA7E57"/>
    <w:rsid w:val="50D81BF7"/>
    <w:rsid w:val="50E9335E"/>
    <w:rsid w:val="51013988"/>
    <w:rsid w:val="51190415"/>
    <w:rsid w:val="51333A09"/>
    <w:rsid w:val="513738A4"/>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654A"/>
    <w:rsid w:val="552D710B"/>
    <w:rsid w:val="556A04AF"/>
    <w:rsid w:val="557766E3"/>
    <w:rsid w:val="557B0739"/>
    <w:rsid w:val="558E66C9"/>
    <w:rsid w:val="55A5332F"/>
    <w:rsid w:val="55CC5ACC"/>
    <w:rsid w:val="55E36449"/>
    <w:rsid w:val="55F05BDD"/>
    <w:rsid w:val="56026953"/>
    <w:rsid w:val="56226A5D"/>
    <w:rsid w:val="5630006B"/>
    <w:rsid w:val="566136B8"/>
    <w:rsid w:val="569D7FEE"/>
    <w:rsid w:val="56C52FDC"/>
    <w:rsid w:val="56CE0A80"/>
    <w:rsid w:val="56D5788D"/>
    <w:rsid w:val="56F13E4B"/>
    <w:rsid w:val="57063CE5"/>
    <w:rsid w:val="57193C7A"/>
    <w:rsid w:val="57575FE6"/>
    <w:rsid w:val="581731F5"/>
    <w:rsid w:val="5818649C"/>
    <w:rsid w:val="58361F13"/>
    <w:rsid w:val="5875284A"/>
    <w:rsid w:val="587C6933"/>
    <w:rsid w:val="58B24F2D"/>
    <w:rsid w:val="58B6757E"/>
    <w:rsid w:val="58F275E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8441F3"/>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9FC655A"/>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6D77D7"/>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522301"/>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next w:val="1"/>
    <w:qFormat/>
    <w:uiPriority w:val="0"/>
    <w:pPr>
      <w:widowControl w:val="0"/>
      <w:jc w:val="both"/>
    </w:pPr>
    <w:rPr>
      <w:rFonts w:ascii="宋体" w:hAnsi="宋体" w:eastAsia="宋体" w:cs="宋体"/>
      <w:kern w:val="2"/>
      <w:sz w:val="21"/>
      <w:szCs w:val="24"/>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7"/>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textAlignment w:val="auto"/>
    </w:pPr>
    <w:rPr>
      <w:rFonts w:ascii="Times New Roman" w:hAnsi="Times New Roman"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6"/>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页脚 字符"/>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5"/>
    <w:qFormat/>
    <w:uiPriority w:val="99"/>
    <w:rPr>
      <w:rFonts w:ascii="宋体" w:hAnsi="Courier New" w:eastAsiaTheme="minorEastAsia" w:cstheme="minorBidi"/>
      <w:kern w:val="2"/>
      <w:sz w:val="24"/>
      <w:szCs w:val="24"/>
    </w:rPr>
  </w:style>
  <w:style w:type="character" w:customStyle="1" w:styleId="27">
    <w:name w:val="批注主题 字符"/>
    <w:basedOn w:val="18"/>
    <w:link w:val="10"/>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9">
    <w:name w:val="Revision"/>
    <w:hidden/>
    <w:semiHidden/>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52</Pages>
  <Words>31477</Words>
  <Characters>34626</Characters>
  <Lines>225</Lines>
  <Paragraphs>63</Paragraphs>
  <TotalTime>14</TotalTime>
  <ScaleCrop>false</ScaleCrop>
  <LinksUpToDate>false</LinksUpToDate>
  <CharactersWithSpaces>35590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2023-08-07T00:04:17Z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