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rPr>
          <w:rFonts w:hint="eastAsia" w:ascii="楷体" w:hAnsi="楷体" w:eastAsia="楷体"/>
          <w:b/>
          <w:color w:val="auto"/>
          <w:spacing w:val="-6"/>
          <w:sz w:val="44"/>
          <w:szCs w:val="44"/>
          <w:highlight w:val="none"/>
        </w:rPr>
      </w:pPr>
    </w:p>
    <w:p>
      <w:pPr>
        <w:spacing w:line="360" w:lineRule="auto"/>
        <w:rPr>
          <w:rFonts w:hint="eastAsia" w:ascii="楷体" w:hAnsi="楷体" w:eastAsia="楷体"/>
          <w:b/>
          <w:color w:val="auto"/>
          <w:spacing w:val="-6"/>
          <w:sz w:val="44"/>
          <w:szCs w:val="44"/>
          <w:highlight w:val="none"/>
        </w:rPr>
      </w:pPr>
    </w:p>
    <w:p>
      <w:pPr>
        <w:spacing w:line="360" w:lineRule="auto"/>
        <w:jc w:val="center"/>
        <w:rPr>
          <w:rFonts w:ascii="楷体" w:hAnsi="楷体" w:eastAsia="楷体"/>
          <w:b/>
          <w:color w:val="auto"/>
          <w:spacing w:val="-6"/>
          <w:sz w:val="48"/>
          <w:szCs w:val="48"/>
          <w:highlight w:val="none"/>
        </w:rPr>
      </w:pPr>
      <w:r>
        <w:rPr>
          <w:rFonts w:hint="eastAsia" w:ascii="楷体" w:hAnsi="楷体" w:eastAsia="楷体"/>
          <w:b/>
          <w:color w:val="auto"/>
          <w:spacing w:val="-6"/>
          <w:sz w:val="48"/>
          <w:szCs w:val="48"/>
          <w:highlight w:val="none"/>
        </w:rPr>
        <w:t>浙江求是招标代理有限公司关于</w:t>
      </w:r>
    </w:p>
    <w:p>
      <w:pPr>
        <w:spacing w:line="360" w:lineRule="auto"/>
        <w:jc w:val="center"/>
        <w:rPr>
          <w:rFonts w:hint="eastAsia" w:ascii="楷体" w:hAnsi="楷体" w:eastAsia="楷体"/>
          <w:b/>
          <w:color w:val="auto"/>
          <w:spacing w:val="-6"/>
          <w:sz w:val="48"/>
          <w:szCs w:val="48"/>
          <w:highlight w:val="none"/>
          <w:lang w:eastAsia="zh-CN"/>
        </w:rPr>
      </w:pPr>
      <w:r>
        <w:rPr>
          <w:rFonts w:hint="eastAsia" w:ascii="楷体" w:hAnsi="楷体" w:eastAsia="楷体"/>
          <w:b/>
          <w:color w:val="auto"/>
          <w:spacing w:val="-6"/>
          <w:sz w:val="48"/>
          <w:szCs w:val="48"/>
          <w:highlight w:val="none"/>
          <w:lang w:eastAsia="zh-CN"/>
        </w:rPr>
        <w:t>杭州电子科技大学</w:t>
      </w:r>
    </w:p>
    <w:p>
      <w:pPr>
        <w:spacing w:line="360" w:lineRule="auto"/>
        <w:jc w:val="center"/>
        <w:rPr>
          <w:rFonts w:hint="eastAsia" w:ascii="楷体" w:hAnsi="楷体" w:eastAsia="楷体"/>
          <w:b/>
          <w:color w:val="auto"/>
          <w:spacing w:val="-6"/>
          <w:sz w:val="48"/>
          <w:szCs w:val="48"/>
          <w:highlight w:val="none"/>
          <w:lang w:eastAsia="zh-CN"/>
        </w:rPr>
      </w:pPr>
      <w:r>
        <w:rPr>
          <w:rFonts w:hint="eastAsia" w:ascii="楷体" w:hAnsi="楷体" w:eastAsia="楷体"/>
          <w:b/>
          <w:color w:val="auto"/>
          <w:spacing w:val="-6"/>
          <w:sz w:val="48"/>
          <w:szCs w:val="48"/>
          <w:highlight w:val="none"/>
          <w:lang w:eastAsia="zh-CN"/>
        </w:rPr>
        <w:t>微波暗室测试系统</w:t>
      </w:r>
    </w:p>
    <w:p>
      <w:pPr>
        <w:spacing w:line="360" w:lineRule="auto"/>
        <w:jc w:val="center"/>
        <w:rPr>
          <w:rFonts w:hint="eastAsia" w:ascii="楷体" w:hAnsi="楷体" w:eastAsia="楷体"/>
          <w:b/>
          <w:color w:val="auto"/>
          <w:sz w:val="72"/>
          <w:szCs w:val="72"/>
          <w:highlight w:val="none"/>
        </w:rPr>
      </w:pPr>
    </w:p>
    <w:p>
      <w:pPr>
        <w:spacing w:line="360" w:lineRule="auto"/>
        <w:jc w:val="center"/>
        <w:rPr>
          <w:rFonts w:hint="eastAsia" w:ascii="楷体" w:hAnsi="楷体" w:eastAsia="楷体"/>
          <w:b/>
          <w:color w:val="auto"/>
          <w:spacing w:val="-6"/>
          <w:sz w:val="72"/>
          <w:szCs w:val="72"/>
          <w:highlight w:val="none"/>
        </w:rPr>
      </w:pPr>
      <w:r>
        <w:rPr>
          <w:rFonts w:hint="eastAsia" w:ascii="楷体" w:hAnsi="楷体" w:eastAsia="楷体"/>
          <w:b/>
          <w:color w:val="auto"/>
          <w:spacing w:val="-6"/>
          <w:sz w:val="72"/>
          <w:szCs w:val="72"/>
          <w:highlight w:val="none"/>
        </w:rPr>
        <w:t>招 标 文 件</w:t>
      </w:r>
    </w:p>
    <w:p>
      <w:pPr>
        <w:widowControl/>
        <w:spacing w:line="360" w:lineRule="auto"/>
        <w:ind w:right="-2"/>
        <w:jc w:val="center"/>
        <w:rPr>
          <w:rFonts w:hint="eastAsia" w:ascii="宋体" w:hAnsi="宋体"/>
          <w:b/>
          <w:color w:val="auto"/>
          <w:sz w:val="36"/>
          <w:highlight w:val="none"/>
        </w:rPr>
      </w:pPr>
      <w:r>
        <w:rPr>
          <w:rFonts w:hint="eastAsia" w:ascii="宋体" w:hAnsi="宋体"/>
          <w:b/>
          <w:color w:val="auto"/>
          <w:sz w:val="36"/>
          <w:highlight w:val="none"/>
        </w:rPr>
        <w:t>（线上电</w:t>
      </w:r>
      <w:bookmarkStart w:id="4" w:name="_GoBack"/>
      <w:bookmarkEnd w:id="4"/>
      <w:r>
        <w:rPr>
          <w:rFonts w:hint="eastAsia" w:ascii="宋体" w:hAnsi="宋体"/>
          <w:b/>
          <w:color w:val="auto"/>
          <w:sz w:val="36"/>
          <w:highlight w:val="none"/>
        </w:rPr>
        <w:t>子招投标）</w:t>
      </w:r>
    </w:p>
    <w:p>
      <w:pPr>
        <w:spacing w:line="360" w:lineRule="auto"/>
        <w:jc w:val="center"/>
        <w:rPr>
          <w:rFonts w:hint="eastAsia" w:ascii="楷体" w:hAnsi="楷体" w:eastAsia="楷体"/>
          <w:color w:val="auto"/>
          <w:sz w:val="44"/>
          <w:szCs w:val="44"/>
          <w:highlight w:val="none"/>
        </w:rPr>
      </w:pPr>
    </w:p>
    <w:p>
      <w:pPr>
        <w:spacing w:line="360" w:lineRule="auto"/>
        <w:jc w:val="center"/>
        <w:rPr>
          <w:rFonts w:hint="eastAsia" w:ascii="楷体" w:hAnsi="楷体" w:eastAsia="楷体"/>
          <w:color w:val="auto"/>
          <w:sz w:val="44"/>
          <w:szCs w:val="44"/>
          <w:highlight w:val="none"/>
        </w:rPr>
      </w:pPr>
    </w:p>
    <w:p>
      <w:pPr>
        <w:spacing w:line="360" w:lineRule="auto"/>
        <w:jc w:val="center"/>
        <w:rPr>
          <w:rFonts w:hint="eastAsia" w:ascii="楷体" w:hAnsi="楷体" w:eastAsia="楷体"/>
          <w:color w:val="auto"/>
          <w:sz w:val="44"/>
          <w:szCs w:val="44"/>
          <w:highlight w:val="none"/>
        </w:rPr>
      </w:pPr>
    </w:p>
    <w:p>
      <w:pPr>
        <w:spacing w:line="360" w:lineRule="auto"/>
        <w:ind w:firstLine="1735" w:firstLineChars="600"/>
        <w:rPr>
          <w:rFonts w:hint="eastAsia" w:ascii="楷体" w:hAnsi="楷体" w:eastAsia="楷体"/>
          <w:b/>
          <w:color w:val="auto"/>
          <w:spacing w:val="-6"/>
          <w:sz w:val="30"/>
          <w:szCs w:val="30"/>
          <w:highlight w:val="none"/>
          <w:lang w:eastAsia="zh-CN"/>
        </w:rPr>
      </w:pPr>
      <w:r>
        <w:rPr>
          <w:rFonts w:hint="eastAsia" w:ascii="楷体" w:hAnsi="楷体" w:eastAsia="楷体"/>
          <w:b/>
          <w:color w:val="auto"/>
          <w:spacing w:val="-6"/>
          <w:sz w:val="30"/>
          <w:szCs w:val="30"/>
          <w:highlight w:val="none"/>
        </w:rPr>
        <w:t>项目名称：</w:t>
      </w:r>
      <w:r>
        <w:rPr>
          <w:rFonts w:hint="eastAsia" w:ascii="楷体" w:hAnsi="楷体" w:eastAsia="楷体"/>
          <w:b/>
          <w:color w:val="auto"/>
          <w:spacing w:val="-6"/>
          <w:sz w:val="30"/>
          <w:szCs w:val="30"/>
          <w:highlight w:val="none"/>
          <w:lang w:eastAsia="zh-CN"/>
        </w:rPr>
        <w:t>微波暗室测试系统</w:t>
      </w:r>
    </w:p>
    <w:p>
      <w:pPr>
        <w:spacing w:line="360" w:lineRule="auto"/>
        <w:ind w:firstLine="1735" w:firstLineChars="600"/>
        <w:rPr>
          <w:rFonts w:hint="eastAsia" w:ascii="楷体" w:hAnsi="楷体" w:eastAsia="楷体"/>
          <w:b/>
          <w:color w:val="auto"/>
          <w:spacing w:val="-6"/>
          <w:sz w:val="30"/>
          <w:szCs w:val="30"/>
          <w:highlight w:val="none"/>
          <w:lang w:eastAsia="zh-CN"/>
        </w:rPr>
      </w:pPr>
      <w:r>
        <w:rPr>
          <w:rFonts w:hint="eastAsia" w:ascii="楷体" w:hAnsi="楷体" w:eastAsia="楷体"/>
          <w:b/>
          <w:color w:val="auto"/>
          <w:spacing w:val="-6"/>
          <w:sz w:val="30"/>
          <w:szCs w:val="30"/>
          <w:highlight w:val="none"/>
        </w:rPr>
        <w:t>项目编号：</w:t>
      </w:r>
      <w:r>
        <w:rPr>
          <w:rFonts w:hint="eastAsia" w:ascii="楷体" w:hAnsi="楷体" w:eastAsia="楷体"/>
          <w:b/>
          <w:color w:val="auto"/>
          <w:spacing w:val="-6"/>
          <w:sz w:val="30"/>
          <w:szCs w:val="30"/>
          <w:highlight w:val="none"/>
          <w:lang w:eastAsia="zh-CN"/>
        </w:rPr>
        <w:t xml:space="preserve">QSZB-Z(H)-B20095(GK) </w:t>
      </w:r>
    </w:p>
    <w:p>
      <w:pPr>
        <w:spacing w:line="360" w:lineRule="auto"/>
        <w:ind w:firstLine="1735" w:firstLineChars="600"/>
        <w:rPr>
          <w:rFonts w:hint="eastAsia" w:ascii="楷体" w:hAnsi="楷体" w:eastAsia="楷体"/>
          <w:b/>
          <w:color w:val="auto"/>
          <w:spacing w:val="-6"/>
          <w:sz w:val="30"/>
          <w:szCs w:val="30"/>
          <w:highlight w:val="none"/>
          <w:lang w:eastAsia="zh-CN"/>
        </w:rPr>
      </w:pPr>
      <w:r>
        <w:rPr>
          <w:rFonts w:hint="eastAsia" w:ascii="楷体" w:hAnsi="楷体" w:eastAsia="楷体"/>
          <w:b/>
          <w:color w:val="auto"/>
          <w:spacing w:val="-6"/>
          <w:sz w:val="30"/>
          <w:szCs w:val="30"/>
          <w:highlight w:val="none"/>
        </w:rPr>
        <w:t>采 购 人：</w:t>
      </w:r>
      <w:r>
        <w:rPr>
          <w:rFonts w:hint="eastAsia" w:ascii="楷体" w:hAnsi="楷体" w:eastAsia="楷体"/>
          <w:b/>
          <w:color w:val="auto"/>
          <w:spacing w:val="-6"/>
          <w:sz w:val="30"/>
          <w:szCs w:val="30"/>
          <w:highlight w:val="none"/>
          <w:lang w:eastAsia="zh-CN"/>
        </w:rPr>
        <w:t>杭州电子科技大学</w:t>
      </w:r>
    </w:p>
    <w:p>
      <w:pPr>
        <w:spacing w:line="360" w:lineRule="auto"/>
        <w:ind w:firstLine="1735" w:firstLineChars="600"/>
        <w:rPr>
          <w:rFonts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采购代理机构：浙江求是招标代理有限公司</w:t>
      </w:r>
    </w:p>
    <w:p>
      <w:pPr>
        <w:spacing w:line="360" w:lineRule="auto"/>
        <w:rPr>
          <w:rFonts w:ascii="楷体" w:hAnsi="楷体" w:eastAsia="楷体"/>
          <w:b/>
          <w:color w:val="auto"/>
          <w:sz w:val="21"/>
          <w:szCs w:val="21"/>
          <w:highlight w:val="none"/>
        </w:rPr>
        <w:sectPr>
          <w:headerReference r:id="rId3" w:type="default"/>
          <w:pgSz w:w="11906" w:h="16838"/>
          <w:pgMar w:top="1440" w:right="1247" w:bottom="1440" w:left="1247" w:header="283" w:footer="850" w:gutter="0"/>
          <w:pgBorders>
            <w:top w:val="none" w:sz="0" w:space="0"/>
            <w:left w:val="none" w:sz="0" w:space="0"/>
            <w:bottom w:val="none" w:sz="0" w:space="0"/>
            <w:right w:val="none" w:sz="0" w:space="0"/>
          </w:pgBorders>
          <w:cols w:space="720" w:num="1"/>
          <w:docGrid w:linePitch="381" w:charSpace="0"/>
        </w:sectPr>
      </w:pPr>
    </w:p>
    <w:p>
      <w:pPr>
        <w:spacing w:line="480" w:lineRule="auto"/>
        <w:rPr>
          <w:rFonts w:hint="eastAsia" w:ascii="楷体" w:hAnsi="楷体" w:eastAsia="楷体"/>
          <w:b/>
          <w:color w:val="auto"/>
          <w:sz w:val="21"/>
          <w:szCs w:val="21"/>
          <w:highlight w:val="none"/>
        </w:rPr>
      </w:pPr>
    </w:p>
    <w:p>
      <w:pPr>
        <w:pStyle w:val="12"/>
        <w:spacing w:before="0" w:beforeLines="0" w:after="0" w:afterLines="0" w:line="480" w:lineRule="auto"/>
        <w:jc w:val="center"/>
        <w:outlineLvl w:val="0"/>
        <w:rPr>
          <w:rFonts w:hint="eastAsia" w:ascii="楷体" w:hAnsi="楷体" w:eastAsia="楷体"/>
          <w:b/>
          <w:color w:val="auto"/>
          <w:sz w:val="30"/>
          <w:szCs w:val="30"/>
          <w:highlight w:val="none"/>
        </w:rPr>
      </w:pPr>
      <w:r>
        <w:rPr>
          <w:rFonts w:ascii="楷体" w:hAnsi="楷体" w:eastAsia="楷体"/>
          <w:b/>
          <w:color w:val="auto"/>
          <w:sz w:val="30"/>
          <w:szCs w:val="30"/>
          <w:highlight w:val="none"/>
        </w:rPr>
        <w:t>目</w:t>
      </w:r>
      <w:r>
        <w:rPr>
          <w:rFonts w:hint="eastAsia" w:ascii="楷体" w:hAnsi="楷体" w:eastAsia="楷体"/>
          <w:b/>
          <w:color w:val="auto"/>
          <w:sz w:val="30"/>
          <w:szCs w:val="30"/>
          <w:highlight w:val="none"/>
        </w:rPr>
        <w:t xml:space="preserve">    </w:t>
      </w:r>
      <w:r>
        <w:rPr>
          <w:rFonts w:ascii="楷体" w:hAnsi="楷体" w:eastAsia="楷体"/>
          <w:b/>
          <w:color w:val="auto"/>
          <w:sz w:val="30"/>
          <w:szCs w:val="30"/>
          <w:highlight w:val="none"/>
        </w:rPr>
        <w:t>录</w:t>
      </w:r>
    </w:p>
    <w:p>
      <w:pPr>
        <w:spacing w:line="360" w:lineRule="auto"/>
        <w:ind w:firstLine="578" w:firstLineChars="200"/>
        <w:rPr>
          <w:rFonts w:hint="eastAsia"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第一章  投标邀请</w:t>
      </w:r>
    </w:p>
    <w:p>
      <w:pPr>
        <w:spacing w:line="360" w:lineRule="auto"/>
        <w:ind w:firstLine="578" w:firstLineChars="200"/>
        <w:rPr>
          <w:rFonts w:hint="eastAsia"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第二章  采购需求</w:t>
      </w:r>
    </w:p>
    <w:p>
      <w:pPr>
        <w:spacing w:line="360" w:lineRule="auto"/>
        <w:ind w:firstLine="578" w:firstLineChars="200"/>
        <w:rPr>
          <w:rFonts w:hint="eastAsia"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第三章  投标人须知</w:t>
      </w:r>
    </w:p>
    <w:p>
      <w:pPr>
        <w:spacing w:line="360" w:lineRule="auto"/>
        <w:ind w:firstLine="578" w:firstLineChars="200"/>
        <w:rPr>
          <w:rFonts w:hint="eastAsia"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第四章  评标办法及评分标准</w:t>
      </w:r>
    </w:p>
    <w:p>
      <w:pPr>
        <w:spacing w:line="360" w:lineRule="auto"/>
        <w:ind w:firstLine="578" w:firstLineChars="200"/>
        <w:rPr>
          <w:rFonts w:hint="eastAsia"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第五章  拟签订的合同文本</w:t>
      </w:r>
    </w:p>
    <w:p>
      <w:pPr>
        <w:spacing w:line="360" w:lineRule="auto"/>
        <w:ind w:firstLine="578" w:firstLineChars="200"/>
        <w:rPr>
          <w:rFonts w:ascii="楷体" w:hAnsi="楷体" w:eastAsia="楷体"/>
          <w:b/>
          <w:color w:val="auto"/>
          <w:spacing w:val="-6"/>
          <w:sz w:val="30"/>
          <w:szCs w:val="30"/>
          <w:highlight w:val="none"/>
        </w:rPr>
      </w:pPr>
      <w:r>
        <w:rPr>
          <w:rFonts w:hint="eastAsia" w:ascii="楷体" w:hAnsi="楷体" w:eastAsia="楷体"/>
          <w:b/>
          <w:color w:val="auto"/>
          <w:spacing w:val="-6"/>
          <w:sz w:val="30"/>
          <w:szCs w:val="30"/>
          <w:highlight w:val="none"/>
        </w:rPr>
        <w:t>第六章  投标文件格式</w:t>
      </w:r>
    </w:p>
    <w:p>
      <w:pPr>
        <w:pStyle w:val="12"/>
        <w:spacing w:before="0" w:beforeLines="0" w:after="0" w:afterLines="0" w:line="288" w:lineRule="auto"/>
        <w:jc w:val="center"/>
        <w:outlineLvl w:val="0"/>
        <w:rPr>
          <w:rFonts w:hAnsi="宋体"/>
          <w:b/>
          <w:color w:val="auto"/>
          <w:spacing w:val="-6"/>
          <w:sz w:val="32"/>
          <w:szCs w:val="32"/>
          <w:highlight w:val="none"/>
        </w:rPr>
      </w:pPr>
      <w:r>
        <w:rPr>
          <w:rFonts w:hAnsi="宋体"/>
          <w:color w:val="auto"/>
          <w:sz w:val="21"/>
          <w:szCs w:val="21"/>
          <w:highlight w:val="none"/>
        </w:rPr>
        <w:br w:type="page"/>
      </w:r>
      <w:r>
        <w:rPr>
          <w:rFonts w:hAnsi="宋体"/>
          <w:b/>
          <w:color w:val="auto"/>
          <w:spacing w:val="-6"/>
          <w:sz w:val="32"/>
          <w:szCs w:val="32"/>
          <w:highlight w:val="none"/>
        </w:rPr>
        <w:t>第一章  投标邀请</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根据</w:t>
      </w:r>
      <w:r>
        <w:rPr>
          <w:rFonts w:ascii="宋体" w:hAnsi="宋体"/>
          <w:color w:val="auto"/>
          <w:sz w:val="21"/>
          <w:szCs w:val="21"/>
          <w:highlight w:val="none"/>
        </w:rPr>
        <w:t>《中华人民共和国政府采购法》</w:t>
      </w:r>
      <w:r>
        <w:rPr>
          <w:rFonts w:hint="eastAsia" w:ascii="宋体" w:hAnsi="宋体"/>
          <w:color w:val="auto"/>
          <w:sz w:val="21"/>
          <w:szCs w:val="21"/>
          <w:highlight w:val="none"/>
        </w:rPr>
        <w:t>等有关规定，经</w:t>
      </w:r>
      <w:r>
        <w:rPr>
          <w:rFonts w:hint="eastAsia" w:ascii="宋体" w:hAnsi="宋体"/>
          <w:color w:val="auto"/>
          <w:sz w:val="21"/>
          <w:szCs w:val="21"/>
          <w:highlight w:val="none"/>
        </w:rPr>
        <w:t>浙江省财政厅[2020]</w:t>
      </w:r>
      <w:r>
        <w:rPr>
          <w:rFonts w:hint="eastAsia" w:ascii="宋体" w:hAnsi="宋体"/>
          <w:color w:val="auto"/>
          <w:sz w:val="21"/>
          <w:szCs w:val="21"/>
          <w:highlight w:val="none"/>
          <w:lang w:val="en-US" w:eastAsia="zh-CN"/>
        </w:rPr>
        <w:t>24716</w:t>
      </w:r>
      <w:r>
        <w:rPr>
          <w:rFonts w:hint="eastAsia" w:ascii="宋体" w:hAnsi="宋体"/>
          <w:color w:val="auto"/>
          <w:sz w:val="21"/>
          <w:szCs w:val="21"/>
          <w:highlight w:val="none"/>
        </w:rPr>
        <w:t>号</w:t>
      </w:r>
      <w:r>
        <w:rPr>
          <w:rFonts w:hint="eastAsia" w:ascii="宋体" w:hAnsi="宋体"/>
          <w:color w:val="auto"/>
          <w:sz w:val="21"/>
          <w:szCs w:val="21"/>
          <w:highlight w:val="none"/>
          <w:lang w:eastAsia="zh-CN"/>
        </w:rPr>
        <w:t>、[2020]2471</w:t>
      </w:r>
      <w:r>
        <w:rPr>
          <w:rFonts w:hint="eastAsia" w:ascii="宋体" w:hAnsi="宋体"/>
          <w:color w:val="auto"/>
          <w:sz w:val="21"/>
          <w:szCs w:val="21"/>
          <w:highlight w:val="none"/>
          <w:lang w:val="en-US" w:eastAsia="zh-CN"/>
        </w:rPr>
        <w:t>7</w:t>
      </w:r>
      <w:r>
        <w:rPr>
          <w:rFonts w:hint="eastAsia" w:ascii="宋体" w:hAnsi="宋体"/>
          <w:color w:val="auto"/>
          <w:sz w:val="21"/>
          <w:szCs w:val="21"/>
          <w:highlight w:val="none"/>
          <w:lang w:eastAsia="zh-CN"/>
        </w:rPr>
        <w:t>号</w:t>
      </w:r>
      <w:r>
        <w:rPr>
          <w:rFonts w:hint="eastAsia" w:ascii="宋体" w:hAnsi="宋体"/>
          <w:color w:val="auto"/>
          <w:sz w:val="21"/>
          <w:szCs w:val="21"/>
          <w:highlight w:val="none"/>
        </w:rPr>
        <w:t>确认书批准，浙江求是招标代理有限公司受</w:t>
      </w:r>
      <w:r>
        <w:rPr>
          <w:rFonts w:hint="eastAsia" w:ascii="宋体" w:hAnsi="宋体"/>
          <w:color w:val="auto"/>
          <w:sz w:val="21"/>
          <w:szCs w:val="21"/>
          <w:highlight w:val="none"/>
          <w:lang w:eastAsia="zh-CN"/>
        </w:rPr>
        <w:t>杭州电子科技大学</w:t>
      </w:r>
      <w:r>
        <w:rPr>
          <w:rFonts w:hint="eastAsia" w:ascii="宋体" w:hAnsi="宋体"/>
          <w:color w:val="auto"/>
          <w:sz w:val="21"/>
          <w:szCs w:val="21"/>
          <w:highlight w:val="none"/>
        </w:rPr>
        <w:t>委托，现</w:t>
      </w:r>
      <w:r>
        <w:rPr>
          <w:rFonts w:ascii="宋体" w:hAnsi="宋体"/>
          <w:color w:val="auto"/>
          <w:sz w:val="21"/>
          <w:szCs w:val="21"/>
          <w:highlight w:val="none"/>
        </w:rPr>
        <w:t>就</w:t>
      </w:r>
      <w:r>
        <w:rPr>
          <w:rFonts w:hint="eastAsia" w:ascii="宋体" w:hAnsi="宋体"/>
          <w:color w:val="auto"/>
          <w:sz w:val="21"/>
          <w:szCs w:val="21"/>
          <w:highlight w:val="none"/>
          <w:lang w:eastAsia="zh-CN"/>
        </w:rPr>
        <w:t>微波暗室测试系统</w:t>
      </w:r>
      <w:r>
        <w:rPr>
          <w:rFonts w:ascii="宋体" w:hAnsi="宋体"/>
          <w:color w:val="auto"/>
          <w:sz w:val="21"/>
          <w:szCs w:val="21"/>
          <w:highlight w:val="none"/>
        </w:rPr>
        <w:t>进行</w:t>
      </w:r>
      <w:r>
        <w:rPr>
          <w:rFonts w:hint="eastAsia" w:ascii="宋体" w:hAnsi="宋体"/>
          <w:color w:val="auto"/>
          <w:sz w:val="21"/>
          <w:szCs w:val="21"/>
          <w:highlight w:val="none"/>
        </w:rPr>
        <w:t>公开招标（线上电子招投标）</w:t>
      </w:r>
      <w:r>
        <w:rPr>
          <w:rFonts w:ascii="宋体" w:hAnsi="宋体"/>
          <w:color w:val="auto"/>
          <w:sz w:val="21"/>
          <w:szCs w:val="21"/>
          <w:highlight w:val="none"/>
        </w:rPr>
        <w:t>，</w:t>
      </w:r>
      <w:r>
        <w:rPr>
          <w:rFonts w:hint="eastAsia" w:ascii="宋体" w:hAnsi="宋体"/>
          <w:color w:val="auto"/>
          <w:sz w:val="21"/>
          <w:szCs w:val="21"/>
          <w:highlight w:val="none"/>
        </w:rPr>
        <w:t>欢迎</w:t>
      </w:r>
      <w:r>
        <w:rPr>
          <w:rFonts w:ascii="宋体" w:hAnsi="宋体"/>
          <w:color w:val="auto"/>
          <w:sz w:val="21"/>
          <w:szCs w:val="21"/>
          <w:highlight w:val="none"/>
        </w:rPr>
        <w:t>国内合格的</w:t>
      </w:r>
      <w:r>
        <w:rPr>
          <w:rFonts w:hint="eastAsia" w:ascii="宋体" w:hAnsi="宋体"/>
          <w:color w:val="auto"/>
          <w:sz w:val="21"/>
          <w:szCs w:val="21"/>
          <w:highlight w:val="none"/>
        </w:rPr>
        <w:t>投标人</w:t>
      </w:r>
      <w:r>
        <w:rPr>
          <w:rFonts w:ascii="宋体" w:hAnsi="宋体"/>
          <w:color w:val="auto"/>
          <w:sz w:val="21"/>
          <w:szCs w:val="21"/>
          <w:highlight w:val="none"/>
        </w:rPr>
        <w:t>前来</w:t>
      </w:r>
      <w:r>
        <w:rPr>
          <w:rFonts w:hint="eastAsia" w:ascii="宋体" w:hAnsi="宋体"/>
          <w:color w:val="auto"/>
          <w:sz w:val="21"/>
          <w:szCs w:val="21"/>
          <w:highlight w:val="none"/>
        </w:rPr>
        <w:t>投标</w:t>
      </w:r>
      <w:r>
        <w:rPr>
          <w:rFonts w:ascii="宋体" w:hAnsi="宋体"/>
          <w:color w:val="auto"/>
          <w:sz w:val="21"/>
          <w:szCs w:val="21"/>
          <w:highlight w:val="none"/>
        </w:rPr>
        <w:t>。</w:t>
      </w:r>
    </w:p>
    <w:p>
      <w:pPr>
        <w:spacing w:line="288" w:lineRule="auto"/>
        <w:rPr>
          <w:rFonts w:hint="eastAsia" w:ascii="宋体" w:hAnsi="宋体" w:eastAsia="宋体"/>
          <w:color w:val="auto"/>
          <w:sz w:val="21"/>
          <w:szCs w:val="21"/>
          <w:highlight w:val="none"/>
          <w:lang w:eastAsia="zh-CN"/>
        </w:rPr>
      </w:pPr>
      <w:r>
        <w:rPr>
          <w:rFonts w:hint="eastAsia" w:ascii="宋体" w:hAnsi="宋体"/>
          <w:b/>
          <w:color w:val="auto"/>
          <w:sz w:val="24"/>
          <w:highlight w:val="none"/>
        </w:rPr>
        <w:t>一、项目名称：</w:t>
      </w:r>
      <w:r>
        <w:rPr>
          <w:rFonts w:hint="eastAsia" w:ascii="宋体" w:hAnsi="宋体"/>
          <w:color w:val="auto"/>
          <w:sz w:val="21"/>
          <w:szCs w:val="21"/>
          <w:highlight w:val="none"/>
          <w:lang w:eastAsia="zh-CN"/>
        </w:rPr>
        <w:t>微波暗室测试系统</w:t>
      </w:r>
    </w:p>
    <w:p>
      <w:pPr>
        <w:spacing w:line="288" w:lineRule="auto"/>
        <w:rPr>
          <w:rFonts w:hint="eastAsia" w:ascii="宋体" w:hAnsi="宋体" w:eastAsia="宋体"/>
          <w:color w:val="auto"/>
          <w:sz w:val="21"/>
          <w:szCs w:val="21"/>
          <w:highlight w:val="none"/>
          <w:lang w:eastAsia="zh-CN"/>
        </w:rPr>
      </w:pPr>
      <w:r>
        <w:rPr>
          <w:rFonts w:hint="eastAsia" w:ascii="宋体" w:hAnsi="宋体"/>
          <w:b/>
          <w:color w:val="auto"/>
          <w:sz w:val="24"/>
          <w:highlight w:val="none"/>
        </w:rPr>
        <w:t>二、</w:t>
      </w:r>
      <w:r>
        <w:rPr>
          <w:rFonts w:ascii="宋体" w:hAnsi="宋体"/>
          <w:b/>
          <w:color w:val="auto"/>
          <w:sz w:val="24"/>
          <w:highlight w:val="none"/>
        </w:rPr>
        <w:t>项目编号</w:t>
      </w:r>
      <w:r>
        <w:rPr>
          <w:rFonts w:hint="eastAsia" w:ascii="宋体" w:hAnsi="宋体"/>
          <w:b/>
          <w:color w:val="auto"/>
          <w:sz w:val="24"/>
          <w:highlight w:val="none"/>
        </w:rPr>
        <w:t>：</w:t>
      </w:r>
      <w:r>
        <w:rPr>
          <w:rFonts w:hint="eastAsia" w:ascii="宋体" w:hAnsi="宋体"/>
          <w:color w:val="auto"/>
          <w:sz w:val="21"/>
          <w:szCs w:val="21"/>
          <w:highlight w:val="none"/>
          <w:lang w:eastAsia="zh-CN"/>
        </w:rPr>
        <w:t xml:space="preserve">QSZB-Z(H)-B20095(GK) </w:t>
      </w:r>
    </w:p>
    <w:p>
      <w:pPr>
        <w:spacing w:line="288" w:lineRule="auto"/>
        <w:rPr>
          <w:rFonts w:hint="eastAsia" w:ascii="宋体" w:hAnsi="宋体"/>
          <w:color w:val="auto"/>
          <w:sz w:val="21"/>
          <w:szCs w:val="21"/>
          <w:highlight w:val="none"/>
        </w:rPr>
      </w:pPr>
      <w:r>
        <w:rPr>
          <w:rFonts w:hint="eastAsia" w:ascii="宋体" w:hAnsi="宋体"/>
          <w:b/>
          <w:color w:val="auto"/>
          <w:sz w:val="24"/>
          <w:highlight w:val="none"/>
        </w:rPr>
        <w:t>三、组织形式：</w:t>
      </w:r>
      <w:r>
        <w:rPr>
          <w:rFonts w:hint="eastAsia" w:ascii="宋体" w:hAnsi="宋体"/>
          <w:color w:val="auto"/>
          <w:sz w:val="21"/>
          <w:szCs w:val="21"/>
          <w:highlight w:val="none"/>
        </w:rPr>
        <w:t>分散采购</w:t>
      </w:r>
    </w:p>
    <w:p>
      <w:pPr>
        <w:spacing w:line="288" w:lineRule="auto"/>
        <w:rPr>
          <w:rFonts w:hint="eastAsia" w:ascii="宋体" w:hAnsi="宋体"/>
          <w:b/>
          <w:color w:val="auto"/>
          <w:sz w:val="24"/>
          <w:highlight w:val="none"/>
        </w:rPr>
      </w:pPr>
      <w:r>
        <w:rPr>
          <w:rFonts w:hint="eastAsia" w:ascii="宋体" w:hAnsi="宋体"/>
          <w:b/>
          <w:color w:val="auto"/>
          <w:sz w:val="24"/>
          <w:highlight w:val="none"/>
        </w:rPr>
        <w:t>四、</w:t>
      </w:r>
      <w:r>
        <w:rPr>
          <w:rFonts w:ascii="宋体" w:hAnsi="宋体"/>
          <w:b/>
          <w:color w:val="auto"/>
          <w:sz w:val="24"/>
          <w:highlight w:val="none"/>
        </w:rPr>
        <w:t>招标</w:t>
      </w:r>
      <w:r>
        <w:rPr>
          <w:rFonts w:hint="eastAsia" w:ascii="宋体" w:hAnsi="宋体"/>
          <w:b/>
          <w:color w:val="auto"/>
          <w:sz w:val="24"/>
          <w:highlight w:val="none"/>
        </w:rPr>
        <w:t>项目概况：</w:t>
      </w:r>
    </w:p>
    <w:tbl>
      <w:tblPr>
        <w:tblStyle w:val="22"/>
        <w:tblW w:w="9628" w:type="dxa"/>
        <w:tblInd w:w="0" w:type="dxa"/>
        <w:tblBorders>
          <w:top w:val="single" w:color="000000" w:sz="4" w:space="0"/>
          <w:left w:val="single" w:color="000000" w:sz="4" w:space="0"/>
          <w:bottom w:val="single" w:color="000000" w:sz="4" w:space="0"/>
          <w:right w:val="single" w:color="000000" w:sz="4" w:space="0"/>
          <w:insideH w:val="single" w:color="A6A6A6" w:sz="4" w:space="0"/>
          <w:insideV w:val="single" w:color="A6A6A6" w:sz="4" w:space="0"/>
        </w:tblBorders>
        <w:tblLayout w:type="fixed"/>
        <w:tblCellMar>
          <w:top w:w="0" w:type="dxa"/>
          <w:left w:w="108" w:type="dxa"/>
          <w:bottom w:w="0" w:type="dxa"/>
          <w:right w:w="108" w:type="dxa"/>
        </w:tblCellMar>
      </w:tblPr>
      <w:tblGrid>
        <w:gridCol w:w="1053"/>
        <w:gridCol w:w="1423"/>
        <w:gridCol w:w="668"/>
        <w:gridCol w:w="641"/>
        <w:gridCol w:w="2786"/>
        <w:gridCol w:w="1550"/>
        <w:gridCol w:w="1507"/>
      </w:tblGrid>
      <w:tr>
        <w:tblPrEx>
          <w:tblBorders>
            <w:top w:val="single" w:color="000000" w:sz="4" w:space="0"/>
            <w:left w:val="single" w:color="000000" w:sz="4" w:space="0"/>
            <w:bottom w:val="single" w:color="000000" w:sz="4" w:space="0"/>
            <w:right w:val="single" w:color="000000" w:sz="4" w:space="0"/>
            <w:insideH w:val="single" w:color="A6A6A6" w:sz="4" w:space="0"/>
            <w:insideV w:val="single" w:color="A6A6A6" w:sz="4" w:space="0"/>
          </w:tblBorders>
          <w:tblLayout w:type="fixed"/>
          <w:tblCellMar>
            <w:top w:w="0" w:type="dxa"/>
            <w:left w:w="108" w:type="dxa"/>
            <w:bottom w:w="0" w:type="dxa"/>
            <w:right w:w="108" w:type="dxa"/>
          </w:tblCellMar>
        </w:tblPrEx>
        <w:trPr>
          <w:trHeight w:val="454" w:hRule="atLeast"/>
        </w:trPr>
        <w:tc>
          <w:tcPr>
            <w:tcW w:w="1053" w:type="dxa"/>
            <w:tcBorders>
              <w:left w:val="single" w:color="auto" w:sz="4" w:space="0"/>
              <w:bottom w:val="single" w:color="000000" w:sz="4" w:space="0"/>
              <w:right w:val="single" w:color="auto" w:sz="4" w:space="0"/>
            </w:tcBorders>
            <w:noWrap w:val="0"/>
            <w:vAlign w:val="center"/>
          </w:tcPr>
          <w:p>
            <w:pPr>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序号</w:t>
            </w:r>
          </w:p>
        </w:tc>
        <w:tc>
          <w:tcPr>
            <w:tcW w:w="1423" w:type="dxa"/>
            <w:tcBorders>
              <w:left w:val="single" w:color="auto" w:sz="4" w:space="0"/>
              <w:bottom w:val="single" w:color="000000" w:sz="4" w:space="0"/>
              <w:right w:val="single" w:color="000000" w:sz="4" w:space="0"/>
            </w:tcBorders>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货物名称</w:t>
            </w:r>
          </w:p>
        </w:tc>
        <w:tc>
          <w:tcPr>
            <w:tcW w:w="668" w:type="dxa"/>
            <w:tcBorders>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数量</w:t>
            </w:r>
          </w:p>
        </w:tc>
        <w:tc>
          <w:tcPr>
            <w:tcW w:w="641" w:type="dxa"/>
            <w:tcBorders>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单位</w:t>
            </w:r>
          </w:p>
        </w:tc>
        <w:tc>
          <w:tcPr>
            <w:tcW w:w="2786" w:type="dxa"/>
            <w:tcBorders>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简要规格描述</w:t>
            </w:r>
          </w:p>
        </w:tc>
        <w:tc>
          <w:tcPr>
            <w:tcW w:w="1550" w:type="dxa"/>
            <w:tcBorders>
              <w:left w:val="single" w:color="000000" w:sz="4" w:space="0"/>
              <w:bottom w:val="single" w:color="000000" w:sz="4" w:space="0"/>
              <w:right w:val="single" w:color="000000" w:sz="4" w:space="0"/>
            </w:tcBorders>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预算金额</w:t>
            </w:r>
          </w:p>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(万元人民币)</w:t>
            </w:r>
          </w:p>
        </w:tc>
        <w:tc>
          <w:tcPr>
            <w:tcW w:w="1507" w:type="dxa"/>
            <w:tcBorders>
              <w:left w:val="single" w:color="000000" w:sz="4" w:space="0"/>
              <w:bottom w:val="single" w:color="000000" w:sz="4" w:space="0"/>
            </w:tcBorders>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最高限价</w:t>
            </w:r>
          </w:p>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(万元人民币)</w:t>
            </w:r>
          </w:p>
        </w:tc>
      </w:tr>
      <w:tr>
        <w:tblPrEx>
          <w:tblBorders>
            <w:top w:val="single" w:color="000000" w:sz="4" w:space="0"/>
            <w:left w:val="single" w:color="000000" w:sz="4" w:space="0"/>
            <w:bottom w:val="single" w:color="000000" w:sz="4" w:space="0"/>
            <w:right w:val="single" w:color="000000" w:sz="4" w:space="0"/>
            <w:insideH w:val="single" w:color="A6A6A6" w:sz="4" w:space="0"/>
            <w:insideV w:val="single" w:color="A6A6A6" w:sz="4" w:space="0"/>
          </w:tblBorders>
          <w:tblLayout w:type="fixed"/>
          <w:tblCellMar>
            <w:top w:w="0" w:type="dxa"/>
            <w:left w:w="108" w:type="dxa"/>
            <w:bottom w:w="0" w:type="dxa"/>
            <w:right w:w="108" w:type="dxa"/>
          </w:tblCellMar>
        </w:tblPrEx>
        <w:trPr>
          <w:trHeight w:val="454" w:hRule="atLeast"/>
        </w:trPr>
        <w:tc>
          <w:tcPr>
            <w:tcW w:w="1053" w:type="dxa"/>
            <w:tcBorders>
              <w:top w:val="single" w:color="000000"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一</w:t>
            </w:r>
          </w:p>
        </w:tc>
        <w:tc>
          <w:tcPr>
            <w:tcW w:w="1423" w:type="dxa"/>
            <w:tcBorders>
              <w:top w:val="single" w:color="000000" w:sz="4" w:space="0"/>
              <w:left w:val="single" w:color="auto" w:sz="4" w:space="0"/>
              <w:bottom w:val="single" w:color="000000" w:sz="4" w:space="0"/>
              <w:right w:val="single" w:color="000000" w:sz="4" w:space="0"/>
            </w:tcBorders>
            <w:noWrap w:val="0"/>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微波暗室测试系统</w:t>
            </w:r>
          </w:p>
        </w:tc>
        <w:tc>
          <w:tcPr>
            <w:tcW w:w="66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套</w:t>
            </w:r>
          </w:p>
        </w:tc>
        <w:tc>
          <w:tcPr>
            <w:tcW w:w="2786"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具体详见第二章  采购需求</w:t>
            </w:r>
          </w:p>
        </w:tc>
        <w:tc>
          <w:tcPr>
            <w:tcW w:w="155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304</w:t>
            </w:r>
          </w:p>
        </w:tc>
        <w:tc>
          <w:tcPr>
            <w:tcW w:w="1507" w:type="dxa"/>
            <w:tcBorders>
              <w:top w:val="single" w:color="000000" w:sz="4" w:space="0"/>
              <w:left w:val="single" w:color="000000" w:sz="4" w:space="0"/>
              <w:bottom w:val="single" w:color="000000" w:sz="4" w:space="0"/>
            </w:tcBorders>
            <w:noWrap w:val="0"/>
            <w:vAlign w:val="center"/>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304</w:t>
            </w:r>
          </w:p>
        </w:tc>
      </w:tr>
    </w:tbl>
    <w:p>
      <w:pPr>
        <w:spacing w:line="288" w:lineRule="auto"/>
        <w:rPr>
          <w:rFonts w:hint="eastAsia" w:ascii="宋体" w:hAnsi="宋体"/>
          <w:color w:val="auto"/>
          <w:sz w:val="21"/>
          <w:szCs w:val="21"/>
          <w:highlight w:val="none"/>
        </w:rPr>
      </w:pPr>
      <w:r>
        <w:rPr>
          <w:rFonts w:hint="eastAsia" w:ascii="宋体" w:hAnsi="宋体"/>
          <w:b/>
          <w:color w:val="auto"/>
          <w:sz w:val="24"/>
          <w:highlight w:val="none"/>
        </w:rPr>
        <w:t>五、采购需求：</w:t>
      </w:r>
      <w:r>
        <w:rPr>
          <w:rFonts w:hint="eastAsia" w:ascii="宋体" w:hAnsi="宋体"/>
          <w:color w:val="auto"/>
          <w:sz w:val="21"/>
          <w:szCs w:val="21"/>
          <w:highlight w:val="none"/>
        </w:rPr>
        <w:t>详见招标文件（招标公告附件，仅供阅览使用）</w:t>
      </w:r>
    </w:p>
    <w:p>
      <w:pPr>
        <w:spacing w:line="288" w:lineRule="auto"/>
        <w:rPr>
          <w:rFonts w:hint="eastAsia" w:ascii="宋体" w:hAnsi="宋体"/>
          <w:b/>
          <w:color w:val="auto"/>
          <w:sz w:val="24"/>
          <w:highlight w:val="none"/>
        </w:rPr>
      </w:pPr>
      <w:r>
        <w:rPr>
          <w:rFonts w:hint="eastAsia" w:ascii="宋体" w:hAnsi="宋体"/>
          <w:b/>
          <w:color w:val="auto"/>
          <w:sz w:val="24"/>
          <w:highlight w:val="none"/>
        </w:rPr>
        <w:t>六、</w:t>
      </w:r>
      <w:r>
        <w:rPr>
          <w:rFonts w:ascii="宋体" w:hAnsi="宋体"/>
          <w:b/>
          <w:color w:val="auto"/>
          <w:sz w:val="24"/>
          <w:highlight w:val="none"/>
        </w:rPr>
        <w:t>投标</w:t>
      </w:r>
      <w:r>
        <w:rPr>
          <w:rFonts w:hint="eastAsia" w:ascii="宋体" w:hAnsi="宋体"/>
          <w:b/>
          <w:color w:val="auto"/>
          <w:sz w:val="24"/>
          <w:highlight w:val="none"/>
        </w:rPr>
        <w:t>人</w:t>
      </w:r>
      <w:r>
        <w:rPr>
          <w:rFonts w:ascii="宋体" w:hAnsi="宋体"/>
          <w:b/>
          <w:color w:val="auto"/>
          <w:sz w:val="24"/>
          <w:highlight w:val="none"/>
        </w:rPr>
        <w:t>资格要求</w:t>
      </w:r>
      <w:r>
        <w:rPr>
          <w:rFonts w:hint="eastAsia" w:ascii="宋体" w:hAnsi="宋体"/>
          <w:b/>
          <w:color w:val="auto"/>
          <w:sz w:val="24"/>
          <w:highlight w:val="none"/>
        </w:rPr>
        <w:t>：</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符合《中华人民共和国政府采购法》第二十二条规定的投标人资格条件：</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1.具有独立承担民事责任的能力；</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2.具有良好的商业信誉和健全的财务会计制度；</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3.具有履行合同所必需的设备和专业技术能力；</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4.有依法缴纳税收和社会保障资金的良好记录；</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5.参加政府采购活动前三年内，在经营活动中没有重大违法记录；</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6.法律、行政法规规定的其他条件。</w:t>
      </w:r>
    </w:p>
    <w:p>
      <w:pPr>
        <w:spacing w:line="288" w:lineRule="auto"/>
        <w:ind w:firstLine="422" w:firstLineChars="200"/>
        <w:rPr>
          <w:rFonts w:hint="eastAsia" w:ascii="宋体" w:hAnsi="宋体"/>
          <w:b/>
          <w:color w:val="auto"/>
          <w:sz w:val="21"/>
          <w:szCs w:val="21"/>
          <w:highlight w:val="none"/>
        </w:rPr>
      </w:pPr>
      <w:r>
        <w:rPr>
          <w:rFonts w:hint="eastAsia" w:ascii="宋体" w:hAnsi="宋体"/>
          <w:b/>
          <w:color w:val="auto"/>
          <w:sz w:val="21"/>
          <w:szCs w:val="21"/>
          <w:highlight w:val="none"/>
        </w:rPr>
        <w:t>备注：本项目不接受联合体投标。</w:t>
      </w:r>
    </w:p>
    <w:p>
      <w:pPr>
        <w:spacing w:line="288" w:lineRule="auto"/>
        <w:rPr>
          <w:rFonts w:hint="eastAsia" w:ascii="宋体" w:hAnsi="宋体"/>
          <w:b/>
          <w:color w:val="auto"/>
          <w:sz w:val="24"/>
          <w:highlight w:val="none"/>
        </w:rPr>
      </w:pPr>
      <w:r>
        <w:rPr>
          <w:rFonts w:hint="eastAsia" w:ascii="宋体" w:hAnsi="宋体"/>
          <w:b/>
          <w:color w:val="auto"/>
          <w:sz w:val="24"/>
          <w:highlight w:val="none"/>
        </w:rPr>
        <w:t>七、招标文件的获取时间、地址、方式及售价：</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1</w:t>
      </w:r>
      <w:r>
        <w:rPr>
          <w:rFonts w:ascii="宋体" w:hAnsi="宋体"/>
          <w:color w:val="auto"/>
          <w:sz w:val="21"/>
          <w:szCs w:val="21"/>
          <w:highlight w:val="none"/>
        </w:rPr>
        <w:t>.</w:t>
      </w:r>
      <w:r>
        <w:rPr>
          <w:rFonts w:hint="eastAsia" w:ascii="宋体" w:hAnsi="宋体"/>
          <w:color w:val="auto"/>
          <w:sz w:val="21"/>
          <w:szCs w:val="21"/>
          <w:highlight w:val="none"/>
        </w:rPr>
        <w:t>时间：</w:t>
      </w:r>
      <w:r>
        <w:rPr>
          <w:rFonts w:hint="eastAsia" w:ascii="宋体" w:hAnsi="宋体"/>
          <w:color w:val="auto"/>
          <w:sz w:val="21"/>
          <w:szCs w:val="21"/>
          <w:highlight w:val="none"/>
        </w:rPr>
        <w:t>2020年</w:t>
      </w:r>
      <w:r>
        <w:rPr>
          <w:rFonts w:hint="eastAsia" w:ascii="宋体" w:hAnsi="宋体"/>
          <w:color w:val="auto"/>
          <w:sz w:val="21"/>
          <w:szCs w:val="21"/>
          <w:highlight w:val="none"/>
          <w:lang w:val="en-US" w:eastAsia="zh-CN"/>
        </w:rPr>
        <w:t>6</w:t>
      </w:r>
      <w:r>
        <w:rPr>
          <w:rFonts w:hint="eastAsia" w:ascii="宋体" w:hAnsi="宋体"/>
          <w:color w:val="auto"/>
          <w:sz w:val="21"/>
          <w:szCs w:val="21"/>
          <w:highlight w:val="none"/>
        </w:rPr>
        <w:t>月</w:t>
      </w:r>
      <w:r>
        <w:rPr>
          <w:rFonts w:hint="eastAsia" w:ascii="宋体" w:hAnsi="宋体"/>
          <w:color w:val="auto"/>
          <w:sz w:val="21"/>
          <w:szCs w:val="21"/>
          <w:highlight w:val="none"/>
          <w:lang w:val="en-US" w:eastAsia="zh-CN"/>
        </w:rPr>
        <w:t>23</w:t>
      </w:r>
      <w:r>
        <w:rPr>
          <w:rFonts w:hint="eastAsia" w:ascii="宋体" w:hAnsi="宋体"/>
          <w:color w:val="auto"/>
          <w:sz w:val="21"/>
          <w:szCs w:val="21"/>
          <w:highlight w:val="none"/>
        </w:rPr>
        <w:t>日至2020年</w:t>
      </w:r>
      <w:r>
        <w:rPr>
          <w:rFonts w:hint="eastAsia" w:ascii="宋体" w:hAnsi="宋体"/>
          <w:color w:val="auto"/>
          <w:sz w:val="21"/>
          <w:szCs w:val="21"/>
          <w:highlight w:val="none"/>
          <w:lang w:val="en-US" w:eastAsia="zh-CN"/>
        </w:rPr>
        <w:t>7</w:t>
      </w:r>
      <w:r>
        <w:rPr>
          <w:rFonts w:hint="eastAsia" w:ascii="宋体" w:hAnsi="宋体"/>
          <w:color w:val="auto"/>
          <w:sz w:val="21"/>
          <w:szCs w:val="21"/>
          <w:highlight w:val="none"/>
        </w:rPr>
        <w:t>月</w:t>
      </w:r>
      <w:r>
        <w:rPr>
          <w:rFonts w:hint="eastAsia" w:ascii="宋体" w:hAnsi="宋体"/>
          <w:color w:val="auto"/>
          <w:sz w:val="21"/>
          <w:szCs w:val="21"/>
          <w:highlight w:val="none"/>
          <w:lang w:val="en-US" w:eastAsia="zh-CN"/>
        </w:rPr>
        <w:t>1</w:t>
      </w:r>
      <w:r>
        <w:rPr>
          <w:rFonts w:hint="eastAsia" w:ascii="宋体" w:hAnsi="宋体"/>
          <w:color w:val="auto"/>
          <w:sz w:val="21"/>
          <w:szCs w:val="21"/>
          <w:highlight w:val="none"/>
        </w:rPr>
        <w:t>日</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2</w:t>
      </w:r>
      <w:r>
        <w:rPr>
          <w:rFonts w:ascii="宋体" w:hAnsi="宋体"/>
          <w:color w:val="auto"/>
          <w:sz w:val="21"/>
          <w:szCs w:val="21"/>
          <w:highlight w:val="none"/>
        </w:rPr>
        <w:t>.</w:t>
      </w:r>
      <w:r>
        <w:rPr>
          <w:rFonts w:hint="eastAsia" w:ascii="宋体" w:hAnsi="宋体"/>
          <w:color w:val="auto"/>
          <w:sz w:val="21"/>
          <w:szCs w:val="21"/>
          <w:highlight w:val="none"/>
        </w:rPr>
        <w:t>地址：政府采购云平台（https://login.zcygov.cn）</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3</w:t>
      </w:r>
      <w:r>
        <w:rPr>
          <w:rFonts w:ascii="宋体" w:hAnsi="宋体"/>
          <w:color w:val="auto"/>
          <w:sz w:val="21"/>
          <w:szCs w:val="21"/>
          <w:highlight w:val="none"/>
        </w:rPr>
        <w:t>.</w:t>
      </w:r>
      <w:r>
        <w:rPr>
          <w:rFonts w:hint="eastAsia" w:ascii="宋体" w:hAnsi="宋体"/>
          <w:color w:val="auto"/>
          <w:sz w:val="21"/>
          <w:szCs w:val="21"/>
          <w:highlight w:val="none"/>
        </w:rPr>
        <w:t>方式：在线获取（潜在投标人登陆政府采购云平台，进入“项目采购”，在“获取采购文件”菜单中选择项目后“申请获取采购文件”）</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4</w:t>
      </w:r>
      <w:r>
        <w:rPr>
          <w:rFonts w:ascii="宋体" w:hAnsi="宋体"/>
          <w:color w:val="auto"/>
          <w:sz w:val="21"/>
          <w:szCs w:val="21"/>
          <w:highlight w:val="none"/>
        </w:rPr>
        <w:t>.</w:t>
      </w:r>
      <w:r>
        <w:rPr>
          <w:rFonts w:hint="eastAsia" w:ascii="宋体" w:hAnsi="宋体"/>
          <w:color w:val="auto"/>
          <w:sz w:val="21"/>
          <w:szCs w:val="21"/>
          <w:highlight w:val="none"/>
        </w:rPr>
        <w:t>售价</w:t>
      </w:r>
      <w:r>
        <w:rPr>
          <w:rFonts w:ascii="宋体" w:hAnsi="宋体"/>
          <w:color w:val="auto"/>
          <w:sz w:val="21"/>
          <w:szCs w:val="21"/>
          <w:highlight w:val="none"/>
        </w:rPr>
        <w:t>：</w:t>
      </w:r>
      <w:r>
        <w:rPr>
          <w:rFonts w:hint="eastAsia" w:ascii="宋体" w:hAnsi="宋体"/>
          <w:color w:val="auto"/>
          <w:sz w:val="21"/>
          <w:szCs w:val="21"/>
          <w:highlight w:val="none"/>
        </w:rPr>
        <w:t>免费</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备注：</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1）获取招标文件截止时间之后潜在投标人依然可以获取招标文件，如对招标文件有质疑的应在规定的质疑期限内提出；</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2）公告规定的招标文件获取方式为依法获取招标文件的方式，未按照公告规定的方式获取招标文件的，不得对招标文件提起质疑、投诉。</w:t>
      </w:r>
    </w:p>
    <w:p>
      <w:pPr>
        <w:spacing w:line="288" w:lineRule="auto"/>
        <w:rPr>
          <w:rFonts w:hint="eastAsia" w:ascii="宋体" w:hAnsi="宋体"/>
          <w:b/>
          <w:color w:val="auto"/>
          <w:sz w:val="24"/>
          <w:highlight w:val="none"/>
        </w:rPr>
      </w:pPr>
      <w:r>
        <w:rPr>
          <w:rFonts w:hint="eastAsia" w:ascii="宋体" w:hAnsi="宋体"/>
          <w:b/>
          <w:color w:val="auto"/>
          <w:sz w:val="24"/>
          <w:highlight w:val="none"/>
        </w:rPr>
        <w:t>八、投标人获取招标文件时应提交的资料：</w:t>
      </w:r>
      <w:r>
        <w:rPr>
          <w:rFonts w:hint="eastAsia" w:ascii="宋体" w:hAnsi="宋体"/>
          <w:color w:val="auto"/>
          <w:sz w:val="21"/>
          <w:szCs w:val="21"/>
          <w:highlight w:val="none"/>
        </w:rPr>
        <w:t>无</w:t>
      </w:r>
    </w:p>
    <w:p>
      <w:pPr>
        <w:spacing w:line="288" w:lineRule="auto"/>
        <w:rPr>
          <w:rFonts w:hint="eastAsia" w:ascii="宋体" w:hAnsi="宋体"/>
          <w:color w:val="auto"/>
          <w:sz w:val="21"/>
          <w:szCs w:val="21"/>
          <w:highlight w:val="none"/>
        </w:rPr>
      </w:pPr>
      <w:r>
        <w:rPr>
          <w:rFonts w:hint="eastAsia" w:ascii="宋体" w:hAnsi="宋体"/>
          <w:b/>
          <w:color w:val="auto"/>
          <w:sz w:val="24"/>
          <w:highlight w:val="none"/>
        </w:rPr>
        <w:t>九、</w:t>
      </w:r>
      <w:r>
        <w:rPr>
          <w:rFonts w:ascii="宋体" w:hAnsi="宋体"/>
          <w:b/>
          <w:color w:val="auto"/>
          <w:sz w:val="24"/>
          <w:highlight w:val="none"/>
        </w:rPr>
        <w:t>投标截止时间：</w:t>
      </w:r>
      <w:r>
        <w:rPr>
          <w:rFonts w:hint="eastAsia" w:ascii="宋体" w:hAnsi="宋体"/>
          <w:color w:val="auto"/>
          <w:sz w:val="21"/>
          <w:szCs w:val="21"/>
          <w:highlight w:val="none"/>
        </w:rPr>
        <w:t>2020年</w:t>
      </w:r>
      <w:r>
        <w:rPr>
          <w:rFonts w:hint="eastAsia" w:ascii="宋体" w:hAnsi="宋体"/>
          <w:color w:val="auto"/>
          <w:sz w:val="21"/>
          <w:szCs w:val="21"/>
          <w:highlight w:val="none"/>
          <w:lang w:val="en-US" w:eastAsia="zh-CN"/>
        </w:rPr>
        <w:t>7</w:t>
      </w:r>
      <w:r>
        <w:rPr>
          <w:rFonts w:hint="eastAsia" w:ascii="宋体" w:hAnsi="宋体"/>
          <w:color w:val="auto"/>
          <w:sz w:val="21"/>
          <w:szCs w:val="21"/>
          <w:highlight w:val="none"/>
        </w:rPr>
        <w:t>月</w:t>
      </w:r>
      <w:r>
        <w:rPr>
          <w:rFonts w:hint="eastAsia" w:ascii="宋体" w:hAnsi="宋体"/>
          <w:color w:val="auto"/>
          <w:sz w:val="21"/>
          <w:szCs w:val="21"/>
          <w:highlight w:val="none"/>
          <w:lang w:val="en-US" w:eastAsia="zh-CN"/>
        </w:rPr>
        <w:t>13</w:t>
      </w:r>
      <w:r>
        <w:rPr>
          <w:rFonts w:hint="eastAsia" w:ascii="宋体" w:hAnsi="宋体"/>
          <w:color w:val="auto"/>
          <w:sz w:val="21"/>
          <w:szCs w:val="21"/>
          <w:highlight w:val="none"/>
        </w:rPr>
        <w:t>日上午9:</w:t>
      </w:r>
      <w:r>
        <w:rPr>
          <w:rFonts w:hint="eastAsia" w:ascii="宋体" w:hAnsi="宋体"/>
          <w:color w:val="auto"/>
          <w:sz w:val="21"/>
          <w:szCs w:val="21"/>
          <w:highlight w:val="none"/>
          <w:lang w:val="en-US" w:eastAsia="zh-CN"/>
        </w:rPr>
        <w:t>0</w:t>
      </w:r>
      <w:r>
        <w:rPr>
          <w:rFonts w:hint="eastAsia" w:ascii="宋体" w:hAnsi="宋体"/>
          <w:color w:val="auto"/>
          <w:sz w:val="21"/>
          <w:szCs w:val="21"/>
          <w:highlight w:val="none"/>
        </w:rPr>
        <w:t>0:00</w:t>
      </w:r>
      <w:r>
        <w:rPr>
          <w:rFonts w:hint="eastAsia" w:ascii="宋体" w:hAnsi="宋体"/>
          <w:color w:val="auto"/>
          <w:sz w:val="21"/>
          <w:szCs w:val="21"/>
          <w:highlight w:val="none"/>
        </w:rPr>
        <w:t>（北京时间）</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lang w:val="en-US" w:eastAsia="zh-CN"/>
        </w:rPr>
        <w:t>备</w:t>
      </w:r>
      <w:r>
        <w:rPr>
          <w:rFonts w:hint="eastAsia" w:ascii="宋体" w:hAnsi="宋体"/>
          <w:color w:val="auto"/>
          <w:sz w:val="21"/>
          <w:szCs w:val="21"/>
          <w:highlight w:val="none"/>
          <w:lang w:eastAsia="zh-CN"/>
        </w:rPr>
        <w:t>注：</w:t>
      </w:r>
      <w:r>
        <w:rPr>
          <w:rFonts w:hint="eastAsia" w:ascii="宋体" w:hAnsi="宋体"/>
          <w:color w:val="auto"/>
          <w:sz w:val="21"/>
          <w:szCs w:val="21"/>
          <w:highlight w:val="none"/>
        </w:rPr>
        <w:t>投标人应于投标截止时间之前将电子投标文件上传到“政采云”平台。</w:t>
      </w:r>
    </w:p>
    <w:p>
      <w:pPr>
        <w:spacing w:line="288" w:lineRule="auto"/>
        <w:rPr>
          <w:rFonts w:hint="eastAsia" w:ascii="宋体" w:hAnsi="宋体"/>
          <w:color w:val="auto"/>
          <w:sz w:val="21"/>
          <w:szCs w:val="21"/>
          <w:highlight w:val="none"/>
        </w:rPr>
      </w:pPr>
      <w:r>
        <w:rPr>
          <w:rFonts w:hint="eastAsia" w:ascii="宋体" w:hAnsi="宋体"/>
          <w:b/>
          <w:color w:val="auto"/>
          <w:sz w:val="24"/>
          <w:highlight w:val="none"/>
        </w:rPr>
        <w:t>十、</w:t>
      </w:r>
      <w:r>
        <w:rPr>
          <w:rFonts w:ascii="宋体" w:hAnsi="宋体"/>
          <w:b/>
          <w:color w:val="auto"/>
          <w:sz w:val="24"/>
          <w:highlight w:val="none"/>
        </w:rPr>
        <w:t>投标地址</w:t>
      </w:r>
      <w:r>
        <w:rPr>
          <w:rFonts w:hint="eastAsia" w:ascii="宋体" w:hAnsi="宋体"/>
          <w:b/>
          <w:color w:val="auto"/>
          <w:sz w:val="24"/>
          <w:highlight w:val="none"/>
        </w:rPr>
        <w:t>、方式</w:t>
      </w:r>
      <w:r>
        <w:rPr>
          <w:rFonts w:ascii="宋体" w:hAnsi="宋体"/>
          <w:b/>
          <w:color w:val="auto"/>
          <w:sz w:val="24"/>
          <w:highlight w:val="none"/>
        </w:rPr>
        <w:t>：</w:t>
      </w:r>
      <w:r>
        <w:rPr>
          <w:rFonts w:hint="eastAsia" w:ascii="宋体" w:hAnsi="宋体"/>
          <w:color w:val="auto"/>
          <w:sz w:val="21"/>
          <w:szCs w:val="21"/>
          <w:highlight w:val="none"/>
        </w:rPr>
        <w:t>通过政府采购云平台在线电子投标</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备注：</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1）投标人未按规定编制加密或者投标截止时间后上传的投标文件政府采购云平台将予以拒收；</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2）投标人逾期送达或者未密封包装的备份投标文件采购代理机构将予以拒收。</w:t>
      </w:r>
    </w:p>
    <w:p>
      <w:pPr>
        <w:spacing w:line="288" w:lineRule="auto"/>
        <w:rPr>
          <w:rFonts w:hint="eastAsia" w:ascii="宋体" w:hAnsi="宋体"/>
          <w:color w:val="auto"/>
          <w:sz w:val="21"/>
          <w:szCs w:val="21"/>
          <w:highlight w:val="none"/>
        </w:rPr>
      </w:pPr>
      <w:r>
        <w:rPr>
          <w:rFonts w:hint="eastAsia" w:ascii="宋体" w:hAnsi="宋体"/>
          <w:b/>
          <w:color w:val="auto"/>
          <w:sz w:val="24"/>
          <w:highlight w:val="none"/>
        </w:rPr>
        <w:t>十一、</w:t>
      </w:r>
      <w:r>
        <w:rPr>
          <w:rFonts w:ascii="宋体" w:hAnsi="宋体"/>
          <w:b/>
          <w:color w:val="auto"/>
          <w:sz w:val="24"/>
          <w:highlight w:val="none"/>
        </w:rPr>
        <w:t>开标时间：</w:t>
      </w:r>
      <w:r>
        <w:rPr>
          <w:rFonts w:hint="eastAsia" w:ascii="宋体" w:hAnsi="宋体"/>
          <w:color w:val="auto"/>
          <w:sz w:val="21"/>
          <w:szCs w:val="21"/>
          <w:highlight w:val="none"/>
        </w:rPr>
        <w:t>2020年</w:t>
      </w:r>
      <w:r>
        <w:rPr>
          <w:rFonts w:hint="eastAsia" w:ascii="宋体" w:hAnsi="宋体"/>
          <w:color w:val="auto"/>
          <w:sz w:val="21"/>
          <w:szCs w:val="21"/>
          <w:highlight w:val="none"/>
          <w:lang w:val="en-US" w:eastAsia="zh-CN"/>
        </w:rPr>
        <w:t>7</w:t>
      </w:r>
      <w:r>
        <w:rPr>
          <w:rFonts w:hint="eastAsia" w:ascii="宋体" w:hAnsi="宋体"/>
          <w:color w:val="auto"/>
          <w:sz w:val="21"/>
          <w:szCs w:val="21"/>
          <w:highlight w:val="none"/>
        </w:rPr>
        <w:t>月</w:t>
      </w:r>
      <w:r>
        <w:rPr>
          <w:rFonts w:hint="eastAsia" w:ascii="宋体" w:hAnsi="宋体"/>
          <w:color w:val="auto"/>
          <w:sz w:val="21"/>
          <w:szCs w:val="21"/>
          <w:highlight w:val="none"/>
          <w:lang w:val="en-US" w:eastAsia="zh-CN"/>
        </w:rPr>
        <w:t>13</w:t>
      </w:r>
      <w:r>
        <w:rPr>
          <w:rFonts w:hint="eastAsia" w:ascii="宋体" w:hAnsi="宋体"/>
          <w:color w:val="auto"/>
          <w:sz w:val="21"/>
          <w:szCs w:val="21"/>
          <w:highlight w:val="none"/>
        </w:rPr>
        <w:t>日上午9:</w:t>
      </w:r>
      <w:r>
        <w:rPr>
          <w:rFonts w:hint="eastAsia" w:ascii="宋体" w:hAnsi="宋体"/>
          <w:color w:val="auto"/>
          <w:sz w:val="21"/>
          <w:szCs w:val="21"/>
          <w:highlight w:val="none"/>
          <w:lang w:val="en-US" w:eastAsia="zh-CN"/>
        </w:rPr>
        <w:t>0</w:t>
      </w:r>
      <w:r>
        <w:rPr>
          <w:rFonts w:hint="eastAsia" w:ascii="宋体" w:hAnsi="宋体"/>
          <w:color w:val="auto"/>
          <w:sz w:val="21"/>
          <w:szCs w:val="21"/>
          <w:highlight w:val="none"/>
        </w:rPr>
        <w:t>0:00（北京时间）</w:t>
      </w:r>
    </w:p>
    <w:p>
      <w:pPr>
        <w:spacing w:line="288" w:lineRule="auto"/>
        <w:ind w:firstLine="420" w:firstLineChars="200"/>
        <w:rPr>
          <w:rFonts w:hint="eastAsia" w:ascii="宋体" w:hAnsi="宋体"/>
          <w:color w:val="auto"/>
          <w:spacing w:val="-6"/>
          <w:sz w:val="21"/>
          <w:szCs w:val="21"/>
          <w:highlight w:val="none"/>
          <w:lang w:eastAsia="zh-CN"/>
        </w:rPr>
      </w:pPr>
      <w:r>
        <w:rPr>
          <w:rFonts w:hint="eastAsia" w:ascii="宋体" w:hAnsi="宋体"/>
          <w:color w:val="auto"/>
          <w:sz w:val="21"/>
          <w:szCs w:val="21"/>
          <w:highlight w:val="none"/>
        </w:rPr>
        <w:t>备注：</w:t>
      </w:r>
      <w:r>
        <w:rPr>
          <w:rFonts w:hint="eastAsia" w:ascii="宋体" w:hAnsi="宋体"/>
          <w:color w:val="auto"/>
          <w:spacing w:val="-6"/>
          <w:sz w:val="21"/>
          <w:szCs w:val="21"/>
          <w:highlight w:val="none"/>
        </w:rPr>
        <w:t>投标人应在开标时间在线参加开标并解密电子加密投标文件。</w:t>
      </w:r>
      <w:r>
        <w:rPr>
          <w:rFonts w:hint="eastAsia" w:ascii="宋体" w:hAnsi="宋体"/>
          <w:color w:val="auto"/>
          <w:spacing w:val="-6"/>
          <w:sz w:val="21"/>
          <w:szCs w:val="21"/>
          <w:highlight w:val="none"/>
          <w:lang w:eastAsia="zh-CN"/>
        </w:rPr>
        <w:t>投标人</w:t>
      </w:r>
      <w:r>
        <w:rPr>
          <w:rFonts w:hint="eastAsia" w:ascii="宋体" w:hAnsi="宋体"/>
          <w:color w:val="auto"/>
          <w:spacing w:val="-6"/>
          <w:sz w:val="21"/>
          <w:szCs w:val="21"/>
          <w:highlight w:val="none"/>
          <w:lang w:val="en-US" w:eastAsia="zh-CN"/>
        </w:rPr>
        <w:t>须</w:t>
      </w:r>
      <w:r>
        <w:rPr>
          <w:rFonts w:hint="eastAsia" w:ascii="宋体" w:hAnsi="宋体"/>
          <w:color w:val="auto"/>
          <w:spacing w:val="-6"/>
          <w:sz w:val="21"/>
          <w:szCs w:val="21"/>
          <w:highlight w:val="none"/>
          <w:lang w:eastAsia="zh-CN"/>
        </w:rPr>
        <w:t>登录“政采云”平台，用“项目采购-开标评标”功能解密投标文件，</w:t>
      </w:r>
      <w:r>
        <w:rPr>
          <w:rFonts w:hint="eastAsia" w:ascii="宋体" w:hAnsi="宋体"/>
          <w:color w:val="auto"/>
          <w:spacing w:val="-6"/>
          <w:sz w:val="21"/>
          <w:szCs w:val="21"/>
          <w:highlight w:val="none"/>
          <w:lang w:val="en-US" w:eastAsia="zh-CN"/>
        </w:rPr>
        <w:t>解密须在</w:t>
      </w:r>
      <w:r>
        <w:rPr>
          <w:rFonts w:hint="eastAsia" w:ascii="宋体" w:hAnsi="宋体"/>
          <w:color w:val="auto"/>
          <w:spacing w:val="-6"/>
          <w:sz w:val="21"/>
          <w:szCs w:val="21"/>
          <w:highlight w:val="none"/>
          <w:lang w:eastAsia="zh-CN"/>
        </w:rPr>
        <w:t>开标时间后</w:t>
      </w:r>
      <w:r>
        <w:rPr>
          <w:rFonts w:hint="eastAsia" w:ascii="宋体" w:hAnsi="宋体"/>
          <w:color w:val="auto"/>
          <w:spacing w:val="-6"/>
          <w:sz w:val="21"/>
          <w:szCs w:val="21"/>
          <w:highlight w:val="none"/>
          <w:lang w:val="en-US" w:eastAsia="zh-CN"/>
        </w:rPr>
        <w:t>30分钟</w:t>
      </w:r>
      <w:r>
        <w:rPr>
          <w:rFonts w:hint="eastAsia" w:ascii="宋体" w:hAnsi="宋体"/>
          <w:color w:val="auto"/>
          <w:spacing w:val="-6"/>
          <w:sz w:val="21"/>
          <w:szCs w:val="21"/>
          <w:highlight w:val="none"/>
          <w:lang w:eastAsia="zh-CN"/>
        </w:rPr>
        <w:t>内</w:t>
      </w:r>
      <w:r>
        <w:rPr>
          <w:rFonts w:hint="eastAsia" w:ascii="宋体" w:hAnsi="宋体"/>
          <w:color w:val="auto"/>
          <w:spacing w:val="-6"/>
          <w:sz w:val="21"/>
          <w:szCs w:val="21"/>
          <w:highlight w:val="none"/>
          <w:lang w:val="en-US" w:eastAsia="zh-CN"/>
        </w:rPr>
        <w:t>完成。</w:t>
      </w:r>
    </w:p>
    <w:p>
      <w:pPr>
        <w:spacing w:line="288" w:lineRule="auto"/>
        <w:rPr>
          <w:rFonts w:hint="eastAsia" w:ascii="宋体" w:hAnsi="宋体"/>
          <w:color w:val="auto"/>
          <w:sz w:val="21"/>
          <w:szCs w:val="21"/>
          <w:highlight w:val="none"/>
        </w:rPr>
      </w:pPr>
      <w:r>
        <w:rPr>
          <w:rFonts w:hint="eastAsia" w:ascii="宋体" w:hAnsi="宋体"/>
          <w:b/>
          <w:color w:val="auto"/>
          <w:sz w:val="24"/>
          <w:highlight w:val="none"/>
        </w:rPr>
        <w:t>十二、开标地址：</w:t>
      </w:r>
      <w:r>
        <w:rPr>
          <w:rFonts w:hint="eastAsia" w:ascii="宋体" w:hAnsi="宋体"/>
          <w:color w:val="auto"/>
          <w:sz w:val="21"/>
          <w:szCs w:val="21"/>
          <w:highlight w:val="none"/>
        </w:rPr>
        <w:t>杭州市西湖区玉古路173号中田大厦16楼求是招标会议室</w:t>
      </w:r>
    </w:p>
    <w:p>
      <w:pPr>
        <w:spacing w:line="288" w:lineRule="auto"/>
        <w:rPr>
          <w:rFonts w:hint="eastAsia" w:ascii="宋体" w:hAnsi="宋体"/>
          <w:color w:val="auto"/>
          <w:sz w:val="21"/>
          <w:szCs w:val="21"/>
          <w:highlight w:val="none"/>
        </w:rPr>
      </w:pPr>
      <w:r>
        <w:rPr>
          <w:rFonts w:hint="eastAsia" w:ascii="宋体" w:hAnsi="宋体"/>
          <w:b/>
          <w:color w:val="auto"/>
          <w:sz w:val="24"/>
          <w:highlight w:val="none"/>
        </w:rPr>
        <w:t>十三、公告期限：</w:t>
      </w:r>
      <w:r>
        <w:rPr>
          <w:rFonts w:hint="eastAsia" w:ascii="宋体" w:hAnsi="宋体"/>
          <w:color w:val="auto"/>
          <w:sz w:val="21"/>
          <w:szCs w:val="21"/>
          <w:highlight w:val="none"/>
        </w:rPr>
        <w:t>5个工作日</w:t>
      </w:r>
    </w:p>
    <w:p>
      <w:pPr>
        <w:spacing w:line="288" w:lineRule="auto"/>
        <w:rPr>
          <w:rFonts w:hint="eastAsia" w:ascii="宋体" w:hAnsi="宋体"/>
          <w:b/>
          <w:color w:val="auto"/>
          <w:sz w:val="24"/>
          <w:highlight w:val="none"/>
        </w:rPr>
      </w:pPr>
      <w:r>
        <w:rPr>
          <w:rFonts w:hint="eastAsia" w:ascii="宋体" w:hAnsi="宋体"/>
          <w:b/>
          <w:color w:val="auto"/>
          <w:sz w:val="24"/>
          <w:highlight w:val="none"/>
        </w:rPr>
        <w:t>十四、在线电子投标说明：</w:t>
      </w:r>
    </w:p>
    <w:p>
      <w:pPr>
        <w:spacing w:line="288" w:lineRule="auto"/>
        <w:ind w:firstLine="422" w:firstLineChars="200"/>
        <w:rPr>
          <w:rFonts w:hint="eastAsia" w:ascii="宋体" w:hAnsi="宋体"/>
          <w:b/>
          <w:bCs/>
          <w:color w:val="auto"/>
          <w:sz w:val="21"/>
          <w:szCs w:val="21"/>
          <w:highlight w:val="none"/>
        </w:rPr>
      </w:pPr>
      <w:r>
        <w:rPr>
          <w:rFonts w:hint="eastAsia" w:ascii="宋体" w:hAnsi="宋体"/>
          <w:b/>
          <w:bCs/>
          <w:color w:val="auto"/>
          <w:sz w:val="21"/>
          <w:szCs w:val="21"/>
          <w:highlight w:val="none"/>
        </w:rPr>
        <w:t>1.通过政府采购云平台在线电子投标，投标人应先安装政采云电子交易客户端（政采云投标客户端），并按照招标文件和政府采购云平台的要求，通过政采云电子交易客户端（政采云投标客户端）编制加密投标文件；</w:t>
      </w:r>
    </w:p>
    <w:p>
      <w:pPr>
        <w:spacing w:line="288" w:lineRule="auto"/>
        <w:ind w:firstLine="422" w:firstLineChars="200"/>
        <w:rPr>
          <w:rFonts w:hint="eastAsia" w:ascii="宋体" w:hAnsi="宋体"/>
          <w:b/>
          <w:bCs/>
          <w:color w:val="auto"/>
          <w:sz w:val="21"/>
          <w:szCs w:val="21"/>
          <w:highlight w:val="none"/>
        </w:rPr>
      </w:pPr>
      <w:r>
        <w:rPr>
          <w:rFonts w:hint="eastAsia" w:ascii="宋体" w:hAnsi="宋体"/>
          <w:b/>
          <w:bCs/>
          <w:color w:val="auto"/>
          <w:sz w:val="21"/>
          <w:szCs w:val="21"/>
          <w:highlight w:val="none"/>
        </w:rPr>
        <w:t>政采云电子交易客户端（政采云投标客户端）请自行前往“浙江政府采购网-下载专区-电子交易客户端”进行下载，通过政府采购云平台参与在线电子投标时如遇平台技术问题详询400-881-7190。</w:t>
      </w:r>
    </w:p>
    <w:p>
      <w:pPr>
        <w:spacing w:line="288" w:lineRule="auto"/>
        <w:ind w:firstLine="422" w:firstLineChars="200"/>
        <w:rPr>
          <w:rFonts w:hint="eastAsia" w:ascii="宋体" w:hAnsi="宋体"/>
          <w:b/>
          <w:bCs/>
          <w:color w:val="auto"/>
          <w:sz w:val="21"/>
          <w:szCs w:val="21"/>
          <w:highlight w:val="none"/>
        </w:rPr>
      </w:pPr>
      <w:r>
        <w:rPr>
          <w:rFonts w:hint="eastAsia" w:ascii="宋体" w:hAnsi="宋体"/>
          <w:b/>
          <w:bCs/>
          <w:color w:val="auto"/>
          <w:sz w:val="21"/>
          <w:szCs w:val="21"/>
          <w:highlight w:val="none"/>
        </w:rPr>
        <w:t>2.为确保在线操作合法、有效和安全，投标人应当在投标截止时间前完成在政府采购云平台的身份认证，使用政采云电子交易客户端（政采云投标客户端）需要提前申领CA数字证书，申领流程请自行前往“浙江政府采购网-下载专区-电子交易客户端-</w:t>
      </w:r>
      <w:r>
        <w:rPr>
          <w:rFonts w:hint="eastAsia" w:ascii="宋体" w:hAnsi="宋体"/>
          <w:b/>
          <w:bCs/>
          <w:color w:val="auto"/>
          <w:sz w:val="21"/>
          <w:szCs w:val="21"/>
          <w:highlight w:val="none"/>
        </w:rPr>
        <w:fldChar w:fldCharType="begin"/>
      </w:r>
      <w:r>
        <w:rPr>
          <w:rFonts w:hint="eastAsia" w:ascii="宋体" w:hAnsi="宋体"/>
          <w:b/>
          <w:bCs/>
          <w:color w:val="auto"/>
          <w:sz w:val="21"/>
          <w:szCs w:val="21"/>
          <w:highlight w:val="none"/>
        </w:rPr>
        <w:instrText xml:space="preserve"> HYPERLINK "http://zfcg.czt.zj.gov.cn/bidClientTemplate/2019-05-27/12945.html" \o "CA驱动和申领流程" </w:instrText>
      </w:r>
      <w:r>
        <w:rPr>
          <w:rFonts w:hint="eastAsia" w:ascii="宋体" w:hAnsi="宋体"/>
          <w:b/>
          <w:bCs/>
          <w:color w:val="auto"/>
          <w:sz w:val="21"/>
          <w:szCs w:val="21"/>
          <w:highlight w:val="none"/>
        </w:rPr>
        <w:fldChar w:fldCharType="separate"/>
      </w:r>
      <w:r>
        <w:rPr>
          <w:rFonts w:hint="eastAsia" w:ascii="宋体" w:hAnsi="宋体"/>
          <w:b/>
          <w:bCs/>
          <w:color w:val="auto"/>
          <w:sz w:val="21"/>
          <w:szCs w:val="21"/>
          <w:highlight w:val="none"/>
        </w:rPr>
        <w:t>CA驱动和申领流程</w:t>
      </w:r>
      <w:r>
        <w:rPr>
          <w:rFonts w:hint="eastAsia" w:ascii="宋体" w:hAnsi="宋体"/>
          <w:b/>
          <w:bCs/>
          <w:color w:val="auto"/>
          <w:sz w:val="21"/>
          <w:szCs w:val="21"/>
          <w:highlight w:val="none"/>
        </w:rPr>
        <w:fldChar w:fldCharType="end"/>
      </w:r>
      <w:r>
        <w:rPr>
          <w:rFonts w:hint="eastAsia" w:ascii="宋体" w:hAnsi="宋体"/>
          <w:b/>
          <w:bCs/>
          <w:color w:val="auto"/>
          <w:sz w:val="21"/>
          <w:szCs w:val="21"/>
          <w:highlight w:val="none"/>
        </w:rPr>
        <w:t>”进行查阅；</w:t>
      </w:r>
    </w:p>
    <w:p>
      <w:pPr>
        <w:spacing w:line="288" w:lineRule="auto"/>
        <w:ind w:firstLine="422" w:firstLineChars="200"/>
        <w:rPr>
          <w:rFonts w:hint="eastAsia" w:ascii="宋体" w:hAnsi="宋体"/>
          <w:b/>
          <w:bCs/>
          <w:color w:val="auto"/>
          <w:sz w:val="21"/>
          <w:szCs w:val="21"/>
          <w:highlight w:val="none"/>
        </w:rPr>
      </w:pPr>
      <w:r>
        <w:rPr>
          <w:rFonts w:hint="eastAsia" w:ascii="宋体" w:hAnsi="宋体"/>
          <w:b/>
          <w:bCs/>
          <w:color w:val="auto"/>
          <w:sz w:val="21"/>
          <w:szCs w:val="21"/>
          <w:highlight w:val="none"/>
        </w:rPr>
        <w:t>3.投标人应当在投标截止时间前将在政采云电子交易客户端（政采云投标客户端）生成的电子加密投标文件上传至政府采购云平台；</w:t>
      </w:r>
    </w:p>
    <w:p>
      <w:pPr>
        <w:spacing w:line="288" w:lineRule="auto"/>
        <w:ind w:firstLine="422" w:firstLineChars="200"/>
        <w:rPr>
          <w:rFonts w:hint="eastAsia" w:ascii="宋体" w:hAnsi="宋体"/>
          <w:b/>
          <w:bCs/>
          <w:color w:val="auto"/>
          <w:sz w:val="21"/>
          <w:szCs w:val="21"/>
          <w:highlight w:val="none"/>
        </w:rPr>
      </w:pPr>
      <w:r>
        <w:rPr>
          <w:rFonts w:hint="eastAsia" w:ascii="宋体" w:hAnsi="宋体"/>
          <w:b/>
          <w:bCs/>
          <w:color w:val="auto"/>
          <w:sz w:val="21"/>
          <w:szCs w:val="21"/>
          <w:highlight w:val="none"/>
        </w:rPr>
        <w:t>4.投标人在政府采购云平台完成电子加密投标文件的上传后，可以EMS或顺丰邮寄形式在投标截止时间前</w:t>
      </w:r>
      <w:r>
        <w:rPr>
          <w:rFonts w:hint="eastAsia" w:ascii="宋体" w:hAnsi="宋体"/>
          <w:b/>
          <w:bCs/>
          <w:color w:val="auto"/>
          <w:sz w:val="21"/>
          <w:szCs w:val="21"/>
          <w:highlight w:val="none"/>
          <w:lang w:eastAsia="zh-CN"/>
        </w:rPr>
        <w:t>（</w:t>
      </w:r>
      <w:r>
        <w:rPr>
          <w:rFonts w:hint="eastAsia" w:ascii="宋体" w:hAnsi="宋体"/>
          <w:b/>
          <w:bCs/>
          <w:color w:val="auto"/>
          <w:sz w:val="21"/>
          <w:szCs w:val="21"/>
          <w:highlight w:val="none"/>
          <w:lang w:val="en-US" w:eastAsia="zh-CN"/>
        </w:rPr>
        <w:t>邮寄形式建议在开标前一个工作日送达</w:t>
      </w:r>
      <w:r>
        <w:rPr>
          <w:rFonts w:hint="eastAsia" w:ascii="宋体" w:hAnsi="宋体"/>
          <w:b/>
          <w:bCs/>
          <w:color w:val="auto"/>
          <w:sz w:val="21"/>
          <w:szCs w:val="21"/>
          <w:highlight w:val="none"/>
          <w:lang w:eastAsia="zh-CN"/>
        </w:rPr>
        <w:t>）</w:t>
      </w:r>
      <w:r>
        <w:rPr>
          <w:rFonts w:hint="eastAsia" w:ascii="宋体" w:hAnsi="宋体"/>
          <w:b/>
          <w:bCs/>
          <w:color w:val="auto"/>
          <w:sz w:val="21"/>
          <w:szCs w:val="21"/>
          <w:highlight w:val="none"/>
        </w:rPr>
        <w:t>递交以介质（U盘）存储的数据电文形式的备份投标文件，备份投标文件应当密封包装并在包装上标注投标项目名称、投标人名称并加盖公章。</w:t>
      </w:r>
    </w:p>
    <w:p>
      <w:pPr>
        <w:spacing w:line="288" w:lineRule="auto"/>
        <w:ind w:firstLine="422" w:firstLineChars="200"/>
        <w:rPr>
          <w:rFonts w:hint="eastAsia" w:ascii="宋体" w:hAnsi="宋体"/>
          <w:b/>
          <w:bCs/>
          <w:color w:val="auto"/>
          <w:sz w:val="21"/>
          <w:szCs w:val="21"/>
          <w:highlight w:val="none"/>
        </w:rPr>
      </w:pPr>
      <w:r>
        <w:rPr>
          <w:rFonts w:hint="eastAsia" w:ascii="宋体" w:hAnsi="宋体"/>
          <w:b/>
          <w:bCs/>
          <w:color w:val="auto"/>
          <w:sz w:val="21"/>
          <w:szCs w:val="21"/>
          <w:highlight w:val="none"/>
        </w:rPr>
        <w:t>5.通过政府采购云平台上传的电子加密投标文件无法按时解密但投标人已递交备份投标文件的，以备份投标文件为依据，否则视为投标文件撤回；通过政府采购云平台上传的电子加密投标文件已按时解密的，备份投标文件自动失效。</w:t>
      </w:r>
    </w:p>
    <w:p>
      <w:pPr>
        <w:spacing w:line="288" w:lineRule="auto"/>
        <w:ind w:firstLine="422" w:firstLineChars="200"/>
        <w:jc w:val="left"/>
        <w:rPr>
          <w:rFonts w:hint="eastAsia" w:ascii="宋体" w:hAnsi="宋体"/>
          <w:b/>
          <w:bCs/>
          <w:color w:val="auto"/>
          <w:sz w:val="21"/>
          <w:szCs w:val="21"/>
          <w:highlight w:val="none"/>
        </w:rPr>
      </w:pPr>
      <w:r>
        <w:rPr>
          <w:rFonts w:hint="eastAsia" w:ascii="宋体" w:hAnsi="宋体"/>
          <w:b/>
          <w:bCs/>
          <w:color w:val="auto"/>
          <w:sz w:val="21"/>
          <w:szCs w:val="21"/>
          <w:highlight w:val="none"/>
        </w:rPr>
        <w:t>备注：</w:t>
      </w:r>
    </w:p>
    <w:p>
      <w:pPr>
        <w:spacing w:line="288" w:lineRule="auto"/>
        <w:ind w:firstLine="422" w:firstLineChars="200"/>
        <w:jc w:val="left"/>
        <w:rPr>
          <w:rFonts w:hint="eastAsia"/>
          <w:color w:val="auto"/>
          <w:highlight w:val="none"/>
        </w:rPr>
      </w:pPr>
      <w:r>
        <w:rPr>
          <w:rFonts w:hint="eastAsia" w:ascii="宋体" w:hAnsi="宋体"/>
          <w:b/>
          <w:bCs/>
          <w:color w:val="auto"/>
          <w:sz w:val="21"/>
          <w:szCs w:val="21"/>
          <w:highlight w:val="none"/>
        </w:rPr>
        <w:t>投标人可通过浙江省“电子交易/不见面开评标”学习专题提前进行专题学习，熟悉操作，避免影响采购活动（</w:t>
      </w:r>
      <w:r>
        <w:rPr>
          <w:rFonts w:hint="eastAsia" w:ascii="宋体" w:hAnsi="宋体"/>
          <w:b/>
          <w:bCs/>
          <w:color w:val="auto"/>
          <w:sz w:val="21"/>
          <w:szCs w:val="21"/>
          <w:highlight w:val="none"/>
        </w:rPr>
        <w:fldChar w:fldCharType="begin"/>
      </w:r>
      <w:r>
        <w:rPr>
          <w:rFonts w:hint="eastAsia" w:ascii="宋体" w:hAnsi="宋体"/>
          <w:b/>
          <w:bCs/>
          <w:color w:val="auto"/>
          <w:sz w:val="21"/>
          <w:szCs w:val="21"/>
          <w:highlight w:val="none"/>
        </w:rPr>
        <w:instrText xml:space="preserve"> HYPERLINK "https://edu.zcygov.cn/luban/e-biding" </w:instrText>
      </w:r>
      <w:r>
        <w:rPr>
          <w:rFonts w:hint="eastAsia" w:ascii="宋体" w:hAnsi="宋体"/>
          <w:b/>
          <w:bCs/>
          <w:color w:val="auto"/>
          <w:sz w:val="21"/>
          <w:szCs w:val="21"/>
          <w:highlight w:val="none"/>
        </w:rPr>
        <w:fldChar w:fldCharType="separate"/>
      </w:r>
      <w:r>
        <w:rPr>
          <w:rFonts w:hint="eastAsia" w:ascii="宋体" w:hAnsi="宋体"/>
          <w:b/>
          <w:bCs/>
          <w:color w:val="auto"/>
          <w:sz w:val="21"/>
          <w:szCs w:val="21"/>
          <w:highlight w:val="none"/>
        </w:rPr>
        <w:t>https://edu.zcygov.cn/luban/e-biding</w:t>
      </w:r>
      <w:r>
        <w:rPr>
          <w:rFonts w:hint="eastAsia" w:ascii="宋体" w:hAnsi="宋体"/>
          <w:b/>
          <w:bCs/>
          <w:color w:val="auto"/>
          <w:sz w:val="21"/>
          <w:szCs w:val="21"/>
          <w:highlight w:val="none"/>
        </w:rPr>
        <w:fldChar w:fldCharType="end"/>
      </w:r>
      <w:r>
        <w:rPr>
          <w:rFonts w:hint="eastAsia" w:ascii="宋体" w:hAnsi="宋体"/>
          <w:b/>
          <w:bCs/>
          <w:color w:val="auto"/>
          <w:sz w:val="21"/>
          <w:szCs w:val="21"/>
          <w:highlight w:val="none"/>
        </w:rPr>
        <w:t>）。</w:t>
      </w:r>
    </w:p>
    <w:p>
      <w:pPr>
        <w:spacing w:line="288" w:lineRule="auto"/>
        <w:rPr>
          <w:rFonts w:hint="eastAsia" w:ascii="宋体" w:hAnsi="宋体"/>
          <w:b/>
          <w:color w:val="auto"/>
          <w:sz w:val="24"/>
          <w:highlight w:val="none"/>
        </w:rPr>
      </w:pPr>
      <w:r>
        <w:rPr>
          <w:rFonts w:hint="eastAsia" w:ascii="宋体" w:hAnsi="宋体"/>
          <w:b/>
          <w:color w:val="auto"/>
          <w:sz w:val="24"/>
          <w:highlight w:val="none"/>
        </w:rPr>
        <w:t>十五、其他：</w:t>
      </w:r>
    </w:p>
    <w:p>
      <w:pPr>
        <w:spacing w:line="288" w:lineRule="auto"/>
        <w:ind w:firstLine="422" w:firstLineChars="200"/>
        <w:rPr>
          <w:rFonts w:hint="eastAsia" w:ascii="宋体" w:hAnsi="宋体"/>
          <w:b/>
          <w:bCs/>
          <w:color w:val="auto"/>
          <w:sz w:val="21"/>
          <w:szCs w:val="21"/>
          <w:highlight w:val="none"/>
        </w:rPr>
      </w:pPr>
      <w:r>
        <w:rPr>
          <w:rFonts w:hint="eastAsia" w:ascii="宋体" w:hAnsi="宋体"/>
          <w:b/>
          <w:bCs/>
          <w:color w:val="auto"/>
          <w:sz w:val="21"/>
          <w:szCs w:val="21"/>
          <w:highlight w:val="none"/>
        </w:rPr>
        <w:t>1.质疑和投诉</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投标人依法获取招标文件后认为招标文件使自己的权益受到损害的，可以自收到招标文件之日（获取截止时间之后收到招标文件的，以获取截止时间为准）或者招标文件公告期限届满之日（公告发布后的第6个工作日）起7个工作日内，以书面形式向采购人和采购代理机构提出质疑。质疑投标人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spacing w:line="288" w:lineRule="auto"/>
        <w:ind w:firstLine="422" w:firstLineChars="200"/>
        <w:rPr>
          <w:rFonts w:hint="eastAsia" w:ascii="宋体" w:hAnsi="宋体"/>
          <w:b/>
          <w:bCs/>
          <w:color w:val="auto"/>
          <w:sz w:val="21"/>
          <w:szCs w:val="21"/>
          <w:highlight w:val="none"/>
        </w:rPr>
      </w:pPr>
      <w:r>
        <w:rPr>
          <w:rFonts w:hint="eastAsia" w:ascii="宋体" w:hAnsi="宋体"/>
          <w:b/>
          <w:bCs/>
          <w:color w:val="auto"/>
          <w:sz w:val="21"/>
          <w:szCs w:val="21"/>
          <w:highlight w:val="none"/>
        </w:rPr>
        <w:t>2.采购项目需要落实的政府采购政策</w:t>
      </w:r>
      <w:bookmarkStart w:id="0" w:name="_Toc30654"/>
      <w:bookmarkStart w:id="1" w:name="B36_其他事项"/>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1）政府采购</w:t>
      </w:r>
      <w:bookmarkEnd w:id="0"/>
      <w:r>
        <w:rPr>
          <w:rFonts w:hint="eastAsia" w:ascii="宋体" w:hAnsi="宋体"/>
          <w:color w:val="auto"/>
          <w:sz w:val="21"/>
          <w:szCs w:val="21"/>
          <w:highlight w:val="none"/>
        </w:rPr>
        <w:t>促进中小企业发展</w:t>
      </w:r>
    </w:p>
    <w:p>
      <w:pPr>
        <w:spacing w:line="288" w:lineRule="auto"/>
        <w:ind w:firstLine="420" w:firstLineChars="200"/>
        <w:rPr>
          <w:rFonts w:hint="eastAsia" w:ascii="宋体" w:hAnsi="宋体"/>
          <w:color w:val="auto"/>
          <w:sz w:val="21"/>
          <w:szCs w:val="21"/>
          <w:highlight w:val="none"/>
        </w:rPr>
      </w:pPr>
      <w:bookmarkStart w:id="2" w:name="_Toc21083"/>
      <w:r>
        <w:rPr>
          <w:rFonts w:hint="eastAsia" w:ascii="宋体" w:hAnsi="宋体"/>
          <w:color w:val="auto"/>
          <w:sz w:val="21"/>
          <w:szCs w:val="21"/>
          <w:highlight w:val="none"/>
        </w:rPr>
        <w:t>2）政府采购支持监狱企业发展</w:t>
      </w:r>
      <w:bookmarkEnd w:id="2"/>
    </w:p>
    <w:p>
      <w:pPr>
        <w:spacing w:line="288" w:lineRule="auto"/>
        <w:ind w:firstLine="420" w:firstLineChars="200"/>
        <w:rPr>
          <w:rFonts w:hint="eastAsia" w:ascii="宋体" w:hAnsi="宋体"/>
          <w:color w:val="auto"/>
          <w:sz w:val="21"/>
          <w:szCs w:val="21"/>
          <w:highlight w:val="none"/>
        </w:rPr>
      </w:pPr>
      <w:bookmarkStart w:id="3" w:name="_Toc9829"/>
      <w:r>
        <w:rPr>
          <w:rFonts w:hint="eastAsia" w:ascii="宋体" w:hAnsi="宋体"/>
          <w:color w:val="auto"/>
          <w:sz w:val="21"/>
          <w:szCs w:val="21"/>
          <w:highlight w:val="none"/>
        </w:rPr>
        <w:t>3）政府采购促进残疾人就业</w:t>
      </w:r>
      <w:bookmarkEnd w:id="3"/>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4）政府强制采购节能产品</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5）政府优先采购节能、环保产品</w:t>
      </w:r>
    </w:p>
    <w:p>
      <w:pPr>
        <w:spacing w:line="288" w:lineRule="auto"/>
        <w:ind w:firstLine="420" w:firstLineChars="200"/>
        <w:rPr>
          <w:rFonts w:hint="eastAsia"/>
          <w:color w:val="auto"/>
          <w:highlight w:val="none"/>
        </w:rPr>
      </w:pPr>
      <w:r>
        <w:rPr>
          <w:rFonts w:hint="eastAsia" w:ascii="宋体" w:hAnsi="宋体"/>
          <w:color w:val="auto"/>
          <w:sz w:val="21"/>
          <w:szCs w:val="21"/>
          <w:highlight w:val="none"/>
        </w:rPr>
        <w:t>6）政府采购进口产品</w:t>
      </w:r>
    </w:p>
    <w:p>
      <w:pPr>
        <w:spacing w:line="288" w:lineRule="auto"/>
        <w:ind w:firstLine="422" w:firstLineChars="200"/>
        <w:rPr>
          <w:rFonts w:hint="eastAsia" w:ascii="宋体" w:hAnsi="宋体"/>
          <w:b/>
          <w:bCs/>
          <w:color w:val="auto"/>
          <w:sz w:val="21"/>
          <w:szCs w:val="21"/>
          <w:highlight w:val="none"/>
        </w:rPr>
      </w:pPr>
      <w:r>
        <w:rPr>
          <w:rFonts w:hint="eastAsia" w:ascii="宋体" w:hAnsi="宋体"/>
          <w:b/>
          <w:bCs/>
          <w:color w:val="auto"/>
          <w:sz w:val="21"/>
          <w:szCs w:val="21"/>
          <w:highlight w:val="none"/>
        </w:rPr>
        <w:t>3.信用记录</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根据财库[2016]125号《关于在政府采购活动中查询及使用信用记录有关问题的通知》要求，采购代理机构会对投标人信用记录进行查询并甄别。</w:t>
      </w:r>
    </w:p>
    <w:p>
      <w:pPr>
        <w:numPr>
          <w:ilvl w:val="0"/>
          <w:numId w:val="2"/>
        </w:num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信用信息查询的截止时点：投标截止时间；</w:t>
      </w:r>
    </w:p>
    <w:p>
      <w:pPr>
        <w:numPr>
          <w:ilvl w:val="0"/>
          <w:numId w:val="2"/>
        </w:num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查询渠道：“信用中国”（www.creditchina.gov.cn）、“中国政府采购网”（www.ccgp.gov.cn）；</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3）信用信息查询记录和证据留存具体方式：采购代理机构经办人和监督人员将查询网页打印、签字与其他采购文件一并保存；</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4）信用信息的使用规则：投标人存在不良信用记录的，其投标将被作为无效投标处理。</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不良信用记录指：被列入失信被执行人、重大税收违法案件当事人名单、政府采购严重违法失信行为记录名单。</w:t>
      </w:r>
      <w:bookmarkEnd w:id="1"/>
    </w:p>
    <w:p>
      <w:pPr>
        <w:spacing w:line="288" w:lineRule="auto"/>
        <w:ind w:firstLine="422" w:firstLineChars="200"/>
        <w:rPr>
          <w:rFonts w:hint="eastAsia" w:ascii="宋体" w:hAnsi="宋体"/>
          <w:b/>
          <w:bCs/>
          <w:color w:val="auto"/>
          <w:sz w:val="21"/>
          <w:szCs w:val="21"/>
          <w:highlight w:val="none"/>
        </w:rPr>
      </w:pPr>
      <w:r>
        <w:rPr>
          <w:rFonts w:hint="eastAsia" w:ascii="宋体" w:hAnsi="宋体"/>
          <w:b/>
          <w:bCs/>
          <w:color w:val="auto"/>
          <w:sz w:val="21"/>
          <w:szCs w:val="21"/>
          <w:highlight w:val="none"/>
        </w:rPr>
        <w:t>4.投标保证金</w:t>
      </w:r>
    </w:p>
    <w:p>
      <w:pPr>
        <w:spacing w:line="288" w:lineRule="auto"/>
        <w:ind w:firstLine="420" w:firstLineChars="200"/>
        <w:rPr>
          <w:rFonts w:hint="eastAsia" w:ascii="宋体" w:hAnsi="宋体"/>
          <w:b/>
          <w:color w:val="auto"/>
          <w:sz w:val="24"/>
          <w:highlight w:val="none"/>
        </w:rPr>
      </w:pPr>
      <w:r>
        <w:rPr>
          <w:rFonts w:hint="eastAsia" w:ascii="宋体" w:hAnsi="宋体"/>
          <w:color w:val="auto"/>
          <w:sz w:val="21"/>
          <w:szCs w:val="21"/>
          <w:highlight w:val="none"/>
        </w:rPr>
        <w:t>本项目无投标保证金</w:t>
      </w:r>
    </w:p>
    <w:p>
      <w:pPr>
        <w:spacing w:line="288" w:lineRule="auto"/>
        <w:rPr>
          <w:rFonts w:ascii="宋体" w:hAnsi="宋体"/>
          <w:b/>
          <w:color w:val="auto"/>
          <w:sz w:val="24"/>
          <w:highlight w:val="none"/>
        </w:rPr>
      </w:pPr>
      <w:r>
        <w:rPr>
          <w:rFonts w:hint="eastAsia" w:ascii="宋体" w:hAnsi="宋体"/>
          <w:b/>
          <w:color w:val="auto"/>
          <w:sz w:val="24"/>
          <w:highlight w:val="none"/>
        </w:rPr>
        <w:t>十六、联系方式:</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1、采购人名称：杭州电子科技大学</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地址：浙江省杭州市杭州经济开发区白杨街道2号大街1158号</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联系人：崔老师</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联系方法：0571-86878697</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采购项目联系人：</w:t>
      </w:r>
      <w:r>
        <w:rPr>
          <w:rFonts w:hint="eastAsia" w:ascii="宋体" w:hAnsi="宋体"/>
          <w:color w:val="auto"/>
          <w:sz w:val="21"/>
          <w:szCs w:val="21"/>
          <w:highlight w:val="none"/>
          <w:lang w:val="en-US" w:eastAsia="zh-CN"/>
        </w:rPr>
        <w:t>潘</w:t>
      </w:r>
      <w:r>
        <w:rPr>
          <w:rFonts w:hint="eastAsia" w:ascii="宋体" w:hAnsi="宋体"/>
          <w:color w:val="auto"/>
          <w:sz w:val="21"/>
          <w:szCs w:val="21"/>
          <w:highlight w:val="none"/>
        </w:rPr>
        <w:t>老师</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联系方式：151 5051 3116</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采购人质疑联系人：崔老师</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联系方法：0571-86878697</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2.采购代理机构名称：浙江求是招标代理有限公司</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地址：杭州市西湖区玉古路173号中田大厦16楼</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业务及备份投标文件递交联系人：陈应俭、俞炳</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联系方法：0571-87670302</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邮箱：zb02@qszb.net</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获取文件联系人：徐倩</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联系方法：0571-87666113</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传真：0571-87666116</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采购代理机构质疑联系人：余水星</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联系方法：0571-56532513</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质疑邮箱：jdkh@qszb.net</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3.同级政府采购监督管理部门：浙江省财政厅政府采购监管处</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联系人：倪文良</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监督投诉电话：0571-87057615</w:t>
      </w:r>
    </w:p>
    <w:p>
      <w:pPr>
        <w:spacing w:line="288"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地址：杭州市环城西路37号</w:t>
      </w:r>
    </w:p>
    <w:p>
      <w:pPr>
        <w:spacing w:line="288" w:lineRule="auto"/>
        <w:ind w:left="238"/>
        <w:jc w:val="center"/>
        <w:outlineLvl w:val="0"/>
        <w:rPr>
          <w:rFonts w:ascii="宋体" w:hAnsi="宋体"/>
          <w:b/>
          <w:bCs/>
          <w:color w:val="auto"/>
          <w:sz w:val="32"/>
          <w:szCs w:val="32"/>
          <w:highlight w:val="none"/>
        </w:rPr>
      </w:pPr>
      <w:r>
        <w:rPr>
          <w:rFonts w:hint="eastAsia" w:ascii="宋体" w:hAnsi="宋体"/>
          <w:color w:val="auto"/>
          <w:sz w:val="21"/>
          <w:szCs w:val="21"/>
          <w:highlight w:val="none"/>
        </w:rPr>
        <w:br w:type="page"/>
      </w:r>
      <w:r>
        <w:rPr>
          <w:rFonts w:hint="eastAsia" w:ascii="宋体" w:hAnsi="宋体"/>
          <w:b/>
          <w:color w:val="auto"/>
          <w:sz w:val="32"/>
          <w:szCs w:val="32"/>
          <w:highlight w:val="none"/>
        </w:rPr>
        <w:t xml:space="preserve">第二章  </w:t>
      </w:r>
      <w:r>
        <w:rPr>
          <w:rFonts w:hint="eastAsia" w:ascii="宋体" w:hAnsi="宋体"/>
          <w:b/>
          <w:bCs/>
          <w:color w:val="auto"/>
          <w:sz w:val="32"/>
          <w:szCs w:val="32"/>
          <w:highlight w:val="none"/>
        </w:rPr>
        <w:t>采购需求</w:t>
      </w:r>
    </w:p>
    <w:p>
      <w:pPr>
        <w:spacing w:line="288" w:lineRule="auto"/>
        <w:ind w:left="272" w:hanging="272" w:hangingChars="113"/>
        <w:rPr>
          <w:rFonts w:hint="eastAsia" w:ascii="宋体" w:hAnsi="宋体"/>
          <w:b/>
          <w:color w:val="auto"/>
          <w:sz w:val="24"/>
          <w:highlight w:val="none"/>
        </w:rPr>
      </w:pPr>
      <w:r>
        <w:rPr>
          <w:rFonts w:hint="eastAsia" w:ascii="宋体" w:hAnsi="宋体"/>
          <w:b/>
          <w:color w:val="auto"/>
          <w:sz w:val="24"/>
          <w:highlight w:val="none"/>
        </w:rPr>
        <w:t>一</w:t>
      </w:r>
      <w:r>
        <w:rPr>
          <w:rFonts w:ascii="宋体" w:hAnsi="宋体"/>
          <w:b/>
          <w:color w:val="auto"/>
          <w:sz w:val="24"/>
          <w:highlight w:val="none"/>
        </w:rPr>
        <w:t>、</w:t>
      </w:r>
      <w:r>
        <w:rPr>
          <w:rFonts w:hint="eastAsia" w:ascii="宋体" w:hAnsi="宋体"/>
          <w:b/>
          <w:color w:val="auto"/>
          <w:sz w:val="24"/>
          <w:highlight w:val="none"/>
        </w:rPr>
        <w:t>为落实政府采购政策需满足的要求：</w:t>
      </w:r>
    </w:p>
    <w:tbl>
      <w:tblPr>
        <w:tblStyle w:val="22"/>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2863"/>
        <w:gridCol w:w="60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08" w:type="dxa"/>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序号</w:t>
            </w:r>
          </w:p>
        </w:tc>
        <w:tc>
          <w:tcPr>
            <w:tcW w:w="2863" w:type="dxa"/>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政策名称</w:t>
            </w:r>
          </w:p>
        </w:tc>
        <w:tc>
          <w:tcPr>
            <w:tcW w:w="6057" w:type="dxa"/>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08" w:type="dxa"/>
            <w:noWrap w:val="0"/>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w:t>
            </w:r>
          </w:p>
        </w:tc>
        <w:tc>
          <w:tcPr>
            <w:tcW w:w="2863" w:type="dxa"/>
            <w:noWrap w:val="0"/>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政府采购促进中小企业发展</w:t>
            </w:r>
          </w:p>
        </w:tc>
        <w:tc>
          <w:tcPr>
            <w:tcW w:w="6057" w:type="dxa"/>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08" w:type="dxa"/>
            <w:noWrap w:val="0"/>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2</w:t>
            </w:r>
          </w:p>
        </w:tc>
        <w:tc>
          <w:tcPr>
            <w:tcW w:w="2863" w:type="dxa"/>
            <w:noWrap w:val="0"/>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政府采购支持监狱企业发展</w:t>
            </w:r>
          </w:p>
        </w:tc>
        <w:tc>
          <w:tcPr>
            <w:tcW w:w="6057" w:type="dxa"/>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08" w:type="dxa"/>
            <w:noWrap w:val="0"/>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3</w:t>
            </w:r>
          </w:p>
        </w:tc>
        <w:tc>
          <w:tcPr>
            <w:tcW w:w="2863" w:type="dxa"/>
            <w:noWrap w:val="0"/>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政府采购促进残疾人就业</w:t>
            </w:r>
          </w:p>
        </w:tc>
        <w:tc>
          <w:tcPr>
            <w:tcW w:w="6057" w:type="dxa"/>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08" w:type="dxa"/>
            <w:noWrap w:val="0"/>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4</w:t>
            </w:r>
          </w:p>
        </w:tc>
        <w:tc>
          <w:tcPr>
            <w:tcW w:w="2863" w:type="dxa"/>
            <w:noWrap w:val="0"/>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政府强制采购节能产品</w:t>
            </w:r>
          </w:p>
        </w:tc>
        <w:tc>
          <w:tcPr>
            <w:tcW w:w="6057" w:type="dxa"/>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08" w:type="dxa"/>
            <w:noWrap w:val="0"/>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5</w:t>
            </w:r>
          </w:p>
        </w:tc>
        <w:tc>
          <w:tcPr>
            <w:tcW w:w="2863" w:type="dxa"/>
            <w:noWrap w:val="0"/>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政府优先采购节能、环保产品</w:t>
            </w:r>
          </w:p>
        </w:tc>
        <w:tc>
          <w:tcPr>
            <w:tcW w:w="6057" w:type="dxa"/>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提供材料详见招标文件第六章“商务文件”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08" w:type="dxa"/>
            <w:noWrap w:val="0"/>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6</w:t>
            </w:r>
          </w:p>
        </w:tc>
        <w:tc>
          <w:tcPr>
            <w:tcW w:w="2863" w:type="dxa"/>
            <w:noWrap w:val="0"/>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政府采购进口产品</w:t>
            </w:r>
          </w:p>
        </w:tc>
        <w:tc>
          <w:tcPr>
            <w:tcW w:w="6057" w:type="dxa"/>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不</w:t>
            </w:r>
            <w:r>
              <w:rPr>
                <w:rFonts w:hint="eastAsia" w:ascii="宋体" w:hAnsi="宋体" w:cs="宋体"/>
                <w:color w:val="auto"/>
                <w:sz w:val="21"/>
                <w:szCs w:val="21"/>
                <w:highlight w:val="none"/>
              </w:rPr>
              <w:t>允许采购进口产品</w:t>
            </w:r>
          </w:p>
        </w:tc>
      </w:tr>
    </w:tbl>
    <w:p>
      <w:pPr>
        <w:spacing w:line="288" w:lineRule="auto"/>
        <w:rPr>
          <w:rFonts w:hint="eastAsia" w:ascii="宋体" w:hAnsi="宋体"/>
          <w:b/>
          <w:color w:val="auto"/>
          <w:sz w:val="24"/>
          <w:highlight w:val="none"/>
        </w:rPr>
      </w:pPr>
    </w:p>
    <w:p>
      <w:pPr>
        <w:spacing w:line="288" w:lineRule="auto"/>
        <w:rPr>
          <w:rFonts w:hint="eastAsia" w:ascii="宋体" w:hAnsi="宋体"/>
          <w:b/>
          <w:color w:val="auto"/>
          <w:sz w:val="24"/>
          <w:highlight w:val="none"/>
        </w:rPr>
      </w:pPr>
      <w:r>
        <w:rPr>
          <w:rFonts w:hint="eastAsia" w:ascii="宋体" w:hAnsi="宋体"/>
          <w:b/>
          <w:color w:val="auto"/>
          <w:sz w:val="24"/>
          <w:highlight w:val="none"/>
        </w:rPr>
        <w:t>二、采购资金的支付方式、时间、条件：</w:t>
      </w:r>
    </w:p>
    <w:tbl>
      <w:tblPr>
        <w:tblStyle w:val="22"/>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27"/>
        <w:gridCol w:w="737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2127"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hint="eastAsia" w:ascii="宋体" w:hAnsi="宋体" w:eastAsia="宋体"/>
                <w:b/>
                <w:color w:val="auto"/>
                <w:spacing w:val="-6"/>
                <w:sz w:val="21"/>
                <w:szCs w:val="21"/>
                <w:highlight w:val="none"/>
                <w:lang w:eastAsia="zh-CN"/>
              </w:rPr>
            </w:pPr>
            <w:r>
              <w:rPr>
                <w:rFonts w:hint="eastAsia" w:ascii="宋体" w:hAnsi="宋体"/>
                <w:b/>
                <w:color w:val="auto"/>
                <w:spacing w:val="-6"/>
                <w:sz w:val="21"/>
                <w:szCs w:val="21"/>
                <w:highlight w:val="none"/>
                <w:lang w:eastAsia="zh-CN"/>
              </w:rPr>
              <w:t>履约保证金</w:t>
            </w:r>
          </w:p>
        </w:tc>
        <w:tc>
          <w:tcPr>
            <w:tcW w:w="7371" w:type="dxa"/>
            <w:tcBorders>
              <w:top w:val="single" w:color="auto" w:sz="4" w:space="0"/>
              <w:left w:val="single" w:color="auto" w:sz="4" w:space="0"/>
              <w:bottom w:val="single" w:color="auto" w:sz="4" w:space="0"/>
              <w:right w:val="single" w:color="auto" w:sz="4" w:space="0"/>
            </w:tcBorders>
            <w:noWrap w:val="0"/>
            <w:vAlign w:val="center"/>
          </w:tcPr>
          <w:p>
            <w:pPr>
              <w:spacing w:line="288" w:lineRule="auto"/>
              <w:rPr>
                <w:rFonts w:hint="eastAsia" w:ascii="宋体" w:hAnsi="宋体"/>
                <w:color w:val="auto"/>
                <w:spacing w:val="-6"/>
                <w:sz w:val="21"/>
                <w:szCs w:val="21"/>
                <w:highlight w:val="none"/>
              </w:rPr>
            </w:pPr>
            <w:r>
              <w:rPr>
                <w:rFonts w:hint="eastAsia" w:ascii="宋体" w:hAnsi="宋体"/>
                <w:color w:val="auto"/>
                <w:spacing w:val="-6"/>
                <w:sz w:val="21"/>
                <w:szCs w:val="21"/>
                <w:highlight w:val="none"/>
              </w:rPr>
              <w:t>1.合同签订后一周内，中标人向采购人提交合同金额5%的</w:t>
            </w:r>
            <w:r>
              <w:rPr>
                <w:rFonts w:hint="eastAsia" w:ascii="宋体" w:hAnsi="宋体"/>
                <w:color w:val="auto"/>
                <w:spacing w:val="-6"/>
                <w:sz w:val="21"/>
                <w:szCs w:val="21"/>
                <w:highlight w:val="none"/>
                <w:lang w:eastAsia="zh-CN"/>
              </w:rPr>
              <w:t>履约保证金</w:t>
            </w:r>
            <w:r>
              <w:rPr>
                <w:rFonts w:hint="eastAsia" w:ascii="宋体" w:hAnsi="宋体"/>
                <w:color w:val="auto"/>
                <w:spacing w:val="-6"/>
                <w:sz w:val="21"/>
                <w:szCs w:val="21"/>
                <w:highlight w:val="none"/>
              </w:rPr>
              <w:t>，</w:t>
            </w:r>
            <w:r>
              <w:rPr>
                <w:rFonts w:hint="eastAsia" w:ascii="宋体" w:hAnsi="宋体"/>
                <w:color w:val="auto"/>
                <w:spacing w:val="-6"/>
                <w:sz w:val="21"/>
                <w:szCs w:val="21"/>
                <w:highlight w:val="none"/>
                <w:lang w:eastAsia="zh-CN"/>
              </w:rPr>
              <w:t>履约保证金</w:t>
            </w:r>
            <w:r>
              <w:rPr>
                <w:rFonts w:hint="eastAsia" w:ascii="宋体" w:hAnsi="宋体"/>
                <w:color w:val="auto"/>
                <w:spacing w:val="-6"/>
                <w:sz w:val="21"/>
                <w:szCs w:val="21"/>
                <w:highlight w:val="none"/>
              </w:rPr>
              <w:t>在质保期内无质量问题和维护问题，质保期满后，于一周内退还（不计息）；</w:t>
            </w:r>
          </w:p>
          <w:p>
            <w:pPr>
              <w:spacing w:line="288" w:lineRule="auto"/>
              <w:rPr>
                <w:rFonts w:hint="eastAsia" w:ascii="宋体" w:hAnsi="宋体"/>
                <w:color w:val="auto"/>
                <w:spacing w:val="-6"/>
                <w:sz w:val="21"/>
                <w:szCs w:val="21"/>
                <w:highlight w:val="none"/>
              </w:rPr>
            </w:pPr>
            <w:r>
              <w:rPr>
                <w:rFonts w:hint="eastAsia" w:ascii="宋体" w:hAnsi="宋体"/>
                <w:color w:val="auto"/>
                <w:spacing w:val="-6"/>
                <w:sz w:val="21"/>
                <w:szCs w:val="21"/>
                <w:highlight w:val="none"/>
              </w:rPr>
              <w:t>2.提交方式：支票、汇票、本票或者金融机构、担保机构出具的保函等非现金形式。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212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288" w:lineRule="auto"/>
              <w:ind w:left="0" w:leftChars="0" w:right="0" w:rightChars="0"/>
              <w:jc w:val="center"/>
              <w:rPr>
                <w:rFonts w:hint="eastAsia" w:ascii="宋体" w:hAnsi="宋体"/>
                <w:b/>
                <w:color w:val="auto"/>
                <w:spacing w:val="-6"/>
                <w:sz w:val="21"/>
                <w:szCs w:val="21"/>
                <w:highlight w:val="none"/>
                <w:lang w:eastAsia="zh-CN"/>
              </w:rPr>
            </w:pPr>
            <w:r>
              <w:rPr>
                <w:rFonts w:hint="eastAsia" w:ascii="宋体" w:hAnsi="宋体" w:eastAsia="宋体" w:cs="宋体"/>
                <w:b/>
                <w:color w:val="auto"/>
                <w:spacing w:val="-6"/>
                <w:kern w:val="2"/>
                <w:sz w:val="21"/>
                <w:szCs w:val="21"/>
                <w:highlight w:val="none"/>
                <w:lang w:val="en-US" w:eastAsia="zh-CN" w:bidi="ar"/>
              </w:rPr>
              <w:t>预付款</w:t>
            </w:r>
          </w:p>
        </w:tc>
        <w:tc>
          <w:tcPr>
            <w:tcW w:w="73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288" w:lineRule="auto"/>
              <w:ind w:left="0" w:leftChars="0" w:right="0" w:rightChars="0"/>
              <w:jc w:val="both"/>
              <w:rPr>
                <w:rFonts w:hint="eastAsia" w:ascii="宋体" w:hAnsi="宋体"/>
                <w:color w:val="auto"/>
                <w:spacing w:val="-6"/>
                <w:sz w:val="21"/>
                <w:szCs w:val="21"/>
                <w:highlight w:val="none"/>
              </w:rPr>
            </w:pPr>
            <w:r>
              <w:rPr>
                <w:rFonts w:hint="eastAsia" w:ascii="宋体" w:hAnsi="宋体" w:eastAsia="宋体" w:cs="宋体"/>
                <w:color w:val="auto"/>
                <w:spacing w:val="-6"/>
                <w:kern w:val="2"/>
                <w:sz w:val="21"/>
                <w:szCs w:val="21"/>
                <w:highlight w:val="none"/>
                <w:lang w:val="en-US" w:eastAsia="zh-CN" w:bidi="ar"/>
              </w:rPr>
              <w:t>1.支付条件：供应商提交银行、保险公司等金融机构出具的预付款保函；</w:t>
            </w:r>
            <w:r>
              <w:rPr>
                <w:rFonts w:hint="eastAsia" w:ascii="宋体" w:hAnsi="宋体" w:eastAsia="宋体" w:cs="宋体"/>
                <w:color w:val="auto"/>
                <w:spacing w:val="-6"/>
                <w:kern w:val="2"/>
                <w:sz w:val="21"/>
                <w:szCs w:val="21"/>
                <w:highlight w:val="none"/>
                <w:lang w:val="en-US" w:eastAsia="zh-CN" w:bidi="ar"/>
              </w:rPr>
              <w:br w:type="textWrapping"/>
            </w:r>
            <w:r>
              <w:rPr>
                <w:rFonts w:hint="eastAsia" w:ascii="宋体" w:hAnsi="宋体" w:eastAsia="宋体" w:cs="宋体"/>
                <w:color w:val="auto"/>
                <w:spacing w:val="-6"/>
                <w:kern w:val="2"/>
                <w:sz w:val="21"/>
                <w:szCs w:val="21"/>
                <w:highlight w:val="none"/>
                <w:lang w:val="en-US" w:eastAsia="zh-CN" w:bidi="ar"/>
              </w:rPr>
              <w:t>2.支付时间、数额：合同生效并具备实施条件后15日内，采购人向成交供应商支付合同金额30%的预付款。</w:t>
            </w:r>
            <w:r>
              <w:rPr>
                <w:rFonts w:hint="eastAsia" w:ascii="宋体" w:hAnsi="宋体" w:eastAsia="宋体" w:cs="宋体"/>
                <w:color w:val="auto"/>
                <w:spacing w:val="-6"/>
                <w:kern w:val="2"/>
                <w:sz w:val="21"/>
                <w:szCs w:val="21"/>
                <w:highlight w:val="none"/>
                <w:lang w:val="en-US" w:eastAsia="zh-CN" w:bidi="ar"/>
              </w:rPr>
              <w:br w:type="textWrapping"/>
            </w:r>
            <w:r>
              <w:rPr>
                <w:rFonts w:hint="eastAsia" w:ascii="宋体" w:hAnsi="宋体" w:eastAsia="宋体" w:cs="宋体"/>
                <w:color w:val="auto"/>
                <w:spacing w:val="-6"/>
                <w:kern w:val="2"/>
                <w:sz w:val="21"/>
                <w:szCs w:val="21"/>
                <w:highlight w:val="none"/>
                <w:lang w:val="en-US" w:eastAsia="zh-CN" w:bidi="ar"/>
              </w:rPr>
              <w:t>备注：签订合同时，供应商明确表示无需预付款或者主动要求降低预付款比例的，采购单位可不适用前述规定。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2127"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hAnsi="宋体"/>
                <w:b/>
                <w:color w:val="auto"/>
                <w:spacing w:val="-6"/>
                <w:sz w:val="21"/>
                <w:szCs w:val="21"/>
                <w:highlight w:val="none"/>
              </w:rPr>
            </w:pPr>
            <w:r>
              <w:rPr>
                <w:rFonts w:hint="eastAsia" w:ascii="宋体" w:hAnsi="宋体"/>
                <w:b/>
                <w:color w:val="auto"/>
                <w:spacing w:val="-6"/>
                <w:sz w:val="21"/>
                <w:szCs w:val="21"/>
                <w:highlight w:val="none"/>
              </w:rPr>
              <w:t>付款方式</w:t>
            </w:r>
          </w:p>
        </w:tc>
        <w:tc>
          <w:tcPr>
            <w:tcW w:w="7371" w:type="dxa"/>
            <w:tcBorders>
              <w:top w:val="single" w:color="auto" w:sz="4" w:space="0"/>
              <w:left w:val="single" w:color="auto" w:sz="4" w:space="0"/>
              <w:bottom w:val="single" w:color="auto" w:sz="4" w:space="0"/>
              <w:right w:val="single" w:color="auto" w:sz="4" w:space="0"/>
            </w:tcBorders>
            <w:noWrap w:val="0"/>
            <w:vAlign w:val="center"/>
          </w:tcPr>
          <w:p>
            <w:pPr>
              <w:spacing w:line="288" w:lineRule="auto"/>
              <w:rPr>
                <w:rFonts w:hint="eastAsia" w:ascii="宋体" w:hAnsi="宋体"/>
                <w:color w:val="auto"/>
                <w:spacing w:val="-6"/>
                <w:sz w:val="21"/>
                <w:szCs w:val="21"/>
                <w:highlight w:val="none"/>
              </w:rPr>
            </w:pPr>
            <w:r>
              <w:rPr>
                <w:rFonts w:hint="eastAsia" w:ascii="宋体" w:hAnsi="宋体"/>
                <w:color w:val="auto"/>
                <w:spacing w:val="-6"/>
                <w:sz w:val="21"/>
                <w:szCs w:val="21"/>
                <w:highlight w:val="none"/>
              </w:rPr>
              <w:t>货物送达指定地点，经采购人验收合格且中标人已提交履约保证金的，采购人向中标人支付</w:t>
            </w:r>
            <w:r>
              <w:rPr>
                <w:rFonts w:hint="eastAsia" w:ascii="宋体" w:hAnsi="宋体"/>
                <w:color w:val="auto"/>
                <w:spacing w:val="-6"/>
                <w:sz w:val="21"/>
                <w:szCs w:val="21"/>
                <w:highlight w:val="none"/>
                <w:lang w:val="en-US" w:eastAsia="zh-CN"/>
              </w:rPr>
              <w:t>至</w:t>
            </w:r>
            <w:r>
              <w:rPr>
                <w:rFonts w:hint="eastAsia" w:ascii="宋体" w:hAnsi="宋体"/>
                <w:color w:val="auto"/>
                <w:spacing w:val="-6"/>
                <w:sz w:val="21"/>
                <w:szCs w:val="21"/>
                <w:highlight w:val="none"/>
              </w:rPr>
              <w:t>合同总价的100%。</w:t>
            </w:r>
          </w:p>
        </w:tc>
      </w:tr>
    </w:tbl>
    <w:p>
      <w:pPr>
        <w:spacing w:line="288" w:lineRule="auto"/>
        <w:rPr>
          <w:rFonts w:hint="eastAsia" w:ascii="宋体" w:hAnsi="宋体"/>
          <w:b/>
          <w:color w:val="auto"/>
          <w:sz w:val="24"/>
          <w:highlight w:val="none"/>
        </w:rPr>
      </w:pPr>
    </w:p>
    <w:p>
      <w:pPr>
        <w:pStyle w:val="2"/>
        <w:spacing w:line="288" w:lineRule="auto"/>
        <w:ind w:firstLine="0"/>
        <w:rPr>
          <w:rFonts w:hint="eastAsia"/>
          <w:color w:val="auto"/>
          <w:highlight w:val="none"/>
        </w:rPr>
      </w:pPr>
    </w:p>
    <w:p>
      <w:pPr>
        <w:spacing w:line="288" w:lineRule="auto"/>
        <w:rPr>
          <w:rFonts w:ascii="宋体" w:hAnsi="宋体"/>
          <w:b/>
          <w:color w:val="auto"/>
          <w:sz w:val="24"/>
          <w:highlight w:val="none"/>
        </w:rPr>
      </w:pPr>
      <w:r>
        <w:rPr>
          <w:rFonts w:hint="eastAsia" w:ascii="宋体" w:hAnsi="宋体"/>
          <w:b/>
          <w:color w:val="auto"/>
          <w:sz w:val="24"/>
          <w:highlight w:val="none"/>
        </w:rPr>
        <w:t>三</w:t>
      </w:r>
      <w:r>
        <w:rPr>
          <w:rFonts w:ascii="宋体" w:hAnsi="宋体"/>
          <w:b/>
          <w:color w:val="auto"/>
          <w:sz w:val="24"/>
          <w:highlight w:val="none"/>
        </w:rPr>
        <w:t>、</w:t>
      </w:r>
      <w:r>
        <w:rPr>
          <w:rFonts w:hint="eastAsia" w:ascii="宋体" w:hAnsi="宋体"/>
          <w:b/>
          <w:color w:val="auto"/>
          <w:sz w:val="24"/>
          <w:highlight w:val="none"/>
        </w:rPr>
        <w:t>服务</w:t>
      </w:r>
      <w:r>
        <w:rPr>
          <w:rFonts w:ascii="宋体" w:hAnsi="宋体"/>
          <w:b/>
          <w:color w:val="auto"/>
          <w:sz w:val="24"/>
          <w:highlight w:val="none"/>
        </w:rPr>
        <w:t>要求</w:t>
      </w:r>
      <w:r>
        <w:rPr>
          <w:rFonts w:hint="eastAsia" w:ascii="宋体" w:hAnsi="宋体"/>
          <w:b/>
          <w:color w:val="auto"/>
          <w:spacing w:val="-6"/>
          <w:sz w:val="24"/>
          <w:highlight w:val="none"/>
        </w:rPr>
        <w:t>（技术要求里另有注明的以技术要求为准）</w:t>
      </w:r>
      <w:r>
        <w:rPr>
          <w:rFonts w:ascii="宋体" w:hAnsi="宋体"/>
          <w:b/>
          <w:color w:val="auto"/>
          <w:sz w:val="24"/>
          <w:highlight w:val="none"/>
        </w:rPr>
        <w:t>：</w:t>
      </w:r>
    </w:p>
    <w:tbl>
      <w:tblPr>
        <w:tblStyle w:val="22"/>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35"/>
        <w:gridCol w:w="759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03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质保期</w:t>
            </w:r>
          </w:p>
        </w:tc>
        <w:tc>
          <w:tcPr>
            <w:tcW w:w="7593" w:type="dxa"/>
            <w:tcBorders>
              <w:top w:val="single" w:color="auto" w:sz="4" w:space="0"/>
              <w:left w:val="single" w:color="auto" w:sz="4" w:space="0"/>
              <w:bottom w:val="single" w:color="auto" w:sz="4" w:space="0"/>
              <w:right w:val="single" w:color="auto" w:sz="4" w:space="0"/>
            </w:tcBorders>
            <w:noWrap w:val="0"/>
            <w:vAlign w:val="center"/>
          </w:tcPr>
          <w:p>
            <w:pPr>
              <w:spacing w:line="288" w:lineRule="auto"/>
              <w:rPr>
                <w:rFonts w:hint="eastAsia" w:ascii="宋体" w:hAnsi="宋体"/>
                <w:color w:val="auto"/>
                <w:spacing w:val="-6"/>
                <w:kern w:val="2"/>
                <w:sz w:val="21"/>
                <w:szCs w:val="21"/>
                <w:highlight w:val="none"/>
                <w:lang w:val="en-US" w:eastAsia="zh-CN" w:bidi="ar-SA"/>
              </w:rPr>
            </w:pPr>
            <w:r>
              <w:rPr>
                <w:rFonts w:hint="eastAsia" w:ascii="宋体" w:hAnsi="宋体"/>
                <w:color w:val="auto"/>
                <w:spacing w:val="-6"/>
                <w:sz w:val="21"/>
                <w:szCs w:val="21"/>
                <w:highlight w:val="none"/>
                <w:lang w:val="en-US" w:eastAsia="zh-CN"/>
              </w:rPr>
              <w:t>3</w:t>
            </w:r>
            <w:r>
              <w:rPr>
                <w:rFonts w:hint="eastAsia" w:ascii="宋体" w:hAnsi="宋体"/>
                <w:color w:val="auto"/>
                <w:spacing w:val="-6"/>
                <w:sz w:val="21"/>
                <w:szCs w:val="21"/>
                <w:highlight w:val="none"/>
              </w:rPr>
              <w:t>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03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服务标准</w:t>
            </w:r>
          </w:p>
        </w:tc>
        <w:tc>
          <w:tcPr>
            <w:tcW w:w="7593" w:type="dxa"/>
            <w:tcBorders>
              <w:top w:val="single" w:color="auto" w:sz="4" w:space="0"/>
              <w:left w:val="single" w:color="auto" w:sz="4" w:space="0"/>
              <w:bottom w:val="single" w:color="auto" w:sz="4" w:space="0"/>
              <w:right w:val="single" w:color="auto" w:sz="4" w:space="0"/>
            </w:tcBorders>
            <w:noWrap w:val="0"/>
            <w:vAlign w:val="center"/>
          </w:tcPr>
          <w:p>
            <w:pPr>
              <w:spacing w:line="288" w:lineRule="auto"/>
              <w:rPr>
                <w:rFonts w:hint="eastAsia" w:ascii="宋体" w:hAnsi="宋体"/>
                <w:color w:val="auto"/>
                <w:spacing w:val="-6"/>
                <w:kern w:val="2"/>
                <w:sz w:val="21"/>
                <w:szCs w:val="21"/>
                <w:highlight w:val="none"/>
                <w:lang w:val="en-US" w:eastAsia="zh-CN" w:bidi="ar-SA"/>
              </w:rPr>
            </w:pPr>
            <w:r>
              <w:rPr>
                <w:rFonts w:hint="eastAsia" w:ascii="宋体" w:hAnsi="宋体"/>
                <w:color w:val="auto"/>
                <w:sz w:val="21"/>
                <w:szCs w:val="21"/>
                <w:highlight w:val="none"/>
              </w:rPr>
              <w:t>质保期内因不能排除的故障而影响工作的情况每发生一次，其质保期相应延长60天，质保期内因货物本身缺陷造成各种故障应由中标人免费予以更换，否则将扣除</w:t>
            </w:r>
            <w:r>
              <w:rPr>
                <w:rFonts w:hint="eastAsia" w:ascii="宋体" w:hAnsi="宋体"/>
                <w:color w:val="auto"/>
                <w:sz w:val="21"/>
                <w:szCs w:val="21"/>
                <w:highlight w:val="none"/>
                <w:lang w:eastAsia="zh-CN"/>
              </w:rPr>
              <w:t>履约保证金</w:t>
            </w:r>
            <w:r>
              <w:rPr>
                <w:rFonts w:hint="eastAsia" w:ascii="宋体" w:hAnsi="宋体"/>
                <w:color w:val="auto"/>
                <w:sz w:val="21"/>
                <w:szCs w:val="21"/>
                <w:highlight w:val="none"/>
              </w:rPr>
              <w:t>作为对采购人的补偿。质保期满后，仅收取零配件成本费用，免人工费、差旅费，所涉及软件终身免费升级。</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03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服务效率</w:t>
            </w:r>
          </w:p>
        </w:tc>
        <w:tc>
          <w:tcPr>
            <w:tcW w:w="7593" w:type="dxa"/>
            <w:tcBorders>
              <w:top w:val="single" w:color="auto" w:sz="4" w:space="0"/>
              <w:left w:val="single" w:color="auto" w:sz="4" w:space="0"/>
              <w:bottom w:val="single" w:color="auto" w:sz="4" w:space="0"/>
              <w:right w:val="single" w:color="auto" w:sz="4" w:space="0"/>
            </w:tcBorders>
            <w:noWrap w:val="0"/>
            <w:vAlign w:val="center"/>
          </w:tcPr>
          <w:p>
            <w:pPr>
              <w:spacing w:line="288" w:lineRule="auto"/>
              <w:rPr>
                <w:rFonts w:hint="eastAsia" w:ascii="宋体" w:hAnsi="宋体"/>
                <w:color w:val="auto"/>
                <w:kern w:val="2"/>
                <w:sz w:val="21"/>
                <w:szCs w:val="21"/>
                <w:highlight w:val="none"/>
                <w:lang w:val="en-US" w:eastAsia="zh-CN" w:bidi="ar-SA"/>
              </w:rPr>
            </w:pPr>
            <w:r>
              <w:rPr>
                <w:rFonts w:hint="eastAsia" w:ascii="宋体" w:hAnsi="宋体"/>
                <w:color w:val="auto"/>
                <w:sz w:val="21"/>
                <w:szCs w:val="21"/>
                <w:highlight w:val="none"/>
              </w:rPr>
              <w:t>合同货物出现故障后，中标人接到采购人通知应在不超过2小时内做出响应，不超过2个工作日内解决故障。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03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交付时间和地点</w:t>
            </w:r>
          </w:p>
        </w:tc>
        <w:tc>
          <w:tcPr>
            <w:tcW w:w="7593" w:type="dxa"/>
            <w:tcBorders>
              <w:top w:val="single" w:color="auto" w:sz="4" w:space="0"/>
              <w:left w:val="single" w:color="auto" w:sz="4" w:space="0"/>
              <w:bottom w:val="single" w:color="auto" w:sz="4" w:space="0"/>
              <w:right w:val="single" w:color="auto" w:sz="4" w:space="0"/>
            </w:tcBorders>
            <w:noWrap w:val="0"/>
            <w:vAlign w:val="center"/>
          </w:tcPr>
          <w:p>
            <w:pPr>
              <w:spacing w:line="288" w:lineRule="auto"/>
              <w:rPr>
                <w:rFonts w:hint="eastAsia" w:ascii="宋体" w:hAnsi="宋体"/>
                <w:color w:val="auto"/>
                <w:spacing w:val="-6"/>
                <w:sz w:val="21"/>
                <w:szCs w:val="21"/>
                <w:highlight w:val="none"/>
              </w:rPr>
            </w:pPr>
            <w:r>
              <w:rPr>
                <w:rFonts w:hint="eastAsia" w:ascii="宋体" w:hAnsi="宋体"/>
                <w:color w:val="auto"/>
                <w:spacing w:val="-6"/>
                <w:sz w:val="21"/>
                <w:szCs w:val="21"/>
                <w:highlight w:val="none"/>
              </w:rPr>
              <w:t>交付时间：合同签订后</w:t>
            </w:r>
            <w:r>
              <w:rPr>
                <w:rFonts w:hint="eastAsia" w:ascii="宋体" w:hAnsi="宋体"/>
                <w:color w:val="auto"/>
                <w:spacing w:val="-6"/>
                <w:sz w:val="21"/>
                <w:szCs w:val="21"/>
                <w:highlight w:val="none"/>
                <w:lang w:val="en-US" w:eastAsia="zh-CN"/>
              </w:rPr>
              <w:t>6个月</w:t>
            </w:r>
            <w:r>
              <w:rPr>
                <w:rFonts w:hint="eastAsia" w:ascii="宋体" w:hAnsi="宋体"/>
                <w:color w:val="auto"/>
                <w:spacing w:val="-6"/>
                <w:sz w:val="21"/>
                <w:szCs w:val="21"/>
                <w:highlight w:val="none"/>
              </w:rPr>
              <w:t>内交付并</w:t>
            </w:r>
            <w:r>
              <w:rPr>
                <w:rFonts w:ascii="宋体" w:hAnsi="宋体"/>
                <w:color w:val="auto"/>
                <w:spacing w:val="-6"/>
                <w:sz w:val="21"/>
                <w:szCs w:val="21"/>
                <w:highlight w:val="none"/>
              </w:rPr>
              <w:t>安装完毕。</w:t>
            </w:r>
          </w:p>
          <w:p>
            <w:pPr>
              <w:spacing w:line="288" w:lineRule="auto"/>
              <w:rPr>
                <w:rFonts w:hint="eastAsia" w:ascii="宋体" w:hAnsi="宋体"/>
                <w:color w:val="auto"/>
                <w:spacing w:val="-6"/>
                <w:kern w:val="2"/>
                <w:sz w:val="21"/>
                <w:szCs w:val="21"/>
                <w:highlight w:val="none"/>
                <w:lang w:val="en-US" w:eastAsia="zh-CN" w:bidi="ar-SA"/>
              </w:rPr>
            </w:pPr>
            <w:r>
              <w:rPr>
                <w:rFonts w:hint="eastAsia" w:ascii="宋体" w:hAnsi="宋体"/>
                <w:color w:val="auto"/>
                <w:spacing w:val="-6"/>
                <w:sz w:val="21"/>
                <w:szCs w:val="21"/>
                <w:highlight w:val="none"/>
              </w:rPr>
              <w:t>交货地点：采购人指定地点。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03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验收标准</w:t>
            </w:r>
          </w:p>
        </w:tc>
        <w:tc>
          <w:tcPr>
            <w:tcW w:w="7593" w:type="dxa"/>
            <w:tcBorders>
              <w:top w:val="single" w:color="auto" w:sz="4" w:space="0"/>
              <w:left w:val="single" w:color="auto" w:sz="4" w:space="0"/>
              <w:bottom w:val="single" w:color="auto" w:sz="4" w:space="0"/>
              <w:right w:val="single" w:color="auto" w:sz="4" w:space="0"/>
            </w:tcBorders>
            <w:noWrap w:val="0"/>
            <w:vAlign w:val="center"/>
          </w:tcPr>
          <w:p>
            <w:pPr>
              <w:spacing w:line="288" w:lineRule="auto"/>
              <w:rPr>
                <w:rFonts w:hint="eastAsia" w:ascii="宋体" w:hAnsi="宋体"/>
                <w:color w:val="auto"/>
                <w:sz w:val="21"/>
                <w:szCs w:val="21"/>
                <w:highlight w:val="none"/>
              </w:rPr>
            </w:pPr>
            <w:r>
              <w:rPr>
                <w:rFonts w:hint="eastAsia" w:ascii="宋体" w:hAnsi="宋体"/>
                <w:color w:val="auto"/>
                <w:sz w:val="21"/>
                <w:szCs w:val="21"/>
                <w:highlight w:val="none"/>
              </w:rPr>
              <w:t>1</w:t>
            </w:r>
            <w:r>
              <w:rPr>
                <w:rFonts w:ascii="宋体" w:hAnsi="宋体"/>
                <w:color w:val="auto"/>
                <w:sz w:val="21"/>
                <w:szCs w:val="21"/>
                <w:highlight w:val="none"/>
              </w:rPr>
              <w:t>.</w:t>
            </w:r>
            <w:r>
              <w:rPr>
                <w:rFonts w:hint="eastAsia" w:ascii="宋体" w:hAnsi="宋体"/>
                <w:color w:val="auto"/>
                <w:sz w:val="21"/>
                <w:szCs w:val="21"/>
                <w:highlight w:val="none"/>
              </w:rPr>
              <w:t>中标人应提供合同货物的有效检验文件，经采购人认可后，与合同的性能指标一起作为合同货物验收标准。采购人对样品（如有）验收合格后，双方共同签署验收样品合格证书，在合同期限内采购人将对中标人提供的货物进行抽检验收，验收中发现合同货物达不到样品验收标准或合同规定的性能指标，中标人必须更换合同货物，并负担由此给采购人造成的损失，直到验收合格为止。</w:t>
            </w:r>
          </w:p>
          <w:p>
            <w:pPr>
              <w:spacing w:line="288" w:lineRule="auto"/>
              <w:rPr>
                <w:rFonts w:hint="eastAsia" w:ascii="宋体" w:hAnsi="宋体"/>
                <w:color w:val="auto"/>
                <w:sz w:val="21"/>
                <w:szCs w:val="21"/>
                <w:highlight w:val="none"/>
              </w:rPr>
            </w:pPr>
            <w:r>
              <w:rPr>
                <w:rFonts w:hint="eastAsia" w:ascii="宋体" w:hAnsi="宋体"/>
                <w:color w:val="auto"/>
                <w:sz w:val="21"/>
                <w:szCs w:val="21"/>
                <w:highlight w:val="none"/>
              </w:rPr>
              <w:t>2</w:t>
            </w:r>
            <w:r>
              <w:rPr>
                <w:rFonts w:ascii="宋体" w:hAnsi="宋体"/>
                <w:color w:val="auto"/>
                <w:sz w:val="21"/>
                <w:szCs w:val="21"/>
                <w:highlight w:val="none"/>
              </w:rPr>
              <w:t>.</w:t>
            </w:r>
            <w:r>
              <w:rPr>
                <w:rFonts w:hint="eastAsia" w:ascii="宋体" w:hAnsi="宋体"/>
                <w:color w:val="auto"/>
                <w:sz w:val="21"/>
                <w:szCs w:val="21"/>
                <w:highlight w:val="none"/>
              </w:rPr>
              <w:t>投标人应于投标文件中提供合同货物的验收标准和检测办法，并在验收中提供采购人认可的相应检测手段，验收标准应符合中国有关的国家、地方、行业的标准，如若中标，经采购人确认后作为验收的依据。</w:t>
            </w:r>
          </w:p>
          <w:p>
            <w:pPr>
              <w:spacing w:line="288" w:lineRule="auto"/>
              <w:rPr>
                <w:rFonts w:hint="eastAsia" w:ascii="宋体" w:hAnsi="宋体"/>
                <w:color w:val="auto"/>
                <w:sz w:val="21"/>
                <w:szCs w:val="21"/>
                <w:highlight w:val="none"/>
              </w:rPr>
            </w:pPr>
            <w:r>
              <w:rPr>
                <w:rFonts w:hint="eastAsia" w:ascii="宋体" w:hAnsi="宋体"/>
                <w:color w:val="auto"/>
                <w:sz w:val="21"/>
                <w:szCs w:val="21"/>
                <w:highlight w:val="none"/>
              </w:rPr>
              <w:t>3</w:t>
            </w:r>
            <w:r>
              <w:rPr>
                <w:rFonts w:ascii="宋体" w:hAnsi="宋体"/>
                <w:color w:val="auto"/>
                <w:sz w:val="21"/>
                <w:szCs w:val="21"/>
                <w:highlight w:val="none"/>
              </w:rPr>
              <w:t>.</w:t>
            </w:r>
            <w:r>
              <w:rPr>
                <w:rFonts w:hint="eastAsia" w:ascii="宋体" w:hAnsi="宋体"/>
                <w:color w:val="auto"/>
                <w:sz w:val="21"/>
                <w:szCs w:val="21"/>
                <w:highlight w:val="none"/>
              </w:rPr>
              <w:t>如中标人委托国内代理（或其他机构）负责安装或配合安装，应在签约时指明，但中标人仍要对合同货物及其安装质量负全部责任。</w:t>
            </w:r>
          </w:p>
          <w:p>
            <w:pPr>
              <w:spacing w:line="288" w:lineRule="auto"/>
              <w:rPr>
                <w:rFonts w:hint="eastAsia" w:ascii="宋体" w:hAnsi="宋体"/>
                <w:color w:val="auto"/>
                <w:kern w:val="2"/>
                <w:sz w:val="21"/>
                <w:szCs w:val="21"/>
                <w:highlight w:val="none"/>
                <w:lang w:val="en-US" w:eastAsia="zh-CN" w:bidi="ar-SA"/>
              </w:rPr>
            </w:pPr>
            <w:r>
              <w:rPr>
                <w:rFonts w:hint="eastAsia" w:ascii="宋体" w:hAnsi="宋体"/>
                <w:color w:val="auto"/>
                <w:sz w:val="21"/>
                <w:szCs w:val="21"/>
                <w:highlight w:val="none"/>
              </w:rPr>
              <w:t>4</w:t>
            </w:r>
            <w:r>
              <w:rPr>
                <w:rFonts w:ascii="宋体" w:hAnsi="宋体"/>
                <w:color w:val="auto"/>
                <w:sz w:val="21"/>
                <w:szCs w:val="21"/>
                <w:highlight w:val="none"/>
              </w:rPr>
              <w:t>.</w:t>
            </w:r>
            <w:r>
              <w:rPr>
                <w:rFonts w:hint="eastAsia" w:ascii="宋体" w:hAnsi="宋体"/>
                <w:color w:val="auto"/>
                <w:sz w:val="21"/>
                <w:szCs w:val="21"/>
                <w:highlight w:val="none"/>
              </w:rPr>
              <w:t>验收费用由中标人承担。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03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其他技术、服务要求</w:t>
            </w:r>
          </w:p>
        </w:tc>
        <w:tc>
          <w:tcPr>
            <w:tcW w:w="7593" w:type="dxa"/>
            <w:tcBorders>
              <w:top w:val="single" w:color="auto" w:sz="4" w:space="0"/>
              <w:left w:val="single" w:color="auto" w:sz="4" w:space="0"/>
              <w:bottom w:val="single" w:color="auto" w:sz="4" w:space="0"/>
              <w:right w:val="single" w:color="auto" w:sz="4" w:space="0"/>
            </w:tcBorders>
            <w:noWrap w:val="0"/>
            <w:vAlign w:val="center"/>
          </w:tcPr>
          <w:p>
            <w:pPr>
              <w:spacing w:line="288" w:lineRule="auto"/>
              <w:rPr>
                <w:rFonts w:ascii="宋体" w:hAnsi="宋体"/>
                <w:color w:val="auto"/>
                <w:sz w:val="21"/>
                <w:szCs w:val="21"/>
                <w:highlight w:val="none"/>
              </w:rPr>
            </w:pPr>
            <w:r>
              <w:rPr>
                <w:rFonts w:hint="eastAsia" w:ascii="宋体" w:hAnsi="宋体"/>
                <w:color w:val="auto"/>
                <w:sz w:val="21"/>
                <w:szCs w:val="21"/>
                <w:highlight w:val="none"/>
              </w:rPr>
              <w:t>1</w:t>
            </w:r>
            <w:r>
              <w:rPr>
                <w:rFonts w:ascii="宋体" w:hAnsi="宋体"/>
                <w:color w:val="auto"/>
                <w:sz w:val="21"/>
                <w:szCs w:val="21"/>
                <w:highlight w:val="none"/>
              </w:rPr>
              <w:t>.</w:t>
            </w:r>
            <w:r>
              <w:rPr>
                <w:rFonts w:hint="eastAsia" w:ascii="宋体" w:hAnsi="宋体"/>
                <w:color w:val="auto"/>
                <w:sz w:val="21"/>
                <w:szCs w:val="21"/>
                <w:highlight w:val="none"/>
              </w:rPr>
              <w:t>培训：</w:t>
            </w:r>
          </w:p>
          <w:p>
            <w:pPr>
              <w:spacing w:line="288" w:lineRule="auto"/>
              <w:rPr>
                <w:rFonts w:ascii="宋体" w:hAnsi="宋体"/>
                <w:color w:val="auto"/>
                <w:sz w:val="21"/>
                <w:szCs w:val="21"/>
                <w:highlight w:val="none"/>
              </w:rPr>
            </w:pPr>
            <w:r>
              <w:rPr>
                <w:rFonts w:hint="eastAsia" w:ascii="宋体" w:hAnsi="宋体"/>
                <w:color w:val="auto"/>
                <w:sz w:val="21"/>
                <w:szCs w:val="21"/>
                <w:highlight w:val="none"/>
              </w:rPr>
              <w:t>1</w:t>
            </w:r>
            <w:r>
              <w:rPr>
                <w:rFonts w:ascii="宋体" w:hAnsi="宋体"/>
                <w:color w:val="auto"/>
                <w:sz w:val="21"/>
                <w:szCs w:val="21"/>
                <w:highlight w:val="none"/>
              </w:rPr>
              <w:t xml:space="preserve">.1 </w:t>
            </w:r>
            <w:r>
              <w:rPr>
                <w:rFonts w:hint="eastAsia" w:ascii="宋体" w:hAnsi="宋体"/>
                <w:color w:val="auto"/>
                <w:sz w:val="21"/>
                <w:szCs w:val="21"/>
                <w:highlight w:val="none"/>
              </w:rPr>
              <w:t>中标人应对采购人的操作人员、维修人员免费进行培训。</w:t>
            </w:r>
          </w:p>
          <w:p>
            <w:pPr>
              <w:spacing w:line="288" w:lineRule="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2</w:t>
            </w:r>
            <w:r>
              <w:rPr>
                <w:rFonts w:ascii="宋体" w:hAnsi="宋体"/>
                <w:color w:val="auto"/>
                <w:sz w:val="21"/>
                <w:szCs w:val="21"/>
                <w:highlight w:val="none"/>
              </w:rPr>
              <w:t xml:space="preserve"> </w:t>
            </w:r>
            <w:r>
              <w:rPr>
                <w:rFonts w:hint="eastAsia" w:ascii="宋体" w:hAnsi="宋体"/>
                <w:color w:val="auto"/>
                <w:sz w:val="21"/>
                <w:szCs w:val="21"/>
                <w:highlight w:val="none"/>
              </w:rPr>
              <w:t>中标人应提供相应的培训计划。</w:t>
            </w:r>
          </w:p>
          <w:p>
            <w:pPr>
              <w:spacing w:line="288" w:lineRule="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3</w:t>
            </w:r>
            <w:r>
              <w:rPr>
                <w:rFonts w:ascii="宋体" w:hAnsi="宋体"/>
                <w:color w:val="auto"/>
                <w:sz w:val="21"/>
                <w:szCs w:val="21"/>
                <w:highlight w:val="none"/>
              </w:rPr>
              <w:t xml:space="preserve"> </w:t>
            </w:r>
            <w:r>
              <w:rPr>
                <w:rFonts w:hint="eastAsia" w:ascii="宋体" w:hAnsi="宋体"/>
                <w:color w:val="auto"/>
                <w:sz w:val="21"/>
                <w:szCs w:val="21"/>
                <w:highlight w:val="none"/>
                <w:lang w:val="en-US" w:eastAsia="zh-CN"/>
              </w:rPr>
              <w:t>中</w:t>
            </w:r>
            <w:r>
              <w:rPr>
                <w:rFonts w:hint="eastAsia" w:ascii="宋体" w:hAnsi="宋体"/>
                <w:color w:val="auto"/>
                <w:sz w:val="21"/>
                <w:szCs w:val="21"/>
                <w:highlight w:val="none"/>
              </w:rPr>
              <w:t>标人应对上述内容的实现方式、地点、人数、时间在投标文件中详细说明。</w:t>
            </w:r>
          </w:p>
          <w:p>
            <w:pPr>
              <w:spacing w:line="288" w:lineRule="auto"/>
              <w:rPr>
                <w:rFonts w:ascii="宋体" w:hAnsi="宋体"/>
                <w:color w:val="auto"/>
                <w:sz w:val="21"/>
                <w:szCs w:val="21"/>
                <w:highlight w:val="none"/>
              </w:rPr>
            </w:pPr>
            <w:r>
              <w:rPr>
                <w:rFonts w:hint="eastAsia" w:ascii="宋体" w:hAnsi="宋体"/>
                <w:color w:val="auto"/>
                <w:sz w:val="21"/>
                <w:szCs w:val="21"/>
                <w:highlight w:val="none"/>
              </w:rPr>
              <w:t>2</w:t>
            </w:r>
            <w:r>
              <w:rPr>
                <w:rFonts w:ascii="宋体" w:hAnsi="宋体"/>
                <w:color w:val="auto"/>
                <w:sz w:val="21"/>
                <w:szCs w:val="21"/>
                <w:highlight w:val="none"/>
              </w:rPr>
              <w:t>.</w:t>
            </w:r>
            <w:r>
              <w:rPr>
                <w:rFonts w:hint="eastAsia" w:ascii="宋体" w:hAnsi="宋体"/>
                <w:color w:val="auto"/>
                <w:sz w:val="21"/>
                <w:szCs w:val="21"/>
                <w:highlight w:val="none"/>
              </w:rPr>
              <w:t>技术支持：</w:t>
            </w:r>
          </w:p>
          <w:p>
            <w:pPr>
              <w:spacing w:line="288" w:lineRule="auto"/>
              <w:rPr>
                <w:rFonts w:ascii="宋体" w:hAnsi="宋体"/>
                <w:color w:val="auto"/>
                <w:sz w:val="21"/>
                <w:szCs w:val="21"/>
                <w:highlight w:val="none"/>
              </w:rPr>
            </w:pPr>
            <w:r>
              <w:rPr>
                <w:rFonts w:hint="eastAsia" w:ascii="宋体" w:hAnsi="宋体"/>
                <w:color w:val="auto"/>
                <w:sz w:val="21"/>
                <w:szCs w:val="21"/>
                <w:highlight w:val="none"/>
              </w:rPr>
              <w:t>中标人应及时免费提供合同货物软件的升级，免费提供合同货物新功能和应用的资料。</w:t>
            </w:r>
          </w:p>
          <w:p>
            <w:pPr>
              <w:spacing w:line="288" w:lineRule="auto"/>
              <w:rPr>
                <w:rFonts w:hint="eastAsia" w:ascii="宋体" w:hAnsi="宋体"/>
                <w:color w:val="auto"/>
                <w:sz w:val="21"/>
                <w:szCs w:val="21"/>
                <w:highlight w:val="none"/>
              </w:rPr>
            </w:pPr>
            <w:r>
              <w:rPr>
                <w:rFonts w:hint="eastAsia" w:ascii="宋体" w:hAnsi="宋体"/>
                <w:color w:val="auto"/>
                <w:sz w:val="21"/>
                <w:szCs w:val="21"/>
                <w:highlight w:val="none"/>
              </w:rPr>
              <w:t>3</w:t>
            </w:r>
            <w:r>
              <w:rPr>
                <w:rFonts w:ascii="宋体" w:hAnsi="宋体"/>
                <w:color w:val="auto"/>
                <w:sz w:val="21"/>
                <w:szCs w:val="21"/>
                <w:highlight w:val="none"/>
              </w:rPr>
              <w:t>.</w:t>
            </w:r>
            <w:r>
              <w:rPr>
                <w:rFonts w:hint="eastAsia" w:ascii="宋体" w:hAnsi="宋体"/>
                <w:color w:val="auto"/>
                <w:sz w:val="21"/>
                <w:szCs w:val="21"/>
                <w:highlight w:val="none"/>
              </w:rPr>
              <w:t>安装调试（若需要安装调试）：</w:t>
            </w:r>
          </w:p>
          <w:p>
            <w:pPr>
              <w:spacing w:line="288" w:lineRule="auto"/>
              <w:rPr>
                <w:rFonts w:hint="eastAsia" w:ascii="宋体" w:hAnsi="宋体"/>
                <w:color w:val="auto"/>
                <w:sz w:val="21"/>
                <w:szCs w:val="21"/>
                <w:highlight w:val="none"/>
              </w:rPr>
            </w:pPr>
            <w:r>
              <w:rPr>
                <w:rFonts w:hint="eastAsia" w:ascii="宋体" w:hAnsi="宋体"/>
                <w:color w:val="auto"/>
                <w:sz w:val="21"/>
                <w:szCs w:val="21"/>
                <w:highlight w:val="none"/>
              </w:rPr>
              <w:t>3</w:t>
            </w:r>
            <w:r>
              <w:rPr>
                <w:rFonts w:ascii="宋体" w:hAnsi="宋体"/>
                <w:color w:val="auto"/>
                <w:sz w:val="21"/>
                <w:szCs w:val="21"/>
                <w:highlight w:val="none"/>
              </w:rPr>
              <w:t xml:space="preserve">.1 </w:t>
            </w:r>
            <w:r>
              <w:rPr>
                <w:rFonts w:hint="eastAsia" w:ascii="宋体" w:hAnsi="宋体"/>
                <w:color w:val="auto"/>
                <w:sz w:val="21"/>
                <w:szCs w:val="21"/>
                <w:highlight w:val="none"/>
              </w:rPr>
              <w:t>安装地点：采购人指定地点。</w:t>
            </w:r>
          </w:p>
          <w:p>
            <w:pPr>
              <w:spacing w:line="288" w:lineRule="auto"/>
              <w:rPr>
                <w:rFonts w:hint="eastAsia" w:ascii="宋体" w:hAnsi="宋体"/>
                <w:color w:val="auto"/>
                <w:sz w:val="21"/>
                <w:szCs w:val="21"/>
                <w:highlight w:val="none"/>
              </w:rPr>
            </w:pPr>
            <w:r>
              <w:rPr>
                <w:rFonts w:hint="eastAsia" w:ascii="宋体" w:hAnsi="宋体"/>
                <w:color w:val="auto"/>
                <w:sz w:val="21"/>
                <w:szCs w:val="21"/>
                <w:highlight w:val="none"/>
              </w:rPr>
              <w:t>3</w:t>
            </w:r>
            <w:r>
              <w:rPr>
                <w:rFonts w:ascii="宋体" w:hAnsi="宋体"/>
                <w:color w:val="auto"/>
                <w:sz w:val="21"/>
                <w:szCs w:val="21"/>
                <w:highlight w:val="none"/>
              </w:rPr>
              <w:t xml:space="preserve">.2 </w:t>
            </w:r>
            <w:r>
              <w:rPr>
                <w:rFonts w:hint="eastAsia" w:ascii="宋体" w:hAnsi="宋体"/>
                <w:color w:val="auto"/>
                <w:sz w:val="21"/>
                <w:szCs w:val="21"/>
                <w:highlight w:val="none"/>
              </w:rPr>
              <w:t>安装完成时间：接到采购人通知后在7日内完成安装和调试，如在规定的时间内由于中标人的原因不能完成安装和调试，中标人应承担由此给采购人造成的损失。</w:t>
            </w:r>
          </w:p>
          <w:p>
            <w:pPr>
              <w:spacing w:line="288" w:lineRule="auto"/>
              <w:rPr>
                <w:rFonts w:hint="eastAsia" w:ascii="宋体" w:hAnsi="宋体"/>
                <w:color w:val="auto"/>
                <w:sz w:val="21"/>
                <w:szCs w:val="21"/>
                <w:highlight w:val="none"/>
              </w:rPr>
            </w:pPr>
            <w:r>
              <w:rPr>
                <w:rFonts w:hint="eastAsia" w:ascii="宋体" w:hAnsi="宋体"/>
                <w:color w:val="auto"/>
                <w:sz w:val="21"/>
                <w:szCs w:val="21"/>
                <w:highlight w:val="none"/>
              </w:rPr>
              <w:t>3</w:t>
            </w:r>
            <w:r>
              <w:rPr>
                <w:rFonts w:ascii="宋体" w:hAnsi="宋体"/>
                <w:color w:val="auto"/>
                <w:sz w:val="21"/>
                <w:szCs w:val="21"/>
                <w:highlight w:val="none"/>
              </w:rPr>
              <w:t xml:space="preserve">.3 </w:t>
            </w:r>
            <w:r>
              <w:rPr>
                <w:rFonts w:hint="eastAsia" w:ascii="宋体" w:hAnsi="宋体"/>
                <w:color w:val="auto"/>
                <w:sz w:val="21"/>
                <w:szCs w:val="21"/>
                <w:highlight w:val="none"/>
              </w:rPr>
              <w:t>安装标准：符合我国国家有关技术规范要求和技术标准，所有的软件和硬件必须保证同时安装到位。</w:t>
            </w:r>
          </w:p>
          <w:p>
            <w:pPr>
              <w:spacing w:line="288" w:lineRule="auto"/>
              <w:rPr>
                <w:rFonts w:hint="eastAsia" w:ascii="宋体" w:hAnsi="宋体"/>
                <w:color w:val="auto"/>
                <w:sz w:val="21"/>
                <w:szCs w:val="21"/>
                <w:highlight w:val="none"/>
              </w:rPr>
            </w:pPr>
            <w:r>
              <w:rPr>
                <w:rFonts w:hint="eastAsia" w:ascii="宋体" w:hAnsi="宋体"/>
                <w:color w:val="auto"/>
                <w:sz w:val="21"/>
                <w:szCs w:val="21"/>
                <w:highlight w:val="none"/>
              </w:rPr>
              <w:t>3</w:t>
            </w:r>
            <w:r>
              <w:rPr>
                <w:rFonts w:ascii="宋体" w:hAnsi="宋体"/>
                <w:color w:val="auto"/>
                <w:sz w:val="21"/>
                <w:szCs w:val="21"/>
                <w:highlight w:val="none"/>
              </w:rPr>
              <w:t xml:space="preserve">.4 </w:t>
            </w:r>
            <w:r>
              <w:rPr>
                <w:rFonts w:hint="eastAsia" w:ascii="宋体" w:hAnsi="宋体"/>
                <w:color w:val="auto"/>
                <w:sz w:val="21"/>
                <w:szCs w:val="21"/>
                <w:highlight w:val="none"/>
              </w:rPr>
              <w:t>中标人免费提供合同货物的安装服务。</w:t>
            </w:r>
          </w:p>
          <w:p>
            <w:pPr>
              <w:spacing w:line="288" w:lineRule="auto"/>
              <w:rPr>
                <w:rFonts w:hint="eastAsia" w:ascii="宋体" w:hAnsi="宋体"/>
                <w:color w:val="auto"/>
                <w:kern w:val="2"/>
                <w:sz w:val="21"/>
                <w:szCs w:val="21"/>
                <w:highlight w:val="none"/>
                <w:lang w:val="en-US" w:eastAsia="zh-CN" w:bidi="ar-SA"/>
              </w:rPr>
            </w:pPr>
            <w:r>
              <w:rPr>
                <w:rFonts w:hint="eastAsia" w:ascii="宋体" w:hAnsi="宋体"/>
                <w:color w:val="auto"/>
                <w:sz w:val="21"/>
                <w:szCs w:val="21"/>
                <w:highlight w:val="none"/>
              </w:rPr>
              <w:t>3</w:t>
            </w:r>
            <w:r>
              <w:rPr>
                <w:rFonts w:ascii="宋体" w:hAnsi="宋体"/>
                <w:color w:val="auto"/>
                <w:sz w:val="21"/>
                <w:szCs w:val="21"/>
                <w:highlight w:val="none"/>
              </w:rPr>
              <w:t xml:space="preserve">.5 </w:t>
            </w:r>
            <w:r>
              <w:rPr>
                <w:rFonts w:hint="eastAsia" w:ascii="宋体" w:hAnsi="宋体"/>
                <w:color w:val="auto"/>
                <w:sz w:val="21"/>
                <w:szCs w:val="21"/>
                <w:highlight w:val="none"/>
              </w:rPr>
              <w:t>中标人在投标文件中应提供安装调试计划、对安装场地和环境的要求。</w:t>
            </w:r>
          </w:p>
        </w:tc>
      </w:tr>
    </w:tbl>
    <w:p>
      <w:pPr>
        <w:spacing w:line="288" w:lineRule="auto"/>
        <w:rPr>
          <w:rFonts w:hint="eastAsia" w:ascii="宋体" w:hAnsi="宋体"/>
          <w:b/>
          <w:color w:val="auto"/>
          <w:sz w:val="24"/>
          <w:highlight w:val="none"/>
        </w:rPr>
      </w:pPr>
    </w:p>
    <w:p>
      <w:pPr>
        <w:spacing w:line="288" w:lineRule="auto"/>
        <w:rPr>
          <w:rFonts w:hint="eastAsia" w:ascii="宋体" w:hAnsi="宋体"/>
          <w:color w:val="auto"/>
          <w:sz w:val="21"/>
          <w:szCs w:val="21"/>
          <w:highlight w:val="none"/>
        </w:rPr>
      </w:pPr>
      <w:r>
        <w:rPr>
          <w:rFonts w:hint="eastAsia" w:ascii="宋体" w:hAnsi="宋体"/>
          <w:b/>
          <w:color w:val="auto"/>
          <w:sz w:val="24"/>
          <w:highlight w:val="none"/>
        </w:rPr>
        <w:t>四</w:t>
      </w:r>
      <w:r>
        <w:rPr>
          <w:rFonts w:ascii="宋体" w:hAnsi="宋体"/>
          <w:b/>
          <w:color w:val="auto"/>
          <w:sz w:val="24"/>
          <w:highlight w:val="none"/>
        </w:rPr>
        <w:t>、技术要求</w:t>
      </w: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含采购清单</w:t>
      </w:r>
      <w:r>
        <w:rPr>
          <w:rFonts w:hint="eastAsia" w:ascii="宋体" w:hAnsi="宋体"/>
          <w:color w:val="auto"/>
          <w:sz w:val="21"/>
          <w:szCs w:val="21"/>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firstLine="420" w:firstLineChars="200"/>
        <w:textAlignment w:val="auto"/>
        <w:outlineLvl w:val="9"/>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微波暗室测试系统</w:t>
      </w:r>
      <w:r>
        <w:rPr>
          <w:rFonts w:hint="eastAsia" w:ascii="宋体" w:hAnsi="宋体" w:cs="宋体"/>
          <w:color w:val="auto"/>
          <w:sz w:val="21"/>
          <w:szCs w:val="21"/>
          <w:highlight w:val="none"/>
          <w:lang w:val="en-US" w:eastAsia="zh-CN"/>
        </w:rPr>
        <w:t>：1套</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1、系统主机：</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right="0" w:rightChars="0"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lang w:val="en-US" w:eastAsia="zh-CN"/>
        </w:rPr>
        <w:t>频率范围：10MHz～43.5GHz</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right="0" w:rightChars="0"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lang w:val="en-US" w:eastAsia="zh-CN"/>
        </w:rPr>
        <w:t>频率分辨率：1Hz</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right="0" w:rightChars="0" w:firstLine="422" w:firstLineChars="200"/>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1.3</w:t>
      </w:r>
      <w:r>
        <w:rPr>
          <w:rFonts w:hint="eastAsia" w:ascii="宋体" w:hAnsi="宋体" w:eastAsia="宋体" w:cs="宋体"/>
          <w:b/>
          <w:bCs/>
          <w:color w:val="auto"/>
          <w:sz w:val="21"/>
          <w:szCs w:val="21"/>
          <w:highlight w:val="none"/>
        </w:rPr>
        <w:t>频率准确度</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±1×10</w:t>
      </w:r>
      <w:r>
        <w:rPr>
          <w:rFonts w:hint="eastAsia" w:ascii="宋体" w:hAnsi="宋体" w:eastAsia="宋体" w:cs="宋体"/>
          <w:b/>
          <w:bCs/>
          <w:color w:val="auto"/>
          <w:sz w:val="21"/>
          <w:szCs w:val="21"/>
          <w:highlight w:val="none"/>
          <w:vertAlign w:val="superscript"/>
        </w:rPr>
        <w:t>-7</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right="0" w:rightChars="0"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1.4</w:t>
      </w:r>
      <w:r>
        <w:rPr>
          <w:rFonts w:hint="eastAsia" w:ascii="宋体" w:hAnsi="宋体" w:eastAsia="宋体" w:cs="宋体"/>
          <w:color w:val="auto"/>
          <w:sz w:val="21"/>
          <w:szCs w:val="21"/>
          <w:highlight w:val="none"/>
          <w:lang w:val="en-US" w:eastAsia="zh-CN"/>
        </w:rPr>
        <w:t>幅度迹线噪声（dB rms</w:t>
      </w:r>
      <w:r>
        <w:rPr>
          <w:rFonts w:hint="eastAsia" w:ascii="宋体" w:hAnsi="宋体" w:eastAsia="宋体" w:cs="宋体"/>
          <w:color w:val="auto"/>
          <w:sz w:val="21"/>
          <w:szCs w:val="21"/>
          <w:highlight w:val="none"/>
        </w:rPr>
        <w:t>1kHz中频带宽</w:t>
      </w:r>
      <w:r>
        <w:rPr>
          <w:rFonts w:hint="eastAsia" w:ascii="宋体" w:hAnsi="宋体" w:eastAsia="宋体" w:cs="宋体"/>
          <w:color w:val="auto"/>
          <w:sz w:val="21"/>
          <w:szCs w:val="21"/>
          <w:highlight w:val="none"/>
          <w:lang w:val="en-US" w:eastAsia="zh-CN"/>
        </w:rPr>
        <w:t>）：0.0009dBms(</w:t>
      </w:r>
      <w:r>
        <w:rPr>
          <w:rFonts w:hint="eastAsia" w:ascii="宋体" w:hAnsi="宋体" w:eastAsia="宋体" w:cs="宋体"/>
          <w:color w:val="auto"/>
          <w:sz w:val="21"/>
          <w:szCs w:val="21"/>
          <w:highlight w:val="none"/>
        </w:rPr>
        <w:t>13.5～26.5GHz</w:t>
      </w:r>
      <w:r>
        <w:rPr>
          <w:rFonts w:hint="eastAsia" w:ascii="宋体" w:hAnsi="宋体" w:eastAsia="宋体" w:cs="宋体"/>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right="0" w:rightChars="0"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lang w:val="en-US" w:eastAsia="zh-CN"/>
        </w:rPr>
        <w:t>系统动态范围：</w:t>
      </w:r>
      <w:r>
        <w:rPr>
          <w:rFonts w:hint="eastAsia" w:ascii="宋体" w:hAnsi="宋体" w:eastAsia="宋体" w:cs="宋体"/>
          <w:color w:val="auto"/>
          <w:sz w:val="21"/>
          <w:szCs w:val="21"/>
          <w:highlight w:val="none"/>
        </w:rPr>
        <w:t>133dB（1～13.5GHz）</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126dB（13.5～26.5GHz）</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120dB（26.5～35GHz）</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right="0" w:rightChars="0" w:firstLine="422" w:firstLineChars="200"/>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1.6</w:t>
      </w:r>
      <w:r>
        <w:rPr>
          <w:rFonts w:hint="eastAsia" w:ascii="宋体" w:hAnsi="宋体" w:eastAsia="宋体" w:cs="宋体"/>
          <w:b/>
          <w:bCs/>
          <w:color w:val="auto"/>
          <w:sz w:val="21"/>
          <w:szCs w:val="21"/>
          <w:highlight w:val="none"/>
          <w:lang w:val="en-US" w:eastAsia="zh-CN"/>
        </w:rPr>
        <w:t>中英文双操作界面，具有触摸屏功能，面板按键为中文标识</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right="0" w:rightChars="0"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1.7</w:t>
      </w:r>
      <w:r>
        <w:rPr>
          <w:rFonts w:hint="eastAsia" w:ascii="宋体" w:hAnsi="宋体" w:eastAsia="宋体" w:cs="宋体"/>
          <w:color w:val="auto"/>
          <w:sz w:val="21"/>
          <w:szCs w:val="21"/>
          <w:highlight w:val="none"/>
          <w:lang w:val="en-US" w:eastAsia="zh-CN"/>
        </w:rPr>
        <w:t>幅度显示分辨率：0.001dB/div</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right="0" w:rightChars="0"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1.8</w:t>
      </w:r>
      <w:r>
        <w:rPr>
          <w:rFonts w:hint="eastAsia" w:ascii="宋体" w:hAnsi="宋体" w:eastAsia="宋体" w:cs="宋体"/>
          <w:color w:val="auto"/>
          <w:sz w:val="21"/>
          <w:szCs w:val="21"/>
          <w:highlight w:val="none"/>
          <w:lang w:val="en-US" w:eastAsia="zh-CN"/>
        </w:rPr>
        <w:t>相位显示分辨率：0.01°/div</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right="0" w:rightChars="0"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1.9</w:t>
      </w:r>
      <w:r>
        <w:rPr>
          <w:rFonts w:hint="eastAsia" w:ascii="宋体" w:hAnsi="宋体" w:eastAsia="宋体" w:cs="宋体"/>
          <w:color w:val="auto"/>
          <w:sz w:val="21"/>
          <w:szCs w:val="21"/>
          <w:highlight w:val="none"/>
          <w:lang w:val="en-US" w:eastAsia="zh-CN"/>
        </w:rPr>
        <w:t>具有提供频响、单端口、响应隔离、增强型响应、全双端口、电校准多种校准方式，内设对数幅度、线性幅度、驻波、相位、群时延、Smith圆图、极坐标多种显示格式，外配USB、LAN、GPIB、VGA多种标准接口</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right="0" w:rightChars="0"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毫米波扩频控制机：</w:t>
      </w:r>
    </w:p>
    <w:tbl>
      <w:tblPr>
        <w:tblStyle w:val="2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6"/>
        <w:gridCol w:w="2407"/>
        <w:gridCol w:w="2407"/>
        <w:gridCol w:w="24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2406"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频率范围</w:t>
            </w:r>
          </w:p>
        </w:tc>
        <w:tc>
          <w:tcPr>
            <w:tcW w:w="2407"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输出功率</w:t>
            </w:r>
          </w:p>
        </w:tc>
        <w:tc>
          <w:tcPr>
            <w:tcW w:w="2407"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控制接口</w:t>
            </w:r>
          </w:p>
        </w:tc>
        <w:tc>
          <w:tcPr>
            <w:tcW w:w="2408"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电源输出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406"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8GHz～20GHz</w:t>
            </w:r>
          </w:p>
        </w:tc>
        <w:tc>
          <w:tcPr>
            <w:tcW w:w="2407"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10±1dBm</w:t>
            </w:r>
          </w:p>
        </w:tc>
        <w:tc>
          <w:tcPr>
            <w:tcW w:w="2407"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测试装置接口</w:t>
            </w:r>
          </w:p>
        </w:tc>
        <w:tc>
          <w:tcPr>
            <w:tcW w:w="2408"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12VDC@2A</w:t>
            </w:r>
          </w:p>
        </w:tc>
      </w:tr>
    </w:tbl>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right="0" w:rightChars="0"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系统附件：</w:t>
      </w:r>
    </w:p>
    <w:tbl>
      <w:tblPr>
        <w:tblStyle w:val="2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4"/>
        <w:gridCol w:w="4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14"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多轴运动控制器</w:t>
            </w:r>
          </w:p>
        </w:tc>
        <w:tc>
          <w:tcPr>
            <w:tcW w:w="4814"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四轴控制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14"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机柜</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工具包</w:t>
            </w:r>
          </w:p>
        </w:tc>
        <w:tc>
          <w:tcPr>
            <w:tcW w:w="4814"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1.6m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14"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低损耗电缆</w:t>
            </w:r>
          </w:p>
        </w:tc>
        <w:tc>
          <w:tcPr>
            <w:tcW w:w="4814"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≤2.5dB/m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14"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none"/>
                <w:lang w:bidi="ar"/>
              </w:rPr>
              <w:t>计算机、交换机</w:t>
            </w:r>
          </w:p>
        </w:tc>
        <w:tc>
          <w:tcPr>
            <w:tcW w:w="4814"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16接口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14"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lang w:bidi="ar"/>
              </w:rPr>
            </w:pPr>
            <w:r>
              <w:rPr>
                <w:rFonts w:hint="eastAsia" w:ascii="宋体" w:hAnsi="宋体" w:eastAsia="宋体" w:cs="宋体"/>
                <w:color w:val="auto"/>
                <w:kern w:val="0"/>
                <w:sz w:val="21"/>
                <w:szCs w:val="21"/>
                <w:highlight w:val="none"/>
                <w:lang w:bidi="ar"/>
              </w:rPr>
              <w:t>旋转关节</w:t>
            </w:r>
          </w:p>
        </w:tc>
        <w:tc>
          <w:tcPr>
            <w:tcW w:w="4814"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DC-40GHz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14"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kern w:val="0"/>
                <w:sz w:val="21"/>
                <w:szCs w:val="21"/>
                <w:highlight w:val="none"/>
                <w:lang w:bidi="ar"/>
              </w:rPr>
            </w:pPr>
            <w:r>
              <w:rPr>
                <w:rFonts w:hint="eastAsia" w:ascii="宋体" w:hAnsi="宋体" w:eastAsia="宋体" w:cs="宋体"/>
                <w:color w:val="auto"/>
                <w:sz w:val="21"/>
                <w:szCs w:val="21"/>
                <w:highlight w:val="none"/>
              </w:rPr>
              <w:t>波导及转接器</w:t>
            </w:r>
          </w:p>
        </w:tc>
        <w:tc>
          <w:tcPr>
            <w:tcW w:w="4814"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2.92mm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14"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力矩扳手</w:t>
            </w:r>
          </w:p>
        </w:tc>
        <w:tc>
          <w:tcPr>
            <w:tcW w:w="4814"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3.5mm</w:t>
            </w:r>
          </w:p>
        </w:tc>
      </w:tr>
    </w:tbl>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right="0" w:rightChars="0"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系统测试软件：</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4.1</w:t>
      </w:r>
      <w:r>
        <w:rPr>
          <w:rFonts w:hint="eastAsia" w:ascii="宋体" w:hAnsi="宋体" w:eastAsia="宋体" w:cs="宋体"/>
          <w:color w:val="auto"/>
          <w:sz w:val="21"/>
          <w:szCs w:val="21"/>
          <w:highlight w:val="none"/>
          <w:lang w:val="en-US" w:eastAsia="zh-CN"/>
        </w:rPr>
        <w:t>测试参数：方向图、增益、副瓣、驻波</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4.2</w:t>
      </w:r>
      <w:r>
        <w:rPr>
          <w:rFonts w:hint="eastAsia" w:ascii="宋体" w:hAnsi="宋体" w:eastAsia="宋体" w:cs="宋体"/>
          <w:color w:val="auto"/>
          <w:sz w:val="21"/>
          <w:szCs w:val="21"/>
          <w:highlight w:val="none"/>
          <w:lang w:val="en-US" w:eastAsia="zh-CN"/>
        </w:rPr>
        <w:t>扫描方式：点频、扫频</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4.3</w:t>
      </w:r>
      <w:r>
        <w:rPr>
          <w:rFonts w:hint="eastAsia" w:ascii="宋体" w:hAnsi="宋体" w:eastAsia="宋体" w:cs="宋体"/>
          <w:color w:val="auto"/>
          <w:sz w:val="21"/>
          <w:szCs w:val="21"/>
          <w:highlight w:val="none"/>
          <w:lang w:val="en-US" w:eastAsia="zh-CN"/>
        </w:rPr>
        <w:t>参数分析功能：能够根据测试方向图分析各种极化形式天线的方向性，波束最大点位置，波束指向(3dB点平均值)，副瓣电平和位置，增益，3dB波束宽度，交叉极化。给出Mark点信息，比较多个Mark点信息。可对方向图进行归一化处理</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4.4</w:t>
      </w:r>
      <w:r>
        <w:rPr>
          <w:rFonts w:hint="eastAsia" w:ascii="宋体" w:hAnsi="宋体" w:eastAsia="宋体" w:cs="宋体"/>
          <w:color w:val="auto"/>
          <w:sz w:val="21"/>
          <w:szCs w:val="21"/>
          <w:highlight w:val="none"/>
          <w:lang w:val="en-US" w:eastAsia="zh-CN"/>
        </w:rPr>
        <w:t>多文件分析功能：为了比较多次测量的结果，考察系统的一致性；或比较不同环境下的天线方向图</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4.5</w:t>
      </w:r>
      <w:r>
        <w:rPr>
          <w:rFonts w:hint="eastAsia" w:ascii="宋体" w:hAnsi="宋体" w:eastAsia="宋体" w:cs="宋体"/>
          <w:color w:val="auto"/>
          <w:sz w:val="21"/>
          <w:szCs w:val="21"/>
          <w:highlight w:val="none"/>
          <w:lang w:val="en-US" w:eastAsia="zh-CN"/>
        </w:rPr>
        <w:t>特殊参数计算功能：根据用户参数特殊定义分析天线参数</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4.6</w:t>
      </w:r>
      <w:r>
        <w:rPr>
          <w:rFonts w:hint="eastAsia" w:ascii="宋体" w:hAnsi="宋体" w:eastAsia="宋体" w:cs="宋体"/>
          <w:color w:val="auto"/>
          <w:sz w:val="21"/>
          <w:szCs w:val="21"/>
          <w:highlight w:val="none"/>
          <w:lang w:val="en-US" w:eastAsia="zh-CN"/>
        </w:rPr>
        <w:t>报表生成及打印功能：根据用户需求产生用户所需的报表并输出打印</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4.7</w:t>
      </w:r>
      <w:r>
        <w:rPr>
          <w:rFonts w:hint="eastAsia" w:ascii="宋体" w:hAnsi="宋体" w:eastAsia="宋体" w:cs="宋体"/>
          <w:color w:val="auto"/>
          <w:sz w:val="21"/>
          <w:szCs w:val="21"/>
          <w:highlight w:val="none"/>
          <w:lang w:val="en-US" w:eastAsia="zh-CN"/>
        </w:rPr>
        <w:t>支持多种坐标系显示功能</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4.8</w:t>
      </w:r>
      <w:r>
        <w:rPr>
          <w:rFonts w:hint="eastAsia" w:ascii="宋体" w:hAnsi="宋体" w:eastAsia="宋体" w:cs="宋体"/>
          <w:color w:val="auto"/>
          <w:sz w:val="21"/>
          <w:szCs w:val="21"/>
          <w:highlight w:val="none"/>
          <w:lang w:val="en-US" w:eastAsia="zh-CN"/>
        </w:rPr>
        <w:t>具有高分辨率口径场诊断、平面近场扫描测试、柱面近场扫描测试能力</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right="0" w:rightChars="0"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系统测量探头及天线：</w:t>
      </w:r>
    </w:p>
    <w:tbl>
      <w:tblPr>
        <w:tblStyle w:val="2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9"/>
        <w:gridCol w:w="2273"/>
        <w:gridCol w:w="1340"/>
        <w:gridCol w:w="1254"/>
        <w:gridCol w:w="2085"/>
        <w:gridCol w:w="13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49"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Cs/>
                <w:color w:val="auto"/>
                <w:sz w:val="21"/>
                <w:szCs w:val="21"/>
                <w:highlight w:val="none"/>
              </w:rPr>
              <w:t>天线近场测量探头</w:t>
            </w:r>
          </w:p>
        </w:tc>
        <w:tc>
          <w:tcPr>
            <w:tcW w:w="2273"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jc w:val="center"/>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Cs/>
                <w:color w:val="auto"/>
                <w:sz w:val="21"/>
                <w:szCs w:val="21"/>
                <w:highlight w:val="none"/>
              </w:rPr>
              <w:t>频率范围</w:t>
            </w:r>
          </w:p>
        </w:tc>
        <w:tc>
          <w:tcPr>
            <w:tcW w:w="1340"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jc w:val="center"/>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Cs/>
                <w:color w:val="auto"/>
                <w:sz w:val="21"/>
                <w:szCs w:val="21"/>
                <w:highlight w:val="none"/>
              </w:rPr>
              <w:t>接口形式</w:t>
            </w:r>
          </w:p>
        </w:tc>
        <w:tc>
          <w:tcPr>
            <w:tcW w:w="1254"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Cs/>
                <w:color w:val="auto"/>
                <w:sz w:val="21"/>
                <w:szCs w:val="21"/>
                <w:highlight w:val="none"/>
              </w:rPr>
              <w:t>标准增益喇叭天线</w:t>
            </w:r>
          </w:p>
        </w:tc>
        <w:tc>
          <w:tcPr>
            <w:tcW w:w="2085"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jc w:val="center"/>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Cs/>
                <w:color w:val="auto"/>
                <w:sz w:val="21"/>
                <w:szCs w:val="21"/>
                <w:highlight w:val="none"/>
              </w:rPr>
              <w:t>频率范围</w:t>
            </w:r>
          </w:p>
        </w:tc>
        <w:tc>
          <w:tcPr>
            <w:tcW w:w="1327"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right="0" w:rightChars="0" w:firstLine="0" w:firstLineChars="0"/>
              <w:jc w:val="center"/>
              <w:textAlignment w:val="auto"/>
              <w:outlineLvl w:val="9"/>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bCs/>
                <w:color w:val="auto"/>
                <w:sz w:val="21"/>
                <w:szCs w:val="21"/>
                <w:highlight w:val="none"/>
              </w:rPr>
              <w:t>接口形式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49"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p>
        </w:tc>
        <w:tc>
          <w:tcPr>
            <w:tcW w:w="2273"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leftChars="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1.72GHz～2.6GHz</w:t>
            </w:r>
          </w:p>
        </w:tc>
        <w:tc>
          <w:tcPr>
            <w:tcW w:w="1340"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N型-K</w:t>
            </w:r>
          </w:p>
        </w:tc>
        <w:tc>
          <w:tcPr>
            <w:tcW w:w="1254"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p>
        </w:tc>
        <w:tc>
          <w:tcPr>
            <w:tcW w:w="2085"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leftChars="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1.72GHz～2.6GHz</w:t>
            </w:r>
          </w:p>
        </w:tc>
        <w:tc>
          <w:tcPr>
            <w:tcW w:w="1327"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N型-K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49"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p>
        </w:tc>
        <w:tc>
          <w:tcPr>
            <w:tcW w:w="2273"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leftChars="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2.6GHz～3.95GHz</w:t>
            </w:r>
          </w:p>
        </w:tc>
        <w:tc>
          <w:tcPr>
            <w:tcW w:w="1340"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N型-K</w:t>
            </w:r>
          </w:p>
        </w:tc>
        <w:tc>
          <w:tcPr>
            <w:tcW w:w="1254"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p>
        </w:tc>
        <w:tc>
          <w:tcPr>
            <w:tcW w:w="2085"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leftChars="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2.6GHz～3.95GHz</w:t>
            </w:r>
          </w:p>
        </w:tc>
        <w:tc>
          <w:tcPr>
            <w:tcW w:w="1327"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N型-K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49"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p>
        </w:tc>
        <w:tc>
          <w:tcPr>
            <w:tcW w:w="2273"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leftChars="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3.95GHz～5.85GHz</w:t>
            </w:r>
          </w:p>
        </w:tc>
        <w:tc>
          <w:tcPr>
            <w:tcW w:w="1340"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N型-K</w:t>
            </w:r>
          </w:p>
        </w:tc>
        <w:tc>
          <w:tcPr>
            <w:tcW w:w="1254"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p>
        </w:tc>
        <w:tc>
          <w:tcPr>
            <w:tcW w:w="2085"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leftChars="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3.95GHz～5.85GHz</w:t>
            </w:r>
          </w:p>
        </w:tc>
        <w:tc>
          <w:tcPr>
            <w:tcW w:w="1327"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N型-K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49"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p>
        </w:tc>
        <w:tc>
          <w:tcPr>
            <w:tcW w:w="2273"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leftChars="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5.85GHz～8.2GHz</w:t>
            </w:r>
          </w:p>
        </w:tc>
        <w:tc>
          <w:tcPr>
            <w:tcW w:w="1340"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N型-K</w:t>
            </w:r>
          </w:p>
        </w:tc>
        <w:tc>
          <w:tcPr>
            <w:tcW w:w="1254"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p>
        </w:tc>
        <w:tc>
          <w:tcPr>
            <w:tcW w:w="2085"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leftChars="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5.85GHz～8.2GHz</w:t>
            </w:r>
          </w:p>
        </w:tc>
        <w:tc>
          <w:tcPr>
            <w:tcW w:w="1327"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N型-K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49"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p>
        </w:tc>
        <w:tc>
          <w:tcPr>
            <w:tcW w:w="2273"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8.2GHz～12.4GHz</w:t>
            </w:r>
          </w:p>
        </w:tc>
        <w:tc>
          <w:tcPr>
            <w:tcW w:w="1340"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SMA-K</w:t>
            </w:r>
          </w:p>
        </w:tc>
        <w:tc>
          <w:tcPr>
            <w:tcW w:w="1254"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p>
        </w:tc>
        <w:tc>
          <w:tcPr>
            <w:tcW w:w="2085"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8.2GHz～12.4GHz</w:t>
            </w:r>
          </w:p>
        </w:tc>
        <w:tc>
          <w:tcPr>
            <w:tcW w:w="1327"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SMA-K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49"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p>
        </w:tc>
        <w:tc>
          <w:tcPr>
            <w:tcW w:w="2273"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12.4GHz～18GHz</w:t>
            </w:r>
          </w:p>
        </w:tc>
        <w:tc>
          <w:tcPr>
            <w:tcW w:w="1340"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SMA-K</w:t>
            </w:r>
          </w:p>
        </w:tc>
        <w:tc>
          <w:tcPr>
            <w:tcW w:w="1254"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p>
        </w:tc>
        <w:tc>
          <w:tcPr>
            <w:tcW w:w="2085"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12.4GHz～18GHz</w:t>
            </w:r>
          </w:p>
        </w:tc>
        <w:tc>
          <w:tcPr>
            <w:tcW w:w="1327"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SMA-K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49"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p>
        </w:tc>
        <w:tc>
          <w:tcPr>
            <w:tcW w:w="2273"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18GHz～26.5GHz</w:t>
            </w:r>
          </w:p>
        </w:tc>
        <w:tc>
          <w:tcPr>
            <w:tcW w:w="1340"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SMA-K</w:t>
            </w:r>
          </w:p>
        </w:tc>
        <w:tc>
          <w:tcPr>
            <w:tcW w:w="1254"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p>
        </w:tc>
        <w:tc>
          <w:tcPr>
            <w:tcW w:w="2085"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18GHz～26.5GHz</w:t>
            </w:r>
          </w:p>
        </w:tc>
        <w:tc>
          <w:tcPr>
            <w:tcW w:w="1327"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SMA-K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49"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p>
        </w:tc>
        <w:tc>
          <w:tcPr>
            <w:tcW w:w="2273"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26.5GHz</w:t>
            </w:r>
            <w:r>
              <w:rPr>
                <w:rFonts w:hint="eastAsia" w:ascii="宋体" w:hAnsi="宋体" w:eastAsia="宋体" w:cs="宋体"/>
                <w:color w:val="auto"/>
                <w:spacing w:val="-18"/>
                <w:kern w:val="21"/>
                <w:sz w:val="21"/>
                <w:szCs w:val="21"/>
                <w:highlight w:val="none"/>
              </w:rPr>
              <w:t>～40GHz</w:t>
            </w:r>
          </w:p>
        </w:tc>
        <w:tc>
          <w:tcPr>
            <w:tcW w:w="1340"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2.92mm-K</w:t>
            </w:r>
          </w:p>
        </w:tc>
        <w:tc>
          <w:tcPr>
            <w:tcW w:w="1254"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p>
        </w:tc>
        <w:tc>
          <w:tcPr>
            <w:tcW w:w="2085"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26.5GHz</w:t>
            </w:r>
            <w:r>
              <w:rPr>
                <w:rFonts w:hint="eastAsia" w:ascii="宋体" w:hAnsi="宋体" w:eastAsia="宋体" w:cs="宋体"/>
                <w:color w:val="auto"/>
                <w:spacing w:val="-18"/>
                <w:kern w:val="21"/>
                <w:sz w:val="21"/>
                <w:szCs w:val="21"/>
                <w:highlight w:val="none"/>
              </w:rPr>
              <w:t>～40GHz</w:t>
            </w:r>
          </w:p>
        </w:tc>
        <w:tc>
          <w:tcPr>
            <w:tcW w:w="1327"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2.92mm-K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49"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p>
        </w:tc>
        <w:tc>
          <w:tcPr>
            <w:tcW w:w="2273"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40GHz</w:t>
            </w:r>
            <w:r>
              <w:rPr>
                <w:rFonts w:hint="eastAsia" w:ascii="宋体" w:hAnsi="宋体" w:eastAsia="宋体" w:cs="宋体"/>
                <w:color w:val="auto"/>
                <w:spacing w:val="-18"/>
                <w:kern w:val="21"/>
                <w:sz w:val="21"/>
                <w:szCs w:val="21"/>
                <w:highlight w:val="none"/>
              </w:rPr>
              <w:t>～60GHz</w:t>
            </w:r>
          </w:p>
        </w:tc>
        <w:tc>
          <w:tcPr>
            <w:tcW w:w="1340"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BJ500</w:t>
            </w:r>
          </w:p>
        </w:tc>
        <w:tc>
          <w:tcPr>
            <w:tcW w:w="1254"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p>
        </w:tc>
        <w:tc>
          <w:tcPr>
            <w:tcW w:w="2085"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40GHz</w:t>
            </w:r>
            <w:r>
              <w:rPr>
                <w:rFonts w:hint="eastAsia" w:ascii="宋体" w:hAnsi="宋体" w:eastAsia="宋体" w:cs="宋体"/>
                <w:color w:val="auto"/>
                <w:spacing w:val="-18"/>
                <w:kern w:val="21"/>
                <w:sz w:val="21"/>
                <w:szCs w:val="21"/>
                <w:highlight w:val="none"/>
              </w:rPr>
              <w:t>～60GHz</w:t>
            </w:r>
          </w:p>
        </w:tc>
        <w:tc>
          <w:tcPr>
            <w:tcW w:w="1327"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BJ500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49"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p>
        </w:tc>
        <w:tc>
          <w:tcPr>
            <w:tcW w:w="2273"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50GHz</w:t>
            </w:r>
            <w:r>
              <w:rPr>
                <w:rFonts w:hint="eastAsia" w:ascii="宋体" w:hAnsi="宋体" w:eastAsia="宋体" w:cs="宋体"/>
                <w:color w:val="auto"/>
                <w:spacing w:val="-18"/>
                <w:kern w:val="21"/>
                <w:sz w:val="21"/>
                <w:szCs w:val="21"/>
                <w:highlight w:val="none"/>
              </w:rPr>
              <w:t>～75GHz</w:t>
            </w:r>
          </w:p>
        </w:tc>
        <w:tc>
          <w:tcPr>
            <w:tcW w:w="1340"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BJ620</w:t>
            </w:r>
          </w:p>
        </w:tc>
        <w:tc>
          <w:tcPr>
            <w:tcW w:w="1254"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p>
        </w:tc>
        <w:tc>
          <w:tcPr>
            <w:tcW w:w="2085"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50GHz</w:t>
            </w:r>
            <w:r>
              <w:rPr>
                <w:rFonts w:hint="eastAsia" w:ascii="宋体" w:hAnsi="宋体" w:eastAsia="宋体" w:cs="宋体"/>
                <w:color w:val="auto"/>
                <w:spacing w:val="-18"/>
                <w:kern w:val="21"/>
                <w:sz w:val="21"/>
                <w:szCs w:val="21"/>
                <w:highlight w:val="none"/>
              </w:rPr>
              <w:t>～75GHz</w:t>
            </w:r>
          </w:p>
        </w:tc>
        <w:tc>
          <w:tcPr>
            <w:tcW w:w="1327"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BJ620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49"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p>
        </w:tc>
        <w:tc>
          <w:tcPr>
            <w:tcW w:w="2273"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75GHz</w:t>
            </w:r>
            <w:r>
              <w:rPr>
                <w:rFonts w:hint="eastAsia" w:ascii="宋体" w:hAnsi="宋体" w:eastAsia="宋体" w:cs="宋体"/>
                <w:color w:val="auto"/>
                <w:spacing w:val="-18"/>
                <w:kern w:val="21"/>
                <w:sz w:val="21"/>
                <w:szCs w:val="21"/>
                <w:highlight w:val="none"/>
              </w:rPr>
              <w:t>～110GHz</w:t>
            </w:r>
          </w:p>
        </w:tc>
        <w:tc>
          <w:tcPr>
            <w:tcW w:w="1340"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BJ900</w:t>
            </w:r>
          </w:p>
        </w:tc>
        <w:tc>
          <w:tcPr>
            <w:tcW w:w="1254"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p>
        </w:tc>
        <w:tc>
          <w:tcPr>
            <w:tcW w:w="2085"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75GHz</w:t>
            </w:r>
            <w:r>
              <w:rPr>
                <w:rFonts w:hint="eastAsia" w:ascii="宋体" w:hAnsi="宋体" w:eastAsia="宋体" w:cs="宋体"/>
                <w:color w:val="auto"/>
                <w:spacing w:val="-18"/>
                <w:kern w:val="21"/>
                <w:sz w:val="21"/>
                <w:szCs w:val="21"/>
                <w:highlight w:val="none"/>
              </w:rPr>
              <w:t>～110GHz</w:t>
            </w:r>
          </w:p>
        </w:tc>
        <w:tc>
          <w:tcPr>
            <w:tcW w:w="1327" w:type="dxa"/>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BJ900</w:t>
            </w:r>
          </w:p>
        </w:tc>
      </w:tr>
    </w:tbl>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right="0" w:rightChars="0"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系统微波暗室：</w:t>
      </w:r>
    </w:p>
    <w:tbl>
      <w:tblPr>
        <w:tblStyle w:val="22"/>
        <w:tblW w:w="9468" w:type="dxa"/>
        <w:tblInd w:w="0" w:type="dxa"/>
        <w:tblBorders>
          <w:top w:val="dotted" w:color="000000" w:sz="4" w:space="0"/>
          <w:left w:val="dotted" w:color="000000" w:sz="4" w:space="0"/>
          <w:bottom w:val="dotted" w:color="000000" w:sz="4" w:space="0"/>
          <w:right w:val="dotted" w:color="000000" w:sz="4" w:space="0"/>
          <w:insideH w:val="dotted" w:color="000000" w:sz="4" w:space="0"/>
          <w:insideV w:val="dotted" w:color="000000" w:sz="4" w:space="0"/>
        </w:tblBorders>
        <w:tblLayout w:type="fixed"/>
        <w:tblCellMar>
          <w:top w:w="57" w:type="dxa"/>
          <w:left w:w="28" w:type="dxa"/>
          <w:bottom w:w="57" w:type="dxa"/>
          <w:right w:w="28" w:type="dxa"/>
        </w:tblCellMar>
      </w:tblPr>
      <w:tblGrid>
        <w:gridCol w:w="2198"/>
        <w:gridCol w:w="7270"/>
      </w:tblGrid>
      <w:tr>
        <w:tblPrEx>
          <w:tblBorders>
            <w:top w:val="dotted" w:color="000000" w:sz="4" w:space="0"/>
            <w:left w:val="dotted" w:color="000000" w:sz="4" w:space="0"/>
            <w:bottom w:val="dotted" w:color="000000" w:sz="4" w:space="0"/>
            <w:right w:val="dotted" w:color="000000" w:sz="4" w:space="0"/>
            <w:insideH w:val="dotted" w:color="000000" w:sz="4" w:space="0"/>
            <w:insideV w:val="dotted" w:color="000000" w:sz="4" w:space="0"/>
          </w:tblBorders>
          <w:tblLayout w:type="fixed"/>
          <w:tblCellMar>
            <w:top w:w="57" w:type="dxa"/>
            <w:left w:w="28" w:type="dxa"/>
            <w:bottom w:w="57" w:type="dxa"/>
            <w:right w:w="28" w:type="dxa"/>
          </w:tblCellMar>
        </w:tblPrEx>
        <w:tc>
          <w:tcPr>
            <w:tcW w:w="219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微波暗室尺寸</w:t>
            </w:r>
          </w:p>
        </w:tc>
        <w:tc>
          <w:tcPr>
            <w:tcW w:w="727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firstLine="75" w:firstLineChars="36"/>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长×宽×髙=</w:t>
            </w:r>
            <w:r>
              <w:rPr>
                <w:rFonts w:hint="eastAsia" w:ascii="宋体" w:hAnsi="宋体" w:cs="宋体"/>
                <w:color w:val="auto"/>
                <w:sz w:val="21"/>
                <w:szCs w:val="21"/>
                <w:highlight w:val="none"/>
                <w:lang w:val="en-US" w:eastAsia="zh-CN"/>
              </w:rPr>
              <w:t>约</w:t>
            </w:r>
            <w:r>
              <w:rPr>
                <w:rFonts w:hint="eastAsia" w:ascii="宋体" w:hAnsi="宋体" w:eastAsia="宋体" w:cs="宋体"/>
                <w:color w:val="auto"/>
                <w:sz w:val="21"/>
                <w:szCs w:val="21"/>
                <w:highlight w:val="none"/>
              </w:rPr>
              <w:t>12m×6m×6m</w:t>
            </w:r>
          </w:p>
        </w:tc>
      </w:tr>
      <w:tr>
        <w:tblPrEx>
          <w:tblBorders>
            <w:top w:val="dotted" w:color="000000" w:sz="4" w:space="0"/>
            <w:left w:val="dotted" w:color="000000" w:sz="4" w:space="0"/>
            <w:bottom w:val="dotted" w:color="000000" w:sz="4" w:space="0"/>
            <w:right w:val="dotted" w:color="000000" w:sz="4" w:space="0"/>
            <w:insideH w:val="dotted" w:color="000000" w:sz="4" w:space="0"/>
            <w:insideV w:val="dotted" w:color="000000" w:sz="4" w:space="0"/>
          </w:tblBorders>
          <w:tblLayout w:type="fixed"/>
          <w:tblCellMar>
            <w:top w:w="57" w:type="dxa"/>
            <w:left w:w="28" w:type="dxa"/>
            <w:bottom w:w="57" w:type="dxa"/>
            <w:right w:w="28" w:type="dxa"/>
          </w:tblCellMar>
        </w:tblPrEx>
        <w:tc>
          <w:tcPr>
            <w:tcW w:w="219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工作频率</w:t>
            </w:r>
          </w:p>
        </w:tc>
        <w:tc>
          <w:tcPr>
            <w:tcW w:w="727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firstLine="75" w:firstLineChars="36"/>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1.72GHz～110GHz</w:t>
            </w:r>
          </w:p>
        </w:tc>
      </w:tr>
      <w:tr>
        <w:tblPrEx>
          <w:tblBorders>
            <w:top w:val="dotted" w:color="000000" w:sz="4" w:space="0"/>
            <w:left w:val="dotted" w:color="000000" w:sz="4" w:space="0"/>
            <w:bottom w:val="dotted" w:color="000000" w:sz="4" w:space="0"/>
            <w:right w:val="dotted" w:color="000000" w:sz="4" w:space="0"/>
            <w:insideH w:val="dotted" w:color="000000" w:sz="4" w:space="0"/>
            <w:insideV w:val="dotted" w:color="000000" w:sz="4" w:space="0"/>
          </w:tblBorders>
          <w:tblLayout w:type="fixed"/>
          <w:tblCellMar>
            <w:top w:w="57" w:type="dxa"/>
            <w:left w:w="28" w:type="dxa"/>
            <w:bottom w:w="57" w:type="dxa"/>
            <w:right w:w="28" w:type="dxa"/>
          </w:tblCellMar>
        </w:tblPrEx>
        <w:tc>
          <w:tcPr>
            <w:tcW w:w="219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屏蔽性能</w:t>
            </w:r>
          </w:p>
        </w:tc>
        <w:tc>
          <w:tcPr>
            <w:tcW w:w="727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firstLine="75" w:firstLineChars="36"/>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≥80dB</w:t>
            </w:r>
          </w:p>
        </w:tc>
      </w:tr>
      <w:tr>
        <w:tblPrEx>
          <w:tblBorders>
            <w:top w:val="dotted" w:color="000000" w:sz="4" w:space="0"/>
            <w:left w:val="dotted" w:color="000000" w:sz="4" w:space="0"/>
            <w:bottom w:val="dotted" w:color="000000" w:sz="4" w:space="0"/>
            <w:right w:val="dotted" w:color="000000" w:sz="4" w:space="0"/>
            <w:insideH w:val="dotted" w:color="000000" w:sz="4" w:space="0"/>
            <w:insideV w:val="dotted" w:color="000000" w:sz="4" w:space="0"/>
          </w:tblBorders>
          <w:tblLayout w:type="fixed"/>
          <w:tblCellMar>
            <w:top w:w="57" w:type="dxa"/>
            <w:left w:w="28" w:type="dxa"/>
            <w:bottom w:w="57" w:type="dxa"/>
            <w:right w:w="28" w:type="dxa"/>
          </w:tblCellMar>
        </w:tblPrEx>
        <w:tc>
          <w:tcPr>
            <w:tcW w:w="219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静区反射电平</w:t>
            </w:r>
          </w:p>
        </w:tc>
        <w:tc>
          <w:tcPr>
            <w:tcW w:w="727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firstLine="75" w:firstLineChars="36"/>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-40dB</w:t>
            </w:r>
          </w:p>
        </w:tc>
      </w:tr>
      <w:tr>
        <w:tblPrEx>
          <w:tblBorders>
            <w:top w:val="dotted" w:color="000000" w:sz="4" w:space="0"/>
            <w:left w:val="dotted" w:color="000000" w:sz="4" w:space="0"/>
            <w:bottom w:val="dotted" w:color="000000" w:sz="4" w:space="0"/>
            <w:right w:val="dotted" w:color="000000" w:sz="4" w:space="0"/>
            <w:insideH w:val="dotted" w:color="000000" w:sz="4" w:space="0"/>
            <w:insideV w:val="dotted" w:color="000000" w:sz="4" w:space="0"/>
          </w:tblBorders>
          <w:tblLayout w:type="fixed"/>
          <w:tblCellMar>
            <w:top w:w="57" w:type="dxa"/>
            <w:left w:w="28" w:type="dxa"/>
            <w:bottom w:w="57" w:type="dxa"/>
            <w:right w:w="28" w:type="dxa"/>
          </w:tblCellMar>
        </w:tblPrEx>
        <w:tc>
          <w:tcPr>
            <w:tcW w:w="219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测试天线最大口径</w:t>
            </w:r>
          </w:p>
        </w:tc>
        <w:tc>
          <w:tcPr>
            <w:tcW w:w="727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firstLine="75" w:firstLineChars="36"/>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宽×髙=1m×1m</w:t>
            </w:r>
          </w:p>
        </w:tc>
      </w:tr>
    </w:tbl>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right="0" w:rightChars="0" w:firstLine="420" w:firstLineChars="200"/>
        <w:textAlignment w:val="auto"/>
        <w:outlineLvl w:val="9"/>
        <w:rPr>
          <w:rFonts w:hint="eastAsia" w:ascii="宋体" w:hAnsi="宋体" w:cs="宋体"/>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right="0" w:rightChars="0" w:firstLine="420" w:firstLineChars="200"/>
        <w:textAlignment w:val="auto"/>
        <w:outlineLvl w:val="9"/>
        <w:rPr>
          <w:rFonts w:hint="eastAsia" w:ascii="宋体" w:hAnsi="宋体" w:cs="宋体"/>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right="0" w:rightChars="0"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系统扫描架：</w:t>
      </w:r>
    </w:p>
    <w:tbl>
      <w:tblPr>
        <w:tblStyle w:val="22"/>
        <w:tblW w:w="9526" w:type="dxa"/>
        <w:tblInd w:w="0" w:type="dxa"/>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57" w:type="dxa"/>
          <w:bottom w:w="57" w:type="dxa"/>
          <w:right w:w="57" w:type="dxa"/>
        </w:tblCellMar>
      </w:tblPr>
      <w:tblGrid>
        <w:gridCol w:w="2446"/>
        <w:gridCol w:w="1769"/>
        <w:gridCol w:w="1770"/>
        <w:gridCol w:w="1771"/>
        <w:gridCol w:w="1770"/>
      </w:tblGrid>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57" w:type="dxa"/>
            <w:bottom w:w="57" w:type="dxa"/>
            <w:right w:w="57" w:type="dxa"/>
          </w:tblCellMar>
        </w:tblPrEx>
        <w:trPr>
          <w:trHeight w:val="57" w:hRule="atLeast"/>
        </w:trPr>
        <w:tc>
          <w:tcPr>
            <w:tcW w:w="2446" w:type="dxa"/>
            <w:tcBorders>
              <w:tl2br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hanging="424" w:hangingChars="202"/>
              <w:textAlignment w:val="auto"/>
              <w:rPr>
                <w:rFonts w:hint="eastAsia" w:ascii="宋体" w:hAnsi="宋体" w:eastAsia="宋体" w:cs="宋体"/>
                <w:caps/>
                <w:color w:val="auto"/>
                <w:sz w:val="21"/>
                <w:szCs w:val="21"/>
                <w:highlight w:val="none"/>
              </w:rPr>
            </w:pPr>
            <w:r>
              <w:rPr>
                <w:rFonts w:hint="eastAsia" w:ascii="宋体" w:hAnsi="宋体" w:eastAsia="宋体" w:cs="宋体"/>
                <w:caps/>
                <w:color w:val="auto"/>
                <w:sz w:val="21"/>
                <w:szCs w:val="21"/>
                <w:highlight w:val="none"/>
              </w:rPr>
              <w:t xml:space="preserve">           轴号</w:t>
            </w:r>
          </w:p>
          <w:p>
            <w:pPr>
              <w:keepNext w:val="0"/>
              <w:keepLines w:val="0"/>
              <w:pageBreakBefore w:val="0"/>
              <w:widowControl w:val="0"/>
              <w:kinsoku/>
              <w:wordWrap/>
              <w:overflowPunct/>
              <w:topLinePunct w:val="0"/>
              <w:autoSpaceDE/>
              <w:autoSpaceDN/>
              <w:bidi w:val="0"/>
              <w:adjustRightInd/>
              <w:snapToGrid w:val="0"/>
              <w:spacing w:line="288" w:lineRule="auto"/>
              <w:ind w:left="0" w:right="0" w:rightChars="0" w:hanging="424" w:hangingChars="202"/>
              <w:textAlignment w:val="auto"/>
              <w:rPr>
                <w:rFonts w:hint="eastAsia" w:ascii="宋体" w:hAnsi="宋体" w:eastAsia="宋体" w:cs="宋体"/>
                <w:caps/>
                <w:color w:val="auto"/>
                <w:sz w:val="21"/>
                <w:szCs w:val="21"/>
                <w:highlight w:val="none"/>
              </w:rPr>
            </w:pPr>
            <w:r>
              <w:rPr>
                <w:rFonts w:hint="eastAsia" w:ascii="宋体" w:hAnsi="宋体" w:eastAsia="宋体" w:cs="宋体"/>
                <w:caps/>
                <w:color w:val="auto"/>
                <w:sz w:val="21"/>
                <w:szCs w:val="21"/>
                <w:highlight w:val="none"/>
              </w:rPr>
              <w:t xml:space="preserve"> 名称</w:t>
            </w:r>
          </w:p>
        </w:tc>
        <w:tc>
          <w:tcPr>
            <w:tcW w:w="1769"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hanging="424" w:hangingChars="202"/>
              <w:jc w:val="center"/>
              <w:textAlignment w:val="auto"/>
              <w:rPr>
                <w:rFonts w:hint="eastAsia" w:ascii="宋体" w:hAnsi="宋体" w:eastAsia="宋体" w:cs="宋体"/>
                <w:caps/>
                <w:color w:val="auto"/>
                <w:sz w:val="21"/>
                <w:szCs w:val="21"/>
                <w:highlight w:val="none"/>
              </w:rPr>
            </w:pPr>
            <w:r>
              <w:rPr>
                <w:rFonts w:hint="eastAsia" w:ascii="宋体" w:hAnsi="宋体" w:eastAsia="宋体" w:cs="宋体"/>
                <w:caps/>
                <w:color w:val="auto"/>
                <w:sz w:val="21"/>
                <w:szCs w:val="21"/>
                <w:highlight w:val="none"/>
              </w:rPr>
              <w:t>X轴</w:t>
            </w:r>
          </w:p>
        </w:tc>
        <w:tc>
          <w:tcPr>
            <w:tcW w:w="1770"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hanging="424" w:hangingChars="202"/>
              <w:jc w:val="center"/>
              <w:textAlignment w:val="auto"/>
              <w:rPr>
                <w:rFonts w:hint="eastAsia" w:ascii="宋体" w:hAnsi="宋体" w:eastAsia="宋体" w:cs="宋体"/>
                <w:caps/>
                <w:color w:val="auto"/>
                <w:sz w:val="21"/>
                <w:szCs w:val="21"/>
                <w:highlight w:val="none"/>
              </w:rPr>
            </w:pPr>
            <w:r>
              <w:rPr>
                <w:rFonts w:hint="eastAsia" w:ascii="宋体" w:hAnsi="宋体" w:eastAsia="宋体" w:cs="宋体"/>
                <w:caps/>
                <w:color w:val="auto"/>
                <w:sz w:val="21"/>
                <w:szCs w:val="21"/>
                <w:highlight w:val="none"/>
              </w:rPr>
              <w:t>Y轴</w:t>
            </w:r>
          </w:p>
        </w:tc>
        <w:tc>
          <w:tcPr>
            <w:tcW w:w="1771"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hanging="424" w:hangingChars="202"/>
              <w:jc w:val="center"/>
              <w:textAlignment w:val="auto"/>
              <w:rPr>
                <w:rFonts w:hint="eastAsia" w:ascii="宋体" w:hAnsi="宋体" w:eastAsia="宋体" w:cs="宋体"/>
                <w:caps/>
                <w:color w:val="auto"/>
                <w:sz w:val="21"/>
                <w:szCs w:val="21"/>
                <w:highlight w:val="none"/>
              </w:rPr>
            </w:pPr>
            <w:r>
              <w:rPr>
                <w:rFonts w:hint="eastAsia" w:ascii="宋体" w:hAnsi="宋体" w:eastAsia="宋体" w:cs="宋体"/>
                <w:caps/>
                <w:color w:val="auto"/>
                <w:sz w:val="21"/>
                <w:szCs w:val="21"/>
                <w:highlight w:val="none"/>
              </w:rPr>
              <w:t>Z轴</w:t>
            </w:r>
          </w:p>
        </w:tc>
        <w:tc>
          <w:tcPr>
            <w:tcW w:w="1770"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hanging="424" w:hangingChars="202"/>
              <w:jc w:val="center"/>
              <w:textAlignment w:val="auto"/>
              <w:rPr>
                <w:rFonts w:hint="eastAsia" w:ascii="宋体" w:hAnsi="宋体" w:eastAsia="宋体" w:cs="宋体"/>
                <w:caps/>
                <w:color w:val="auto"/>
                <w:sz w:val="21"/>
                <w:szCs w:val="21"/>
                <w:highlight w:val="none"/>
              </w:rPr>
            </w:pPr>
            <w:r>
              <w:rPr>
                <w:rFonts w:hint="eastAsia" w:ascii="宋体" w:hAnsi="宋体" w:eastAsia="宋体" w:cs="宋体"/>
                <w:caps/>
                <w:color w:val="auto"/>
                <w:sz w:val="21"/>
                <w:szCs w:val="21"/>
                <w:highlight w:val="none"/>
              </w:rPr>
              <w:t>P轴</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57" w:type="dxa"/>
            <w:bottom w:w="57" w:type="dxa"/>
            <w:right w:w="57" w:type="dxa"/>
          </w:tblCellMar>
        </w:tblPrEx>
        <w:trPr>
          <w:trHeight w:val="23" w:hRule="atLeast"/>
        </w:trPr>
        <w:tc>
          <w:tcPr>
            <w:tcW w:w="2446" w:type="dxa"/>
            <w:noWrap w:val="0"/>
            <w:vAlign w:val="top"/>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hanging="424" w:hangingChars="202"/>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Z轴最大负载（Kg)</w:t>
            </w:r>
          </w:p>
        </w:tc>
        <w:tc>
          <w:tcPr>
            <w:tcW w:w="1769"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sz w:val="21"/>
                <w:szCs w:val="21"/>
                <w:highlight w:val="none"/>
              </w:rPr>
            </w:pPr>
          </w:p>
        </w:tc>
        <w:tc>
          <w:tcPr>
            <w:tcW w:w="1770"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sz w:val="21"/>
                <w:szCs w:val="21"/>
                <w:highlight w:val="none"/>
              </w:rPr>
            </w:pPr>
          </w:p>
        </w:tc>
        <w:tc>
          <w:tcPr>
            <w:tcW w:w="1771"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20</w:t>
            </w:r>
          </w:p>
        </w:tc>
        <w:tc>
          <w:tcPr>
            <w:tcW w:w="1770"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sz w:val="21"/>
                <w:szCs w:val="21"/>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57" w:type="dxa"/>
            <w:bottom w:w="57" w:type="dxa"/>
            <w:right w:w="57" w:type="dxa"/>
          </w:tblCellMar>
        </w:tblPrEx>
        <w:trPr>
          <w:trHeight w:val="23" w:hRule="atLeast"/>
        </w:trPr>
        <w:tc>
          <w:tcPr>
            <w:tcW w:w="2446" w:type="dxa"/>
            <w:noWrap w:val="0"/>
            <w:vAlign w:val="top"/>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hanging="424" w:hangingChars="202"/>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有效工作行程</w:t>
            </w:r>
          </w:p>
        </w:tc>
        <w:tc>
          <w:tcPr>
            <w:tcW w:w="1769"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3m</w:t>
            </w:r>
          </w:p>
        </w:tc>
        <w:tc>
          <w:tcPr>
            <w:tcW w:w="1770"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2m</w:t>
            </w:r>
          </w:p>
        </w:tc>
        <w:tc>
          <w:tcPr>
            <w:tcW w:w="1771"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0.25m</w:t>
            </w:r>
          </w:p>
        </w:tc>
        <w:tc>
          <w:tcPr>
            <w:tcW w:w="1770"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±180 °</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57" w:type="dxa"/>
            <w:bottom w:w="57" w:type="dxa"/>
            <w:right w:w="57" w:type="dxa"/>
          </w:tblCellMar>
        </w:tblPrEx>
        <w:tc>
          <w:tcPr>
            <w:tcW w:w="2446" w:type="dxa"/>
            <w:noWrap w:val="0"/>
            <w:vAlign w:val="top"/>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hanging="424" w:hangingChars="202"/>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扫描速度</w:t>
            </w:r>
          </w:p>
        </w:tc>
        <w:tc>
          <w:tcPr>
            <w:tcW w:w="1769"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100mm/s</w:t>
            </w:r>
          </w:p>
        </w:tc>
        <w:tc>
          <w:tcPr>
            <w:tcW w:w="1770"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100mm/s</w:t>
            </w:r>
          </w:p>
        </w:tc>
        <w:tc>
          <w:tcPr>
            <w:tcW w:w="1771"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20mm/s</w:t>
            </w:r>
          </w:p>
        </w:tc>
        <w:tc>
          <w:tcPr>
            <w:tcW w:w="1770"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10°/s</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57" w:type="dxa"/>
            <w:bottom w:w="57" w:type="dxa"/>
            <w:right w:w="57" w:type="dxa"/>
          </w:tblCellMar>
        </w:tblPrEx>
        <w:trPr>
          <w:trHeight w:val="23" w:hRule="atLeast"/>
        </w:trPr>
        <w:tc>
          <w:tcPr>
            <w:tcW w:w="2446" w:type="dxa"/>
            <w:noWrap w:val="0"/>
            <w:vAlign w:val="top"/>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hanging="424" w:hangingChars="202"/>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重复定位精度</w:t>
            </w:r>
          </w:p>
        </w:tc>
        <w:tc>
          <w:tcPr>
            <w:tcW w:w="5310" w:type="dxa"/>
            <w:gridSpan w:val="3"/>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0.05mm</w:t>
            </w:r>
          </w:p>
        </w:tc>
        <w:tc>
          <w:tcPr>
            <w:tcW w:w="1770"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0.1 °</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57" w:type="dxa"/>
            <w:bottom w:w="57" w:type="dxa"/>
            <w:right w:w="57" w:type="dxa"/>
          </w:tblCellMar>
        </w:tblPrEx>
        <w:trPr>
          <w:trHeight w:val="23" w:hRule="atLeast"/>
        </w:trPr>
        <w:tc>
          <w:tcPr>
            <w:tcW w:w="2446" w:type="dxa"/>
            <w:noWrap w:val="0"/>
            <w:vAlign w:val="top"/>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hanging="424" w:hangingChars="202"/>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分辨率</w:t>
            </w:r>
          </w:p>
        </w:tc>
        <w:tc>
          <w:tcPr>
            <w:tcW w:w="5310" w:type="dxa"/>
            <w:gridSpan w:val="3"/>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0.005mm</w:t>
            </w:r>
          </w:p>
        </w:tc>
        <w:tc>
          <w:tcPr>
            <w:tcW w:w="1770"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0.1 °</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57" w:type="dxa"/>
            <w:bottom w:w="57" w:type="dxa"/>
            <w:right w:w="57" w:type="dxa"/>
          </w:tblCellMar>
        </w:tblPrEx>
        <w:trPr>
          <w:trHeight w:val="23" w:hRule="atLeast"/>
        </w:trPr>
        <w:tc>
          <w:tcPr>
            <w:tcW w:w="2446" w:type="dxa"/>
            <w:noWrap w:val="0"/>
            <w:vAlign w:val="top"/>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hanging="424" w:hangingChars="202"/>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平面度（RMS）</w:t>
            </w:r>
          </w:p>
        </w:tc>
        <w:tc>
          <w:tcPr>
            <w:tcW w:w="7080" w:type="dxa"/>
            <w:gridSpan w:val="4"/>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0.05mm</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57" w:type="dxa"/>
            <w:bottom w:w="57" w:type="dxa"/>
            <w:right w:w="57" w:type="dxa"/>
          </w:tblCellMar>
        </w:tblPrEx>
        <w:trPr>
          <w:trHeight w:val="23" w:hRule="atLeast"/>
        </w:trPr>
        <w:tc>
          <w:tcPr>
            <w:tcW w:w="2446" w:type="dxa"/>
            <w:noWrap w:val="0"/>
            <w:vAlign w:val="top"/>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hanging="424" w:hangingChars="202"/>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控制接口</w:t>
            </w:r>
          </w:p>
        </w:tc>
        <w:tc>
          <w:tcPr>
            <w:tcW w:w="7080" w:type="dxa"/>
            <w:gridSpan w:val="4"/>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串口（RS232)或网口（LAN）</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28" w:type="dxa"/>
            <w:bottom w:w="57" w:type="dxa"/>
            <w:right w:w="28" w:type="dxa"/>
          </w:tblCellMar>
        </w:tblPrEx>
        <w:trPr>
          <w:trHeight w:val="37" w:hRule="atLeast"/>
        </w:trPr>
        <w:tc>
          <w:tcPr>
            <w:tcW w:w="2446"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脉冲输出</w:t>
            </w:r>
          </w:p>
        </w:tc>
        <w:tc>
          <w:tcPr>
            <w:tcW w:w="7080" w:type="dxa"/>
            <w:gridSpan w:val="4"/>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根据设置转角移动间隔，输出TTL电平脉冲（上升沿/下降沿≤10ns，脉宽10μs，到位脉冲时间准确，波形干净、无杂波），对应任意设定的步进角度输出脉冲；接口形式：BNC-K</w:t>
            </w:r>
          </w:p>
        </w:tc>
      </w:tr>
    </w:tbl>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right="0" w:rightChars="0"/>
        <w:textAlignment w:val="auto"/>
        <w:outlineLvl w:val="9"/>
        <w:rPr>
          <w:rFonts w:hint="eastAsia" w:ascii="宋体" w:hAnsi="宋体" w:eastAsia="宋体" w:cs="宋体"/>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right="0" w:rightChars="0"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系统转台：</w:t>
      </w:r>
    </w:p>
    <w:tbl>
      <w:tblPr>
        <w:tblStyle w:val="22"/>
        <w:tblW w:w="9468" w:type="dxa"/>
        <w:tblInd w:w="0" w:type="dxa"/>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28" w:type="dxa"/>
          <w:bottom w:w="57" w:type="dxa"/>
          <w:right w:w="28" w:type="dxa"/>
        </w:tblCellMar>
      </w:tblPr>
      <w:tblGrid>
        <w:gridCol w:w="1859"/>
        <w:gridCol w:w="2198"/>
        <w:gridCol w:w="5411"/>
      </w:tblGrid>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28" w:type="dxa"/>
            <w:bottom w:w="57" w:type="dxa"/>
            <w:right w:w="28" w:type="dxa"/>
          </w:tblCellMar>
        </w:tblPrEx>
        <w:tc>
          <w:tcPr>
            <w:tcW w:w="1859"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转台轴</w:t>
            </w:r>
          </w:p>
        </w:tc>
        <w:tc>
          <w:tcPr>
            <w:tcW w:w="7609" w:type="dxa"/>
            <w:gridSpan w:val="2"/>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导轨、下方位、</w:t>
            </w:r>
            <w:r>
              <w:rPr>
                <w:rFonts w:hint="eastAsia" w:ascii="宋体" w:hAnsi="宋体" w:eastAsia="宋体" w:cs="宋体"/>
                <w:color w:val="auto"/>
                <w:sz w:val="21"/>
                <w:szCs w:val="21"/>
                <w:highlight w:val="none"/>
              </w:rPr>
              <w:t>俯仰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手动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、X轴、上滚动</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28" w:type="dxa"/>
            <w:bottom w:w="57" w:type="dxa"/>
            <w:right w:w="28" w:type="dxa"/>
          </w:tblCellMar>
        </w:tblPrEx>
        <w:trPr>
          <w:trHeight w:val="23" w:hRule="atLeast"/>
        </w:trPr>
        <w:tc>
          <w:tcPr>
            <w:tcW w:w="1859"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旋转关节频率</w:t>
            </w:r>
          </w:p>
        </w:tc>
        <w:tc>
          <w:tcPr>
            <w:tcW w:w="7609" w:type="dxa"/>
            <w:gridSpan w:val="2"/>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DC～40GHz</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28" w:type="dxa"/>
            <w:bottom w:w="57" w:type="dxa"/>
            <w:right w:w="28" w:type="dxa"/>
          </w:tblCellMar>
        </w:tblPrEx>
        <w:tc>
          <w:tcPr>
            <w:tcW w:w="1859"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X轴（导轨）</w:t>
            </w:r>
          </w:p>
        </w:tc>
        <w:tc>
          <w:tcPr>
            <w:tcW w:w="2198" w:type="dxa"/>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导轨长度</w:t>
            </w:r>
          </w:p>
        </w:tc>
        <w:tc>
          <w:tcPr>
            <w:tcW w:w="5411"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8m</w:t>
            </w:r>
            <w:r>
              <w:rPr>
                <w:rFonts w:hint="eastAsia" w:ascii="宋体" w:hAnsi="宋体" w:eastAsia="宋体" w:cs="宋体"/>
                <w:color w:val="auto"/>
                <w:sz w:val="21"/>
                <w:szCs w:val="21"/>
                <w:highlight w:val="none"/>
              </w:rPr>
              <w:t>（根据暗室尺寸可调整）</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28" w:type="dxa"/>
            <w:bottom w:w="57" w:type="dxa"/>
            <w:right w:w="28" w:type="dxa"/>
          </w:tblCellMar>
        </w:tblPrEx>
        <w:tc>
          <w:tcPr>
            <w:tcW w:w="1859" w:type="dxa"/>
            <w:vMerge w:val="continue"/>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p>
        </w:tc>
        <w:tc>
          <w:tcPr>
            <w:tcW w:w="2198" w:type="dxa"/>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移动距离</w:t>
            </w:r>
          </w:p>
        </w:tc>
        <w:tc>
          <w:tcPr>
            <w:tcW w:w="5411"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0.1～8m</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28" w:type="dxa"/>
            <w:bottom w:w="57" w:type="dxa"/>
            <w:right w:w="28" w:type="dxa"/>
          </w:tblCellMar>
        </w:tblPrEx>
        <w:tc>
          <w:tcPr>
            <w:tcW w:w="1859" w:type="dxa"/>
            <w:vMerge w:val="continue"/>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p>
        </w:tc>
        <w:tc>
          <w:tcPr>
            <w:tcW w:w="2198" w:type="dxa"/>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重复定位精度</w:t>
            </w:r>
          </w:p>
        </w:tc>
        <w:tc>
          <w:tcPr>
            <w:tcW w:w="5411"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≤0.1mm</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28" w:type="dxa"/>
            <w:bottom w:w="57" w:type="dxa"/>
            <w:right w:w="28" w:type="dxa"/>
          </w:tblCellMar>
        </w:tblPrEx>
        <w:trPr>
          <w:trHeight w:val="90" w:hRule="atLeast"/>
        </w:trPr>
        <w:tc>
          <w:tcPr>
            <w:tcW w:w="1859"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方位轴</w:t>
            </w:r>
          </w:p>
        </w:tc>
        <w:tc>
          <w:tcPr>
            <w:tcW w:w="2198" w:type="dxa"/>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转动速度</w:t>
            </w:r>
          </w:p>
        </w:tc>
        <w:tc>
          <w:tcPr>
            <w:tcW w:w="5411"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0.5～10°/s</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28" w:type="dxa"/>
            <w:bottom w:w="57" w:type="dxa"/>
            <w:right w:w="28" w:type="dxa"/>
          </w:tblCellMar>
        </w:tblPrEx>
        <w:trPr>
          <w:trHeight w:val="90" w:hRule="atLeast"/>
        </w:trPr>
        <w:tc>
          <w:tcPr>
            <w:tcW w:w="1859" w:type="dxa"/>
            <w:vMerge w:val="continue"/>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p>
        </w:tc>
        <w:tc>
          <w:tcPr>
            <w:tcW w:w="2198"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转动范围</w:t>
            </w:r>
          </w:p>
        </w:tc>
        <w:tc>
          <w:tcPr>
            <w:tcW w:w="5411"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+180°～-180°、正中对准扫描架为零位</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28" w:type="dxa"/>
            <w:bottom w:w="57" w:type="dxa"/>
            <w:right w:w="28" w:type="dxa"/>
          </w:tblCellMar>
        </w:tblPrEx>
        <w:trPr>
          <w:trHeight w:val="90" w:hRule="atLeast"/>
        </w:trPr>
        <w:tc>
          <w:tcPr>
            <w:tcW w:w="1859" w:type="dxa"/>
            <w:vMerge w:val="continue"/>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p>
        </w:tc>
        <w:tc>
          <w:tcPr>
            <w:tcW w:w="2198"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重复定位精度</w:t>
            </w:r>
          </w:p>
        </w:tc>
        <w:tc>
          <w:tcPr>
            <w:tcW w:w="5411"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≤0.05°</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28" w:type="dxa"/>
            <w:bottom w:w="57" w:type="dxa"/>
            <w:right w:w="28" w:type="dxa"/>
          </w:tblCellMar>
        </w:tblPrEx>
        <w:trPr>
          <w:trHeight w:val="90" w:hRule="atLeast"/>
        </w:trPr>
        <w:tc>
          <w:tcPr>
            <w:tcW w:w="1859" w:type="dxa"/>
            <w:vMerge w:val="continue"/>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p>
        </w:tc>
        <w:tc>
          <w:tcPr>
            <w:tcW w:w="2198"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承重</w:t>
            </w:r>
          </w:p>
        </w:tc>
        <w:tc>
          <w:tcPr>
            <w:tcW w:w="5411"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00kg</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28" w:type="dxa"/>
            <w:bottom w:w="57" w:type="dxa"/>
            <w:right w:w="28" w:type="dxa"/>
          </w:tblCellMar>
        </w:tblPrEx>
        <w:trPr>
          <w:trHeight w:val="90" w:hRule="atLeast"/>
        </w:trPr>
        <w:tc>
          <w:tcPr>
            <w:tcW w:w="1859"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俯仰轴</w:t>
            </w:r>
          </w:p>
        </w:tc>
        <w:tc>
          <w:tcPr>
            <w:tcW w:w="2198" w:type="dxa"/>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转动速度</w:t>
            </w:r>
          </w:p>
        </w:tc>
        <w:tc>
          <w:tcPr>
            <w:tcW w:w="5411"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0.5～5°/s</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28" w:type="dxa"/>
            <w:bottom w:w="57" w:type="dxa"/>
            <w:right w:w="28" w:type="dxa"/>
          </w:tblCellMar>
        </w:tblPrEx>
        <w:trPr>
          <w:trHeight w:val="90" w:hRule="atLeast"/>
        </w:trPr>
        <w:tc>
          <w:tcPr>
            <w:tcW w:w="1859" w:type="dxa"/>
            <w:vMerge w:val="continue"/>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p>
        </w:tc>
        <w:tc>
          <w:tcPr>
            <w:tcW w:w="2198"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转动范围</w:t>
            </w:r>
          </w:p>
        </w:tc>
        <w:tc>
          <w:tcPr>
            <w:tcW w:w="5411"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-5～70°，垂直于水平面为零位</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28" w:type="dxa"/>
            <w:bottom w:w="57" w:type="dxa"/>
            <w:right w:w="28" w:type="dxa"/>
          </w:tblCellMar>
        </w:tblPrEx>
        <w:trPr>
          <w:trHeight w:val="90" w:hRule="atLeast"/>
        </w:trPr>
        <w:tc>
          <w:tcPr>
            <w:tcW w:w="1859" w:type="dxa"/>
            <w:vMerge w:val="continue"/>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p>
        </w:tc>
        <w:tc>
          <w:tcPr>
            <w:tcW w:w="2198"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重复定位精度</w:t>
            </w:r>
          </w:p>
        </w:tc>
        <w:tc>
          <w:tcPr>
            <w:tcW w:w="5411"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≤0.1°</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28" w:type="dxa"/>
            <w:bottom w:w="57" w:type="dxa"/>
            <w:right w:w="28" w:type="dxa"/>
          </w:tblCellMar>
        </w:tblPrEx>
        <w:trPr>
          <w:trHeight w:val="90" w:hRule="atLeast"/>
        </w:trPr>
        <w:tc>
          <w:tcPr>
            <w:tcW w:w="1859" w:type="dxa"/>
            <w:vMerge w:val="continue"/>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p>
        </w:tc>
        <w:tc>
          <w:tcPr>
            <w:tcW w:w="2198"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承重</w:t>
            </w:r>
          </w:p>
        </w:tc>
        <w:tc>
          <w:tcPr>
            <w:tcW w:w="5411"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≥200kg</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28" w:type="dxa"/>
            <w:bottom w:w="57" w:type="dxa"/>
            <w:right w:w="28" w:type="dxa"/>
          </w:tblCellMar>
        </w:tblPrEx>
        <w:tc>
          <w:tcPr>
            <w:tcW w:w="1859"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X轴（平动）</w:t>
            </w:r>
          </w:p>
        </w:tc>
        <w:tc>
          <w:tcPr>
            <w:tcW w:w="2198" w:type="dxa"/>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移动速度</w:t>
            </w:r>
          </w:p>
        </w:tc>
        <w:tc>
          <w:tcPr>
            <w:tcW w:w="5411"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0.5～150mm/s</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28" w:type="dxa"/>
            <w:bottom w:w="57" w:type="dxa"/>
            <w:right w:w="28" w:type="dxa"/>
          </w:tblCellMar>
        </w:tblPrEx>
        <w:tc>
          <w:tcPr>
            <w:tcW w:w="1859" w:type="dxa"/>
            <w:vMerge w:val="continue"/>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p>
        </w:tc>
        <w:tc>
          <w:tcPr>
            <w:tcW w:w="2198" w:type="dxa"/>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移动距离</w:t>
            </w:r>
          </w:p>
        </w:tc>
        <w:tc>
          <w:tcPr>
            <w:tcW w:w="5411"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0～500mm</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28" w:type="dxa"/>
            <w:bottom w:w="57" w:type="dxa"/>
            <w:right w:w="28" w:type="dxa"/>
          </w:tblCellMar>
        </w:tblPrEx>
        <w:tc>
          <w:tcPr>
            <w:tcW w:w="1859" w:type="dxa"/>
            <w:vMerge w:val="continue"/>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p>
        </w:tc>
        <w:tc>
          <w:tcPr>
            <w:tcW w:w="2198" w:type="dxa"/>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定位精度</w:t>
            </w:r>
          </w:p>
        </w:tc>
        <w:tc>
          <w:tcPr>
            <w:tcW w:w="5411"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≤0.1mm</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28" w:type="dxa"/>
            <w:bottom w:w="57" w:type="dxa"/>
            <w:right w:w="28" w:type="dxa"/>
          </w:tblCellMar>
        </w:tblPrEx>
        <w:trPr>
          <w:trHeight w:val="90" w:hRule="atLeast"/>
        </w:trPr>
        <w:tc>
          <w:tcPr>
            <w:tcW w:w="1859"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滚动轴</w:t>
            </w:r>
          </w:p>
        </w:tc>
        <w:tc>
          <w:tcPr>
            <w:tcW w:w="2198"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转动速度</w:t>
            </w:r>
          </w:p>
        </w:tc>
        <w:tc>
          <w:tcPr>
            <w:tcW w:w="5411"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0.5～5°/s</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28" w:type="dxa"/>
            <w:bottom w:w="57" w:type="dxa"/>
            <w:right w:w="28" w:type="dxa"/>
          </w:tblCellMar>
        </w:tblPrEx>
        <w:trPr>
          <w:trHeight w:val="272" w:hRule="atLeast"/>
        </w:trPr>
        <w:tc>
          <w:tcPr>
            <w:tcW w:w="1859" w:type="dxa"/>
            <w:vMerge w:val="continue"/>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p>
        </w:tc>
        <w:tc>
          <w:tcPr>
            <w:tcW w:w="2198"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承重</w:t>
            </w:r>
          </w:p>
        </w:tc>
        <w:tc>
          <w:tcPr>
            <w:tcW w:w="5411"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≥50kg</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28" w:type="dxa"/>
            <w:bottom w:w="57" w:type="dxa"/>
            <w:right w:w="28" w:type="dxa"/>
          </w:tblCellMar>
        </w:tblPrEx>
        <w:trPr>
          <w:trHeight w:val="37" w:hRule="atLeast"/>
        </w:trPr>
        <w:tc>
          <w:tcPr>
            <w:tcW w:w="1859" w:type="dxa"/>
            <w:vMerge w:val="continue"/>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p>
        </w:tc>
        <w:tc>
          <w:tcPr>
            <w:tcW w:w="2198"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重复定位精度</w:t>
            </w:r>
          </w:p>
        </w:tc>
        <w:tc>
          <w:tcPr>
            <w:tcW w:w="5411"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≤0.05°</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28" w:type="dxa"/>
            <w:bottom w:w="57" w:type="dxa"/>
            <w:right w:w="28" w:type="dxa"/>
          </w:tblCellMar>
        </w:tblPrEx>
        <w:trPr>
          <w:trHeight w:val="90" w:hRule="atLeast"/>
        </w:trPr>
        <w:tc>
          <w:tcPr>
            <w:tcW w:w="1859" w:type="dxa"/>
            <w:vMerge w:val="continue"/>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p>
        </w:tc>
        <w:tc>
          <w:tcPr>
            <w:tcW w:w="2198" w:type="dxa"/>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旋转角度</w:t>
            </w:r>
          </w:p>
        </w:tc>
        <w:tc>
          <w:tcPr>
            <w:tcW w:w="5411" w:type="dxa"/>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0°～360°，可连续旋转</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28" w:type="dxa"/>
            <w:bottom w:w="57" w:type="dxa"/>
            <w:right w:w="28" w:type="dxa"/>
          </w:tblCellMar>
        </w:tblPrEx>
        <w:trPr>
          <w:trHeight w:val="37" w:hRule="atLeast"/>
        </w:trPr>
        <w:tc>
          <w:tcPr>
            <w:tcW w:w="1859"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工作环境</w:t>
            </w:r>
          </w:p>
        </w:tc>
        <w:tc>
          <w:tcPr>
            <w:tcW w:w="2198" w:type="dxa"/>
            <w:tcBorders>
              <w:top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温度</w:t>
            </w:r>
          </w:p>
        </w:tc>
        <w:tc>
          <w:tcPr>
            <w:tcW w:w="5411" w:type="dxa"/>
            <w:tcBorders>
              <w:top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5℃～40℃</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28" w:type="dxa"/>
            <w:bottom w:w="57" w:type="dxa"/>
            <w:right w:w="28" w:type="dxa"/>
          </w:tblCellMar>
        </w:tblPrEx>
        <w:trPr>
          <w:trHeight w:val="37" w:hRule="atLeast"/>
        </w:trPr>
        <w:tc>
          <w:tcPr>
            <w:tcW w:w="1859" w:type="dxa"/>
            <w:vMerge w:val="continue"/>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p>
        </w:tc>
        <w:tc>
          <w:tcPr>
            <w:tcW w:w="2198"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湿度</w:t>
            </w:r>
          </w:p>
        </w:tc>
        <w:tc>
          <w:tcPr>
            <w:tcW w:w="5411"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RH≤85%</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28" w:type="dxa"/>
            <w:bottom w:w="57" w:type="dxa"/>
            <w:right w:w="28" w:type="dxa"/>
          </w:tblCellMar>
        </w:tblPrEx>
        <w:trPr>
          <w:trHeight w:val="37" w:hRule="atLeast"/>
        </w:trPr>
        <w:tc>
          <w:tcPr>
            <w:tcW w:w="1859"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控制器供电要求</w:t>
            </w:r>
          </w:p>
        </w:tc>
        <w:tc>
          <w:tcPr>
            <w:tcW w:w="7609" w:type="dxa"/>
            <w:gridSpan w:val="2"/>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220V、50Hz，普通三相插座</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28" w:type="dxa"/>
            <w:bottom w:w="57" w:type="dxa"/>
            <w:right w:w="28" w:type="dxa"/>
          </w:tblCellMar>
        </w:tblPrEx>
        <w:trPr>
          <w:trHeight w:val="37" w:hRule="atLeast"/>
        </w:trPr>
        <w:tc>
          <w:tcPr>
            <w:tcW w:w="1859"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控制器结构形式</w:t>
            </w:r>
          </w:p>
        </w:tc>
        <w:tc>
          <w:tcPr>
            <w:tcW w:w="7609" w:type="dxa"/>
            <w:gridSpan w:val="2"/>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标准上架机箱</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28" w:type="dxa"/>
            <w:bottom w:w="57" w:type="dxa"/>
            <w:right w:w="28" w:type="dxa"/>
          </w:tblCellMar>
        </w:tblPrEx>
        <w:trPr>
          <w:trHeight w:val="37" w:hRule="atLeast"/>
        </w:trPr>
        <w:tc>
          <w:tcPr>
            <w:tcW w:w="1859"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转台控制接口</w:t>
            </w:r>
          </w:p>
        </w:tc>
        <w:tc>
          <w:tcPr>
            <w:tcW w:w="7609" w:type="dxa"/>
            <w:gridSpan w:val="2"/>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网口</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57" w:type="dxa"/>
            <w:left w:w="28" w:type="dxa"/>
            <w:bottom w:w="57" w:type="dxa"/>
            <w:right w:w="28" w:type="dxa"/>
          </w:tblCellMar>
        </w:tblPrEx>
        <w:trPr>
          <w:trHeight w:val="37" w:hRule="atLeast"/>
        </w:trPr>
        <w:tc>
          <w:tcPr>
            <w:tcW w:w="1859"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脉冲输出（方位）</w:t>
            </w:r>
          </w:p>
        </w:tc>
        <w:tc>
          <w:tcPr>
            <w:tcW w:w="7609" w:type="dxa"/>
            <w:gridSpan w:val="2"/>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left="0" w:right="0" w:right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根据设置转角间隔，输出TTL电平脉冲（上升沿/下降沿≤10ns，脉宽10μs，到位脉冲时间准确，波形干净、无杂波），对应任意设定的步进角度输出脉冲；接口形式：BNC-K</w:t>
            </w:r>
          </w:p>
        </w:tc>
      </w:tr>
    </w:tbl>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right="0" w:rightChars="0"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en-US" w:eastAsia="zh-CN"/>
        </w:rPr>
        <w:t>低噪声放大器：</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right="0" w:rightChars="0"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9.1</w:t>
      </w:r>
      <w:r>
        <w:rPr>
          <w:rFonts w:hint="eastAsia" w:ascii="宋体" w:hAnsi="宋体" w:eastAsia="宋体" w:cs="宋体"/>
          <w:color w:val="auto"/>
          <w:sz w:val="21"/>
          <w:szCs w:val="21"/>
          <w:highlight w:val="none"/>
          <w:lang w:val="en-US" w:eastAsia="zh-CN"/>
        </w:rPr>
        <w:t>频率（GHz）：0.5~40</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right="0" w:rightChars="0"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9.2</w:t>
      </w:r>
      <w:r>
        <w:rPr>
          <w:rFonts w:hint="eastAsia" w:ascii="宋体" w:hAnsi="宋体" w:eastAsia="宋体" w:cs="宋体"/>
          <w:color w:val="auto"/>
          <w:sz w:val="21"/>
          <w:szCs w:val="21"/>
          <w:highlight w:val="none"/>
          <w:lang w:val="en-US" w:eastAsia="zh-CN"/>
        </w:rPr>
        <w:t>增益（dB）：30</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right="0" w:rightChars="0"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9.3 </w:t>
      </w:r>
      <w:r>
        <w:rPr>
          <w:rFonts w:hint="eastAsia" w:ascii="宋体" w:hAnsi="宋体" w:eastAsia="宋体" w:cs="宋体"/>
          <w:color w:val="auto"/>
          <w:sz w:val="21"/>
          <w:szCs w:val="21"/>
          <w:highlight w:val="none"/>
          <w:lang w:val="en-US" w:eastAsia="zh-CN"/>
        </w:rPr>
        <w:t>Psat (dBm Typ)：15</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right="0" w:rightChars="0"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val="en-US" w:eastAsia="zh-CN"/>
        </w:rPr>
        <w:t>系统接收模块：</w:t>
      </w:r>
      <w:r>
        <w:rPr>
          <w:rFonts w:hint="eastAsia" w:ascii="宋体" w:hAnsi="宋体" w:eastAsia="宋体" w:cs="宋体"/>
          <w:b/>
          <w:bCs/>
          <w:color w:val="auto"/>
          <w:sz w:val="21"/>
          <w:szCs w:val="21"/>
          <w:highlight w:val="none"/>
          <w:lang w:val="en-US" w:eastAsia="zh-CN"/>
        </w:rPr>
        <w:t>系统接收模块与系统主机</w:t>
      </w:r>
      <w:r>
        <w:rPr>
          <w:rFonts w:hint="eastAsia" w:ascii="宋体" w:hAnsi="宋体" w:cs="宋体"/>
          <w:b/>
          <w:bCs/>
          <w:color w:val="auto"/>
          <w:sz w:val="21"/>
          <w:szCs w:val="21"/>
          <w:highlight w:val="none"/>
          <w:lang w:val="en-US" w:eastAsia="zh-CN"/>
        </w:rPr>
        <w:t>须</w:t>
      </w:r>
      <w:r>
        <w:rPr>
          <w:rFonts w:hint="eastAsia" w:ascii="宋体" w:hAnsi="宋体" w:eastAsia="宋体" w:cs="宋体"/>
          <w:b/>
          <w:bCs/>
          <w:color w:val="auto"/>
          <w:sz w:val="21"/>
          <w:szCs w:val="21"/>
          <w:highlight w:val="none"/>
          <w:lang w:val="en-US" w:eastAsia="zh-CN"/>
        </w:rPr>
        <w:t>为同一厂家生产</w:t>
      </w:r>
      <w:r>
        <w:rPr>
          <w:rFonts w:hint="eastAsia" w:ascii="宋体" w:hAnsi="宋体" w:cs="宋体"/>
          <w:b/>
          <w:bCs/>
          <w:color w:val="auto"/>
          <w:sz w:val="21"/>
          <w:szCs w:val="21"/>
          <w:highlight w:val="none"/>
          <w:lang w:val="en-US" w:eastAsia="zh-CN"/>
        </w:rPr>
        <w:t>。</w:t>
      </w:r>
    </w:p>
    <w:tbl>
      <w:tblPr>
        <w:tblStyle w:val="2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09"/>
        <w:gridCol w:w="3210"/>
        <w:gridCol w:w="32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2" w:hRule="atLeast"/>
        </w:trPr>
        <w:tc>
          <w:tcPr>
            <w:tcW w:w="3209"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jc w:val="center"/>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频率范围</w:t>
            </w:r>
          </w:p>
        </w:tc>
        <w:tc>
          <w:tcPr>
            <w:tcW w:w="3210"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jc w:val="center"/>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变频损耗（dB）</w:t>
            </w:r>
          </w:p>
        </w:tc>
        <w:tc>
          <w:tcPr>
            <w:tcW w:w="3209"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jc w:val="center"/>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谐波次数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2" w:hRule="atLeast"/>
        </w:trPr>
        <w:tc>
          <w:tcPr>
            <w:tcW w:w="3209"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jc w:val="center"/>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bidi="ar"/>
              </w:rPr>
              <w:t>40GHz～60GHz</w:t>
            </w:r>
          </w:p>
        </w:tc>
        <w:tc>
          <w:tcPr>
            <w:tcW w:w="3210"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jc w:val="center"/>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≤25</w:t>
            </w:r>
          </w:p>
        </w:tc>
        <w:tc>
          <w:tcPr>
            <w:tcW w:w="3209"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jc w:val="center"/>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3" w:hRule="atLeast"/>
        </w:trPr>
        <w:tc>
          <w:tcPr>
            <w:tcW w:w="3209"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jc w:val="center"/>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bidi="ar"/>
              </w:rPr>
              <w:t>50GHz～75GHz</w:t>
            </w:r>
          </w:p>
        </w:tc>
        <w:tc>
          <w:tcPr>
            <w:tcW w:w="3210"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jc w:val="center"/>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≤15</w:t>
            </w:r>
          </w:p>
        </w:tc>
        <w:tc>
          <w:tcPr>
            <w:tcW w:w="3209"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jc w:val="center"/>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3" w:hRule="atLeast"/>
        </w:trPr>
        <w:tc>
          <w:tcPr>
            <w:tcW w:w="3209"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jc w:val="center"/>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bidi="ar"/>
              </w:rPr>
              <w:t>75GHz～110GHz</w:t>
            </w:r>
          </w:p>
        </w:tc>
        <w:tc>
          <w:tcPr>
            <w:tcW w:w="3210"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jc w:val="center"/>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≤16</w:t>
            </w:r>
          </w:p>
        </w:tc>
        <w:tc>
          <w:tcPr>
            <w:tcW w:w="3209"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jc w:val="center"/>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6</w:t>
            </w:r>
          </w:p>
        </w:tc>
      </w:tr>
    </w:tbl>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right="0" w:rightChars="0"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lang w:val="en-US" w:eastAsia="zh-CN"/>
        </w:rPr>
        <w:t>系统S参数测试模块：</w:t>
      </w:r>
      <w:r>
        <w:rPr>
          <w:rFonts w:hint="eastAsia" w:ascii="宋体" w:hAnsi="宋体" w:eastAsia="宋体" w:cs="宋体"/>
          <w:b/>
          <w:bCs/>
          <w:color w:val="auto"/>
          <w:sz w:val="21"/>
          <w:szCs w:val="21"/>
          <w:highlight w:val="none"/>
          <w:lang w:val="en-US" w:eastAsia="zh-CN"/>
        </w:rPr>
        <w:t>系统S参数测试模块与系统主机</w:t>
      </w:r>
      <w:r>
        <w:rPr>
          <w:rFonts w:hint="eastAsia" w:ascii="宋体" w:hAnsi="宋体" w:cs="宋体"/>
          <w:b/>
          <w:bCs/>
          <w:color w:val="auto"/>
          <w:sz w:val="21"/>
          <w:szCs w:val="21"/>
          <w:highlight w:val="none"/>
          <w:lang w:val="en-US" w:eastAsia="zh-CN"/>
        </w:rPr>
        <w:t>须</w:t>
      </w:r>
      <w:r>
        <w:rPr>
          <w:rFonts w:hint="eastAsia" w:ascii="宋体" w:hAnsi="宋体" w:eastAsia="宋体" w:cs="宋体"/>
          <w:b/>
          <w:bCs/>
          <w:color w:val="auto"/>
          <w:sz w:val="21"/>
          <w:szCs w:val="21"/>
          <w:highlight w:val="none"/>
          <w:lang w:val="en-US" w:eastAsia="zh-CN"/>
        </w:rPr>
        <w:t>为同一厂家生产</w:t>
      </w:r>
      <w:r>
        <w:rPr>
          <w:rFonts w:hint="eastAsia" w:ascii="宋体" w:hAnsi="宋体" w:cs="宋体"/>
          <w:b/>
          <w:bCs/>
          <w:color w:val="auto"/>
          <w:sz w:val="21"/>
          <w:szCs w:val="21"/>
          <w:highlight w:val="none"/>
          <w:lang w:val="en-US" w:eastAsia="zh-CN"/>
        </w:rPr>
        <w:t>。</w:t>
      </w:r>
    </w:p>
    <w:tbl>
      <w:tblPr>
        <w:tblStyle w:val="2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4"/>
        <w:gridCol w:w="1203"/>
        <w:gridCol w:w="1204"/>
        <w:gridCol w:w="1203"/>
        <w:gridCol w:w="1204"/>
        <w:gridCol w:w="1203"/>
        <w:gridCol w:w="1204"/>
        <w:gridCol w:w="1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0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lang w:val="en-US" w:eastAsia="zh-CN"/>
              </w:rPr>
              <w:t>频率范围</w:t>
            </w:r>
          </w:p>
        </w:tc>
        <w:tc>
          <w:tcPr>
            <w:tcW w:w="1203"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系统动态范围（dB）</w:t>
            </w:r>
          </w:p>
        </w:tc>
        <w:tc>
          <w:tcPr>
            <w:tcW w:w="1204"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反射跟踪（dB）</w:t>
            </w:r>
          </w:p>
        </w:tc>
        <w:tc>
          <w:tcPr>
            <w:tcW w:w="1203"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传输跟踪（dB）</w:t>
            </w:r>
          </w:p>
        </w:tc>
        <w:tc>
          <w:tcPr>
            <w:tcW w:w="1204"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有效方向性（dB）</w:t>
            </w:r>
          </w:p>
        </w:tc>
        <w:tc>
          <w:tcPr>
            <w:tcW w:w="1203"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有效负载匹配（dB）</w:t>
            </w:r>
          </w:p>
        </w:tc>
        <w:tc>
          <w:tcPr>
            <w:tcW w:w="1204"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输出端口接口</w:t>
            </w:r>
          </w:p>
        </w:tc>
        <w:tc>
          <w:tcPr>
            <w:tcW w:w="1203"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端口输出功率（dBm）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04"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bidi="ar"/>
              </w:rPr>
              <w:t>40GHz～60GHz</w:t>
            </w:r>
          </w:p>
        </w:tc>
        <w:tc>
          <w:tcPr>
            <w:tcW w:w="1203" w:type="dxa"/>
            <w:vAlign w:val="top"/>
          </w:tcPr>
          <w:p>
            <w:pPr>
              <w:keepNext w:val="0"/>
              <w:keepLines w:val="0"/>
              <w:pageBreakBefore w:val="0"/>
              <w:widowControl w:val="0"/>
              <w:numPr>
                <w:ilvl w:val="0"/>
                <w:numId w:val="0"/>
              </w:numPr>
              <w:kinsoku/>
              <w:wordWrap/>
              <w:overflowPunct/>
              <w:topLinePunct w:val="0"/>
              <w:autoSpaceDE/>
              <w:autoSpaceDN/>
              <w:bidi w:val="0"/>
              <w:adjustRightInd/>
              <w:spacing w:line="288" w:lineRule="auto"/>
              <w:ind w:left="0" w:leftChars="0" w:right="0" w:rightChars="0" w:firstLine="0" w:firstLineChars="0"/>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≥100</w:t>
            </w:r>
          </w:p>
        </w:tc>
        <w:tc>
          <w:tcPr>
            <w:tcW w:w="1204" w:type="dxa"/>
            <w:vAlign w:val="top"/>
          </w:tcPr>
          <w:p>
            <w:pPr>
              <w:keepNext w:val="0"/>
              <w:keepLines w:val="0"/>
              <w:pageBreakBefore w:val="0"/>
              <w:widowControl w:val="0"/>
              <w:numPr>
                <w:ilvl w:val="0"/>
                <w:numId w:val="0"/>
              </w:numPr>
              <w:kinsoku/>
              <w:wordWrap/>
              <w:overflowPunct/>
              <w:topLinePunct w:val="0"/>
              <w:autoSpaceDE/>
              <w:autoSpaceDN/>
              <w:bidi w:val="0"/>
              <w:adjustRightInd/>
              <w:spacing w:line="288" w:lineRule="auto"/>
              <w:ind w:left="0" w:leftChars="0" w:right="0" w:rightChars="0" w:firstLine="0" w:firstLineChars="0"/>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0.12</w:t>
            </w:r>
          </w:p>
        </w:tc>
        <w:tc>
          <w:tcPr>
            <w:tcW w:w="1203" w:type="dxa"/>
            <w:vAlign w:val="top"/>
          </w:tcPr>
          <w:p>
            <w:pPr>
              <w:keepNext w:val="0"/>
              <w:keepLines w:val="0"/>
              <w:pageBreakBefore w:val="0"/>
              <w:widowControl w:val="0"/>
              <w:numPr>
                <w:ilvl w:val="0"/>
                <w:numId w:val="0"/>
              </w:numPr>
              <w:kinsoku/>
              <w:wordWrap/>
              <w:overflowPunct/>
              <w:topLinePunct w:val="0"/>
              <w:autoSpaceDE/>
              <w:autoSpaceDN/>
              <w:bidi w:val="0"/>
              <w:adjustRightInd/>
              <w:spacing w:line="288" w:lineRule="auto"/>
              <w:ind w:left="0" w:leftChars="0" w:right="0" w:rightChars="0" w:firstLine="0" w:firstLineChars="0"/>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0.12</w:t>
            </w:r>
          </w:p>
        </w:tc>
        <w:tc>
          <w:tcPr>
            <w:tcW w:w="1204" w:type="dxa"/>
            <w:vAlign w:val="top"/>
          </w:tcPr>
          <w:p>
            <w:pPr>
              <w:keepNext w:val="0"/>
              <w:keepLines w:val="0"/>
              <w:pageBreakBefore w:val="0"/>
              <w:widowControl w:val="0"/>
              <w:numPr>
                <w:ilvl w:val="0"/>
                <w:numId w:val="0"/>
              </w:numPr>
              <w:kinsoku/>
              <w:wordWrap/>
              <w:overflowPunct/>
              <w:topLinePunct w:val="0"/>
              <w:autoSpaceDE/>
              <w:autoSpaceDN/>
              <w:bidi w:val="0"/>
              <w:adjustRightInd/>
              <w:spacing w:line="288" w:lineRule="auto"/>
              <w:ind w:left="0" w:leftChars="0" w:right="0" w:rightChars="0" w:firstLine="0" w:firstLineChars="0"/>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vertAlign w:val="baseline"/>
                <w:lang w:val="en-US" w:eastAsia="zh-CN"/>
              </w:rPr>
              <w:t>35</w:t>
            </w:r>
          </w:p>
        </w:tc>
        <w:tc>
          <w:tcPr>
            <w:tcW w:w="1203" w:type="dxa"/>
            <w:vAlign w:val="top"/>
          </w:tcPr>
          <w:p>
            <w:pPr>
              <w:keepNext w:val="0"/>
              <w:keepLines w:val="0"/>
              <w:pageBreakBefore w:val="0"/>
              <w:widowControl w:val="0"/>
              <w:numPr>
                <w:ilvl w:val="0"/>
                <w:numId w:val="0"/>
              </w:numPr>
              <w:kinsoku/>
              <w:wordWrap/>
              <w:overflowPunct/>
              <w:topLinePunct w:val="0"/>
              <w:autoSpaceDE/>
              <w:autoSpaceDN/>
              <w:bidi w:val="0"/>
              <w:adjustRightInd/>
              <w:spacing w:line="288" w:lineRule="auto"/>
              <w:ind w:left="0" w:leftChars="0" w:right="0" w:rightChars="0" w:firstLine="0" w:firstLineChars="0"/>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vertAlign w:val="baseline"/>
                <w:lang w:val="en-US" w:eastAsia="zh-CN"/>
              </w:rPr>
              <w:t>35</w:t>
            </w:r>
          </w:p>
        </w:tc>
        <w:tc>
          <w:tcPr>
            <w:tcW w:w="1204" w:type="dxa"/>
            <w:vAlign w:val="top"/>
          </w:tcPr>
          <w:p>
            <w:pPr>
              <w:keepNext w:val="0"/>
              <w:keepLines w:val="0"/>
              <w:pageBreakBefore w:val="0"/>
              <w:widowControl w:val="0"/>
              <w:numPr>
                <w:ilvl w:val="0"/>
                <w:numId w:val="0"/>
              </w:numPr>
              <w:kinsoku/>
              <w:wordWrap/>
              <w:overflowPunct/>
              <w:topLinePunct w:val="0"/>
              <w:autoSpaceDE/>
              <w:autoSpaceDN/>
              <w:bidi w:val="0"/>
              <w:adjustRightInd/>
              <w:spacing w:line="288" w:lineRule="auto"/>
              <w:ind w:left="0" w:leftChars="0" w:right="0" w:rightChars="0" w:firstLine="0" w:firstLineChars="0"/>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lang w:val="en-US" w:eastAsia="zh-CN"/>
              </w:rPr>
              <w:t>WR19</w:t>
            </w:r>
          </w:p>
        </w:tc>
        <w:tc>
          <w:tcPr>
            <w:tcW w:w="1203"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≥5dBm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04"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bidi="ar"/>
              </w:rPr>
              <w:t>50GHz～75GHz</w:t>
            </w:r>
          </w:p>
        </w:tc>
        <w:tc>
          <w:tcPr>
            <w:tcW w:w="1203"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≥100</w:t>
            </w:r>
          </w:p>
        </w:tc>
        <w:tc>
          <w:tcPr>
            <w:tcW w:w="1204" w:type="dxa"/>
            <w:vAlign w:val="top"/>
          </w:tcPr>
          <w:p>
            <w:pPr>
              <w:keepNext w:val="0"/>
              <w:keepLines w:val="0"/>
              <w:pageBreakBefore w:val="0"/>
              <w:widowControl w:val="0"/>
              <w:numPr>
                <w:ilvl w:val="0"/>
                <w:numId w:val="0"/>
              </w:numPr>
              <w:kinsoku/>
              <w:wordWrap/>
              <w:overflowPunct/>
              <w:topLinePunct w:val="0"/>
              <w:autoSpaceDE/>
              <w:autoSpaceDN/>
              <w:bidi w:val="0"/>
              <w:adjustRightInd/>
              <w:spacing w:line="288" w:lineRule="auto"/>
              <w:ind w:left="0" w:leftChars="0" w:right="0" w:rightChars="0" w:firstLine="0" w:firstLineChars="0"/>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0.12</w:t>
            </w:r>
          </w:p>
        </w:tc>
        <w:tc>
          <w:tcPr>
            <w:tcW w:w="1203" w:type="dxa"/>
            <w:vAlign w:val="top"/>
          </w:tcPr>
          <w:p>
            <w:pPr>
              <w:keepNext w:val="0"/>
              <w:keepLines w:val="0"/>
              <w:pageBreakBefore w:val="0"/>
              <w:widowControl w:val="0"/>
              <w:numPr>
                <w:ilvl w:val="0"/>
                <w:numId w:val="0"/>
              </w:numPr>
              <w:kinsoku/>
              <w:wordWrap/>
              <w:overflowPunct/>
              <w:topLinePunct w:val="0"/>
              <w:autoSpaceDE/>
              <w:autoSpaceDN/>
              <w:bidi w:val="0"/>
              <w:adjustRightInd/>
              <w:spacing w:line="288" w:lineRule="auto"/>
              <w:ind w:left="0" w:leftChars="0" w:right="0" w:rightChars="0" w:firstLine="0" w:firstLineChars="0"/>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0.12</w:t>
            </w:r>
          </w:p>
        </w:tc>
        <w:tc>
          <w:tcPr>
            <w:tcW w:w="1204" w:type="dxa"/>
            <w:vAlign w:val="top"/>
          </w:tcPr>
          <w:p>
            <w:pPr>
              <w:keepNext w:val="0"/>
              <w:keepLines w:val="0"/>
              <w:pageBreakBefore w:val="0"/>
              <w:widowControl w:val="0"/>
              <w:numPr>
                <w:ilvl w:val="0"/>
                <w:numId w:val="0"/>
              </w:numPr>
              <w:kinsoku/>
              <w:wordWrap/>
              <w:overflowPunct/>
              <w:topLinePunct w:val="0"/>
              <w:autoSpaceDE/>
              <w:autoSpaceDN/>
              <w:bidi w:val="0"/>
              <w:adjustRightInd/>
              <w:spacing w:line="288" w:lineRule="auto"/>
              <w:ind w:left="0" w:leftChars="0" w:right="0" w:rightChars="0" w:firstLine="0" w:firstLineChars="0"/>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vertAlign w:val="baseline"/>
                <w:lang w:val="en-US" w:eastAsia="zh-CN"/>
              </w:rPr>
              <w:t>35</w:t>
            </w:r>
          </w:p>
        </w:tc>
        <w:tc>
          <w:tcPr>
            <w:tcW w:w="1203" w:type="dxa"/>
            <w:vAlign w:val="top"/>
          </w:tcPr>
          <w:p>
            <w:pPr>
              <w:keepNext w:val="0"/>
              <w:keepLines w:val="0"/>
              <w:pageBreakBefore w:val="0"/>
              <w:widowControl w:val="0"/>
              <w:numPr>
                <w:ilvl w:val="0"/>
                <w:numId w:val="0"/>
              </w:numPr>
              <w:kinsoku/>
              <w:wordWrap/>
              <w:overflowPunct/>
              <w:topLinePunct w:val="0"/>
              <w:autoSpaceDE/>
              <w:autoSpaceDN/>
              <w:bidi w:val="0"/>
              <w:adjustRightInd/>
              <w:spacing w:line="288" w:lineRule="auto"/>
              <w:ind w:left="0" w:leftChars="0" w:right="0" w:rightChars="0" w:firstLine="0" w:firstLineChars="0"/>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vertAlign w:val="baseline"/>
                <w:lang w:val="en-US" w:eastAsia="zh-CN"/>
              </w:rPr>
              <w:t>35</w:t>
            </w:r>
          </w:p>
        </w:tc>
        <w:tc>
          <w:tcPr>
            <w:tcW w:w="1204"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lang w:val="en-US" w:eastAsia="zh-CN"/>
              </w:rPr>
              <w:t>WR15</w:t>
            </w:r>
          </w:p>
        </w:tc>
        <w:tc>
          <w:tcPr>
            <w:tcW w:w="1203"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≥5dBm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04"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bidi="ar"/>
              </w:rPr>
              <w:t>75GHz～110GHz</w:t>
            </w:r>
          </w:p>
        </w:tc>
        <w:tc>
          <w:tcPr>
            <w:tcW w:w="1203"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≥100</w:t>
            </w:r>
          </w:p>
        </w:tc>
        <w:tc>
          <w:tcPr>
            <w:tcW w:w="1204" w:type="dxa"/>
            <w:vAlign w:val="top"/>
          </w:tcPr>
          <w:p>
            <w:pPr>
              <w:keepNext w:val="0"/>
              <w:keepLines w:val="0"/>
              <w:pageBreakBefore w:val="0"/>
              <w:widowControl w:val="0"/>
              <w:numPr>
                <w:ilvl w:val="0"/>
                <w:numId w:val="0"/>
              </w:numPr>
              <w:kinsoku/>
              <w:wordWrap/>
              <w:overflowPunct/>
              <w:topLinePunct w:val="0"/>
              <w:autoSpaceDE/>
              <w:autoSpaceDN/>
              <w:bidi w:val="0"/>
              <w:adjustRightInd/>
              <w:spacing w:line="288" w:lineRule="auto"/>
              <w:ind w:left="0" w:leftChars="0" w:right="0" w:rightChars="0" w:firstLine="0" w:firstLineChars="0"/>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0.12</w:t>
            </w:r>
          </w:p>
        </w:tc>
        <w:tc>
          <w:tcPr>
            <w:tcW w:w="1203" w:type="dxa"/>
            <w:vAlign w:val="top"/>
          </w:tcPr>
          <w:p>
            <w:pPr>
              <w:keepNext w:val="0"/>
              <w:keepLines w:val="0"/>
              <w:pageBreakBefore w:val="0"/>
              <w:widowControl w:val="0"/>
              <w:numPr>
                <w:ilvl w:val="0"/>
                <w:numId w:val="0"/>
              </w:numPr>
              <w:kinsoku/>
              <w:wordWrap/>
              <w:overflowPunct/>
              <w:topLinePunct w:val="0"/>
              <w:autoSpaceDE/>
              <w:autoSpaceDN/>
              <w:bidi w:val="0"/>
              <w:adjustRightInd/>
              <w:spacing w:line="288" w:lineRule="auto"/>
              <w:ind w:left="0" w:leftChars="0" w:right="0" w:rightChars="0" w:firstLine="0" w:firstLineChars="0"/>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0.12</w:t>
            </w:r>
          </w:p>
        </w:tc>
        <w:tc>
          <w:tcPr>
            <w:tcW w:w="1204" w:type="dxa"/>
            <w:vAlign w:val="top"/>
          </w:tcPr>
          <w:p>
            <w:pPr>
              <w:keepNext w:val="0"/>
              <w:keepLines w:val="0"/>
              <w:pageBreakBefore w:val="0"/>
              <w:widowControl w:val="0"/>
              <w:numPr>
                <w:ilvl w:val="0"/>
                <w:numId w:val="0"/>
              </w:numPr>
              <w:kinsoku/>
              <w:wordWrap/>
              <w:overflowPunct/>
              <w:topLinePunct w:val="0"/>
              <w:autoSpaceDE/>
              <w:autoSpaceDN/>
              <w:bidi w:val="0"/>
              <w:adjustRightInd/>
              <w:spacing w:line="288" w:lineRule="auto"/>
              <w:ind w:left="0" w:leftChars="0" w:right="0" w:rightChars="0" w:firstLine="0" w:firstLineChars="0"/>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vertAlign w:val="baseline"/>
                <w:lang w:val="en-US" w:eastAsia="zh-CN"/>
              </w:rPr>
              <w:t>35</w:t>
            </w:r>
          </w:p>
        </w:tc>
        <w:tc>
          <w:tcPr>
            <w:tcW w:w="1203" w:type="dxa"/>
            <w:vAlign w:val="top"/>
          </w:tcPr>
          <w:p>
            <w:pPr>
              <w:keepNext w:val="0"/>
              <w:keepLines w:val="0"/>
              <w:pageBreakBefore w:val="0"/>
              <w:widowControl w:val="0"/>
              <w:numPr>
                <w:ilvl w:val="0"/>
                <w:numId w:val="0"/>
              </w:numPr>
              <w:kinsoku/>
              <w:wordWrap/>
              <w:overflowPunct/>
              <w:topLinePunct w:val="0"/>
              <w:autoSpaceDE/>
              <w:autoSpaceDN/>
              <w:bidi w:val="0"/>
              <w:adjustRightInd/>
              <w:spacing w:line="288" w:lineRule="auto"/>
              <w:ind w:left="0" w:leftChars="0" w:right="0" w:rightChars="0" w:firstLine="0" w:firstLineChars="0"/>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vertAlign w:val="baseline"/>
                <w:lang w:val="en-US" w:eastAsia="zh-CN"/>
              </w:rPr>
              <w:t>35</w:t>
            </w:r>
          </w:p>
        </w:tc>
        <w:tc>
          <w:tcPr>
            <w:tcW w:w="1204"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lang w:val="en-US" w:eastAsia="zh-CN"/>
              </w:rPr>
              <w:t>WR10</w:t>
            </w:r>
          </w:p>
        </w:tc>
        <w:tc>
          <w:tcPr>
            <w:tcW w:w="1203" w:type="dxa"/>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right="0" w:rightChars="0"/>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≥5dBm</w:t>
            </w:r>
          </w:p>
        </w:tc>
      </w:tr>
    </w:tbl>
    <w:p>
      <w:pPr>
        <w:rPr>
          <w:rFonts w:hint="default" w:ascii="Calibri" w:hAnsi="Calibri" w:eastAsia="宋体" w:cs="Times New Roman"/>
          <w:color w:val="auto"/>
          <w:sz w:val="21"/>
          <w:highlight w:val="none"/>
          <w:lang w:val="en-US" w:eastAsia="zh-CN"/>
        </w:rPr>
      </w:pPr>
    </w:p>
    <w:p>
      <w:pPr>
        <w:spacing w:line="288" w:lineRule="auto"/>
        <w:rPr>
          <w:rFonts w:hint="eastAsia" w:ascii="宋体" w:hAnsi="宋体"/>
          <w:b/>
          <w:color w:val="auto"/>
          <w:sz w:val="21"/>
          <w:szCs w:val="21"/>
          <w:highlight w:val="none"/>
        </w:rPr>
      </w:pPr>
    </w:p>
    <w:p>
      <w:pPr>
        <w:pStyle w:val="2"/>
        <w:rPr>
          <w:rFonts w:hint="eastAsia"/>
          <w:color w:val="auto"/>
          <w:highlight w:val="none"/>
        </w:rPr>
      </w:pPr>
    </w:p>
    <w:p>
      <w:pPr>
        <w:spacing w:line="288" w:lineRule="auto"/>
        <w:rPr>
          <w:rFonts w:hint="eastAsia" w:ascii="宋体" w:hAnsi="宋体"/>
          <w:b/>
          <w:color w:val="auto"/>
          <w:sz w:val="21"/>
          <w:szCs w:val="21"/>
          <w:highlight w:val="none"/>
        </w:rPr>
      </w:pPr>
    </w:p>
    <w:p>
      <w:pPr>
        <w:spacing w:line="288" w:lineRule="auto"/>
        <w:rPr>
          <w:rFonts w:hint="eastAsia" w:ascii="宋体" w:hAnsi="宋体"/>
          <w:b/>
          <w:color w:val="auto"/>
          <w:sz w:val="21"/>
          <w:szCs w:val="21"/>
          <w:highlight w:val="none"/>
        </w:rPr>
      </w:pPr>
      <w:r>
        <w:rPr>
          <w:rFonts w:hint="eastAsia" w:ascii="宋体" w:hAnsi="宋体"/>
          <w:b/>
          <w:color w:val="auto"/>
          <w:sz w:val="21"/>
          <w:szCs w:val="21"/>
          <w:highlight w:val="none"/>
        </w:rPr>
        <w:t>注：</w:t>
      </w:r>
    </w:p>
    <w:p>
      <w:pPr>
        <w:spacing w:line="288" w:lineRule="auto"/>
        <w:rPr>
          <w:rFonts w:ascii="宋体" w:hAnsi="宋体"/>
          <w:b/>
          <w:color w:val="auto"/>
          <w:sz w:val="21"/>
          <w:szCs w:val="21"/>
          <w:highlight w:val="none"/>
        </w:rPr>
      </w:pPr>
      <w:r>
        <w:rPr>
          <w:rFonts w:hint="eastAsia" w:ascii="宋体" w:hAnsi="宋体"/>
          <w:b/>
          <w:color w:val="auto"/>
          <w:sz w:val="21"/>
          <w:szCs w:val="21"/>
          <w:highlight w:val="none"/>
        </w:rPr>
        <w:t>1.除招标文件中所明确的技术规格和品牌外，欢迎其他能满足本项目技术需求且性能相当于或高于所明确品牌的产品参加投标报价。同时在采购需求偏离表中作出详细对比说明。</w:t>
      </w:r>
    </w:p>
    <w:p>
      <w:pPr>
        <w:spacing w:line="288" w:lineRule="auto"/>
        <w:rPr>
          <w:rFonts w:ascii="宋体" w:hAnsi="宋体"/>
          <w:b/>
          <w:color w:val="auto"/>
          <w:sz w:val="21"/>
          <w:szCs w:val="21"/>
          <w:highlight w:val="none"/>
        </w:rPr>
      </w:pPr>
      <w:r>
        <w:rPr>
          <w:rFonts w:hint="eastAsia" w:ascii="宋体" w:hAnsi="宋体"/>
          <w:b/>
          <w:color w:val="auto"/>
          <w:sz w:val="21"/>
          <w:szCs w:val="21"/>
          <w:highlight w:val="none"/>
        </w:rPr>
        <w:t>2.如技术要求中未特别注明需执行的国家相关标准、行业标准、地方标准或者其他标准、规范，则统一执行最新标准、规范。</w:t>
      </w:r>
    </w:p>
    <w:p>
      <w:pPr>
        <w:spacing w:line="288" w:lineRule="auto"/>
        <w:jc w:val="center"/>
        <w:outlineLvl w:val="0"/>
        <w:rPr>
          <w:rFonts w:hint="eastAsia" w:ascii="宋体" w:hAnsi="宋体"/>
          <w:color w:val="auto"/>
          <w:sz w:val="21"/>
          <w:szCs w:val="21"/>
          <w:highlight w:val="none"/>
        </w:rPr>
      </w:pPr>
      <w:r>
        <w:rPr>
          <w:rFonts w:hint="eastAsia" w:ascii="宋体" w:hAnsi="宋体"/>
          <w:color w:val="auto"/>
          <w:sz w:val="21"/>
          <w:szCs w:val="21"/>
          <w:highlight w:val="none"/>
        </w:rPr>
        <w:br w:type="page"/>
      </w:r>
      <w:r>
        <w:rPr>
          <w:rFonts w:hint="eastAsia" w:ascii="宋体" w:hAnsi="宋体"/>
          <w:b/>
          <w:color w:val="auto"/>
          <w:sz w:val="32"/>
          <w:szCs w:val="32"/>
          <w:highlight w:val="none"/>
        </w:rPr>
        <w:t>第三章  投标人须知</w:t>
      </w:r>
    </w:p>
    <w:p>
      <w:pPr>
        <w:spacing w:line="288" w:lineRule="auto"/>
        <w:ind w:left="238"/>
        <w:jc w:val="center"/>
        <w:outlineLvl w:val="1"/>
        <w:rPr>
          <w:rFonts w:hint="eastAsia" w:ascii="宋体" w:hAnsi="宋体"/>
          <w:b/>
          <w:color w:val="auto"/>
          <w:sz w:val="24"/>
          <w:highlight w:val="none"/>
        </w:rPr>
      </w:pPr>
      <w:r>
        <w:rPr>
          <w:rFonts w:hint="eastAsia" w:ascii="宋体" w:hAnsi="宋体"/>
          <w:b/>
          <w:color w:val="auto"/>
          <w:sz w:val="24"/>
          <w:highlight w:val="none"/>
        </w:rPr>
        <w:t>投标人</w:t>
      </w:r>
      <w:r>
        <w:rPr>
          <w:rFonts w:ascii="宋体" w:hAnsi="宋体"/>
          <w:b/>
          <w:color w:val="auto"/>
          <w:sz w:val="24"/>
          <w:highlight w:val="none"/>
        </w:rPr>
        <w:t>须知</w:t>
      </w:r>
      <w:r>
        <w:rPr>
          <w:rFonts w:hint="eastAsia" w:ascii="宋体" w:hAnsi="宋体"/>
          <w:b/>
          <w:color w:val="auto"/>
          <w:sz w:val="24"/>
          <w:highlight w:val="none"/>
        </w:rPr>
        <w:t>前附表</w:t>
      </w:r>
    </w:p>
    <w:tbl>
      <w:tblPr>
        <w:tblStyle w:val="22"/>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1"/>
        <w:gridCol w:w="878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atLeast"/>
        </w:trPr>
        <w:tc>
          <w:tcPr>
            <w:tcW w:w="85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olor w:val="auto"/>
                <w:sz w:val="21"/>
                <w:szCs w:val="21"/>
                <w:highlight w:val="none"/>
              </w:rPr>
            </w:pPr>
            <w:r>
              <w:rPr>
                <w:rFonts w:hint="eastAsia" w:ascii="宋体" w:hAnsi="宋体"/>
                <w:color w:val="auto"/>
                <w:sz w:val="21"/>
                <w:szCs w:val="21"/>
                <w:highlight w:val="none"/>
              </w:rPr>
              <w:t>序号</w:t>
            </w:r>
          </w:p>
        </w:tc>
        <w:tc>
          <w:tcPr>
            <w:tcW w:w="878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olor w:val="auto"/>
                <w:sz w:val="21"/>
                <w:szCs w:val="21"/>
                <w:highlight w:val="none"/>
              </w:rPr>
            </w:pPr>
            <w:r>
              <w:rPr>
                <w:rFonts w:hint="eastAsia" w:ascii="宋体" w:hAnsi="宋体"/>
                <w:color w:val="auto"/>
                <w:sz w:val="21"/>
                <w:szCs w:val="21"/>
                <w:highlight w:val="none"/>
              </w:rPr>
              <w:t>内容、要求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atLeast"/>
        </w:trPr>
        <w:tc>
          <w:tcPr>
            <w:tcW w:w="85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olor w:val="auto"/>
                <w:sz w:val="21"/>
                <w:szCs w:val="21"/>
                <w:highlight w:val="none"/>
              </w:rPr>
            </w:pPr>
            <w:r>
              <w:rPr>
                <w:rFonts w:hint="eastAsia" w:ascii="宋体" w:hAnsi="宋体"/>
                <w:color w:val="auto"/>
                <w:sz w:val="21"/>
                <w:szCs w:val="21"/>
                <w:highlight w:val="none"/>
              </w:rPr>
              <w:t>1</w:t>
            </w:r>
          </w:p>
        </w:tc>
        <w:tc>
          <w:tcPr>
            <w:tcW w:w="8789"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采购人：</w:t>
            </w:r>
            <w:r>
              <w:rPr>
                <w:rFonts w:hint="eastAsia" w:ascii="宋体" w:hAnsi="宋体"/>
                <w:color w:val="auto"/>
                <w:sz w:val="21"/>
                <w:szCs w:val="21"/>
                <w:highlight w:val="none"/>
                <w:lang w:eastAsia="zh-CN"/>
              </w:rPr>
              <w:t>杭州电子科技大学</w:t>
            </w:r>
          </w:p>
          <w:p>
            <w:pPr>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项目名称：</w:t>
            </w:r>
            <w:r>
              <w:rPr>
                <w:rFonts w:hint="eastAsia" w:ascii="宋体" w:hAnsi="宋体"/>
                <w:color w:val="auto"/>
                <w:sz w:val="21"/>
                <w:szCs w:val="21"/>
                <w:highlight w:val="none"/>
                <w:lang w:eastAsia="zh-CN"/>
              </w:rPr>
              <w:t>微波暗室测试系统</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atLeast"/>
        </w:trPr>
        <w:tc>
          <w:tcPr>
            <w:tcW w:w="85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olor w:val="auto"/>
                <w:sz w:val="21"/>
                <w:szCs w:val="21"/>
                <w:highlight w:val="none"/>
              </w:rPr>
            </w:pPr>
            <w:r>
              <w:rPr>
                <w:rFonts w:hint="eastAsia" w:ascii="宋体" w:hAnsi="宋体"/>
                <w:color w:val="auto"/>
                <w:sz w:val="21"/>
                <w:szCs w:val="21"/>
                <w:highlight w:val="none"/>
              </w:rPr>
              <w:t>2</w:t>
            </w:r>
          </w:p>
        </w:tc>
        <w:tc>
          <w:tcPr>
            <w:tcW w:w="8789"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投标报价：</w:t>
            </w:r>
          </w:p>
          <w:p>
            <w:pPr>
              <w:rPr>
                <w:rFonts w:ascii="宋体" w:hAnsi="宋体"/>
                <w:b/>
                <w:color w:val="auto"/>
                <w:spacing w:val="-6"/>
                <w:sz w:val="21"/>
                <w:szCs w:val="21"/>
                <w:highlight w:val="none"/>
              </w:rPr>
            </w:pPr>
            <w:r>
              <w:rPr>
                <w:rFonts w:hint="eastAsia" w:ascii="宋体" w:hAnsi="宋体"/>
                <w:b/>
                <w:color w:val="auto"/>
                <w:spacing w:val="-6"/>
                <w:sz w:val="21"/>
                <w:szCs w:val="21"/>
                <w:highlight w:val="none"/>
              </w:rPr>
              <w:t>1.投标报价是指一次性报出不得更改的价格；</w:t>
            </w:r>
          </w:p>
          <w:p>
            <w:pPr>
              <w:rPr>
                <w:rFonts w:hint="eastAsia" w:ascii="宋体" w:hAnsi="宋体" w:cs="宋体"/>
                <w:color w:val="auto"/>
                <w:sz w:val="21"/>
                <w:szCs w:val="21"/>
                <w:highlight w:val="none"/>
              </w:rPr>
            </w:pPr>
            <w:r>
              <w:rPr>
                <w:rFonts w:hint="eastAsia" w:ascii="宋体" w:hAnsi="宋体"/>
                <w:b/>
                <w:color w:val="auto"/>
                <w:spacing w:val="-6"/>
                <w:sz w:val="21"/>
                <w:szCs w:val="21"/>
                <w:highlight w:val="none"/>
              </w:rPr>
              <w:t>2.本次投标采用人民币报价。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atLeast"/>
        </w:trPr>
        <w:tc>
          <w:tcPr>
            <w:tcW w:w="85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olor w:val="auto"/>
                <w:sz w:val="21"/>
                <w:szCs w:val="21"/>
                <w:highlight w:val="none"/>
              </w:rPr>
            </w:pPr>
            <w:r>
              <w:rPr>
                <w:rFonts w:hint="eastAsia" w:ascii="宋体" w:hAnsi="宋体"/>
                <w:color w:val="auto"/>
                <w:sz w:val="21"/>
                <w:szCs w:val="21"/>
                <w:highlight w:val="none"/>
              </w:rPr>
              <w:t>3</w:t>
            </w:r>
          </w:p>
        </w:tc>
        <w:tc>
          <w:tcPr>
            <w:tcW w:w="8789"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b/>
                <w:bCs/>
                <w:color w:val="auto"/>
                <w:sz w:val="21"/>
                <w:szCs w:val="21"/>
                <w:highlight w:val="none"/>
              </w:rPr>
            </w:pPr>
            <w:r>
              <w:rPr>
                <w:rFonts w:hint="eastAsia" w:ascii="宋体" w:hAnsi="宋体"/>
                <w:b/>
                <w:bCs/>
                <w:color w:val="auto"/>
                <w:sz w:val="21"/>
                <w:szCs w:val="21"/>
                <w:highlight w:val="none"/>
              </w:rPr>
              <w:t>投标费用：</w:t>
            </w:r>
          </w:p>
          <w:p>
            <w:pPr>
              <w:rPr>
                <w:rFonts w:hint="eastAsia" w:ascii="宋体" w:hAnsi="宋体"/>
                <w:color w:val="auto"/>
                <w:sz w:val="21"/>
                <w:szCs w:val="21"/>
                <w:highlight w:val="none"/>
              </w:rPr>
            </w:pPr>
            <w:r>
              <w:rPr>
                <w:rFonts w:hint="eastAsia" w:ascii="宋体" w:hAnsi="宋体"/>
                <w:color w:val="auto"/>
                <w:sz w:val="21"/>
                <w:szCs w:val="21"/>
                <w:highlight w:val="none"/>
              </w:rPr>
              <w:t>1.不论投标结果如何，投标人均应自行承担所有与投标有关的全部费用；</w:t>
            </w:r>
          </w:p>
          <w:p>
            <w:pPr>
              <w:rPr>
                <w:rFonts w:hint="eastAsia" w:ascii="宋体" w:hAnsi="宋体"/>
                <w:color w:val="auto"/>
                <w:sz w:val="21"/>
                <w:szCs w:val="21"/>
                <w:highlight w:val="none"/>
              </w:rPr>
            </w:pPr>
            <w:r>
              <w:rPr>
                <w:rFonts w:hint="eastAsia" w:ascii="宋体" w:hAnsi="宋体"/>
                <w:color w:val="auto"/>
                <w:sz w:val="21"/>
                <w:szCs w:val="21"/>
                <w:highlight w:val="none"/>
              </w:rPr>
              <w:t>2.中标人在中标通知书发出之日起七个工作日内，向采购代理机构交纳代理服务费。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atLeast"/>
        </w:trPr>
        <w:tc>
          <w:tcPr>
            <w:tcW w:w="85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olor w:val="auto"/>
                <w:sz w:val="21"/>
                <w:szCs w:val="21"/>
                <w:highlight w:val="none"/>
              </w:rPr>
            </w:pPr>
            <w:r>
              <w:rPr>
                <w:rFonts w:hint="eastAsia" w:ascii="宋体" w:hAnsi="宋体"/>
                <w:color w:val="auto"/>
                <w:sz w:val="21"/>
                <w:szCs w:val="21"/>
                <w:highlight w:val="none"/>
              </w:rPr>
              <w:t>4</w:t>
            </w:r>
          </w:p>
        </w:tc>
        <w:tc>
          <w:tcPr>
            <w:tcW w:w="8789"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b/>
                <w:bCs/>
                <w:color w:val="auto"/>
                <w:sz w:val="21"/>
                <w:szCs w:val="21"/>
                <w:highlight w:val="none"/>
              </w:rPr>
            </w:pPr>
            <w:r>
              <w:rPr>
                <w:rFonts w:hint="eastAsia" w:ascii="宋体" w:hAnsi="宋体"/>
                <w:b/>
                <w:bCs/>
                <w:color w:val="auto"/>
                <w:sz w:val="21"/>
                <w:szCs w:val="21"/>
                <w:highlight w:val="none"/>
              </w:rPr>
              <w:t>投标文件份数：</w:t>
            </w:r>
          </w:p>
          <w:p>
            <w:pPr>
              <w:rPr>
                <w:rFonts w:hint="eastAsia" w:ascii="宋体" w:hAnsi="宋体"/>
                <w:color w:val="auto"/>
                <w:sz w:val="21"/>
                <w:szCs w:val="21"/>
                <w:highlight w:val="none"/>
              </w:rPr>
            </w:pPr>
            <w:r>
              <w:rPr>
                <w:rFonts w:hint="eastAsia" w:ascii="宋体" w:hAnsi="宋体"/>
                <w:b/>
                <w:bCs/>
                <w:color w:val="auto"/>
                <w:sz w:val="21"/>
                <w:szCs w:val="21"/>
                <w:highlight w:val="none"/>
              </w:rPr>
              <w:t>电子加密投标文件：政府采购云平台在线上传一份；备份投标文件：密封包装后</w:t>
            </w:r>
            <w:r>
              <w:rPr>
                <w:rFonts w:hint="eastAsia" w:ascii="宋体" w:hAnsi="宋体"/>
                <w:b/>
                <w:bCs/>
                <w:color w:val="auto"/>
                <w:sz w:val="21"/>
                <w:szCs w:val="21"/>
                <w:highlight w:val="none"/>
                <w:lang w:val="en-US" w:eastAsia="zh-CN"/>
              </w:rPr>
              <w:t>可以</w:t>
            </w:r>
            <w:r>
              <w:rPr>
                <w:rFonts w:hint="eastAsia" w:ascii="宋体" w:hAnsi="宋体"/>
                <w:b/>
                <w:bCs/>
                <w:color w:val="auto"/>
                <w:sz w:val="21"/>
                <w:szCs w:val="21"/>
                <w:highlight w:val="none"/>
              </w:rPr>
              <w:t>EMS或顺丰邮寄形式递交一份（邮寄地址：杭州市西湖区玉古路173号中田大厦16楼A室浙江求是招标代理有限公司）。</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atLeast"/>
        </w:trPr>
        <w:tc>
          <w:tcPr>
            <w:tcW w:w="85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olor w:val="auto"/>
                <w:sz w:val="21"/>
                <w:szCs w:val="21"/>
                <w:highlight w:val="none"/>
              </w:rPr>
            </w:pPr>
            <w:r>
              <w:rPr>
                <w:rFonts w:hint="eastAsia" w:ascii="宋体" w:hAnsi="宋体"/>
                <w:color w:val="auto"/>
                <w:sz w:val="21"/>
                <w:szCs w:val="21"/>
                <w:highlight w:val="none"/>
              </w:rPr>
              <w:t>5</w:t>
            </w:r>
          </w:p>
        </w:tc>
        <w:tc>
          <w:tcPr>
            <w:tcW w:w="8789"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资格审查要求的资格证明材料(均需加盖公章)：</w:t>
            </w:r>
          </w:p>
          <w:p>
            <w:pP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（1）有效的法人或者其他组织的营业执照等证明文件（复印件），自然人的身份证明（仅自然人投标时提供）</w:t>
            </w:r>
          </w:p>
          <w:p>
            <w:pP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（2）</w:t>
            </w:r>
            <w:r>
              <w:rPr>
                <w:rFonts w:hint="eastAsia" w:ascii="宋体" w:hAnsi="宋体" w:cs="宋体"/>
                <w:b/>
                <w:bCs/>
                <w:color w:val="auto"/>
                <w:sz w:val="21"/>
                <w:szCs w:val="21"/>
                <w:highlight w:val="none"/>
                <w:lang w:eastAsia="zh-CN"/>
              </w:rPr>
              <w:t>2019年7月至今</w:t>
            </w:r>
            <w:r>
              <w:rPr>
                <w:rFonts w:hint="eastAsia" w:ascii="宋体" w:hAnsi="宋体" w:cs="宋体"/>
                <w:b/>
                <w:bCs/>
                <w:color w:val="auto"/>
                <w:sz w:val="21"/>
                <w:szCs w:val="21"/>
                <w:highlight w:val="none"/>
              </w:rPr>
              <w:t>任意一月的财务状况报告（复印件）或开标前三个月内出具的银行资信证明</w:t>
            </w:r>
          </w:p>
          <w:p>
            <w:pP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（3）</w:t>
            </w:r>
            <w:r>
              <w:rPr>
                <w:rFonts w:hint="eastAsia" w:ascii="宋体" w:hAnsi="宋体" w:cs="宋体"/>
                <w:b/>
                <w:bCs/>
                <w:color w:val="auto"/>
                <w:sz w:val="21"/>
                <w:szCs w:val="21"/>
                <w:highlight w:val="none"/>
                <w:lang w:eastAsia="zh-CN"/>
              </w:rPr>
              <w:t>2019年7月至今</w:t>
            </w:r>
            <w:r>
              <w:rPr>
                <w:rFonts w:hint="eastAsia" w:ascii="宋体" w:hAnsi="宋体" w:cs="宋体"/>
                <w:b/>
                <w:bCs/>
                <w:color w:val="auto"/>
                <w:sz w:val="21"/>
                <w:szCs w:val="21"/>
                <w:highlight w:val="none"/>
              </w:rPr>
              <w:t>任意一月依法缴纳税收的证明材料（依法免税的投标人应提供相应文件证明其依法免税）</w:t>
            </w:r>
          </w:p>
          <w:p>
            <w:pP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（4）</w:t>
            </w:r>
            <w:r>
              <w:rPr>
                <w:rFonts w:hint="eastAsia" w:ascii="宋体" w:hAnsi="宋体" w:cs="宋体"/>
                <w:b/>
                <w:bCs/>
                <w:color w:val="auto"/>
                <w:sz w:val="21"/>
                <w:szCs w:val="21"/>
                <w:highlight w:val="none"/>
                <w:lang w:eastAsia="zh-CN"/>
              </w:rPr>
              <w:t>2019年7月至今</w:t>
            </w:r>
            <w:r>
              <w:rPr>
                <w:rFonts w:hint="eastAsia" w:ascii="宋体" w:hAnsi="宋体" w:cs="宋体"/>
                <w:b/>
                <w:bCs/>
                <w:color w:val="auto"/>
                <w:sz w:val="21"/>
                <w:szCs w:val="21"/>
                <w:highlight w:val="none"/>
              </w:rPr>
              <w:t>任意一月依法缴纳社会保障资金的证明材料（依法不需要缴纳社会保障资金的投标人应提供相应文件证明其依法不需要缴纳社会保障资金）</w:t>
            </w:r>
          </w:p>
          <w:p>
            <w:pP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（5）具有履行合同所必需的设备和专业技术能力的承诺函</w:t>
            </w:r>
          </w:p>
          <w:p>
            <w:pP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（6）参加政府采购活动前3年内在经营活动中没有重大违法记录的书面声明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atLeast"/>
        </w:trPr>
        <w:tc>
          <w:tcPr>
            <w:tcW w:w="85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olor w:val="auto"/>
                <w:sz w:val="21"/>
                <w:szCs w:val="21"/>
                <w:highlight w:val="none"/>
              </w:rPr>
            </w:pPr>
            <w:r>
              <w:rPr>
                <w:rFonts w:hint="eastAsia" w:ascii="宋体" w:hAnsi="宋体"/>
                <w:color w:val="auto"/>
                <w:sz w:val="21"/>
                <w:szCs w:val="21"/>
                <w:highlight w:val="none"/>
              </w:rPr>
              <w:t>6</w:t>
            </w:r>
          </w:p>
        </w:tc>
        <w:tc>
          <w:tcPr>
            <w:tcW w:w="8789"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olor w:val="auto"/>
                <w:sz w:val="21"/>
                <w:szCs w:val="21"/>
                <w:highlight w:val="none"/>
              </w:rPr>
            </w:pPr>
            <w:r>
              <w:rPr>
                <w:rFonts w:hint="eastAsia" w:ascii="宋体" w:hAnsi="宋体"/>
                <w:color w:val="auto"/>
                <w:sz w:val="21"/>
                <w:szCs w:val="21"/>
                <w:highlight w:val="none"/>
              </w:rPr>
              <w:t>投标</w:t>
            </w:r>
            <w:r>
              <w:rPr>
                <w:rFonts w:ascii="宋体" w:hAnsi="宋体"/>
                <w:color w:val="auto"/>
                <w:sz w:val="21"/>
                <w:szCs w:val="21"/>
                <w:highlight w:val="none"/>
              </w:rPr>
              <w:t>有效期</w:t>
            </w:r>
            <w:r>
              <w:rPr>
                <w:rFonts w:hint="eastAsia" w:ascii="宋体" w:hAnsi="宋体"/>
                <w:color w:val="auto"/>
                <w:sz w:val="21"/>
                <w:szCs w:val="21"/>
                <w:highlight w:val="none"/>
              </w:rPr>
              <w:t>：从提交投标文件的截止之日起90天。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atLeast"/>
        </w:trPr>
        <w:tc>
          <w:tcPr>
            <w:tcW w:w="85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olor w:val="auto"/>
                <w:sz w:val="21"/>
                <w:szCs w:val="21"/>
                <w:highlight w:val="none"/>
              </w:rPr>
            </w:pPr>
            <w:r>
              <w:rPr>
                <w:rFonts w:hint="eastAsia" w:ascii="宋体" w:hAnsi="宋体"/>
                <w:color w:val="auto"/>
                <w:sz w:val="21"/>
                <w:szCs w:val="21"/>
                <w:highlight w:val="none"/>
              </w:rPr>
              <w:t>7</w:t>
            </w:r>
          </w:p>
        </w:tc>
        <w:tc>
          <w:tcPr>
            <w:tcW w:w="8789"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olor w:val="auto"/>
                <w:sz w:val="21"/>
                <w:szCs w:val="21"/>
                <w:highlight w:val="none"/>
              </w:rPr>
            </w:pPr>
            <w:r>
              <w:rPr>
                <w:rFonts w:hint="eastAsia" w:ascii="宋体" w:hAnsi="宋体"/>
                <w:color w:val="auto"/>
                <w:sz w:val="21"/>
                <w:szCs w:val="21"/>
                <w:highlight w:val="none"/>
              </w:rPr>
              <w:t>评标办法及评分标准：详见第四章《评标办法及评分标准》。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atLeast"/>
        </w:trPr>
        <w:tc>
          <w:tcPr>
            <w:tcW w:w="85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olor w:val="auto"/>
                <w:sz w:val="21"/>
                <w:szCs w:val="21"/>
                <w:highlight w:val="none"/>
              </w:rPr>
            </w:pPr>
            <w:r>
              <w:rPr>
                <w:rFonts w:hint="eastAsia" w:ascii="宋体" w:hAnsi="宋体"/>
                <w:color w:val="auto"/>
                <w:sz w:val="21"/>
                <w:szCs w:val="21"/>
                <w:highlight w:val="none"/>
              </w:rPr>
              <w:t>8</w:t>
            </w:r>
          </w:p>
        </w:tc>
        <w:tc>
          <w:tcPr>
            <w:tcW w:w="8789"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olor w:val="auto"/>
                <w:sz w:val="21"/>
                <w:szCs w:val="21"/>
                <w:highlight w:val="none"/>
              </w:rPr>
            </w:pPr>
            <w:r>
              <w:rPr>
                <w:rFonts w:hint="eastAsia" w:ascii="宋体" w:hAnsi="宋体"/>
                <w:color w:val="auto"/>
                <w:sz w:val="21"/>
                <w:szCs w:val="21"/>
                <w:highlight w:val="none"/>
              </w:rPr>
              <w:t>评标结果公示：评标结果公示于浙江政府采购网（</w:t>
            </w:r>
            <w:r>
              <w:rPr>
                <w:rFonts w:hint="eastAsia" w:ascii="宋体" w:hAnsi="宋体"/>
                <w:color w:val="auto"/>
                <w:sz w:val="21"/>
                <w:szCs w:val="21"/>
                <w:highlight w:val="none"/>
              </w:rPr>
              <w:fldChar w:fldCharType="begin"/>
            </w:r>
            <w:r>
              <w:rPr>
                <w:rFonts w:hint="eastAsia" w:ascii="宋体" w:hAnsi="宋体"/>
                <w:color w:val="auto"/>
                <w:sz w:val="21"/>
                <w:szCs w:val="21"/>
                <w:highlight w:val="none"/>
              </w:rPr>
              <w:instrText xml:space="preserve"> HYPERLINK "http://www.zjzfcg.gov.cn/" </w:instrText>
            </w:r>
            <w:r>
              <w:rPr>
                <w:rFonts w:hint="eastAsia" w:ascii="宋体" w:hAnsi="宋体"/>
                <w:color w:val="auto"/>
                <w:sz w:val="21"/>
                <w:szCs w:val="21"/>
                <w:highlight w:val="none"/>
              </w:rPr>
              <w:fldChar w:fldCharType="separate"/>
            </w:r>
            <w:r>
              <w:rPr>
                <w:rStyle w:val="29"/>
                <w:rFonts w:hint="eastAsia" w:ascii="宋体" w:hAnsi="宋体"/>
                <w:color w:val="auto"/>
                <w:sz w:val="21"/>
                <w:szCs w:val="21"/>
                <w:highlight w:val="none"/>
              </w:rPr>
              <w:t>http://zfcg.czt.zj.gov.cn</w:t>
            </w:r>
            <w:r>
              <w:rPr>
                <w:rFonts w:hint="eastAsia" w:ascii="宋体" w:hAnsi="宋体"/>
                <w:color w:val="auto"/>
                <w:sz w:val="21"/>
                <w:szCs w:val="21"/>
                <w:highlight w:val="none"/>
              </w:rPr>
              <w:fldChar w:fldCharType="end"/>
            </w:r>
            <w:r>
              <w:rPr>
                <w:rFonts w:hint="eastAsia" w:ascii="宋体" w:hAnsi="宋体"/>
                <w:color w:val="auto"/>
                <w:sz w:val="21"/>
                <w:szCs w:val="21"/>
                <w:highlight w:val="none"/>
              </w:rPr>
              <w:t>）等相关网站或媒体。</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atLeast"/>
        </w:trPr>
        <w:tc>
          <w:tcPr>
            <w:tcW w:w="85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olor w:val="auto"/>
                <w:sz w:val="21"/>
                <w:szCs w:val="21"/>
                <w:highlight w:val="none"/>
              </w:rPr>
            </w:pPr>
            <w:r>
              <w:rPr>
                <w:rFonts w:hint="eastAsia" w:ascii="宋体" w:hAnsi="宋体"/>
                <w:color w:val="auto"/>
                <w:sz w:val="21"/>
                <w:szCs w:val="21"/>
                <w:highlight w:val="none"/>
              </w:rPr>
              <w:t>9</w:t>
            </w:r>
          </w:p>
        </w:tc>
        <w:tc>
          <w:tcPr>
            <w:tcW w:w="8789"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olor w:val="auto"/>
                <w:sz w:val="21"/>
                <w:szCs w:val="21"/>
                <w:highlight w:val="none"/>
              </w:rPr>
            </w:pPr>
            <w:r>
              <w:rPr>
                <w:rFonts w:hint="eastAsia" w:ascii="宋体" w:hAnsi="宋体"/>
                <w:color w:val="auto"/>
                <w:sz w:val="21"/>
                <w:szCs w:val="21"/>
                <w:highlight w:val="none"/>
              </w:rPr>
              <w:t>签订合同：中标通知书发出后30日内。</w:t>
            </w:r>
          </w:p>
          <w:p>
            <w:pPr>
              <w:rPr>
                <w:rFonts w:hint="eastAsia" w:ascii="宋体" w:hAnsi="宋体"/>
                <w:color w:val="auto"/>
                <w:sz w:val="21"/>
                <w:szCs w:val="21"/>
                <w:highlight w:val="none"/>
              </w:rPr>
            </w:pPr>
            <w:r>
              <w:rPr>
                <w:rFonts w:hint="eastAsia" w:ascii="宋体" w:hAnsi="宋体"/>
                <w:color w:val="auto"/>
                <w:sz w:val="21"/>
                <w:szCs w:val="21"/>
                <w:highlight w:val="none"/>
              </w:rPr>
              <w:t>支付代理服务费：中标通知书发出之日起七个工作日内，中标人逾期支付代理服务费，须承担代理服务费每日百分之三的违约金，逾期十日未支付的，采购代理机构有权向杭州仲裁委员会对中标人提起仲裁，</w:t>
            </w:r>
            <w:r>
              <w:rPr>
                <w:rFonts w:hint="eastAsia"/>
                <w:color w:val="auto"/>
                <w:sz w:val="21"/>
                <w:szCs w:val="21"/>
                <w:highlight w:val="none"/>
              </w:rPr>
              <w:t>仲裁费用（包括仲裁受理费和仲裁处理费）均</w:t>
            </w:r>
            <w:r>
              <w:rPr>
                <w:rFonts w:hint="eastAsia" w:ascii="宋体" w:hAnsi="宋体"/>
                <w:color w:val="auto"/>
                <w:sz w:val="21"/>
                <w:szCs w:val="21"/>
                <w:highlight w:val="none"/>
              </w:rPr>
              <w:t>由中标人承担。</w:t>
            </w:r>
          </w:p>
        </w:tc>
      </w:tr>
    </w:tbl>
    <w:p>
      <w:pPr>
        <w:pStyle w:val="12"/>
        <w:spacing w:before="0" w:beforeLines="0" w:after="0" w:afterLines="0" w:line="288" w:lineRule="auto"/>
        <w:jc w:val="center"/>
        <w:outlineLvl w:val="1"/>
        <w:rPr>
          <w:rFonts w:hAnsi="宋体"/>
          <w:b/>
          <w:color w:val="auto"/>
          <w:spacing w:val="-6"/>
          <w:sz w:val="32"/>
          <w:szCs w:val="32"/>
          <w:highlight w:val="none"/>
        </w:rPr>
      </w:pPr>
      <w:r>
        <w:rPr>
          <w:rFonts w:hAnsi="宋体"/>
          <w:b/>
          <w:color w:val="auto"/>
          <w:spacing w:val="-6"/>
          <w:sz w:val="21"/>
          <w:szCs w:val="21"/>
          <w:highlight w:val="none"/>
        </w:rPr>
        <w:br w:type="page"/>
      </w:r>
      <w:r>
        <w:rPr>
          <w:rFonts w:hAnsi="宋体"/>
          <w:b/>
          <w:color w:val="auto"/>
          <w:spacing w:val="-6"/>
          <w:sz w:val="32"/>
          <w:szCs w:val="32"/>
          <w:highlight w:val="none"/>
        </w:rPr>
        <w:t>一</w:t>
      </w:r>
      <w:r>
        <w:rPr>
          <w:rFonts w:hint="eastAsia" w:hAnsi="宋体"/>
          <w:b/>
          <w:color w:val="auto"/>
          <w:spacing w:val="-6"/>
          <w:sz w:val="32"/>
          <w:szCs w:val="32"/>
          <w:highlight w:val="none"/>
        </w:rPr>
        <w:t>、</w:t>
      </w:r>
      <w:r>
        <w:rPr>
          <w:rFonts w:hAnsi="宋体"/>
          <w:b/>
          <w:color w:val="auto"/>
          <w:spacing w:val="-6"/>
          <w:sz w:val="32"/>
          <w:szCs w:val="32"/>
          <w:highlight w:val="none"/>
        </w:rPr>
        <w:t>总</w:t>
      </w:r>
      <w:r>
        <w:rPr>
          <w:rFonts w:hint="eastAsia" w:hAnsi="宋体"/>
          <w:b/>
          <w:color w:val="auto"/>
          <w:spacing w:val="-6"/>
          <w:sz w:val="32"/>
          <w:szCs w:val="32"/>
          <w:highlight w:val="none"/>
        </w:rPr>
        <w:t xml:space="preserve">  </w:t>
      </w:r>
      <w:r>
        <w:rPr>
          <w:rFonts w:hAnsi="宋体"/>
          <w:b/>
          <w:color w:val="auto"/>
          <w:spacing w:val="-6"/>
          <w:sz w:val="32"/>
          <w:szCs w:val="32"/>
          <w:highlight w:val="none"/>
        </w:rPr>
        <w:t>则</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（一</w:t>
      </w:r>
      <w:r>
        <w:rPr>
          <w:rFonts w:ascii="宋体" w:hAnsi="宋体"/>
          <w:b/>
          <w:color w:val="auto"/>
          <w:spacing w:val="-6"/>
          <w:sz w:val="24"/>
          <w:highlight w:val="none"/>
        </w:rPr>
        <w:t>）</w:t>
      </w:r>
      <w:r>
        <w:rPr>
          <w:rFonts w:hint="eastAsia" w:ascii="宋体" w:hAnsi="宋体"/>
          <w:b/>
          <w:color w:val="auto"/>
          <w:spacing w:val="-6"/>
          <w:sz w:val="24"/>
          <w:highlight w:val="none"/>
        </w:rPr>
        <w:t xml:space="preserve"> 适用范围</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本招标文件适用于</w:t>
      </w:r>
      <w:r>
        <w:rPr>
          <w:rFonts w:hint="eastAsia" w:ascii="宋体" w:hAnsi="宋体"/>
          <w:color w:val="auto"/>
          <w:spacing w:val="-6"/>
          <w:sz w:val="21"/>
          <w:szCs w:val="21"/>
          <w:highlight w:val="none"/>
          <w:lang w:eastAsia="zh-CN"/>
        </w:rPr>
        <w:t>杭州电子科技大学微波暗室测试系统</w:t>
      </w:r>
      <w:r>
        <w:rPr>
          <w:rFonts w:hint="eastAsia" w:ascii="宋体" w:hAnsi="宋体"/>
          <w:color w:val="auto"/>
          <w:spacing w:val="-6"/>
          <w:sz w:val="21"/>
          <w:szCs w:val="21"/>
          <w:highlight w:val="none"/>
        </w:rPr>
        <w:t>的招标、评标、定标、验收、合同履约、付款等（法律、法规另有规定的，从其规定）。</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（二） 定义</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1.“采购</w:t>
      </w:r>
      <w:r>
        <w:rPr>
          <w:rFonts w:ascii="宋体" w:hAnsi="宋体"/>
          <w:color w:val="auto"/>
          <w:spacing w:val="-6"/>
          <w:sz w:val="21"/>
          <w:szCs w:val="21"/>
          <w:highlight w:val="none"/>
        </w:rPr>
        <w:t>人</w:t>
      </w:r>
      <w:r>
        <w:rPr>
          <w:rFonts w:hint="eastAsia" w:ascii="宋体" w:hAnsi="宋体"/>
          <w:color w:val="auto"/>
          <w:spacing w:val="-6"/>
          <w:sz w:val="21"/>
          <w:szCs w:val="21"/>
          <w:highlight w:val="none"/>
        </w:rPr>
        <w:t>”系指</w:t>
      </w:r>
      <w:r>
        <w:rPr>
          <w:rFonts w:hint="eastAsia" w:ascii="宋体" w:hAnsi="宋体"/>
          <w:color w:val="auto"/>
          <w:spacing w:val="-6"/>
          <w:sz w:val="21"/>
          <w:szCs w:val="21"/>
          <w:highlight w:val="none"/>
          <w:lang w:eastAsia="zh-CN"/>
        </w:rPr>
        <w:t>杭州电子科技大学</w:t>
      </w:r>
      <w:r>
        <w:rPr>
          <w:rFonts w:hint="eastAsia" w:ascii="宋体" w:hAnsi="宋体"/>
          <w:color w:val="auto"/>
          <w:spacing w:val="-6"/>
          <w:sz w:val="21"/>
          <w:szCs w:val="21"/>
          <w:highlight w:val="none"/>
        </w:rPr>
        <w:t>；</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2.“采购代理机构”系指组织本次招标的浙江求是招标代理有限公司；</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3</w:t>
      </w:r>
      <w:r>
        <w:rPr>
          <w:rFonts w:ascii="宋体" w:hAnsi="宋体"/>
          <w:color w:val="auto"/>
          <w:spacing w:val="-6"/>
          <w:sz w:val="21"/>
          <w:szCs w:val="21"/>
          <w:highlight w:val="none"/>
        </w:rPr>
        <w:t>.</w:t>
      </w:r>
      <w:r>
        <w:rPr>
          <w:rFonts w:hint="eastAsia" w:ascii="宋体" w:hAnsi="宋体"/>
          <w:color w:val="auto"/>
          <w:spacing w:val="-6"/>
          <w:sz w:val="21"/>
          <w:szCs w:val="21"/>
          <w:highlight w:val="none"/>
        </w:rPr>
        <w:t>“投标人”系指响应招标、参加投标竞争的法人、其他组织或者自然人；</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4</w:t>
      </w:r>
      <w:r>
        <w:rPr>
          <w:rFonts w:ascii="宋体" w:hAnsi="宋体"/>
          <w:color w:val="auto"/>
          <w:spacing w:val="-6"/>
          <w:sz w:val="21"/>
          <w:szCs w:val="21"/>
          <w:highlight w:val="none"/>
        </w:rPr>
        <w:t>.</w:t>
      </w:r>
      <w:r>
        <w:rPr>
          <w:rFonts w:hint="eastAsia" w:ascii="宋体" w:hAnsi="宋体"/>
          <w:color w:val="auto"/>
          <w:spacing w:val="-6"/>
          <w:sz w:val="21"/>
          <w:szCs w:val="21"/>
          <w:highlight w:val="none"/>
        </w:rPr>
        <w:t>“书面形式”包括信函、传真、电子邮件等；</w:t>
      </w:r>
    </w:p>
    <w:p>
      <w:pPr>
        <w:spacing w:line="288" w:lineRule="auto"/>
        <w:ind w:firstLine="398" w:firstLineChars="200"/>
        <w:jc w:val="left"/>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p>
    <w:p>
      <w:pPr>
        <w:spacing w:line="288" w:lineRule="auto"/>
        <w:ind w:firstLine="398" w:firstLineChars="200"/>
        <w:jc w:val="left"/>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6.“公章”除特殊说明外系指政采云电子交易客户端（政采云投标客户端）中投标人的电子签章；</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7.“▲”系指实质性要求条款，投标人应当做出实质性响应。</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（三） 招标方式</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本次招标采用公开招标（线上电子招投标）方式进行。</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（四） 投标委托</w:t>
      </w:r>
    </w:p>
    <w:p>
      <w:pPr>
        <w:spacing w:line="288" w:lineRule="auto"/>
        <w:ind w:firstLine="396" w:firstLineChars="200"/>
        <w:rPr>
          <w:rFonts w:hint="eastAsia"/>
          <w:color w:val="auto"/>
          <w:spacing w:val="-6"/>
          <w:sz w:val="21"/>
          <w:szCs w:val="21"/>
          <w:highlight w:val="none"/>
        </w:rPr>
      </w:pPr>
      <w:r>
        <w:rPr>
          <w:rFonts w:ascii="宋体" w:hAnsi="宋体"/>
          <w:color w:val="auto"/>
          <w:spacing w:val="-6"/>
          <w:sz w:val="21"/>
          <w:szCs w:val="21"/>
          <w:highlight w:val="none"/>
        </w:rPr>
        <w:t>如投标人代表不是法定代表人，须有</w:t>
      </w:r>
      <w:r>
        <w:rPr>
          <w:rFonts w:ascii="宋体" w:hAnsi="宋体"/>
          <w:bCs/>
          <w:color w:val="auto"/>
          <w:spacing w:val="-6"/>
          <w:sz w:val="21"/>
          <w:szCs w:val="21"/>
          <w:highlight w:val="none"/>
        </w:rPr>
        <w:t>附有法定代表人资格证明</w:t>
      </w:r>
      <w:r>
        <w:rPr>
          <w:rFonts w:hint="eastAsia" w:ascii="宋体" w:hAnsi="宋体"/>
          <w:bCs/>
          <w:color w:val="auto"/>
          <w:spacing w:val="-6"/>
          <w:sz w:val="21"/>
          <w:szCs w:val="21"/>
          <w:highlight w:val="none"/>
        </w:rPr>
        <w:t>书</w:t>
      </w:r>
      <w:r>
        <w:rPr>
          <w:rFonts w:ascii="宋体" w:hAnsi="宋体"/>
          <w:bCs/>
          <w:color w:val="auto"/>
          <w:spacing w:val="-6"/>
          <w:sz w:val="21"/>
          <w:szCs w:val="21"/>
          <w:highlight w:val="none"/>
        </w:rPr>
        <w:t>的法定代表人授权</w:t>
      </w:r>
      <w:r>
        <w:rPr>
          <w:rFonts w:hint="eastAsia" w:ascii="宋体" w:hAnsi="宋体"/>
          <w:bCs/>
          <w:color w:val="auto"/>
          <w:spacing w:val="-6"/>
          <w:sz w:val="21"/>
          <w:szCs w:val="21"/>
          <w:highlight w:val="none"/>
        </w:rPr>
        <w:t>委托</w:t>
      </w:r>
      <w:r>
        <w:rPr>
          <w:rFonts w:ascii="宋体" w:hAnsi="宋体"/>
          <w:bCs/>
          <w:color w:val="auto"/>
          <w:spacing w:val="-6"/>
          <w:sz w:val="21"/>
          <w:szCs w:val="21"/>
          <w:highlight w:val="none"/>
        </w:rPr>
        <w:t>书</w:t>
      </w:r>
      <w:r>
        <w:rPr>
          <w:rFonts w:hint="eastAsia" w:ascii="宋体" w:hAnsi="宋体"/>
          <w:color w:val="auto"/>
          <w:spacing w:val="-6"/>
          <w:sz w:val="21"/>
          <w:szCs w:val="21"/>
          <w:highlight w:val="none"/>
        </w:rPr>
        <w:t>（格式详见投标文件第六章）</w:t>
      </w:r>
      <w:r>
        <w:rPr>
          <w:rFonts w:ascii="宋体" w:hAnsi="宋体"/>
          <w:color w:val="auto"/>
          <w:spacing w:val="-6"/>
          <w:sz w:val="21"/>
          <w:szCs w:val="21"/>
          <w:highlight w:val="none"/>
        </w:rPr>
        <w:t>，</w:t>
      </w:r>
      <w:r>
        <w:rPr>
          <w:rFonts w:hint="eastAsia" w:ascii="宋体" w:hAnsi="宋体"/>
          <w:color w:val="auto"/>
          <w:spacing w:val="-6"/>
          <w:sz w:val="21"/>
          <w:szCs w:val="21"/>
          <w:highlight w:val="none"/>
        </w:rPr>
        <w:t>投标人因未在线参加开标而导致电子加密投标文件无法按时解密等一切后果由投标人自行承担。</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（五） 投标费用</w:t>
      </w:r>
    </w:p>
    <w:p>
      <w:pPr>
        <w:spacing w:line="288" w:lineRule="auto"/>
        <w:ind w:firstLine="396" w:firstLineChars="200"/>
        <w:jc w:val="left"/>
        <w:rPr>
          <w:rFonts w:hint="eastAsia" w:ascii="宋体" w:hAnsi="宋体"/>
          <w:color w:val="auto"/>
          <w:spacing w:val="-6"/>
          <w:sz w:val="21"/>
          <w:szCs w:val="21"/>
          <w:highlight w:val="none"/>
        </w:rPr>
      </w:pPr>
      <w:r>
        <w:rPr>
          <w:rFonts w:ascii="宋体" w:hAnsi="宋体"/>
          <w:color w:val="auto"/>
          <w:spacing w:val="-6"/>
          <w:sz w:val="21"/>
          <w:szCs w:val="21"/>
          <w:highlight w:val="none"/>
        </w:rPr>
        <w:t>1.</w:t>
      </w:r>
      <w:r>
        <w:rPr>
          <w:rFonts w:hint="eastAsia" w:ascii="宋体" w:hAnsi="宋体"/>
          <w:color w:val="auto"/>
          <w:spacing w:val="-6"/>
          <w:sz w:val="21"/>
          <w:szCs w:val="21"/>
          <w:highlight w:val="none"/>
        </w:rPr>
        <w:t>不论投标结果如何，投标人均应自行承担所有与投标有关的全部费用；</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2.中标人在中标通知书发出之日起七个工作日内，向采购代理机构交纳代理服务费，收费标准（差额累进）：</w:t>
      </w:r>
    </w:p>
    <w:tbl>
      <w:tblPr>
        <w:tblStyle w:val="22"/>
        <w:tblW w:w="7796"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80"/>
        <w:gridCol w:w="35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80" w:type="dxa"/>
            <w:noWrap w:val="0"/>
            <w:vAlign w:val="top"/>
          </w:tcPr>
          <w:p>
            <w:pPr>
              <w:spacing w:line="288" w:lineRule="auto"/>
              <w:jc w:val="center"/>
              <w:rPr>
                <w:rFonts w:hint="eastAsia" w:ascii="宋体" w:hAnsi="宋体"/>
                <w:color w:val="auto"/>
                <w:spacing w:val="-6"/>
                <w:sz w:val="21"/>
                <w:szCs w:val="21"/>
                <w:highlight w:val="none"/>
              </w:rPr>
            </w:pPr>
            <w:r>
              <w:rPr>
                <w:rFonts w:hint="eastAsia" w:ascii="宋体" w:hAnsi="宋体"/>
                <w:color w:val="auto"/>
                <w:spacing w:val="-6"/>
                <w:sz w:val="21"/>
                <w:szCs w:val="21"/>
                <w:highlight w:val="none"/>
              </w:rPr>
              <w:t>中标</w:t>
            </w:r>
            <w:r>
              <w:rPr>
                <w:rFonts w:ascii="宋体" w:hAnsi="宋体"/>
                <w:color w:val="auto"/>
                <w:spacing w:val="-6"/>
                <w:sz w:val="21"/>
                <w:szCs w:val="21"/>
                <w:highlight w:val="none"/>
              </w:rPr>
              <w:t>金额（万元）</w:t>
            </w:r>
          </w:p>
        </w:tc>
        <w:tc>
          <w:tcPr>
            <w:tcW w:w="3516" w:type="dxa"/>
            <w:noWrap w:val="0"/>
            <w:vAlign w:val="top"/>
          </w:tcPr>
          <w:p>
            <w:pPr>
              <w:spacing w:line="288" w:lineRule="auto"/>
              <w:jc w:val="center"/>
              <w:rPr>
                <w:rFonts w:hint="eastAsia" w:ascii="宋体" w:hAnsi="宋体"/>
                <w:color w:val="auto"/>
                <w:spacing w:val="-6"/>
                <w:sz w:val="21"/>
                <w:szCs w:val="21"/>
                <w:highlight w:val="none"/>
              </w:rPr>
            </w:pPr>
            <w:r>
              <w:rPr>
                <w:rFonts w:hint="eastAsia" w:ascii="宋体" w:hAnsi="宋体"/>
                <w:color w:val="auto"/>
                <w:spacing w:val="-6"/>
                <w:sz w:val="21"/>
                <w:szCs w:val="21"/>
                <w:highlight w:val="none"/>
              </w:rPr>
              <w:t>收费标准</w:t>
            </w:r>
            <w:r>
              <w:rPr>
                <w:rFonts w:ascii="宋体" w:hAnsi="宋体"/>
                <w:color w:val="auto"/>
                <w:spacing w:val="-6"/>
                <w:sz w:val="21"/>
                <w:szCs w:val="21"/>
                <w:highlight w:val="none"/>
              </w:rPr>
              <w:t>（费率，</w:t>
            </w:r>
            <w:r>
              <w:rPr>
                <w:rFonts w:hint="eastAsia" w:ascii="宋体" w:hAnsi="宋体"/>
                <w:color w:val="auto"/>
                <w:spacing w:val="-6"/>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80" w:type="dxa"/>
            <w:noWrap w:val="0"/>
            <w:vAlign w:val="top"/>
          </w:tcPr>
          <w:p>
            <w:pPr>
              <w:spacing w:line="288" w:lineRule="auto"/>
              <w:jc w:val="center"/>
              <w:rPr>
                <w:rFonts w:hint="default" w:ascii="宋体" w:hAnsi="宋体" w:eastAsia="宋体"/>
                <w:color w:val="auto"/>
                <w:spacing w:val="-6"/>
                <w:sz w:val="21"/>
                <w:szCs w:val="21"/>
                <w:highlight w:val="none"/>
                <w:lang w:val="en-US" w:eastAsia="zh-CN"/>
              </w:rPr>
            </w:pPr>
            <w:r>
              <w:rPr>
                <w:rFonts w:hint="eastAsia" w:ascii="宋体" w:hAnsi="宋体"/>
                <w:color w:val="auto"/>
                <w:spacing w:val="-6"/>
                <w:sz w:val="21"/>
                <w:szCs w:val="21"/>
                <w:highlight w:val="none"/>
                <w:lang w:val="en-US" w:eastAsia="zh-CN"/>
              </w:rPr>
              <w:t>100以内部分</w:t>
            </w:r>
          </w:p>
        </w:tc>
        <w:tc>
          <w:tcPr>
            <w:tcW w:w="3516" w:type="dxa"/>
            <w:noWrap w:val="0"/>
            <w:vAlign w:val="top"/>
          </w:tcPr>
          <w:p>
            <w:pPr>
              <w:keepNext w:val="0"/>
              <w:keepLines w:val="0"/>
              <w:widowControl w:val="0"/>
              <w:suppressLineNumbers w:val="0"/>
              <w:spacing w:before="0" w:beforeAutospacing="0" w:after="0" w:afterAutospacing="0" w:line="288" w:lineRule="auto"/>
              <w:ind w:left="0" w:leftChars="0" w:right="0" w:rightChars="0"/>
              <w:jc w:val="center"/>
              <w:rPr>
                <w:rFonts w:hint="eastAsia" w:ascii="宋体" w:hAnsi="宋体" w:eastAsia="宋体"/>
                <w:color w:val="auto"/>
                <w:spacing w:val="-6"/>
                <w:sz w:val="21"/>
                <w:szCs w:val="21"/>
                <w:highlight w:val="none"/>
                <w:lang w:val="en-US" w:eastAsia="zh-CN"/>
              </w:rPr>
            </w:pPr>
            <w:r>
              <w:rPr>
                <w:rFonts w:hint="eastAsia" w:ascii="宋体" w:hAnsi="宋体" w:eastAsia="宋体" w:cs="宋体"/>
                <w:color w:val="auto"/>
                <w:spacing w:val="-6"/>
                <w:kern w:val="2"/>
                <w:sz w:val="21"/>
                <w:szCs w:val="21"/>
                <w:highlight w:val="none"/>
                <w:lang w:val="en-US" w:eastAsia="zh-CN" w:bidi="ar"/>
              </w:rPr>
              <w:t>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80" w:type="dxa"/>
            <w:noWrap w:val="0"/>
            <w:vAlign w:val="top"/>
          </w:tcPr>
          <w:p>
            <w:pPr>
              <w:spacing w:line="288" w:lineRule="auto"/>
              <w:jc w:val="center"/>
              <w:rPr>
                <w:rFonts w:hint="default" w:ascii="宋体" w:hAnsi="宋体"/>
                <w:color w:val="auto"/>
                <w:spacing w:val="-6"/>
                <w:sz w:val="21"/>
                <w:szCs w:val="21"/>
                <w:highlight w:val="none"/>
                <w:lang w:val="en-US" w:eastAsia="zh-CN"/>
              </w:rPr>
            </w:pPr>
            <w:r>
              <w:rPr>
                <w:rFonts w:hint="eastAsia" w:ascii="宋体" w:hAnsi="宋体"/>
                <w:color w:val="auto"/>
                <w:spacing w:val="-6"/>
                <w:sz w:val="21"/>
                <w:szCs w:val="21"/>
                <w:highlight w:val="none"/>
                <w:lang w:val="en-US" w:eastAsia="zh-CN"/>
              </w:rPr>
              <w:t>100-500部分</w:t>
            </w:r>
          </w:p>
        </w:tc>
        <w:tc>
          <w:tcPr>
            <w:tcW w:w="3516" w:type="dxa"/>
            <w:noWrap w:val="0"/>
            <w:vAlign w:val="top"/>
          </w:tcPr>
          <w:p>
            <w:pPr>
              <w:keepNext w:val="0"/>
              <w:keepLines w:val="0"/>
              <w:widowControl w:val="0"/>
              <w:suppressLineNumbers w:val="0"/>
              <w:spacing w:before="0" w:beforeAutospacing="0" w:after="0" w:afterAutospacing="0" w:line="288" w:lineRule="auto"/>
              <w:ind w:left="0" w:leftChars="0" w:right="0" w:rightChars="0"/>
              <w:jc w:val="center"/>
              <w:rPr>
                <w:rFonts w:hint="eastAsia" w:ascii="宋体" w:hAnsi="宋体"/>
                <w:color w:val="auto"/>
                <w:spacing w:val="-6"/>
                <w:sz w:val="21"/>
                <w:szCs w:val="21"/>
                <w:highlight w:val="none"/>
                <w:lang w:val="en-US" w:eastAsia="zh-CN"/>
              </w:rPr>
            </w:pPr>
            <w:r>
              <w:rPr>
                <w:rFonts w:hint="eastAsia" w:ascii="宋体" w:hAnsi="宋体" w:eastAsia="宋体" w:cs="宋体"/>
                <w:color w:val="auto"/>
                <w:spacing w:val="-6"/>
                <w:kern w:val="2"/>
                <w:sz w:val="21"/>
                <w:szCs w:val="21"/>
                <w:highlight w:val="none"/>
                <w:lang w:val="en-US" w:eastAsia="zh-CN" w:bidi="ar"/>
              </w:rPr>
              <w:t>0.77</w:t>
            </w:r>
          </w:p>
        </w:tc>
      </w:tr>
    </w:tbl>
    <w:p>
      <w:pPr>
        <w:spacing w:line="288" w:lineRule="auto"/>
        <w:ind w:firstLine="396" w:firstLineChars="200"/>
        <w:jc w:val="left"/>
        <w:rPr>
          <w:rFonts w:hint="eastAsia" w:ascii="宋体" w:hAnsi="宋体"/>
          <w:b/>
          <w:color w:val="auto"/>
          <w:spacing w:val="-6"/>
          <w:sz w:val="24"/>
          <w:highlight w:val="none"/>
        </w:rPr>
      </w:pPr>
      <w:r>
        <w:rPr>
          <w:rFonts w:hint="eastAsia" w:ascii="宋体" w:hAnsi="宋体"/>
          <w:color w:val="auto"/>
          <w:spacing w:val="-6"/>
          <w:sz w:val="21"/>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（六） 联合体投标</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本项目不接受联合体投标。</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（七） 转包与分包</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1</w:t>
      </w:r>
      <w:r>
        <w:rPr>
          <w:rFonts w:ascii="宋体" w:hAnsi="宋体"/>
          <w:color w:val="auto"/>
          <w:spacing w:val="-6"/>
          <w:sz w:val="21"/>
          <w:szCs w:val="21"/>
          <w:highlight w:val="none"/>
        </w:rPr>
        <w:t>.</w:t>
      </w:r>
      <w:r>
        <w:rPr>
          <w:rFonts w:hint="eastAsia" w:ascii="宋体" w:hAnsi="宋体"/>
          <w:color w:val="auto"/>
          <w:spacing w:val="-6"/>
          <w:sz w:val="21"/>
          <w:szCs w:val="21"/>
          <w:highlight w:val="none"/>
        </w:rPr>
        <w:t>本项目不允许转包；</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2</w:t>
      </w:r>
      <w:r>
        <w:rPr>
          <w:rFonts w:ascii="宋体" w:hAnsi="宋体"/>
          <w:color w:val="auto"/>
          <w:spacing w:val="-6"/>
          <w:sz w:val="21"/>
          <w:szCs w:val="21"/>
          <w:highlight w:val="none"/>
        </w:rPr>
        <w:t>.</w:t>
      </w:r>
      <w:r>
        <w:rPr>
          <w:rFonts w:hint="eastAsia" w:ascii="宋体" w:hAnsi="宋体"/>
          <w:color w:val="auto"/>
          <w:spacing w:val="-6"/>
          <w:sz w:val="21"/>
          <w:szCs w:val="21"/>
          <w:highlight w:val="none"/>
        </w:rPr>
        <w:t>投标人根据招标文件的规定和采购项目的实际情况，拟在中标后将中标项目的非主体、非关键性工作分包的，应当在投标文件中载明分包承担主体，分包承担主体应当具备相应资质条件且不得再次分包。</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（八） 特别说明</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1</w:t>
      </w:r>
      <w:r>
        <w:rPr>
          <w:rFonts w:hAnsi="宋体"/>
          <w:color w:val="auto"/>
          <w:spacing w:val="-6"/>
          <w:sz w:val="21"/>
          <w:szCs w:val="21"/>
          <w:highlight w:val="none"/>
        </w:rPr>
        <w:t>.投标人应仔细阅读招标文件的所有内容，按照招标文件的要求提交投标文件，并对所提供的全部资料的真实性承担法律责任。</w:t>
      </w:r>
    </w:p>
    <w:p>
      <w:pPr>
        <w:pStyle w:val="2"/>
        <w:spacing w:line="288" w:lineRule="auto"/>
        <w:ind w:firstLine="396" w:firstLineChars="200"/>
        <w:jc w:val="left"/>
        <w:rPr>
          <w:rFonts w:hint="eastAsia" w:hAnsi="宋体"/>
          <w:color w:val="auto"/>
          <w:spacing w:val="-6"/>
          <w:sz w:val="21"/>
          <w:szCs w:val="21"/>
          <w:highlight w:val="none"/>
        </w:rPr>
      </w:pPr>
      <w:r>
        <w:rPr>
          <w:rFonts w:hAnsi="宋体"/>
          <w:color w:val="auto"/>
          <w:spacing w:val="-6"/>
          <w:sz w:val="21"/>
          <w:szCs w:val="21"/>
          <w:highlight w:val="none"/>
        </w:rPr>
        <w:t>▲</w:t>
      </w:r>
      <w:r>
        <w:rPr>
          <w:rFonts w:hint="eastAsia" w:hAnsi="宋体"/>
          <w:color w:val="auto"/>
          <w:spacing w:val="-6"/>
          <w:sz w:val="21"/>
          <w:szCs w:val="21"/>
          <w:highlight w:val="none"/>
        </w:rPr>
        <w:t>2</w:t>
      </w:r>
      <w:r>
        <w:rPr>
          <w:rFonts w:hAnsi="宋体"/>
          <w:color w:val="auto"/>
          <w:spacing w:val="-6"/>
          <w:sz w:val="21"/>
          <w:szCs w:val="21"/>
          <w:highlight w:val="none"/>
        </w:rPr>
        <w:t>.</w:t>
      </w:r>
      <w:r>
        <w:rPr>
          <w:rFonts w:hint="eastAsia" w:hAnsi="宋体"/>
          <w:color w:val="auto"/>
          <w:spacing w:val="-6"/>
          <w:sz w:val="21"/>
          <w:szCs w:val="21"/>
          <w:highlight w:val="none"/>
        </w:rPr>
        <w:t>单位负责人为同一人或者存在直接控股、管理关系的不同投标人，不得参加同一合同项下的政府采购活动。</w:t>
      </w:r>
    </w:p>
    <w:p>
      <w:pPr>
        <w:pStyle w:val="2"/>
        <w:spacing w:line="288" w:lineRule="auto"/>
        <w:ind w:firstLine="396" w:firstLineChars="200"/>
        <w:jc w:val="left"/>
        <w:rPr>
          <w:rFonts w:hint="eastAsia" w:hAnsi="宋体"/>
          <w:color w:val="auto"/>
          <w:spacing w:val="-6"/>
          <w:sz w:val="21"/>
          <w:szCs w:val="21"/>
          <w:highlight w:val="none"/>
        </w:rPr>
      </w:pPr>
      <w:r>
        <w:rPr>
          <w:rFonts w:hAnsi="宋体"/>
          <w:color w:val="auto"/>
          <w:spacing w:val="-6"/>
          <w:sz w:val="21"/>
          <w:szCs w:val="21"/>
          <w:highlight w:val="none"/>
        </w:rPr>
        <w:t>▲</w:t>
      </w:r>
      <w:r>
        <w:rPr>
          <w:rFonts w:hint="eastAsia" w:hAnsi="宋体"/>
          <w:color w:val="auto"/>
          <w:spacing w:val="-6"/>
          <w:sz w:val="21"/>
          <w:szCs w:val="21"/>
          <w:highlight w:val="none"/>
        </w:rPr>
        <w:t>3.为采购项目提供整体设计、规范编制或者项目管理、监理、检测等服务的投标人，不得再参加该采购项目的其他采购活动。</w:t>
      </w:r>
    </w:p>
    <w:p>
      <w:pPr>
        <w:pStyle w:val="2"/>
        <w:spacing w:line="288" w:lineRule="auto"/>
        <w:ind w:firstLine="396" w:firstLineChars="200"/>
        <w:jc w:val="left"/>
        <w:rPr>
          <w:rFonts w:hint="eastAsia" w:hAnsi="宋体"/>
          <w:color w:val="auto"/>
          <w:spacing w:val="-6"/>
          <w:sz w:val="21"/>
          <w:szCs w:val="21"/>
          <w:highlight w:val="none"/>
          <w:u w:val="single"/>
        </w:rPr>
      </w:pPr>
      <w:r>
        <w:rPr>
          <w:rFonts w:hAnsi="宋体"/>
          <w:color w:val="auto"/>
          <w:spacing w:val="-6"/>
          <w:sz w:val="21"/>
          <w:szCs w:val="21"/>
          <w:highlight w:val="none"/>
          <w:u w:val="single"/>
        </w:rPr>
        <w:t>▲</w:t>
      </w:r>
      <w:r>
        <w:rPr>
          <w:rFonts w:hint="eastAsia" w:hAnsi="宋体"/>
          <w:color w:val="auto"/>
          <w:spacing w:val="-6"/>
          <w:sz w:val="21"/>
          <w:szCs w:val="21"/>
          <w:highlight w:val="none"/>
          <w:u w:val="single"/>
        </w:rPr>
        <w:t>4.投标人授权代表必须为投标人本单位在职职工，并提供</w:t>
      </w:r>
      <w:r>
        <w:rPr>
          <w:rFonts w:hint="eastAsia" w:hAnsi="宋体"/>
          <w:color w:val="auto"/>
          <w:spacing w:val="-6"/>
          <w:sz w:val="21"/>
          <w:szCs w:val="21"/>
          <w:highlight w:val="none"/>
          <w:u w:val="single"/>
          <w:lang w:eastAsia="zh-CN"/>
        </w:rPr>
        <w:t>2019年7月至今</w:t>
      </w:r>
      <w:r>
        <w:rPr>
          <w:rFonts w:hint="eastAsia" w:hAnsi="宋体"/>
          <w:color w:val="auto"/>
          <w:spacing w:val="-6"/>
          <w:sz w:val="21"/>
          <w:szCs w:val="21"/>
          <w:highlight w:val="none"/>
          <w:u w:val="single"/>
        </w:rPr>
        <w:t>任意一月社保缴纳证明（授权代表为法定代表人可不提供）。</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5.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非单一产品采购项目，多家投标人提供的核心产品品牌相同的，按前款规定处理。</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（九） 质疑和投诉</w:t>
      </w:r>
    </w:p>
    <w:p>
      <w:pPr>
        <w:pStyle w:val="2"/>
        <w:spacing w:line="288" w:lineRule="auto"/>
        <w:ind w:firstLine="396" w:firstLineChars="200"/>
        <w:jc w:val="left"/>
        <w:rPr>
          <w:rFonts w:hAnsi="宋体"/>
          <w:color w:val="auto"/>
          <w:spacing w:val="-6"/>
          <w:sz w:val="21"/>
          <w:szCs w:val="21"/>
          <w:highlight w:val="none"/>
        </w:rPr>
      </w:pPr>
      <w:r>
        <w:rPr>
          <w:rFonts w:hAnsi="宋体"/>
          <w:color w:val="auto"/>
          <w:spacing w:val="-6"/>
          <w:sz w:val="21"/>
          <w:szCs w:val="21"/>
          <w:highlight w:val="none"/>
        </w:rPr>
        <w:t>1</w:t>
      </w:r>
      <w:r>
        <w:rPr>
          <w:rFonts w:hint="eastAsia" w:hAnsi="宋体"/>
          <w:color w:val="auto"/>
          <w:spacing w:val="-6"/>
          <w:sz w:val="21"/>
          <w:szCs w:val="21"/>
          <w:highlight w:val="none"/>
        </w:rPr>
        <w:t>.</w:t>
      </w:r>
      <w:r>
        <w:rPr>
          <w:rFonts w:hAnsi="宋体"/>
          <w:color w:val="auto"/>
          <w:spacing w:val="-6"/>
          <w:sz w:val="21"/>
          <w:szCs w:val="21"/>
          <w:highlight w:val="none"/>
        </w:rPr>
        <w:t>投标人</w:t>
      </w:r>
      <w:r>
        <w:rPr>
          <w:rFonts w:hint="eastAsia" w:hAnsi="宋体"/>
          <w:color w:val="auto"/>
          <w:spacing w:val="-6"/>
          <w:sz w:val="21"/>
          <w:szCs w:val="21"/>
          <w:highlight w:val="none"/>
        </w:rPr>
        <w:t>认为招标文件、招标过程和中标结果使自己的权益受到损害的，可以在知道或者应知其权益受到损害之日起七个工作日内，以书面形式向采购人或</w:t>
      </w:r>
      <w:r>
        <w:rPr>
          <w:rFonts w:hAnsi="宋体"/>
          <w:color w:val="auto"/>
          <w:spacing w:val="-6"/>
          <w:sz w:val="21"/>
          <w:szCs w:val="21"/>
          <w:highlight w:val="none"/>
        </w:rPr>
        <w:t>采购代理机构</w:t>
      </w:r>
      <w:r>
        <w:rPr>
          <w:rFonts w:hint="eastAsia" w:hAnsi="宋体"/>
          <w:color w:val="auto"/>
          <w:spacing w:val="-6"/>
          <w:sz w:val="21"/>
          <w:szCs w:val="21"/>
          <w:highlight w:val="none"/>
        </w:rPr>
        <w:t>提出质疑。质疑投标人对采购人、采购代理机构的答复不满意或者采购人、采购代理机构未在规定的时间内作出答复的，可以在答复期满后十五个工作日内向同级政府采购监督管理部门投诉。</w:t>
      </w:r>
    </w:p>
    <w:p>
      <w:pPr>
        <w:pStyle w:val="2"/>
        <w:spacing w:line="288" w:lineRule="auto"/>
        <w:ind w:firstLine="398" w:firstLineChars="200"/>
        <w:jc w:val="left"/>
        <w:rPr>
          <w:rFonts w:hAnsi="宋体"/>
          <w:b/>
          <w:bCs/>
          <w:color w:val="auto"/>
          <w:spacing w:val="-6"/>
          <w:sz w:val="21"/>
          <w:szCs w:val="21"/>
          <w:highlight w:val="none"/>
        </w:rPr>
      </w:pPr>
      <w:r>
        <w:rPr>
          <w:rFonts w:hint="eastAsia" w:hAnsi="宋体"/>
          <w:b/>
          <w:bCs/>
          <w:color w:val="auto"/>
          <w:spacing w:val="-6"/>
          <w:sz w:val="21"/>
          <w:szCs w:val="21"/>
          <w:highlight w:val="none"/>
        </w:rPr>
        <w:t>2.投标人提出质疑应当提交质疑函和必要的证明材料，质疑函范本请到“浙江政府采购网下载专区”下载，质疑函应当包括下列内容：</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（一）供应商的姓名或者名称、地址、邮编、联系人及联系电话；</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（二）质疑项目的名称、编号；</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（三）具体、明确的质疑事项和与质疑事项相关的请求；</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（四）事实依据；</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（五）必要的法律依据；</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（六）提出质疑的日期。</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投标人为自然人的，应当由本人签字；投标人为法人或者其他组织的，应当由法定代表人、主要负责人，或者其授权代表签字或者盖章，并加盖公章。</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3.提出质疑的供应商应当是参与本项目招标活动的投标人。</w:t>
      </w:r>
      <w:r>
        <w:rPr>
          <w:rFonts w:hint="eastAsia" w:hAnsi="宋体"/>
          <w:b/>
          <w:color w:val="auto"/>
          <w:spacing w:val="-6"/>
          <w:sz w:val="21"/>
          <w:szCs w:val="21"/>
          <w:highlight w:val="none"/>
        </w:rPr>
        <w:t>投标人在法定质疑期内应一次性提出针对同一采购程序环节的质疑。</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4.根据《政府采购质疑和投诉办法》第三十七条的规定，投诉人在全国范围</w:t>
      </w:r>
      <w:r>
        <w:rPr>
          <w:rFonts w:hAnsi="宋体"/>
          <w:color w:val="auto"/>
          <w:spacing w:val="-6"/>
          <w:sz w:val="21"/>
          <w:szCs w:val="21"/>
          <w:highlight w:val="none"/>
        </w:rPr>
        <w:t>12</w:t>
      </w:r>
      <w:r>
        <w:rPr>
          <w:rFonts w:hint="eastAsia" w:hAnsi="宋体"/>
          <w:color w:val="auto"/>
          <w:spacing w:val="-6"/>
          <w:sz w:val="21"/>
          <w:szCs w:val="21"/>
          <w:highlight w:val="none"/>
        </w:rPr>
        <w:t>个月内三次以上投诉查无实据的，由财政部门列入不良行为记录名单。</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投诉人有下列行为之一的，属于虚假、恶意投诉，由财政部门列入不良行为记录名单，禁止其</w:t>
      </w:r>
      <w:r>
        <w:rPr>
          <w:rFonts w:hAnsi="宋体"/>
          <w:color w:val="auto"/>
          <w:spacing w:val="-6"/>
          <w:sz w:val="21"/>
          <w:szCs w:val="21"/>
          <w:highlight w:val="none"/>
        </w:rPr>
        <w:t>1</w:t>
      </w:r>
      <w:r>
        <w:rPr>
          <w:rFonts w:hint="eastAsia" w:hAnsi="宋体"/>
          <w:color w:val="auto"/>
          <w:spacing w:val="-6"/>
          <w:sz w:val="21"/>
          <w:szCs w:val="21"/>
          <w:highlight w:val="none"/>
        </w:rPr>
        <w:t>至</w:t>
      </w:r>
      <w:r>
        <w:rPr>
          <w:rFonts w:hAnsi="宋体"/>
          <w:color w:val="auto"/>
          <w:spacing w:val="-6"/>
          <w:sz w:val="21"/>
          <w:szCs w:val="21"/>
          <w:highlight w:val="none"/>
        </w:rPr>
        <w:t>3</w:t>
      </w:r>
      <w:r>
        <w:rPr>
          <w:rFonts w:hint="eastAsia" w:hAnsi="宋体"/>
          <w:color w:val="auto"/>
          <w:spacing w:val="-6"/>
          <w:sz w:val="21"/>
          <w:szCs w:val="21"/>
          <w:highlight w:val="none"/>
        </w:rPr>
        <w:t>年内参加政府采购活动：</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（一）捏造事实；</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（二）提供虚假材料；</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（三）以非法手段取得证明材料。证据来源的合法性存在明显疑问，投诉人无法证明其取得方式合法的，视为以非法手段取得证明材料。</w:t>
      </w:r>
    </w:p>
    <w:p>
      <w:pPr>
        <w:pStyle w:val="12"/>
        <w:spacing w:before="0" w:beforeLines="0" w:after="0" w:afterLines="0" w:line="288" w:lineRule="auto"/>
        <w:jc w:val="center"/>
        <w:outlineLvl w:val="1"/>
        <w:rPr>
          <w:rFonts w:hint="eastAsia" w:hAnsi="宋体"/>
          <w:b/>
          <w:color w:val="auto"/>
          <w:spacing w:val="-6"/>
          <w:sz w:val="32"/>
          <w:szCs w:val="32"/>
          <w:highlight w:val="none"/>
        </w:rPr>
      </w:pPr>
      <w:r>
        <w:rPr>
          <w:rFonts w:hAnsi="宋体"/>
          <w:b/>
          <w:color w:val="auto"/>
          <w:spacing w:val="-6"/>
          <w:sz w:val="32"/>
          <w:szCs w:val="32"/>
          <w:highlight w:val="none"/>
        </w:rPr>
        <w:br w:type="page"/>
      </w:r>
      <w:r>
        <w:rPr>
          <w:rFonts w:hAnsi="宋体"/>
          <w:b/>
          <w:color w:val="auto"/>
          <w:spacing w:val="-6"/>
          <w:sz w:val="32"/>
          <w:szCs w:val="32"/>
          <w:highlight w:val="none"/>
        </w:rPr>
        <w:t>二</w:t>
      </w:r>
      <w:r>
        <w:rPr>
          <w:rFonts w:hint="eastAsia" w:hAnsi="宋体"/>
          <w:b/>
          <w:color w:val="auto"/>
          <w:spacing w:val="-6"/>
          <w:sz w:val="32"/>
          <w:szCs w:val="32"/>
          <w:highlight w:val="none"/>
        </w:rPr>
        <w:t>、招标文件</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（一） 招标文件的构成</w:t>
      </w:r>
    </w:p>
    <w:p>
      <w:pPr>
        <w:pStyle w:val="2"/>
        <w:spacing w:line="288" w:lineRule="auto"/>
        <w:ind w:firstLine="398" w:firstLineChars="200"/>
        <w:jc w:val="left"/>
        <w:rPr>
          <w:rFonts w:hint="eastAsia" w:hAnsi="宋体"/>
          <w:b/>
          <w:color w:val="auto"/>
          <w:spacing w:val="-6"/>
          <w:sz w:val="21"/>
          <w:szCs w:val="21"/>
          <w:highlight w:val="none"/>
        </w:rPr>
      </w:pPr>
      <w:r>
        <w:rPr>
          <w:rFonts w:hint="eastAsia" w:hAnsi="宋体"/>
          <w:b/>
          <w:color w:val="auto"/>
          <w:spacing w:val="-6"/>
          <w:sz w:val="21"/>
          <w:szCs w:val="21"/>
          <w:highlight w:val="none"/>
        </w:rPr>
        <w:t>本招标文件由以下部份组成：</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1.投标邀请</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2.采购需求</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3.投标人须知</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4.评标办法及评分标准</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5.拟签订的合同文本</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6.投标文件格式</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7.本项目招标文件的澄清、答复、修改、补充的内容</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（二） 投标人的风险</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投标人没有按照招标文件要求提供全部资料，或者投标人没有对招标文件在各方面作出实质性响应是投标人的风险，并可能导致其投标被拒绝。</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（三） 招标文件的澄清与修改</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1</w:t>
      </w:r>
      <w:r>
        <w:rPr>
          <w:rFonts w:hAnsi="宋体"/>
          <w:color w:val="auto"/>
          <w:spacing w:val="-6"/>
          <w:sz w:val="21"/>
          <w:szCs w:val="21"/>
          <w:highlight w:val="none"/>
        </w:rPr>
        <w:t>.采购人或者采购代理机构可以对已发出的招标文件进行必要的澄清或者修改</w:t>
      </w:r>
      <w:r>
        <w:rPr>
          <w:rFonts w:hint="eastAsia" w:hAnsi="宋体"/>
          <w:color w:val="auto"/>
          <w:spacing w:val="-6"/>
          <w:sz w:val="21"/>
          <w:szCs w:val="21"/>
          <w:highlight w:val="none"/>
        </w:rPr>
        <w:t>，</w:t>
      </w:r>
      <w:r>
        <w:rPr>
          <w:rFonts w:hAnsi="宋体"/>
          <w:color w:val="auto"/>
          <w:spacing w:val="-6"/>
          <w:sz w:val="21"/>
          <w:szCs w:val="21"/>
          <w:highlight w:val="none"/>
        </w:rPr>
        <w:t>澄清或者修改</w:t>
      </w:r>
      <w:r>
        <w:rPr>
          <w:rFonts w:hint="eastAsia" w:hAnsi="宋体"/>
          <w:color w:val="auto"/>
          <w:spacing w:val="-6"/>
          <w:sz w:val="21"/>
          <w:szCs w:val="21"/>
          <w:highlight w:val="none"/>
        </w:rPr>
        <w:t>会</w:t>
      </w:r>
      <w:r>
        <w:rPr>
          <w:rFonts w:hAnsi="宋体"/>
          <w:color w:val="auto"/>
          <w:spacing w:val="-6"/>
          <w:sz w:val="21"/>
          <w:szCs w:val="21"/>
          <w:highlight w:val="none"/>
        </w:rPr>
        <w:t>在原公告发布媒体上发布澄清公告</w:t>
      </w:r>
      <w:r>
        <w:rPr>
          <w:rFonts w:hint="eastAsia" w:hAnsi="宋体"/>
          <w:color w:val="auto"/>
          <w:spacing w:val="-6"/>
          <w:sz w:val="21"/>
          <w:szCs w:val="21"/>
          <w:highlight w:val="none"/>
        </w:rPr>
        <w:t>，</w:t>
      </w:r>
      <w:r>
        <w:rPr>
          <w:rFonts w:hAnsi="宋体"/>
          <w:color w:val="auto"/>
          <w:spacing w:val="-6"/>
          <w:sz w:val="21"/>
          <w:szCs w:val="21"/>
          <w:highlight w:val="none"/>
        </w:rPr>
        <w:t>澄清或者修改的内容为招标文件的组成部分。</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2.招标文件的修改将以书面形式通知所有获取招标文件的投标人，并对其具有约束力。投标人在收到上述通知后，应立即向采购</w:t>
      </w:r>
      <w:r>
        <w:rPr>
          <w:rFonts w:hAnsi="宋体"/>
          <w:color w:val="auto"/>
          <w:spacing w:val="-6"/>
          <w:sz w:val="21"/>
          <w:szCs w:val="21"/>
          <w:highlight w:val="none"/>
        </w:rPr>
        <w:t>代理机构</w:t>
      </w:r>
      <w:r>
        <w:rPr>
          <w:rFonts w:hint="eastAsia" w:hAnsi="宋体"/>
          <w:color w:val="auto"/>
          <w:spacing w:val="-6"/>
          <w:sz w:val="21"/>
          <w:szCs w:val="21"/>
          <w:highlight w:val="none"/>
        </w:rPr>
        <w:t>回函确认。若无书面回函确认，视同投标人已收到招标文件修改的通知，并受其约束。</w:t>
      </w:r>
    </w:p>
    <w:p>
      <w:pPr>
        <w:pStyle w:val="12"/>
        <w:spacing w:before="0" w:beforeLines="0" w:after="0" w:afterLines="0" w:line="288" w:lineRule="auto"/>
        <w:jc w:val="center"/>
        <w:outlineLvl w:val="1"/>
        <w:rPr>
          <w:rFonts w:hAnsi="宋体"/>
          <w:color w:val="auto"/>
          <w:spacing w:val="-6"/>
          <w:sz w:val="21"/>
          <w:szCs w:val="21"/>
          <w:highlight w:val="none"/>
        </w:rPr>
      </w:pPr>
      <w:r>
        <w:rPr>
          <w:rFonts w:hAnsi="宋体"/>
          <w:color w:val="auto"/>
          <w:spacing w:val="-6"/>
          <w:sz w:val="21"/>
          <w:szCs w:val="21"/>
          <w:highlight w:val="none"/>
        </w:rPr>
        <w:br w:type="page"/>
      </w:r>
      <w:r>
        <w:rPr>
          <w:rFonts w:hAnsi="宋体"/>
          <w:b/>
          <w:color w:val="auto"/>
          <w:spacing w:val="-6"/>
          <w:sz w:val="32"/>
          <w:szCs w:val="32"/>
          <w:highlight w:val="none"/>
        </w:rPr>
        <w:t>三</w:t>
      </w:r>
      <w:r>
        <w:rPr>
          <w:rFonts w:hint="eastAsia" w:hAnsi="宋体"/>
          <w:b/>
          <w:color w:val="auto"/>
          <w:spacing w:val="-6"/>
          <w:sz w:val="32"/>
          <w:szCs w:val="32"/>
          <w:highlight w:val="none"/>
        </w:rPr>
        <w:t>、</w:t>
      </w:r>
      <w:r>
        <w:rPr>
          <w:rFonts w:hAnsi="宋体"/>
          <w:b/>
          <w:color w:val="auto"/>
          <w:spacing w:val="-6"/>
          <w:sz w:val="32"/>
          <w:szCs w:val="32"/>
          <w:highlight w:val="none"/>
        </w:rPr>
        <w:t>投标文件的编制</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（一） 投标文件的组成</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投标文件由</w:t>
      </w:r>
      <w:r>
        <w:rPr>
          <w:rFonts w:hint="eastAsia" w:hAnsi="宋体"/>
          <w:b/>
          <w:color w:val="auto"/>
          <w:spacing w:val="-6"/>
          <w:sz w:val="21"/>
          <w:szCs w:val="21"/>
          <w:highlight w:val="none"/>
        </w:rPr>
        <w:t>资格文件、报价文件、商务技术文件</w:t>
      </w:r>
      <w:r>
        <w:rPr>
          <w:rFonts w:hint="eastAsia" w:hAnsi="宋体"/>
          <w:bCs/>
          <w:color w:val="auto"/>
          <w:spacing w:val="-6"/>
          <w:sz w:val="21"/>
          <w:szCs w:val="21"/>
          <w:highlight w:val="none"/>
        </w:rPr>
        <w:t>三部分组成（格式详见招标文件第六章）。</w:t>
      </w:r>
    </w:p>
    <w:p>
      <w:pPr>
        <w:spacing w:line="288" w:lineRule="auto"/>
        <w:ind w:firstLine="398" w:firstLineChars="200"/>
        <w:jc w:val="left"/>
        <w:rPr>
          <w:rFonts w:ascii="宋体" w:hAnsi="宋体"/>
          <w:b/>
          <w:bCs/>
          <w:color w:val="auto"/>
          <w:spacing w:val="-6"/>
          <w:sz w:val="21"/>
          <w:szCs w:val="21"/>
          <w:highlight w:val="none"/>
        </w:rPr>
      </w:pPr>
      <w:r>
        <w:rPr>
          <w:rFonts w:hint="eastAsia" w:ascii="宋体" w:hAnsi="宋体"/>
          <w:b/>
          <w:bCs/>
          <w:color w:val="auto"/>
          <w:spacing w:val="-6"/>
          <w:sz w:val="21"/>
          <w:szCs w:val="21"/>
          <w:highlight w:val="none"/>
        </w:rPr>
        <w:t>▲1.</w:t>
      </w:r>
      <w:r>
        <w:rPr>
          <w:rFonts w:hint="eastAsia" w:hAnsi="宋体"/>
          <w:b/>
          <w:bCs/>
          <w:color w:val="auto"/>
          <w:spacing w:val="-6"/>
          <w:sz w:val="21"/>
          <w:szCs w:val="21"/>
          <w:highlight w:val="none"/>
        </w:rPr>
        <w:t>资格文件</w:t>
      </w:r>
    </w:p>
    <w:p>
      <w:pPr>
        <w:pStyle w:val="2"/>
        <w:spacing w:line="288" w:lineRule="auto"/>
        <w:ind w:firstLine="398" w:firstLineChars="200"/>
        <w:jc w:val="left"/>
        <w:rPr>
          <w:rFonts w:hint="eastAsia" w:hAnsi="宋体" w:cs="宋体"/>
          <w:b/>
          <w:color w:val="auto"/>
          <w:spacing w:val="-6"/>
          <w:sz w:val="21"/>
          <w:szCs w:val="21"/>
          <w:highlight w:val="none"/>
        </w:rPr>
      </w:pPr>
      <w:r>
        <w:rPr>
          <w:rFonts w:hint="eastAsia" w:hAnsi="宋体" w:cs="宋体"/>
          <w:b/>
          <w:color w:val="auto"/>
          <w:spacing w:val="-6"/>
          <w:sz w:val="21"/>
          <w:szCs w:val="21"/>
          <w:highlight w:val="none"/>
        </w:rPr>
        <w:t>资格审查要求的资格证明材料(均需加盖公章)：</w:t>
      </w:r>
    </w:p>
    <w:p>
      <w:pPr>
        <w:spacing w:line="288" w:lineRule="auto"/>
        <w:ind w:firstLine="398" w:firstLineChars="200"/>
        <w:jc w:val="left"/>
        <w:rPr>
          <w:rFonts w:hint="eastAsia" w:ascii="宋体" w:hAnsi="宋体" w:cs="宋体"/>
          <w:b/>
          <w:color w:val="auto"/>
          <w:spacing w:val="-6"/>
          <w:sz w:val="21"/>
          <w:szCs w:val="21"/>
          <w:highlight w:val="none"/>
        </w:rPr>
      </w:pPr>
      <w:r>
        <w:rPr>
          <w:rFonts w:hint="eastAsia" w:ascii="宋体" w:hAnsi="宋体" w:cs="宋体"/>
          <w:b/>
          <w:color w:val="auto"/>
          <w:spacing w:val="-6"/>
          <w:sz w:val="21"/>
          <w:szCs w:val="21"/>
          <w:highlight w:val="none"/>
        </w:rPr>
        <w:t>1）有效的法人或者其他组织的营业执照等证明文件（复印件），自然人的身份证明（仅自然人投标时提供）</w:t>
      </w:r>
    </w:p>
    <w:p>
      <w:pPr>
        <w:spacing w:line="288" w:lineRule="auto"/>
        <w:ind w:firstLine="398" w:firstLineChars="200"/>
        <w:jc w:val="left"/>
        <w:rPr>
          <w:rFonts w:hint="eastAsia" w:ascii="宋体" w:hAnsi="宋体" w:cs="宋体"/>
          <w:b/>
          <w:color w:val="auto"/>
          <w:spacing w:val="-6"/>
          <w:sz w:val="21"/>
          <w:szCs w:val="21"/>
          <w:highlight w:val="none"/>
        </w:rPr>
      </w:pPr>
      <w:r>
        <w:rPr>
          <w:rFonts w:hint="eastAsia" w:ascii="宋体" w:hAnsi="宋体" w:cs="宋体"/>
          <w:b/>
          <w:color w:val="auto"/>
          <w:spacing w:val="-6"/>
          <w:sz w:val="21"/>
          <w:szCs w:val="21"/>
          <w:highlight w:val="none"/>
        </w:rPr>
        <w:t>2）</w:t>
      </w:r>
      <w:r>
        <w:rPr>
          <w:rFonts w:hint="eastAsia" w:ascii="宋体" w:hAnsi="宋体" w:cs="宋体"/>
          <w:b/>
          <w:color w:val="auto"/>
          <w:spacing w:val="-6"/>
          <w:sz w:val="21"/>
          <w:szCs w:val="21"/>
          <w:highlight w:val="none"/>
          <w:lang w:eastAsia="zh-CN"/>
        </w:rPr>
        <w:t>2019年7月至今</w:t>
      </w:r>
      <w:r>
        <w:rPr>
          <w:rFonts w:hint="eastAsia" w:ascii="宋体" w:hAnsi="宋体" w:cs="宋体"/>
          <w:b/>
          <w:color w:val="auto"/>
          <w:spacing w:val="-6"/>
          <w:sz w:val="21"/>
          <w:szCs w:val="21"/>
          <w:highlight w:val="none"/>
        </w:rPr>
        <w:t>任意一月的财务状况报告（复印件）或开标前三个月内出具的银行资信证明</w:t>
      </w:r>
    </w:p>
    <w:p>
      <w:pPr>
        <w:spacing w:line="288" w:lineRule="auto"/>
        <w:ind w:firstLine="398" w:firstLineChars="200"/>
        <w:jc w:val="left"/>
        <w:rPr>
          <w:rFonts w:hint="eastAsia" w:ascii="宋体" w:hAnsi="宋体" w:cs="宋体"/>
          <w:b/>
          <w:color w:val="auto"/>
          <w:spacing w:val="-6"/>
          <w:sz w:val="21"/>
          <w:szCs w:val="21"/>
          <w:highlight w:val="none"/>
        </w:rPr>
      </w:pPr>
      <w:r>
        <w:rPr>
          <w:rFonts w:hint="eastAsia" w:ascii="宋体" w:hAnsi="宋体" w:cs="宋体"/>
          <w:b/>
          <w:color w:val="auto"/>
          <w:spacing w:val="-6"/>
          <w:sz w:val="21"/>
          <w:szCs w:val="21"/>
          <w:highlight w:val="none"/>
        </w:rPr>
        <w:t>3）</w:t>
      </w:r>
      <w:r>
        <w:rPr>
          <w:rFonts w:hint="eastAsia" w:ascii="宋体" w:hAnsi="宋体" w:cs="宋体"/>
          <w:b/>
          <w:color w:val="auto"/>
          <w:spacing w:val="-6"/>
          <w:sz w:val="21"/>
          <w:szCs w:val="21"/>
          <w:highlight w:val="none"/>
          <w:lang w:eastAsia="zh-CN"/>
        </w:rPr>
        <w:t>2019年7月至今</w:t>
      </w:r>
      <w:r>
        <w:rPr>
          <w:rFonts w:hint="eastAsia" w:ascii="宋体" w:hAnsi="宋体" w:cs="宋体"/>
          <w:b/>
          <w:color w:val="auto"/>
          <w:spacing w:val="-6"/>
          <w:sz w:val="21"/>
          <w:szCs w:val="21"/>
          <w:highlight w:val="none"/>
        </w:rPr>
        <w:t>任意一月依法缴纳税收的证明材料（依法免税的投标人应提供相应文件证明其依法免税）</w:t>
      </w:r>
    </w:p>
    <w:p>
      <w:pPr>
        <w:spacing w:line="288" w:lineRule="auto"/>
        <w:ind w:firstLine="398" w:firstLineChars="200"/>
        <w:jc w:val="left"/>
        <w:rPr>
          <w:rFonts w:hint="eastAsia" w:ascii="宋体" w:hAnsi="宋体" w:cs="宋体"/>
          <w:b/>
          <w:color w:val="auto"/>
          <w:spacing w:val="-6"/>
          <w:sz w:val="21"/>
          <w:szCs w:val="21"/>
          <w:highlight w:val="none"/>
        </w:rPr>
      </w:pPr>
      <w:r>
        <w:rPr>
          <w:rFonts w:hint="eastAsia" w:ascii="宋体" w:hAnsi="宋体" w:cs="宋体"/>
          <w:b/>
          <w:color w:val="auto"/>
          <w:spacing w:val="-6"/>
          <w:sz w:val="21"/>
          <w:szCs w:val="21"/>
          <w:highlight w:val="none"/>
        </w:rPr>
        <w:t>4）</w:t>
      </w:r>
      <w:r>
        <w:rPr>
          <w:rFonts w:hint="eastAsia" w:ascii="宋体" w:hAnsi="宋体" w:cs="宋体"/>
          <w:b/>
          <w:color w:val="auto"/>
          <w:spacing w:val="-6"/>
          <w:sz w:val="21"/>
          <w:szCs w:val="21"/>
          <w:highlight w:val="none"/>
          <w:lang w:eastAsia="zh-CN"/>
        </w:rPr>
        <w:t>2019年7月至今</w:t>
      </w:r>
      <w:r>
        <w:rPr>
          <w:rFonts w:hint="eastAsia" w:ascii="宋体" w:hAnsi="宋体" w:cs="宋体"/>
          <w:b/>
          <w:color w:val="auto"/>
          <w:spacing w:val="-6"/>
          <w:sz w:val="21"/>
          <w:szCs w:val="21"/>
          <w:highlight w:val="none"/>
        </w:rPr>
        <w:t>任意一月依法缴纳社会保障资金的证明材料（依法不需要缴纳社会保障资金的投标人应提供相应文件证明其依法不需要缴纳社会保障资金）</w:t>
      </w:r>
    </w:p>
    <w:p>
      <w:pPr>
        <w:spacing w:line="288" w:lineRule="auto"/>
        <w:ind w:firstLine="398" w:firstLineChars="200"/>
        <w:jc w:val="left"/>
        <w:rPr>
          <w:rFonts w:hint="eastAsia" w:ascii="宋体" w:hAnsi="宋体" w:cs="宋体"/>
          <w:b/>
          <w:color w:val="auto"/>
          <w:spacing w:val="-6"/>
          <w:sz w:val="21"/>
          <w:szCs w:val="21"/>
          <w:highlight w:val="none"/>
        </w:rPr>
      </w:pPr>
      <w:r>
        <w:rPr>
          <w:rFonts w:hint="eastAsia" w:ascii="宋体" w:hAnsi="宋体" w:cs="宋体"/>
          <w:b/>
          <w:color w:val="auto"/>
          <w:spacing w:val="-6"/>
          <w:sz w:val="21"/>
          <w:szCs w:val="21"/>
          <w:highlight w:val="none"/>
        </w:rPr>
        <w:t>5）具有履行合同所必需的设备和专业技术能力的承诺函</w:t>
      </w:r>
    </w:p>
    <w:p>
      <w:pPr>
        <w:spacing w:line="288" w:lineRule="auto"/>
        <w:ind w:firstLine="398" w:firstLineChars="200"/>
        <w:jc w:val="left"/>
        <w:rPr>
          <w:rFonts w:hint="eastAsia" w:ascii="宋体" w:hAnsi="宋体" w:cs="宋体"/>
          <w:b/>
          <w:color w:val="auto"/>
          <w:spacing w:val="-6"/>
          <w:sz w:val="21"/>
          <w:szCs w:val="21"/>
          <w:highlight w:val="none"/>
        </w:rPr>
      </w:pPr>
      <w:r>
        <w:rPr>
          <w:rFonts w:hint="eastAsia" w:ascii="宋体" w:hAnsi="宋体" w:cs="宋体"/>
          <w:b/>
          <w:color w:val="auto"/>
          <w:spacing w:val="-6"/>
          <w:sz w:val="21"/>
          <w:szCs w:val="21"/>
          <w:highlight w:val="none"/>
        </w:rPr>
        <w:t>6）参加政府采购活动前3年内在经营活动中没有重大违法记录的书面声明</w:t>
      </w:r>
    </w:p>
    <w:p>
      <w:pPr>
        <w:spacing w:line="288" w:lineRule="auto"/>
        <w:ind w:firstLine="398" w:firstLineChars="200"/>
        <w:jc w:val="left"/>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2</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报价文件</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1）开标一览表</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2）投标报价明细表</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3）投标人企业类型声明函</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4）小微企业资格证明材料、监狱企业资格证明材料（若属于小微、监狱企业）</w:t>
      </w:r>
    </w:p>
    <w:p>
      <w:pPr>
        <w:pStyle w:val="2"/>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5）残疾人福利性单位声明函（若属于残疾人福利性单位）</w:t>
      </w:r>
    </w:p>
    <w:p>
      <w:pPr>
        <w:spacing w:line="288" w:lineRule="auto"/>
        <w:ind w:firstLine="398" w:firstLineChars="200"/>
        <w:jc w:val="left"/>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3.商务技术文件：</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A.商务文件：</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1）投标函</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2）法定代表人资格证明书、法定代表人授权委托书</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3）</w:t>
      </w:r>
      <w:r>
        <w:rPr>
          <w:rFonts w:hint="eastAsia" w:hAnsi="宋体"/>
          <w:color w:val="auto"/>
          <w:spacing w:val="-6"/>
          <w:sz w:val="21"/>
          <w:szCs w:val="21"/>
          <w:highlight w:val="none"/>
          <w:lang w:eastAsia="zh-CN"/>
        </w:rPr>
        <w:t>2019年7月至今</w:t>
      </w:r>
      <w:r>
        <w:rPr>
          <w:rFonts w:hint="eastAsia" w:hAnsi="宋体"/>
          <w:color w:val="auto"/>
          <w:spacing w:val="-6"/>
          <w:sz w:val="21"/>
          <w:szCs w:val="21"/>
          <w:highlight w:val="none"/>
        </w:rPr>
        <w:t>任意一月投标授权代表社保缴纳证明</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4）投标声明书</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5）投标人情况介绍</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6）商务偏离表</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7）投标人同类项目实施情况一览表</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8）节能、环保产品证明材料</w:t>
      </w:r>
    </w:p>
    <w:p>
      <w:pPr>
        <w:pStyle w:val="2"/>
        <w:spacing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9）投标人需要说明的其他文件和材料</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B.技术文件</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1）技术偏离表</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2）</w:t>
      </w:r>
      <w:r>
        <w:rPr>
          <w:rFonts w:hint="eastAsia" w:ascii="宋体" w:hAnsi="宋体" w:cs="宋体"/>
          <w:color w:val="auto"/>
          <w:sz w:val="21"/>
          <w:szCs w:val="21"/>
          <w:highlight w:val="none"/>
        </w:rPr>
        <w:t>货物配置清单、</w:t>
      </w:r>
      <w:r>
        <w:rPr>
          <w:rFonts w:hint="eastAsia" w:ascii="宋体" w:hAnsi="宋体"/>
          <w:color w:val="auto"/>
          <w:spacing w:val="-6"/>
          <w:sz w:val="21"/>
          <w:szCs w:val="21"/>
          <w:highlight w:val="none"/>
        </w:rPr>
        <w:t>原厂出厂配置表</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3）技术支持资料</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4）技术方案</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5）合同</w:t>
      </w:r>
      <w:r>
        <w:rPr>
          <w:rFonts w:ascii="宋体" w:hAnsi="宋体"/>
          <w:color w:val="auto"/>
          <w:spacing w:val="-6"/>
          <w:sz w:val="21"/>
          <w:szCs w:val="21"/>
          <w:highlight w:val="none"/>
        </w:rPr>
        <w:t>履约</w:t>
      </w:r>
    </w:p>
    <w:p>
      <w:pPr>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6）</w:t>
      </w:r>
      <w:r>
        <w:rPr>
          <w:rFonts w:ascii="宋体" w:hAnsi="宋体"/>
          <w:color w:val="auto"/>
          <w:spacing w:val="-6"/>
          <w:sz w:val="21"/>
          <w:szCs w:val="21"/>
          <w:highlight w:val="none"/>
        </w:rPr>
        <w:t>售后服务</w:t>
      </w:r>
      <w:r>
        <w:rPr>
          <w:rFonts w:hint="eastAsia" w:ascii="宋体" w:hAnsi="宋体"/>
          <w:color w:val="auto"/>
          <w:spacing w:val="-6"/>
          <w:sz w:val="21"/>
          <w:szCs w:val="21"/>
          <w:highlight w:val="none"/>
        </w:rPr>
        <w:t>方案</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7）技术服务、技术培训的内容和措施</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8）配件、专用耗材和售后服务优惠表</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（二） 投标文件的签署和份数</w:t>
      </w:r>
    </w:p>
    <w:p>
      <w:pPr>
        <w:spacing w:line="288" w:lineRule="auto"/>
        <w:ind w:firstLine="396" w:firstLineChars="200"/>
        <w:jc w:val="left"/>
        <w:rPr>
          <w:rFonts w:hint="eastAsia" w:ascii="宋体" w:hAnsi="宋体"/>
          <w:b/>
          <w:bCs/>
          <w:color w:val="auto"/>
          <w:spacing w:val="-6"/>
          <w:sz w:val="21"/>
          <w:szCs w:val="21"/>
          <w:highlight w:val="none"/>
        </w:rPr>
      </w:pPr>
      <w:r>
        <w:rPr>
          <w:rFonts w:hint="eastAsia" w:ascii="宋体" w:hAnsi="宋体"/>
          <w:color w:val="auto"/>
          <w:spacing w:val="-6"/>
          <w:sz w:val="21"/>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b/>
          <w:bCs/>
          <w:color w:val="auto"/>
          <w:spacing w:val="-6"/>
          <w:sz w:val="21"/>
          <w:szCs w:val="21"/>
          <w:highlight w:val="none"/>
        </w:rPr>
        <w:t>其中资格文件、商务技术文件中不得出现投标报价，如因投标人原因提前泄露投标报价，是投标人的责任。</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2.投标文件须由投标人在规定位置加盖公章并由投标人</w:t>
      </w:r>
      <w:r>
        <w:rPr>
          <w:rFonts w:ascii="宋体" w:hAnsi="宋体"/>
          <w:color w:val="auto"/>
          <w:spacing w:val="-6"/>
          <w:sz w:val="21"/>
          <w:szCs w:val="21"/>
          <w:highlight w:val="none"/>
        </w:rPr>
        <w:t>代表</w:t>
      </w:r>
      <w:r>
        <w:rPr>
          <w:rFonts w:hint="eastAsia" w:ascii="宋体" w:hAnsi="宋体"/>
          <w:color w:val="auto"/>
          <w:spacing w:val="-6"/>
          <w:sz w:val="21"/>
          <w:szCs w:val="21"/>
          <w:highlight w:val="none"/>
        </w:rPr>
        <w:t>签署，投标人应写全称。</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3.投标文件不得涂改，若有修改错漏处，须由投标人代表签字并加盖公章。投标文件因字迹潦草或表达不清所引起的后果由投标人负责。</w:t>
      </w:r>
    </w:p>
    <w:p>
      <w:pPr>
        <w:spacing w:line="288" w:lineRule="auto"/>
        <w:ind w:firstLine="398" w:firstLineChars="200"/>
        <w:jc w:val="left"/>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4.投标文件份数：</w:t>
      </w:r>
    </w:p>
    <w:p>
      <w:pPr>
        <w:spacing w:line="288" w:lineRule="auto"/>
        <w:ind w:firstLine="398" w:firstLineChars="200"/>
        <w:jc w:val="left"/>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电子加密投标文件：政府采购云平台在线上传一份；备份投标文件：密封包装后EMS或顺丰邮寄形式递交一份（邮寄地址：杭州市西湖区玉古路173号中田大厦16楼A室浙江求是招标代理有限公司）。</w:t>
      </w:r>
    </w:p>
    <w:p>
      <w:pPr>
        <w:spacing w:line="288" w:lineRule="auto"/>
        <w:ind w:firstLine="422" w:firstLineChars="200"/>
        <w:jc w:val="left"/>
        <w:rPr>
          <w:rFonts w:hint="eastAsia" w:ascii="宋体" w:hAnsi="宋体"/>
          <w:b/>
          <w:bCs/>
          <w:color w:val="auto"/>
          <w:sz w:val="21"/>
          <w:szCs w:val="21"/>
          <w:highlight w:val="none"/>
        </w:rPr>
      </w:pPr>
      <w:r>
        <w:rPr>
          <w:rFonts w:hint="eastAsia" w:ascii="宋体" w:hAnsi="宋体"/>
          <w:b/>
          <w:bCs/>
          <w:color w:val="auto"/>
          <w:sz w:val="21"/>
          <w:szCs w:val="21"/>
          <w:highlight w:val="none"/>
        </w:rPr>
        <w:t>备注：</w:t>
      </w:r>
    </w:p>
    <w:p>
      <w:pPr>
        <w:spacing w:line="288" w:lineRule="auto"/>
        <w:ind w:firstLine="422" w:firstLineChars="200"/>
        <w:jc w:val="left"/>
        <w:rPr>
          <w:rFonts w:hint="eastAsia" w:ascii="宋体" w:hAnsi="宋体"/>
          <w:b/>
          <w:color w:val="auto"/>
          <w:spacing w:val="-6"/>
          <w:sz w:val="24"/>
          <w:highlight w:val="none"/>
        </w:rPr>
      </w:pPr>
      <w:r>
        <w:rPr>
          <w:rFonts w:hint="eastAsia" w:ascii="宋体" w:hAnsi="宋体"/>
          <w:b/>
          <w:bCs/>
          <w:color w:val="auto"/>
          <w:sz w:val="21"/>
          <w:szCs w:val="21"/>
          <w:highlight w:val="none"/>
        </w:rPr>
        <w:t>投标人可通过浙江省“电子交易/不见面开评标”学习专题提前进行专题学习，熟悉操作，避免影响采购活动（</w:t>
      </w:r>
      <w:r>
        <w:rPr>
          <w:rFonts w:hint="eastAsia" w:ascii="宋体" w:hAnsi="宋体"/>
          <w:b/>
          <w:bCs/>
          <w:color w:val="auto"/>
          <w:sz w:val="21"/>
          <w:szCs w:val="21"/>
          <w:highlight w:val="none"/>
        </w:rPr>
        <w:fldChar w:fldCharType="begin"/>
      </w:r>
      <w:r>
        <w:rPr>
          <w:rFonts w:hint="eastAsia" w:ascii="宋体" w:hAnsi="宋体"/>
          <w:b/>
          <w:bCs/>
          <w:color w:val="auto"/>
          <w:sz w:val="21"/>
          <w:szCs w:val="21"/>
          <w:highlight w:val="none"/>
        </w:rPr>
        <w:instrText xml:space="preserve"> HYPERLINK "https://edu.zcygov.cn/luban/e-biding" </w:instrText>
      </w:r>
      <w:r>
        <w:rPr>
          <w:rFonts w:hint="eastAsia" w:ascii="宋体" w:hAnsi="宋体"/>
          <w:b/>
          <w:bCs/>
          <w:color w:val="auto"/>
          <w:sz w:val="21"/>
          <w:szCs w:val="21"/>
          <w:highlight w:val="none"/>
        </w:rPr>
        <w:fldChar w:fldCharType="separate"/>
      </w:r>
      <w:r>
        <w:rPr>
          <w:rFonts w:hint="eastAsia" w:ascii="宋体" w:hAnsi="宋体"/>
          <w:b/>
          <w:bCs/>
          <w:color w:val="auto"/>
          <w:sz w:val="21"/>
          <w:szCs w:val="21"/>
          <w:highlight w:val="none"/>
        </w:rPr>
        <w:t>https://edu.zcygov.cn/luban/e-biding</w:t>
      </w:r>
      <w:r>
        <w:rPr>
          <w:rFonts w:hint="eastAsia" w:ascii="宋体" w:hAnsi="宋体"/>
          <w:b/>
          <w:bCs/>
          <w:color w:val="auto"/>
          <w:sz w:val="21"/>
          <w:szCs w:val="21"/>
          <w:highlight w:val="none"/>
        </w:rPr>
        <w:fldChar w:fldCharType="end"/>
      </w:r>
      <w:r>
        <w:rPr>
          <w:rFonts w:hint="eastAsia" w:ascii="宋体" w:hAnsi="宋体"/>
          <w:b/>
          <w:bCs/>
          <w:color w:val="auto"/>
          <w:sz w:val="21"/>
          <w:szCs w:val="21"/>
          <w:highlight w:val="none"/>
        </w:rPr>
        <w:t>）。</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（三） 投标文件的上传、递交、修改和撤回</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1.投标文件的上传、递交：</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（1）电子加密投标文件的上传：</w:t>
      </w:r>
    </w:p>
    <w:p>
      <w:pPr>
        <w:spacing w:line="288" w:lineRule="auto"/>
        <w:ind w:firstLine="396" w:firstLineChars="200"/>
        <w:jc w:val="left"/>
        <w:rPr>
          <w:rFonts w:hint="eastAsia" w:ascii="宋体" w:hAnsi="宋体"/>
          <w:color w:val="auto"/>
          <w:spacing w:val="-6"/>
          <w:sz w:val="21"/>
          <w:szCs w:val="21"/>
          <w:highlight w:val="none"/>
        </w:rPr>
      </w:pPr>
      <w:r>
        <w:rPr>
          <w:rFonts w:hint="eastAsia" w:hAnsi="宋体"/>
          <w:color w:val="auto"/>
          <w:spacing w:val="-6"/>
          <w:sz w:val="21"/>
          <w:szCs w:val="21"/>
          <w:highlight w:val="none"/>
        </w:rPr>
        <w:t>▲</w:t>
      </w:r>
      <w:r>
        <w:rPr>
          <w:rFonts w:hint="eastAsia" w:ascii="宋体" w:hAnsi="宋体"/>
          <w:color w:val="auto"/>
          <w:spacing w:val="-6"/>
          <w:sz w:val="21"/>
          <w:szCs w:val="21"/>
          <w:highlight w:val="none"/>
        </w:rPr>
        <w:t>a.投标人应在投标截止时间前将电子加密投标文件成功上传至政府采购云平台，否则投标无效；</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b.电子加密投标文件成功上传后，投标人可自行打印投标文件接收回执。</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（2）备份投标文件的密封包装、递交：</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a.投标人在政府采购云平台完成电子加密投标文件的上传后，可以EMS或顺丰邮寄形式在投标截止时间前递交以介质（U盘）存储的数据电文形式的备份投标文件；</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b.备份投标文件应当密封包装并在包装上标注投标项目名称、投标人名称并加盖公章</w:t>
      </w:r>
      <w:r>
        <w:rPr>
          <w:rFonts w:hint="eastAsia" w:ascii="宋体" w:hAnsi="宋体"/>
          <w:b/>
          <w:bCs/>
          <w:color w:val="auto"/>
          <w:spacing w:val="-6"/>
          <w:sz w:val="21"/>
          <w:szCs w:val="21"/>
          <w:highlight w:val="none"/>
        </w:rPr>
        <w:t>（非电子签章）</w:t>
      </w:r>
      <w:r>
        <w:rPr>
          <w:rFonts w:hint="eastAsia" w:ascii="宋体" w:hAnsi="宋体"/>
          <w:color w:val="auto"/>
          <w:spacing w:val="-6"/>
          <w:sz w:val="21"/>
          <w:szCs w:val="21"/>
          <w:highlight w:val="none"/>
        </w:rPr>
        <w:t>，</w:t>
      </w:r>
      <w:r>
        <w:rPr>
          <w:rFonts w:hint="eastAsia" w:ascii="宋体" w:hAnsi="宋体"/>
          <w:color w:val="auto"/>
          <w:sz w:val="21"/>
          <w:szCs w:val="21"/>
          <w:highlight w:val="none"/>
        </w:rPr>
        <w:t>投标人逾期送达或者未密封包装的备份投标文件采购代理机构将予以拒收；</w:t>
      </w:r>
    </w:p>
    <w:p>
      <w:pPr>
        <w:spacing w:line="288" w:lineRule="auto"/>
        <w:ind w:firstLine="396" w:firstLineChars="200"/>
        <w:jc w:val="left"/>
        <w:rPr>
          <w:rFonts w:hint="eastAsia" w:ascii="宋体" w:hAnsi="宋体"/>
          <w:color w:val="auto"/>
          <w:spacing w:val="-6"/>
          <w:sz w:val="21"/>
          <w:szCs w:val="21"/>
          <w:highlight w:val="none"/>
        </w:rPr>
      </w:pPr>
      <w:r>
        <w:rPr>
          <w:rFonts w:hint="eastAsia" w:hAnsi="宋体"/>
          <w:color w:val="auto"/>
          <w:spacing w:val="-6"/>
          <w:sz w:val="21"/>
          <w:szCs w:val="21"/>
          <w:highlight w:val="none"/>
        </w:rPr>
        <w:t>▲</w:t>
      </w:r>
      <w:r>
        <w:rPr>
          <w:rFonts w:hint="eastAsia" w:ascii="宋体" w:hAnsi="宋体"/>
          <w:color w:val="auto"/>
          <w:spacing w:val="-6"/>
          <w:sz w:val="21"/>
          <w:szCs w:val="21"/>
          <w:highlight w:val="none"/>
        </w:rPr>
        <w:t>c.通过政府采购云平台成功上传的电子加密投标文件已按时解密的，备份投标文件自动失效。投标截止时间前，投标人仅递交备份投标文件而未将电子加密投标文件成功上传至政府采购云平台的，投标无效。</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2.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pPr>
        <w:spacing w:line="288" w:lineRule="auto"/>
        <w:ind w:firstLine="422" w:firstLineChars="200"/>
        <w:jc w:val="left"/>
        <w:rPr>
          <w:rFonts w:hint="eastAsia" w:ascii="宋体" w:hAnsi="宋体"/>
          <w:b/>
          <w:bCs/>
          <w:color w:val="auto"/>
          <w:sz w:val="21"/>
          <w:szCs w:val="21"/>
          <w:highlight w:val="none"/>
        </w:rPr>
      </w:pPr>
      <w:r>
        <w:rPr>
          <w:rFonts w:hint="eastAsia" w:ascii="宋体" w:hAnsi="宋体"/>
          <w:b/>
          <w:bCs/>
          <w:color w:val="auto"/>
          <w:sz w:val="21"/>
          <w:szCs w:val="21"/>
          <w:highlight w:val="none"/>
        </w:rPr>
        <w:t>备注：</w:t>
      </w:r>
    </w:p>
    <w:p>
      <w:pPr>
        <w:spacing w:line="288" w:lineRule="auto"/>
        <w:ind w:firstLine="422" w:firstLineChars="200"/>
        <w:jc w:val="left"/>
        <w:rPr>
          <w:rFonts w:hint="eastAsia" w:ascii="宋体" w:hAnsi="宋体"/>
          <w:b/>
          <w:color w:val="auto"/>
          <w:spacing w:val="-6"/>
          <w:sz w:val="24"/>
          <w:highlight w:val="none"/>
        </w:rPr>
      </w:pPr>
      <w:r>
        <w:rPr>
          <w:rFonts w:hint="eastAsia" w:ascii="宋体" w:hAnsi="宋体"/>
          <w:b/>
          <w:bCs/>
          <w:color w:val="auto"/>
          <w:sz w:val="21"/>
          <w:szCs w:val="21"/>
          <w:highlight w:val="none"/>
        </w:rPr>
        <w:t>投标人可通过浙江省“电子交易/不见面开评标”学习专题提前进行专题学习，熟悉操作，避免影响采购活动（</w:t>
      </w:r>
      <w:r>
        <w:rPr>
          <w:rFonts w:hint="eastAsia" w:ascii="宋体" w:hAnsi="宋体"/>
          <w:b/>
          <w:bCs/>
          <w:color w:val="auto"/>
          <w:sz w:val="21"/>
          <w:szCs w:val="21"/>
          <w:highlight w:val="none"/>
        </w:rPr>
        <w:fldChar w:fldCharType="begin"/>
      </w:r>
      <w:r>
        <w:rPr>
          <w:rFonts w:hint="eastAsia" w:ascii="宋体" w:hAnsi="宋体"/>
          <w:b/>
          <w:bCs/>
          <w:color w:val="auto"/>
          <w:sz w:val="21"/>
          <w:szCs w:val="21"/>
          <w:highlight w:val="none"/>
        </w:rPr>
        <w:instrText xml:space="preserve"> HYPERLINK "https://edu.zcygov.cn/luban/e-biding" </w:instrText>
      </w:r>
      <w:r>
        <w:rPr>
          <w:rFonts w:hint="eastAsia" w:ascii="宋体" w:hAnsi="宋体"/>
          <w:b/>
          <w:bCs/>
          <w:color w:val="auto"/>
          <w:sz w:val="21"/>
          <w:szCs w:val="21"/>
          <w:highlight w:val="none"/>
        </w:rPr>
        <w:fldChar w:fldCharType="separate"/>
      </w:r>
      <w:r>
        <w:rPr>
          <w:rFonts w:hint="eastAsia" w:ascii="宋体" w:hAnsi="宋体"/>
          <w:b/>
          <w:bCs/>
          <w:color w:val="auto"/>
          <w:sz w:val="21"/>
          <w:szCs w:val="21"/>
          <w:highlight w:val="none"/>
        </w:rPr>
        <w:t>https://edu.zcygov.cn/luban/e-biding</w:t>
      </w:r>
      <w:r>
        <w:rPr>
          <w:rFonts w:hint="eastAsia" w:ascii="宋体" w:hAnsi="宋体"/>
          <w:b/>
          <w:bCs/>
          <w:color w:val="auto"/>
          <w:sz w:val="21"/>
          <w:szCs w:val="21"/>
          <w:highlight w:val="none"/>
        </w:rPr>
        <w:fldChar w:fldCharType="end"/>
      </w:r>
      <w:r>
        <w:rPr>
          <w:rFonts w:hint="eastAsia" w:ascii="宋体" w:hAnsi="宋体"/>
          <w:b/>
          <w:bCs/>
          <w:color w:val="auto"/>
          <w:sz w:val="21"/>
          <w:szCs w:val="21"/>
          <w:highlight w:val="none"/>
        </w:rPr>
        <w:t>）。</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（四） 投标文件的语言及计量</w:t>
      </w:r>
    </w:p>
    <w:p>
      <w:pPr>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投标文件以及投标人与采购人或</w:t>
      </w:r>
      <w:r>
        <w:rPr>
          <w:rFonts w:ascii="宋体" w:hAnsi="宋体"/>
          <w:color w:val="auto"/>
          <w:spacing w:val="-6"/>
          <w:sz w:val="21"/>
          <w:szCs w:val="21"/>
          <w:highlight w:val="none"/>
        </w:rPr>
        <w:t>采购代理机构</w:t>
      </w:r>
      <w:r>
        <w:rPr>
          <w:rFonts w:hint="eastAsia" w:ascii="宋体" w:hAnsi="宋体"/>
          <w:color w:val="auto"/>
          <w:spacing w:val="-6"/>
          <w:sz w:val="21"/>
          <w:szCs w:val="21"/>
          <w:highlight w:val="none"/>
        </w:rPr>
        <w:t>就有关投标事宜的所有来往函电，均应以中文汉语书写。除签名、盖章、专用名称等特殊情形外，以中文汉语以外的文字表述的投标文件视同未提供（有中文汉语说明的除外）。</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（五） 投标报价</w:t>
      </w:r>
    </w:p>
    <w:p>
      <w:pPr>
        <w:pStyle w:val="12"/>
        <w:spacing w:before="0" w:beforeLines="0" w:after="0" w:afterLines="0"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1.本次投标采用人民币报价。</w:t>
      </w:r>
    </w:p>
    <w:p>
      <w:pPr>
        <w:pStyle w:val="12"/>
        <w:spacing w:before="0" w:beforeLines="0" w:after="0" w:afterLines="0"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2.投标报价是指一次性报出不得更改的价格，投标报价应按招标文件中相关附表格式填写。</w:t>
      </w:r>
    </w:p>
    <w:p>
      <w:pPr>
        <w:pStyle w:val="12"/>
        <w:spacing w:before="0" w:beforeLines="0" w:after="0" w:afterLines="0"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3.投标报价是履行合同的最终价格，</w:t>
      </w:r>
      <w:r>
        <w:rPr>
          <w:rFonts w:hAnsi="宋体"/>
          <w:color w:val="auto"/>
          <w:spacing w:val="-6"/>
          <w:sz w:val="21"/>
          <w:szCs w:val="21"/>
          <w:highlight w:val="none"/>
        </w:rPr>
        <w:t>应包括</w:t>
      </w:r>
      <w:r>
        <w:rPr>
          <w:rFonts w:hint="eastAsia" w:hAnsi="宋体"/>
          <w:color w:val="auto"/>
          <w:spacing w:val="-6"/>
          <w:sz w:val="21"/>
          <w:szCs w:val="21"/>
          <w:highlight w:val="none"/>
        </w:rPr>
        <w:t>完成所有产品供货及履行所有规定服务所产生的全部税、费。</w:t>
      </w:r>
    </w:p>
    <w:p>
      <w:pPr>
        <w:pStyle w:val="12"/>
        <w:spacing w:before="0" w:beforeLines="0" w:after="0" w:afterLines="0"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4</w:t>
      </w:r>
      <w:r>
        <w:rPr>
          <w:rFonts w:hAnsi="宋体"/>
          <w:color w:val="auto"/>
          <w:spacing w:val="-6"/>
          <w:sz w:val="21"/>
          <w:szCs w:val="21"/>
          <w:highlight w:val="none"/>
        </w:rPr>
        <w:t>.</w:t>
      </w:r>
      <w:r>
        <w:rPr>
          <w:rFonts w:hint="eastAsia" w:hAnsi="宋体"/>
          <w:color w:val="auto"/>
          <w:spacing w:val="-6"/>
          <w:sz w:val="21"/>
          <w:szCs w:val="21"/>
          <w:highlight w:val="none"/>
        </w:rPr>
        <w:t>投标文件只允许有一个报价，有选择的报价将不予接受。</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（六） 投标有效期</w:t>
      </w:r>
    </w:p>
    <w:p>
      <w:pPr>
        <w:pStyle w:val="12"/>
        <w:spacing w:before="0" w:beforeLines="0" w:after="0" w:afterLines="0"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▲1</w:t>
      </w:r>
      <w:r>
        <w:rPr>
          <w:rFonts w:hAnsi="宋体"/>
          <w:color w:val="auto"/>
          <w:spacing w:val="-6"/>
          <w:sz w:val="21"/>
          <w:szCs w:val="21"/>
          <w:highlight w:val="none"/>
        </w:rPr>
        <w:t>.</w:t>
      </w:r>
      <w:r>
        <w:rPr>
          <w:rFonts w:hint="eastAsia" w:hAnsi="宋体"/>
          <w:color w:val="auto"/>
          <w:spacing w:val="-6"/>
          <w:sz w:val="21"/>
          <w:szCs w:val="21"/>
          <w:highlight w:val="none"/>
        </w:rPr>
        <w:t>从提交投标文件的截止之日起90天。</w:t>
      </w:r>
    </w:p>
    <w:p>
      <w:pPr>
        <w:pStyle w:val="12"/>
        <w:spacing w:before="0" w:beforeLines="0" w:after="0" w:afterLines="0" w:line="288" w:lineRule="auto"/>
        <w:ind w:firstLine="396" w:firstLineChars="200"/>
        <w:jc w:val="left"/>
        <w:rPr>
          <w:rFonts w:hint="eastAsia" w:hAnsi="宋体"/>
          <w:color w:val="auto"/>
          <w:spacing w:val="-6"/>
          <w:sz w:val="21"/>
          <w:szCs w:val="21"/>
          <w:highlight w:val="none"/>
        </w:rPr>
      </w:pPr>
      <w:r>
        <w:rPr>
          <w:rFonts w:hint="eastAsia" w:hAnsi="宋体"/>
          <w:color w:val="auto"/>
          <w:spacing w:val="-6"/>
          <w:sz w:val="21"/>
          <w:szCs w:val="21"/>
          <w:highlight w:val="none"/>
        </w:rPr>
        <w:t>2</w:t>
      </w:r>
      <w:r>
        <w:rPr>
          <w:rFonts w:hAnsi="宋体"/>
          <w:color w:val="auto"/>
          <w:spacing w:val="-6"/>
          <w:sz w:val="21"/>
          <w:szCs w:val="21"/>
          <w:highlight w:val="none"/>
        </w:rPr>
        <w:t>.</w:t>
      </w:r>
      <w:r>
        <w:rPr>
          <w:rFonts w:hint="eastAsia" w:hAnsi="宋体"/>
          <w:color w:val="auto"/>
          <w:spacing w:val="-6"/>
          <w:sz w:val="21"/>
          <w:szCs w:val="21"/>
          <w:highlight w:val="none"/>
        </w:rPr>
        <w:t>在原投标有效期满之前，如果出现特殊情况，采购人</w:t>
      </w:r>
      <w:r>
        <w:rPr>
          <w:rFonts w:hAnsi="宋体"/>
          <w:color w:val="auto"/>
          <w:spacing w:val="-6"/>
          <w:sz w:val="21"/>
          <w:szCs w:val="21"/>
          <w:highlight w:val="none"/>
        </w:rPr>
        <w:t>或</w:t>
      </w:r>
      <w:r>
        <w:rPr>
          <w:rFonts w:hint="eastAsia" w:hAnsi="宋体"/>
          <w:color w:val="auto"/>
          <w:spacing w:val="-6"/>
          <w:sz w:val="21"/>
          <w:szCs w:val="21"/>
          <w:highlight w:val="none"/>
        </w:rPr>
        <w:t>采购</w:t>
      </w:r>
      <w:r>
        <w:rPr>
          <w:rFonts w:hAnsi="宋体"/>
          <w:color w:val="auto"/>
          <w:spacing w:val="-6"/>
          <w:sz w:val="21"/>
          <w:szCs w:val="21"/>
          <w:highlight w:val="none"/>
        </w:rPr>
        <w:t>代理机构</w:t>
      </w:r>
      <w:r>
        <w:rPr>
          <w:rFonts w:hint="eastAsia" w:hAnsi="宋体"/>
          <w:color w:val="auto"/>
          <w:spacing w:val="-6"/>
          <w:sz w:val="21"/>
          <w:szCs w:val="21"/>
          <w:highlight w:val="none"/>
        </w:rPr>
        <w:t>以书面形式通知投标人延长投标有效期。</w:t>
      </w:r>
    </w:p>
    <w:p>
      <w:pPr>
        <w:spacing w:line="288" w:lineRule="auto"/>
        <w:jc w:val="left"/>
        <w:outlineLvl w:val="2"/>
        <w:rPr>
          <w:rFonts w:hint="eastAsia" w:ascii="宋体" w:hAnsi="宋体"/>
          <w:b/>
          <w:color w:val="auto"/>
          <w:spacing w:val="-6"/>
          <w:sz w:val="24"/>
          <w:highlight w:val="none"/>
        </w:rPr>
      </w:pPr>
      <w:r>
        <w:rPr>
          <w:rFonts w:hint="eastAsia" w:ascii="宋体" w:hAnsi="宋体"/>
          <w:b/>
          <w:color w:val="auto"/>
          <w:spacing w:val="-6"/>
          <w:sz w:val="24"/>
          <w:highlight w:val="none"/>
        </w:rPr>
        <w:t>（七） 投标无效的情形</w:t>
      </w:r>
    </w:p>
    <w:p>
      <w:pPr>
        <w:widowControl/>
        <w:spacing w:line="288" w:lineRule="auto"/>
        <w:ind w:firstLine="398" w:firstLineChars="200"/>
        <w:jc w:val="left"/>
        <w:rPr>
          <w:rFonts w:ascii="宋体" w:hAnsi="宋体"/>
          <w:b/>
          <w:color w:val="auto"/>
          <w:spacing w:val="-6"/>
          <w:sz w:val="21"/>
          <w:szCs w:val="21"/>
          <w:highlight w:val="none"/>
        </w:rPr>
      </w:pPr>
      <w:r>
        <w:rPr>
          <w:rFonts w:hint="eastAsia" w:ascii="宋体" w:hAnsi="宋体"/>
          <w:b/>
          <w:color w:val="auto"/>
          <w:spacing w:val="-6"/>
          <w:sz w:val="21"/>
          <w:szCs w:val="21"/>
          <w:highlight w:val="none"/>
        </w:rPr>
        <w:t>1</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在资格审查时，如发现下列情形之一的，投标文件将被视为无效：</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（1）</w:t>
      </w:r>
      <w:r>
        <w:rPr>
          <w:rFonts w:ascii="宋体" w:hAnsi="宋体"/>
          <w:color w:val="auto"/>
          <w:spacing w:val="-6"/>
          <w:sz w:val="21"/>
          <w:szCs w:val="21"/>
          <w:highlight w:val="none"/>
        </w:rPr>
        <w:t>资格证明</w:t>
      </w:r>
      <w:r>
        <w:rPr>
          <w:rFonts w:hint="eastAsia" w:ascii="宋体" w:hAnsi="宋体"/>
          <w:color w:val="auto"/>
          <w:spacing w:val="-6"/>
          <w:sz w:val="21"/>
          <w:szCs w:val="21"/>
          <w:highlight w:val="none"/>
        </w:rPr>
        <w:t>材料</w:t>
      </w:r>
      <w:r>
        <w:rPr>
          <w:rFonts w:ascii="宋体" w:hAnsi="宋体"/>
          <w:color w:val="auto"/>
          <w:spacing w:val="-6"/>
          <w:sz w:val="21"/>
          <w:szCs w:val="21"/>
          <w:highlight w:val="none"/>
        </w:rPr>
        <w:t>不全的，或者不符合</w:t>
      </w:r>
      <w:r>
        <w:rPr>
          <w:rFonts w:hint="eastAsia" w:ascii="宋体" w:hAnsi="宋体"/>
          <w:color w:val="auto"/>
          <w:spacing w:val="-6"/>
          <w:sz w:val="21"/>
          <w:szCs w:val="21"/>
          <w:highlight w:val="none"/>
        </w:rPr>
        <w:t>招标</w:t>
      </w:r>
      <w:r>
        <w:rPr>
          <w:rFonts w:ascii="宋体" w:hAnsi="宋体"/>
          <w:color w:val="auto"/>
          <w:spacing w:val="-6"/>
          <w:sz w:val="21"/>
          <w:szCs w:val="21"/>
          <w:highlight w:val="none"/>
        </w:rPr>
        <w:t>文件要求的</w:t>
      </w:r>
      <w:r>
        <w:rPr>
          <w:rFonts w:hint="eastAsia" w:ascii="宋体" w:hAnsi="宋体"/>
          <w:color w:val="auto"/>
          <w:spacing w:val="-6"/>
          <w:sz w:val="21"/>
          <w:szCs w:val="21"/>
          <w:highlight w:val="none"/>
        </w:rPr>
        <w:t>；</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（2）投标人不具备招标文件中规定的资格要求的；</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（3）经查询存在不良信用记录的。</w:t>
      </w:r>
    </w:p>
    <w:p>
      <w:pPr>
        <w:spacing w:line="288" w:lineRule="auto"/>
        <w:ind w:firstLine="398" w:firstLineChars="200"/>
        <w:rPr>
          <w:rFonts w:ascii="宋体" w:hAnsi="宋体"/>
          <w:b/>
          <w:color w:val="auto"/>
          <w:spacing w:val="-6"/>
          <w:sz w:val="21"/>
          <w:szCs w:val="21"/>
          <w:highlight w:val="none"/>
        </w:rPr>
      </w:pPr>
      <w:r>
        <w:rPr>
          <w:rFonts w:hint="eastAsia" w:ascii="宋体" w:hAnsi="宋体"/>
          <w:b/>
          <w:color w:val="auto"/>
          <w:spacing w:val="-6"/>
          <w:sz w:val="21"/>
          <w:szCs w:val="21"/>
          <w:highlight w:val="none"/>
        </w:rPr>
        <w:t>2</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在符合</w:t>
      </w:r>
      <w:r>
        <w:rPr>
          <w:rFonts w:ascii="宋体" w:hAnsi="宋体"/>
          <w:b/>
          <w:color w:val="auto"/>
          <w:spacing w:val="-6"/>
          <w:sz w:val="21"/>
          <w:szCs w:val="21"/>
          <w:highlight w:val="none"/>
        </w:rPr>
        <w:t>性审查、</w:t>
      </w:r>
      <w:r>
        <w:rPr>
          <w:rFonts w:hint="eastAsia" w:ascii="宋体" w:hAnsi="宋体"/>
          <w:b/>
          <w:color w:val="auto"/>
          <w:spacing w:val="-6"/>
          <w:sz w:val="21"/>
          <w:szCs w:val="21"/>
          <w:highlight w:val="none"/>
        </w:rPr>
        <w:t>商务</w:t>
      </w:r>
      <w:r>
        <w:rPr>
          <w:rFonts w:ascii="宋体" w:hAnsi="宋体"/>
          <w:b/>
          <w:color w:val="auto"/>
          <w:spacing w:val="-6"/>
          <w:sz w:val="21"/>
          <w:szCs w:val="21"/>
          <w:highlight w:val="none"/>
        </w:rPr>
        <w:t>和技术评审</w:t>
      </w:r>
      <w:r>
        <w:rPr>
          <w:rFonts w:hint="eastAsia" w:ascii="宋体" w:hAnsi="宋体"/>
          <w:b/>
          <w:color w:val="auto"/>
          <w:spacing w:val="-6"/>
          <w:sz w:val="21"/>
          <w:szCs w:val="21"/>
          <w:highlight w:val="none"/>
        </w:rPr>
        <w:t>时，如发现下列情形之一的，投标文件将被视为无效：</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（1）资格</w:t>
      </w:r>
      <w:r>
        <w:rPr>
          <w:rFonts w:ascii="宋体" w:hAnsi="宋体"/>
          <w:color w:val="auto"/>
          <w:spacing w:val="-6"/>
          <w:sz w:val="21"/>
          <w:szCs w:val="21"/>
          <w:highlight w:val="none"/>
        </w:rPr>
        <w:t>文件</w:t>
      </w:r>
      <w:r>
        <w:rPr>
          <w:rFonts w:hint="eastAsia" w:ascii="宋体" w:hAnsi="宋体"/>
          <w:color w:val="auto"/>
          <w:spacing w:val="-6"/>
          <w:sz w:val="21"/>
          <w:szCs w:val="21"/>
          <w:highlight w:val="none"/>
        </w:rPr>
        <w:t>、商务</w:t>
      </w:r>
      <w:r>
        <w:rPr>
          <w:rFonts w:ascii="宋体" w:hAnsi="宋体"/>
          <w:color w:val="auto"/>
          <w:spacing w:val="-6"/>
          <w:sz w:val="21"/>
          <w:szCs w:val="21"/>
          <w:highlight w:val="none"/>
        </w:rPr>
        <w:t>技术文件</w:t>
      </w:r>
      <w:r>
        <w:rPr>
          <w:rFonts w:hint="eastAsia" w:ascii="宋体" w:hAnsi="宋体"/>
          <w:color w:val="auto"/>
          <w:spacing w:val="-6"/>
          <w:sz w:val="21"/>
          <w:szCs w:val="21"/>
          <w:highlight w:val="none"/>
        </w:rPr>
        <w:t>未按要求签署、盖章的；</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（2）未提供或未按要求提供投标函</w:t>
      </w:r>
      <w:r>
        <w:rPr>
          <w:rFonts w:ascii="宋体" w:hAnsi="宋体"/>
          <w:color w:val="auto"/>
          <w:spacing w:val="-6"/>
          <w:sz w:val="21"/>
          <w:szCs w:val="21"/>
          <w:highlight w:val="none"/>
        </w:rPr>
        <w:t>、法定代表人资格证明书</w:t>
      </w:r>
      <w:r>
        <w:rPr>
          <w:rFonts w:hint="eastAsia" w:ascii="宋体" w:hAnsi="宋体"/>
          <w:color w:val="auto"/>
          <w:spacing w:val="-6"/>
          <w:sz w:val="21"/>
          <w:szCs w:val="21"/>
          <w:highlight w:val="none"/>
        </w:rPr>
        <w:t>、法定代表人授权委托书、投标</w:t>
      </w:r>
      <w:r>
        <w:rPr>
          <w:rFonts w:ascii="宋体" w:hAnsi="宋体"/>
          <w:color w:val="auto"/>
          <w:spacing w:val="-6"/>
          <w:sz w:val="21"/>
          <w:szCs w:val="21"/>
          <w:highlight w:val="none"/>
        </w:rPr>
        <w:t>声明书</w:t>
      </w:r>
      <w:r>
        <w:rPr>
          <w:rFonts w:hint="eastAsia" w:ascii="宋体" w:hAnsi="宋体"/>
          <w:color w:val="auto"/>
          <w:spacing w:val="-6"/>
          <w:sz w:val="21"/>
          <w:szCs w:val="21"/>
          <w:highlight w:val="none"/>
        </w:rPr>
        <w:t>的；</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（3）</w:t>
      </w:r>
      <w:r>
        <w:rPr>
          <w:rFonts w:hint="eastAsia" w:ascii="宋体" w:hAnsi="宋体"/>
          <w:bCs/>
          <w:color w:val="auto"/>
          <w:spacing w:val="-6"/>
          <w:sz w:val="21"/>
          <w:szCs w:val="21"/>
          <w:highlight w:val="none"/>
        </w:rPr>
        <w:t>法定代表人委托授权代表</w:t>
      </w:r>
      <w:r>
        <w:rPr>
          <w:rFonts w:ascii="宋体" w:hAnsi="宋体"/>
          <w:bCs/>
          <w:color w:val="auto"/>
          <w:spacing w:val="-6"/>
          <w:sz w:val="21"/>
          <w:szCs w:val="21"/>
          <w:highlight w:val="none"/>
        </w:rPr>
        <w:t>参加投</w:t>
      </w:r>
      <w:r>
        <w:rPr>
          <w:rFonts w:hint="eastAsia" w:ascii="宋体" w:hAnsi="宋体"/>
          <w:bCs/>
          <w:color w:val="auto"/>
          <w:spacing w:val="-6"/>
          <w:sz w:val="21"/>
          <w:szCs w:val="21"/>
          <w:highlight w:val="none"/>
        </w:rPr>
        <w:t>标但未</w:t>
      </w:r>
      <w:r>
        <w:rPr>
          <w:rFonts w:ascii="宋体" w:hAnsi="宋体"/>
          <w:bCs/>
          <w:color w:val="auto"/>
          <w:spacing w:val="-6"/>
          <w:sz w:val="21"/>
          <w:szCs w:val="21"/>
          <w:highlight w:val="none"/>
        </w:rPr>
        <w:t>提供</w:t>
      </w:r>
      <w:r>
        <w:rPr>
          <w:rFonts w:hint="eastAsia" w:ascii="宋体" w:hAnsi="宋体"/>
          <w:bCs/>
          <w:color w:val="auto"/>
          <w:spacing w:val="-6"/>
          <w:sz w:val="21"/>
          <w:szCs w:val="21"/>
          <w:highlight w:val="none"/>
        </w:rPr>
        <w:t>投标授权代表社保缴纳证明的</w:t>
      </w:r>
      <w:r>
        <w:rPr>
          <w:rFonts w:ascii="宋体" w:hAnsi="宋体"/>
          <w:bCs/>
          <w:color w:val="auto"/>
          <w:spacing w:val="-6"/>
          <w:sz w:val="21"/>
          <w:szCs w:val="21"/>
          <w:highlight w:val="none"/>
        </w:rPr>
        <w:t>；</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（4）未提供或未如实提供商务、技术</w:t>
      </w:r>
      <w:r>
        <w:rPr>
          <w:rFonts w:ascii="宋体" w:hAnsi="宋体"/>
          <w:color w:val="auto"/>
          <w:spacing w:val="-6"/>
          <w:sz w:val="21"/>
          <w:szCs w:val="21"/>
          <w:highlight w:val="none"/>
        </w:rPr>
        <w:t>偏离表的；</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（5）</w:t>
      </w:r>
      <w:r>
        <w:rPr>
          <w:rFonts w:ascii="宋体" w:hAnsi="宋体"/>
          <w:color w:val="auto"/>
          <w:spacing w:val="-6"/>
          <w:sz w:val="21"/>
          <w:szCs w:val="21"/>
          <w:highlight w:val="none"/>
        </w:rPr>
        <w:t>明显不符合招标文件</w:t>
      </w:r>
      <w:r>
        <w:rPr>
          <w:rFonts w:hint="eastAsia" w:ascii="宋体" w:hAnsi="宋体"/>
          <w:color w:val="auto"/>
          <w:spacing w:val="-6"/>
          <w:sz w:val="21"/>
          <w:szCs w:val="21"/>
          <w:highlight w:val="none"/>
        </w:rPr>
        <w:t>要求，</w:t>
      </w:r>
      <w:r>
        <w:rPr>
          <w:rFonts w:ascii="宋体" w:hAnsi="宋体"/>
          <w:color w:val="auto"/>
          <w:spacing w:val="-6"/>
          <w:sz w:val="21"/>
          <w:szCs w:val="21"/>
          <w:highlight w:val="none"/>
        </w:rPr>
        <w:t>或者</w:t>
      </w:r>
      <w:r>
        <w:rPr>
          <w:rFonts w:hint="eastAsia" w:ascii="宋体" w:hAnsi="宋体"/>
          <w:color w:val="auto"/>
          <w:spacing w:val="-6"/>
          <w:sz w:val="21"/>
          <w:szCs w:val="21"/>
          <w:highlight w:val="none"/>
        </w:rPr>
        <w:t>与</w:t>
      </w:r>
      <w:r>
        <w:rPr>
          <w:rFonts w:ascii="宋体" w:hAnsi="宋体"/>
          <w:color w:val="auto"/>
          <w:spacing w:val="-6"/>
          <w:sz w:val="21"/>
          <w:szCs w:val="21"/>
          <w:highlight w:val="none"/>
        </w:rPr>
        <w:t>招标文件中标“▲”的项目发生实质性偏离的；</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（6）</w:t>
      </w:r>
      <w:r>
        <w:rPr>
          <w:rFonts w:ascii="宋体" w:hAnsi="宋体"/>
          <w:color w:val="auto"/>
          <w:spacing w:val="-6"/>
          <w:sz w:val="21"/>
          <w:szCs w:val="21"/>
          <w:highlight w:val="none"/>
        </w:rPr>
        <w:t>未提供或未如实提供投标货物的技术参数，或者投标文件标明的响应或偏离与事实不符或虚假投标的；</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（7）</w:t>
      </w:r>
      <w:r>
        <w:rPr>
          <w:rFonts w:ascii="宋体" w:hAnsi="宋体"/>
          <w:color w:val="auto"/>
          <w:spacing w:val="-6"/>
          <w:sz w:val="21"/>
          <w:szCs w:val="21"/>
          <w:highlight w:val="none"/>
        </w:rPr>
        <w:t>投标技术方案不明确，存在一个或一个以上备选（替代）投标方案的；</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（8）投标文件含有采购人不能接受的附加条件的；</w:t>
      </w:r>
    </w:p>
    <w:p>
      <w:pPr>
        <w:widowControl/>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（9）法律、法规和招标文件规定的其他无效情形。</w:t>
      </w:r>
    </w:p>
    <w:p>
      <w:pPr>
        <w:widowControl/>
        <w:spacing w:line="288" w:lineRule="auto"/>
        <w:ind w:firstLine="398" w:firstLineChars="200"/>
        <w:jc w:val="left"/>
        <w:rPr>
          <w:rFonts w:ascii="宋体" w:hAnsi="宋体"/>
          <w:b/>
          <w:color w:val="auto"/>
          <w:spacing w:val="-6"/>
          <w:sz w:val="21"/>
          <w:szCs w:val="21"/>
          <w:highlight w:val="none"/>
        </w:rPr>
      </w:pPr>
      <w:r>
        <w:rPr>
          <w:rFonts w:hint="eastAsia" w:ascii="宋体" w:hAnsi="宋体"/>
          <w:b/>
          <w:color w:val="auto"/>
          <w:spacing w:val="-6"/>
          <w:sz w:val="21"/>
          <w:szCs w:val="21"/>
          <w:highlight w:val="none"/>
        </w:rPr>
        <w:t>3</w:t>
      </w:r>
      <w:r>
        <w:rPr>
          <w:rFonts w:ascii="宋体" w:hAnsi="宋体"/>
          <w:b/>
          <w:color w:val="auto"/>
          <w:spacing w:val="-6"/>
          <w:sz w:val="21"/>
          <w:szCs w:val="21"/>
          <w:highlight w:val="none"/>
        </w:rPr>
        <w:t>.在报价评审时，如发现下列情形之一的，投标文件将被视为无效：</w:t>
      </w:r>
    </w:p>
    <w:p>
      <w:pPr>
        <w:widowControl/>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（1）报价</w:t>
      </w:r>
      <w:r>
        <w:rPr>
          <w:rFonts w:ascii="宋体" w:hAnsi="宋体"/>
          <w:color w:val="auto"/>
          <w:spacing w:val="-6"/>
          <w:sz w:val="21"/>
          <w:szCs w:val="21"/>
          <w:highlight w:val="none"/>
        </w:rPr>
        <w:t>文件</w:t>
      </w:r>
      <w:r>
        <w:rPr>
          <w:rFonts w:hint="eastAsia" w:ascii="宋体" w:hAnsi="宋体"/>
          <w:color w:val="auto"/>
          <w:spacing w:val="-6"/>
          <w:sz w:val="21"/>
          <w:szCs w:val="21"/>
          <w:highlight w:val="none"/>
        </w:rPr>
        <w:t>未按要求签署、盖章的；</w:t>
      </w:r>
    </w:p>
    <w:p>
      <w:pPr>
        <w:widowControl/>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（2</w:t>
      </w:r>
      <w:r>
        <w:rPr>
          <w:rFonts w:ascii="宋体" w:hAnsi="宋体"/>
          <w:color w:val="auto"/>
          <w:spacing w:val="-6"/>
          <w:sz w:val="21"/>
          <w:szCs w:val="21"/>
          <w:highlight w:val="none"/>
        </w:rPr>
        <w:t>）未按照招标文件标明的币种报价的</w:t>
      </w:r>
      <w:r>
        <w:rPr>
          <w:rFonts w:hint="eastAsia" w:ascii="宋体" w:hAnsi="宋体"/>
          <w:color w:val="auto"/>
          <w:spacing w:val="-6"/>
          <w:sz w:val="21"/>
          <w:szCs w:val="21"/>
          <w:highlight w:val="none"/>
        </w:rPr>
        <w:t>；</w:t>
      </w:r>
    </w:p>
    <w:p>
      <w:pPr>
        <w:widowControl/>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（3）</w:t>
      </w:r>
      <w:r>
        <w:rPr>
          <w:rFonts w:ascii="宋体" w:hAnsi="宋体"/>
          <w:color w:val="auto"/>
          <w:spacing w:val="-6"/>
          <w:sz w:val="21"/>
          <w:szCs w:val="21"/>
          <w:highlight w:val="none"/>
        </w:rPr>
        <w:t>报价</w:t>
      </w:r>
      <w:r>
        <w:rPr>
          <w:rFonts w:hint="eastAsia" w:ascii="宋体" w:hAnsi="宋体"/>
          <w:color w:val="auto"/>
          <w:spacing w:val="-6"/>
          <w:sz w:val="21"/>
          <w:szCs w:val="21"/>
          <w:highlight w:val="none"/>
        </w:rPr>
        <w:t>明细有</w:t>
      </w:r>
      <w:r>
        <w:rPr>
          <w:rFonts w:ascii="宋体" w:hAnsi="宋体"/>
          <w:color w:val="auto"/>
          <w:spacing w:val="-6"/>
          <w:sz w:val="21"/>
          <w:szCs w:val="21"/>
          <w:highlight w:val="none"/>
        </w:rPr>
        <w:t>缺漏项</w:t>
      </w:r>
      <w:r>
        <w:rPr>
          <w:rFonts w:hint="eastAsia" w:ascii="宋体" w:hAnsi="宋体"/>
          <w:color w:val="auto"/>
          <w:spacing w:val="-6"/>
          <w:sz w:val="21"/>
          <w:szCs w:val="21"/>
          <w:highlight w:val="none"/>
        </w:rPr>
        <w:t>，或者</w:t>
      </w:r>
      <w:r>
        <w:rPr>
          <w:rFonts w:ascii="宋体" w:hAnsi="宋体"/>
          <w:color w:val="auto"/>
          <w:spacing w:val="-6"/>
          <w:sz w:val="21"/>
          <w:szCs w:val="21"/>
          <w:highlight w:val="none"/>
        </w:rPr>
        <w:t>与招标文件要求不一致的；</w:t>
      </w:r>
    </w:p>
    <w:p>
      <w:pPr>
        <w:widowControl/>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（4）报价超过招标文件中规定的预算金额或者最高限价的；</w:t>
      </w:r>
    </w:p>
    <w:p>
      <w:pPr>
        <w:widowControl/>
        <w:spacing w:line="288" w:lineRule="auto"/>
        <w:ind w:firstLine="396"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（5）报价具有选择性，或者开标价格与投标文件承诺的优惠（折扣）价格不一致的；</w:t>
      </w:r>
    </w:p>
    <w:p>
      <w:pPr>
        <w:widowControl/>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（6）报价明显低于其他通过符合性审查投标人的报价（有可能影响产品质量或者不能诚信履约的），投标人在评标现场合理的时间内无法提供书面说明（必要时提交相关证明材料）证明其报价合理性的；</w:t>
      </w:r>
    </w:p>
    <w:p>
      <w:pPr>
        <w:widowControl/>
        <w:spacing w:line="288" w:lineRule="auto"/>
        <w:ind w:firstLine="398" w:firstLineChars="200"/>
        <w:jc w:val="left"/>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4</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有下列情形之一的，视为投标人串通投标，其投标无效，由采购人或采购代理机构上报政府采购监督管理部门，视情列入不良行为记录名单，在一至三年内禁止参加政府采购活动：</w:t>
      </w:r>
    </w:p>
    <w:p>
      <w:pPr>
        <w:widowControl/>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（1）不同投标人的投标文件由同一单位或者个人编制；</w:t>
      </w:r>
    </w:p>
    <w:p>
      <w:pPr>
        <w:widowControl/>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（2）不同投标人委托同一单位或者个人办理投标事宜；</w:t>
      </w:r>
    </w:p>
    <w:p>
      <w:pPr>
        <w:widowControl/>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（3）不同投标人的投标文件载明的项目管理成员或者联系人员为同一人；</w:t>
      </w:r>
    </w:p>
    <w:p>
      <w:pPr>
        <w:widowControl/>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（4）不同投标人的投标文件异常一致或者投标报价呈规律性差异；</w:t>
      </w:r>
    </w:p>
    <w:p>
      <w:pPr>
        <w:widowControl/>
        <w:spacing w:line="288" w:lineRule="auto"/>
        <w:ind w:firstLine="396"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（5）不同投标人的投标文件相互混装。</w:t>
      </w:r>
    </w:p>
    <w:p>
      <w:pPr>
        <w:pStyle w:val="12"/>
        <w:spacing w:before="0" w:beforeLines="0" w:after="0" w:afterLines="0" w:line="288" w:lineRule="auto"/>
        <w:jc w:val="center"/>
        <w:outlineLvl w:val="1"/>
        <w:rPr>
          <w:rFonts w:hint="eastAsia" w:hAnsi="宋体"/>
          <w:b/>
          <w:color w:val="auto"/>
          <w:spacing w:val="-6"/>
          <w:sz w:val="32"/>
          <w:szCs w:val="32"/>
          <w:highlight w:val="none"/>
        </w:rPr>
      </w:pPr>
      <w:r>
        <w:rPr>
          <w:rFonts w:hAnsi="宋体"/>
          <w:b/>
          <w:color w:val="auto"/>
          <w:spacing w:val="-6"/>
          <w:sz w:val="21"/>
          <w:szCs w:val="21"/>
          <w:highlight w:val="none"/>
        </w:rPr>
        <w:br w:type="page"/>
      </w:r>
      <w:r>
        <w:rPr>
          <w:rFonts w:hAnsi="宋体"/>
          <w:b/>
          <w:color w:val="auto"/>
          <w:spacing w:val="-6"/>
          <w:sz w:val="32"/>
          <w:szCs w:val="32"/>
          <w:highlight w:val="none"/>
        </w:rPr>
        <w:t>四</w:t>
      </w:r>
      <w:r>
        <w:rPr>
          <w:rFonts w:hint="eastAsia" w:hAnsi="宋体"/>
          <w:b/>
          <w:color w:val="auto"/>
          <w:spacing w:val="-6"/>
          <w:sz w:val="32"/>
          <w:szCs w:val="32"/>
          <w:highlight w:val="none"/>
        </w:rPr>
        <w:t>、开  标</w:t>
      </w:r>
    </w:p>
    <w:p>
      <w:pPr>
        <w:pStyle w:val="2"/>
        <w:spacing w:line="288" w:lineRule="auto"/>
        <w:ind w:firstLine="0"/>
        <w:outlineLvl w:val="2"/>
        <w:rPr>
          <w:rFonts w:hint="eastAsia" w:hAnsi="宋体"/>
          <w:b/>
          <w:color w:val="auto"/>
          <w:spacing w:val="-6"/>
          <w:sz w:val="24"/>
          <w:szCs w:val="24"/>
          <w:highlight w:val="none"/>
        </w:rPr>
      </w:pPr>
      <w:r>
        <w:rPr>
          <w:rFonts w:hint="eastAsia" w:hAnsi="宋体"/>
          <w:b/>
          <w:color w:val="auto"/>
          <w:spacing w:val="-6"/>
          <w:sz w:val="24"/>
          <w:szCs w:val="24"/>
          <w:highlight w:val="none"/>
        </w:rPr>
        <w:t>（一） 开标准备</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1.</w:t>
      </w:r>
      <w:r>
        <w:rPr>
          <w:rFonts w:ascii="宋体" w:hAnsi="宋体"/>
          <w:color w:val="auto"/>
          <w:spacing w:val="-6"/>
          <w:sz w:val="21"/>
          <w:szCs w:val="21"/>
          <w:highlight w:val="none"/>
        </w:rPr>
        <w:t>制订开标、</w:t>
      </w:r>
      <w:r>
        <w:rPr>
          <w:rFonts w:hint="eastAsia" w:ascii="宋体" w:hAnsi="宋体"/>
          <w:color w:val="auto"/>
          <w:spacing w:val="-6"/>
          <w:sz w:val="21"/>
          <w:szCs w:val="21"/>
          <w:highlight w:val="none"/>
        </w:rPr>
        <w:t>评标</w:t>
      </w:r>
      <w:r>
        <w:rPr>
          <w:rFonts w:ascii="宋体" w:hAnsi="宋体"/>
          <w:color w:val="auto"/>
          <w:spacing w:val="-6"/>
          <w:sz w:val="21"/>
          <w:szCs w:val="21"/>
          <w:highlight w:val="none"/>
        </w:rPr>
        <w:t>工作的组织方案，落实工作场地、设施，检查录音录像采集设备运行情况。</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2.</w:t>
      </w:r>
      <w:r>
        <w:rPr>
          <w:rFonts w:ascii="宋体" w:hAnsi="宋体"/>
          <w:color w:val="auto"/>
          <w:spacing w:val="-6"/>
          <w:sz w:val="21"/>
          <w:szCs w:val="21"/>
          <w:highlight w:val="none"/>
        </w:rPr>
        <w:t>通知或邀请相关单位和人员出席开标、</w:t>
      </w:r>
      <w:r>
        <w:rPr>
          <w:rFonts w:hint="eastAsia" w:ascii="宋体" w:hAnsi="宋体"/>
          <w:color w:val="auto"/>
          <w:spacing w:val="-6"/>
          <w:sz w:val="21"/>
          <w:szCs w:val="21"/>
          <w:highlight w:val="none"/>
        </w:rPr>
        <w:t>评标</w:t>
      </w:r>
      <w:r>
        <w:rPr>
          <w:rFonts w:ascii="宋体" w:hAnsi="宋体"/>
          <w:color w:val="auto"/>
          <w:spacing w:val="-6"/>
          <w:sz w:val="21"/>
          <w:szCs w:val="21"/>
          <w:highlight w:val="none"/>
        </w:rPr>
        <w:t>活动（按规定由相关监管部门或其授权机构随机抽取、通知的政府采购评审专家除外）。</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3.</w:t>
      </w:r>
      <w:r>
        <w:rPr>
          <w:rFonts w:ascii="宋体" w:hAnsi="宋体"/>
          <w:color w:val="auto"/>
          <w:spacing w:val="-6"/>
          <w:sz w:val="21"/>
          <w:szCs w:val="21"/>
          <w:highlight w:val="none"/>
        </w:rPr>
        <w:t>准备政府采购项目的相关文件资料，如项目政府采购预算确认书（计划）及专家抽取有关凭证、项目书面说明、</w:t>
      </w:r>
      <w:r>
        <w:rPr>
          <w:rFonts w:hint="eastAsia" w:ascii="宋体" w:hAnsi="宋体"/>
          <w:color w:val="auto"/>
          <w:spacing w:val="-6"/>
          <w:sz w:val="21"/>
          <w:szCs w:val="21"/>
          <w:highlight w:val="none"/>
        </w:rPr>
        <w:t>招标</w:t>
      </w:r>
      <w:r>
        <w:rPr>
          <w:rFonts w:ascii="宋体" w:hAnsi="宋体"/>
          <w:color w:val="auto"/>
          <w:spacing w:val="-6"/>
          <w:sz w:val="21"/>
          <w:szCs w:val="21"/>
          <w:highlight w:val="none"/>
        </w:rPr>
        <w:t>文件、补充文件及质疑答复情况、现场工作所需的相关登记表单、评审工作底稿等。</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4.</w:t>
      </w:r>
      <w:r>
        <w:rPr>
          <w:rFonts w:ascii="宋体" w:hAnsi="宋体"/>
          <w:color w:val="auto"/>
          <w:spacing w:val="-6"/>
          <w:sz w:val="21"/>
          <w:szCs w:val="21"/>
          <w:highlight w:val="none"/>
        </w:rPr>
        <w:t>其他应准备的事项。</w:t>
      </w:r>
    </w:p>
    <w:p>
      <w:pPr>
        <w:pStyle w:val="2"/>
        <w:spacing w:line="288" w:lineRule="auto"/>
        <w:ind w:firstLine="0"/>
        <w:outlineLvl w:val="2"/>
        <w:rPr>
          <w:rFonts w:hint="eastAsia" w:hAnsi="宋体"/>
          <w:b/>
          <w:color w:val="auto"/>
          <w:spacing w:val="-6"/>
          <w:sz w:val="24"/>
          <w:szCs w:val="24"/>
          <w:highlight w:val="none"/>
        </w:rPr>
      </w:pPr>
      <w:r>
        <w:rPr>
          <w:rFonts w:hint="eastAsia" w:hAnsi="宋体"/>
          <w:b/>
          <w:color w:val="auto"/>
          <w:spacing w:val="-6"/>
          <w:sz w:val="24"/>
          <w:szCs w:val="24"/>
          <w:highlight w:val="none"/>
        </w:rPr>
        <w:t>（二） 开标程序</w:t>
      </w:r>
    </w:p>
    <w:p>
      <w:pPr>
        <w:pStyle w:val="2"/>
        <w:spacing w:line="288" w:lineRule="auto"/>
        <w:ind w:firstLine="396" w:firstLineChars="200"/>
        <w:rPr>
          <w:rFonts w:hint="eastAsia" w:hAnsi="宋体"/>
          <w:color w:val="auto"/>
          <w:spacing w:val="-6"/>
          <w:sz w:val="21"/>
          <w:szCs w:val="21"/>
          <w:highlight w:val="none"/>
        </w:rPr>
      </w:pPr>
      <w:r>
        <w:rPr>
          <w:rFonts w:hAnsi="宋体"/>
          <w:color w:val="auto"/>
          <w:spacing w:val="-6"/>
          <w:sz w:val="21"/>
          <w:szCs w:val="21"/>
          <w:highlight w:val="none"/>
        </w:rPr>
        <w:t>采购代理机构按照</w:t>
      </w:r>
      <w:r>
        <w:rPr>
          <w:rFonts w:hint="eastAsia" w:hAnsi="宋体"/>
          <w:color w:val="auto"/>
          <w:spacing w:val="-6"/>
          <w:sz w:val="21"/>
          <w:szCs w:val="21"/>
          <w:highlight w:val="none"/>
        </w:rPr>
        <w:t>招标</w:t>
      </w:r>
      <w:r>
        <w:rPr>
          <w:rFonts w:hAnsi="宋体"/>
          <w:color w:val="auto"/>
          <w:spacing w:val="-6"/>
          <w:sz w:val="21"/>
          <w:szCs w:val="21"/>
          <w:highlight w:val="none"/>
        </w:rPr>
        <w:t>文件规定的时间、地点和程序组织开标，开标原则上应采取先</w:t>
      </w:r>
      <w:r>
        <w:rPr>
          <w:rFonts w:hint="eastAsia" w:hAnsi="宋体"/>
          <w:color w:val="auto"/>
          <w:spacing w:val="-6"/>
          <w:sz w:val="21"/>
          <w:szCs w:val="21"/>
          <w:highlight w:val="none"/>
        </w:rPr>
        <w:t>开启资格</w:t>
      </w:r>
      <w:r>
        <w:rPr>
          <w:rFonts w:hAnsi="宋体"/>
          <w:color w:val="auto"/>
          <w:spacing w:val="-6"/>
          <w:sz w:val="21"/>
          <w:szCs w:val="21"/>
          <w:highlight w:val="none"/>
        </w:rPr>
        <w:t>文件</w:t>
      </w:r>
      <w:r>
        <w:rPr>
          <w:rFonts w:hint="eastAsia" w:hAnsi="宋体"/>
          <w:color w:val="auto"/>
          <w:spacing w:val="-6"/>
          <w:sz w:val="21"/>
          <w:szCs w:val="21"/>
          <w:highlight w:val="none"/>
        </w:rPr>
        <w:t>、</w:t>
      </w:r>
      <w:r>
        <w:rPr>
          <w:rFonts w:hAnsi="宋体"/>
          <w:color w:val="auto"/>
          <w:spacing w:val="-6"/>
          <w:sz w:val="21"/>
          <w:szCs w:val="21"/>
          <w:highlight w:val="none"/>
        </w:rPr>
        <w:t>商务技术文件、后</w:t>
      </w:r>
      <w:r>
        <w:rPr>
          <w:rFonts w:hint="eastAsia" w:hAnsi="宋体"/>
          <w:color w:val="auto"/>
          <w:spacing w:val="-6"/>
          <w:sz w:val="21"/>
          <w:szCs w:val="21"/>
          <w:highlight w:val="none"/>
        </w:rPr>
        <w:t>开启</w:t>
      </w:r>
      <w:r>
        <w:rPr>
          <w:rFonts w:hAnsi="宋体"/>
          <w:color w:val="auto"/>
          <w:spacing w:val="-6"/>
          <w:sz w:val="21"/>
          <w:szCs w:val="21"/>
          <w:highlight w:val="none"/>
        </w:rPr>
        <w:t>报价文件的顺序进行。具体按以下程序进行：</w:t>
      </w:r>
    </w:p>
    <w:p>
      <w:pPr>
        <w:pStyle w:val="2"/>
        <w:spacing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1.开启开标场地的录音录像采集设备，并确保其正常运行。</w:t>
      </w:r>
    </w:p>
    <w:p>
      <w:pPr>
        <w:pStyle w:val="2"/>
        <w:spacing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2.</w:t>
      </w:r>
      <w:r>
        <w:rPr>
          <w:rFonts w:hAnsi="宋体"/>
          <w:color w:val="auto"/>
          <w:spacing w:val="-6"/>
          <w:sz w:val="21"/>
          <w:szCs w:val="21"/>
          <w:highlight w:val="none"/>
        </w:rPr>
        <w:t>核验出席开标活动现场的</w:t>
      </w:r>
      <w:r>
        <w:rPr>
          <w:rFonts w:hint="eastAsia" w:hAnsi="宋体"/>
          <w:color w:val="auto"/>
          <w:spacing w:val="-6"/>
          <w:sz w:val="21"/>
          <w:szCs w:val="21"/>
          <w:highlight w:val="none"/>
        </w:rPr>
        <w:t>各</w:t>
      </w:r>
      <w:r>
        <w:rPr>
          <w:rFonts w:hAnsi="宋体"/>
          <w:color w:val="auto"/>
          <w:spacing w:val="-6"/>
          <w:sz w:val="21"/>
          <w:szCs w:val="21"/>
          <w:highlight w:val="none"/>
        </w:rPr>
        <w:t>相关单位人员身份，并组织其分别登记、签到，无关人员可拒绝其进入现场</w:t>
      </w:r>
      <w:r>
        <w:rPr>
          <w:rFonts w:hint="eastAsia" w:hAnsi="宋体"/>
          <w:color w:val="auto"/>
          <w:spacing w:val="-6"/>
          <w:sz w:val="21"/>
          <w:szCs w:val="21"/>
          <w:highlight w:val="none"/>
        </w:rPr>
        <w:t>。</w:t>
      </w:r>
    </w:p>
    <w:p>
      <w:pPr>
        <w:pStyle w:val="2"/>
        <w:spacing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3.政府采购云平台在线进行投标文件签收，并向投标人出具签收回执。</w:t>
      </w:r>
    </w:p>
    <w:p>
      <w:pPr>
        <w:pStyle w:val="2"/>
        <w:spacing w:line="288" w:lineRule="auto"/>
        <w:ind w:firstLine="396" w:firstLineChars="200"/>
        <w:rPr>
          <w:rFonts w:hAnsi="宋体"/>
          <w:color w:val="auto"/>
          <w:spacing w:val="-6"/>
          <w:sz w:val="21"/>
          <w:szCs w:val="21"/>
          <w:highlight w:val="none"/>
        </w:rPr>
      </w:pPr>
      <w:r>
        <w:rPr>
          <w:rFonts w:hint="eastAsia" w:hAnsi="宋体"/>
          <w:color w:val="auto"/>
          <w:spacing w:val="-6"/>
          <w:sz w:val="21"/>
          <w:szCs w:val="21"/>
          <w:highlight w:val="none"/>
        </w:rPr>
        <w:t>4.</w:t>
      </w:r>
      <w:r>
        <w:rPr>
          <w:rFonts w:hAnsi="宋体"/>
          <w:color w:val="auto"/>
          <w:spacing w:val="-6"/>
          <w:sz w:val="21"/>
          <w:szCs w:val="21"/>
          <w:highlight w:val="none"/>
        </w:rPr>
        <w:t>主持人宣布开标</w:t>
      </w:r>
      <w:r>
        <w:rPr>
          <w:rFonts w:hint="eastAsia" w:hAnsi="宋体"/>
          <w:color w:val="auto"/>
          <w:spacing w:val="-6"/>
          <w:sz w:val="21"/>
          <w:szCs w:val="21"/>
          <w:highlight w:val="none"/>
        </w:rPr>
        <w:t>，</w:t>
      </w:r>
      <w:r>
        <w:rPr>
          <w:rFonts w:hAnsi="宋体"/>
          <w:color w:val="auto"/>
          <w:spacing w:val="-6"/>
          <w:sz w:val="21"/>
          <w:szCs w:val="21"/>
          <w:highlight w:val="none"/>
        </w:rPr>
        <w:t>介绍开标现场的人员情况，宣读递交</w:t>
      </w:r>
      <w:r>
        <w:rPr>
          <w:rFonts w:hint="eastAsia" w:hAnsi="宋体"/>
          <w:color w:val="auto"/>
          <w:spacing w:val="-6"/>
          <w:sz w:val="21"/>
          <w:szCs w:val="21"/>
          <w:highlight w:val="none"/>
        </w:rPr>
        <w:t>投标文件的投标人名单</w:t>
      </w:r>
      <w:r>
        <w:rPr>
          <w:rFonts w:hAnsi="宋体"/>
          <w:color w:val="auto"/>
          <w:spacing w:val="-6"/>
          <w:sz w:val="21"/>
          <w:szCs w:val="21"/>
          <w:highlight w:val="none"/>
        </w:rPr>
        <w:t>、开标纪律、应当回避的情形等注意事项，组织投标人签署不存在影响公平竞争的《政府采购活动现场确认声明书》。</w:t>
      </w:r>
    </w:p>
    <w:p>
      <w:pPr>
        <w:pStyle w:val="2"/>
        <w:spacing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5.向各投标人发出电子加密投标文件开始解密通知，由投标人在规定时间内自行进行投标文件解密。投标人在规定时间内无法完成已上传的电子加密投标文件解密的，如已按规定递交备份投标文件的，将由采购代理机构按政府采购云平台操作规范将备份投标文件上传至政府采购云平台，上传成功后，电子加密投标文件自动失效，否则视为投标文件撤回。</w:t>
      </w:r>
    </w:p>
    <w:p>
      <w:pPr>
        <w:pStyle w:val="2"/>
        <w:spacing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6.开启投标文件后，采购人或采购代理机构将依法对投标人的资格进行审查，投标人未按照招标文件要求提供与资格条件相应的有效资格证明材料的，视为投标人不具备招标文件中规定的资格要求，其投标无效。采购人或采购代理机构应按照招标文件要求，以确认承诺、现场查询等方式进行。</w:t>
      </w:r>
    </w:p>
    <w:p>
      <w:pPr>
        <w:pStyle w:val="2"/>
        <w:spacing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7.</w:t>
      </w:r>
      <w:r>
        <w:rPr>
          <w:rFonts w:hAnsi="宋体"/>
          <w:color w:val="auto"/>
          <w:spacing w:val="-6"/>
          <w:sz w:val="21"/>
          <w:szCs w:val="21"/>
          <w:highlight w:val="none"/>
        </w:rPr>
        <w:t>商务和技术评审结束后，宣告商务和技术评审无效投标人名称及理由</w:t>
      </w:r>
      <w:r>
        <w:rPr>
          <w:rFonts w:hint="eastAsia" w:hAnsi="宋体"/>
          <w:color w:val="auto"/>
          <w:spacing w:val="-6"/>
          <w:sz w:val="21"/>
          <w:szCs w:val="21"/>
          <w:highlight w:val="none"/>
        </w:rPr>
        <w:t>，</w:t>
      </w:r>
      <w:r>
        <w:rPr>
          <w:rFonts w:hAnsi="宋体"/>
          <w:color w:val="auto"/>
          <w:spacing w:val="-6"/>
          <w:sz w:val="21"/>
          <w:szCs w:val="21"/>
          <w:highlight w:val="none"/>
        </w:rPr>
        <w:t>公布经商务和技术评审符合采购需求的投标人名单，采用综合评分法的，公布其商务和技术得分情况。</w:t>
      </w:r>
    </w:p>
    <w:p>
      <w:pPr>
        <w:pStyle w:val="2"/>
        <w:spacing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8.开启</w:t>
      </w:r>
      <w:r>
        <w:rPr>
          <w:rFonts w:hAnsi="宋体"/>
          <w:color w:val="auto"/>
          <w:spacing w:val="-6"/>
          <w:sz w:val="21"/>
          <w:szCs w:val="21"/>
          <w:highlight w:val="none"/>
        </w:rPr>
        <w:t>投标人报价文件，</w:t>
      </w:r>
      <w:r>
        <w:rPr>
          <w:rFonts w:hint="eastAsia" w:hAnsi="宋体"/>
          <w:color w:val="auto"/>
          <w:spacing w:val="-6"/>
          <w:sz w:val="21"/>
          <w:szCs w:val="21"/>
          <w:highlight w:val="none"/>
        </w:rPr>
        <w:t>通过发送邮件形式公布</w:t>
      </w:r>
      <w:r>
        <w:rPr>
          <w:rFonts w:hAnsi="宋体"/>
          <w:color w:val="auto"/>
          <w:spacing w:val="-6"/>
          <w:sz w:val="21"/>
          <w:szCs w:val="21"/>
          <w:highlight w:val="none"/>
        </w:rPr>
        <w:t>开标一览表有关内容，同时当场制作开标记录表，</w:t>
      </w:r>
      <w:r>
        <w:rPr>
          <w:rFonts w:hint="eastAsia" w:hAnsi="宋体"/>
          <w:color w:val="auto"/>
          <w:spacing w:val="-6"/>
          <w:sz w:val="21"/>
          <w:szCs w:val="21"/>
          <w:highlight w:val="none"/>
        </w:rPr>
        <w:t>投标人通过发送邮件形式签字确认，</w:t>
      </w:r>
      <w:r>
        <w:rPr>
          <w:rFonts w:hAnsi="宋体"/>
          <w:color w:val="auto"/>
          <w:spacing w:val="-6"/>
          <w:sz w:val="21"/>
          <w:szCs w:val="21"/>
          <w:highlight w:val="none"/>
        </w:rPr>
        <w:t>唱标人、记录人和现场监督员</w:t>
      </w:r>
      <w:r>
        <w:rPr>
          <w:rFonts w:hint="eastAsia" w:hAnsi="宋体"/>
          <w:color w:val="auto"/>
          <w:spacing w:val="-6"/>
          <w:sz w:val="21"/>
          <w:szCs w:val="21"/>
          <w:highlight w:val="none"/>
        </w:rPr>
        <w:t>现场</w:t>
      </w:r>
      <w:r>
        <w:rPr>
          <w:rFonts w:hAnsi="宋体"/>
          <w:color w:val="auto"/>
          <w:spacing w:val="-6"/>
          <w:sz w:val="21"/>
          <w:szCs w:val="21"/>
          <w:highlight w:val="none"/>
        </w:rPr>
        <w:t>签字确认</w:t>
      </w:r>
      <w:r>
        <w:rPr>
          <w:rFonts w:hint="eastAsia" w:hAnsi="宋体"/>
          <w:color w:val="auto"/>
          <w:spacing w:val="-6"/>
          <w:sz w:val="21"/>
          <w:szCs w:val="21"/>
          <w:highlight w:val="none"/>
        </w:rPr>
        <w:t>（不予确认的应说明理由，否则视为无异议）</w:t>
      </w:r>
      <w:r>
        <w:rPr>
          <w:rFonts w:hAnsi="宋体"/>
          <w:color w:val="auto"/>
          <w:spacing w:val="-6"/>
          <w:sz w:val="21"/>
          <w:szCs w:val="21"/>
          <w:highlight w:val="none"/>
        </w:rPr>
        <w:t>。唱标结束后，由评标委员会对报价的合理性、准确性等进行审查核实。</w:t>
      </w:r>
    </w:p>
    <w:p>
      <w:pPr>
        <w:pStyle w:val="2"/>
        <w:spacing w:line="288" w:lineRule="auto"/>
        <w:ind w:firstLine="396" w:firstLineChars="200"/>
        <w:rPr>
          <w:rFonts w:hAnsi="宋体"/>
          <w:color w:val="auto"/>
          <w:spacing w:val="-6"/>
          <w:sz w:val="21"/>
          <w:szCs w:val="21"/>
          <w:highlight w:val="none"/>
        </w:rPr>
      </w:pPr>
      <w:r>
        <w:rPr>
          <w:rFonts w:hint="eastAsia" w:hAnsi="宋体"/>
          <w:color w:val="auto"/>
          <w:spacing w:val="-6"/>
          <w:sz w:val="21"/>
          <w:szCs w:val="21"/>
          <w:highlight w:val="none"/>
        </w:rPr>
        <w:t>9.评标</w:t>
      </w:r>
      <w:r>
        <w:rPr>
          <w:rFonts w:hAnsi="宋体"/>
          <w:color w:val="auto"/>
          <w:spacing w:val="-6"/>
          <w:sz w:val="21"/>
          <w:szCs w:val="21"/>
          <w:highlight w:val="none"/>
        </w:rPr>
        <w:t>结束后，</w:t>
      </w:r>
      <w:r>
        <w:rPr>
          <w:rFonts w:hint="eastAsia" w:hAnsi="宋体"/>
          <w:color w:val="auto"/>
          <w:spacing w:val="-6"/>
          <w:sz w:val="21"/>
          <w:szCs w:val="21"/>
          <w:highlight w:val="none"/>
        </w:rPr>
        <w:t>通过发送邮件形式</w:t>
      </w:r>
      <w:r>
        <w:rPr>
          <w:rFonts w:hAnsi="宋体"/>
          <w:color w:val="auto"/>
          <w:spacing w:val="-6"/>
          <w:sz w:val="21"/>
          <w:szCs w:val="21"/>
          <w:highlight w:val="none"/>
        </w:rPr>
        <w:t>公布中标候选</w:t>
      </w:r>
      <w:r>
        <w:rPr>
          <w:rFonts w:hint="eastAsia" w:hAnsi="宋体"/>
          <w:color w:val="auto"/>
          <w:spacing w:val="-6"/>
          <w:sz w:val="21"/>
          <w:szCs w:val="21"/>
          <w:highlight w:val="none"/>
        </w:rPr>
        <w:t>人</w:t>
      </w:r>
      <w:r>
        <w:rPr>
          <w:rFonts w:hAnsi="宋体"/>
          <w:color w:val="auto"/>
          <w:spacing w:val="-6"/>
          <w:sz w:val="21"/>
          <w:szCs w:val="21"/>
          <w:highlight w:val="none"/>
        </w:rPr>
        <w:t>名单，及采购人最终确定</w:t>
      </w:r>
      <w:r>
        <w:rPr>
          <w:rFonts w:hint="eastAsia" w:hAnsi="宋体"/>
          <w:color w:val="auto"/>
          <w:spacing w:val="-6"/>
          <w:sz w:val="21"/>
          <w:szCs w:val="21"/>
          <w:highlight w:val="none"/>
        </w:rPr>
        <w:t>中标人</w:t>
      </w:r>
      <w:r>
        <w:rPr>
          <w:rFonts w:hAnsi="宋体"/>
          <w:color w:val="auto"/>
          <w:spacing w:val="-6"/>
          <w:sz w:val="21"/>
          <w:szCs w:val="21"/>
          <w:highlight w:val="none"/>
        </w:rPr>
        <w:t>名单的时间和公告方式等。</w:t>
      </w:r>
    </w:p>
    <w:p>
      <w:pPr>
        <w:pStyle w:val="2"/>
        <w:spacing w:line="288" w:lineRule="auto"/>
        <w:ind w:firstLine="398" w:firstLineChars="200"/>
        <w:rPr>
          <w:rFonts w:hint="eastAsia" w:hAnsi="宋体"/>
          <w:b/>
          <w:bCs/>
          <w:color w:val="auto"/>
          <w:spacing w:val="-6"/>
          <w:sz w:val="21"/>
          <w:szCs w:val="21"/>
          <w:highlight w:val="none"/>
        </w:rPr>
      </w:pPr>
      <w:r>
        <w:rPr>
          <w:rFonts w:hint="eastAsia" w:hAnsi="宋体"/>
          <w:b/>
          <w:bCs/>
          <w:color w:val="auto"/>
          <w:spacing w:val="-6"/>
          <w:sz w:val="21"/>
          <w:szCs w:val="21"/>
          <w:highlight w:val="none"/>
        </w:rPr>
        <w:t>特别说明：如遇政府采购云平台电子化开标或评审程序调整的，按调整后程序执行。</w:t>
      </w:r>
    </w:p>
    <w:p>
      <w:pPr>
        <w:pStyle w:val="12"/>
        <w:spacing w:before="0" w:beforeLines="0" w:after="0" w:afterLines="0" w:line="288" w:lineRule="auto"/>
        <w:jc w:val="center"/>
        <w:outlineLvl w:val="1"/>
        <w:rPr>
          <w:rFonts w:hint="eastAsia" w:hAnsi="宋体"/>
          <w:b/>
          <w:color w:val="auto"/>
          <w:spacing w:val="-6"/>
          <w:sz w:val="32"/>
          <w:szCs w:val="32"/>
          <w:highlight w:val="none"/>
        </w:rPr>
      </w:pPr>
      <w:r>
        <w:rPr>
          <w:rFonts w:hAnsi="宋体"/>
          <w:b/>
          <w:color w:val="auto"/>
          <w:spacing w:val="-6"/>
          <w:sz w:val="21"/>
          <w:szCs w:val="21"/>
          <w:highlight w:val="none"/>
        </w:rPr>
        <w:br w:type="page"/>
      </w:r>
      <w:r>
        <w:rPr>
          <w:rFonts w:hint="eastAsia" w:hAnsi="宋体"/>
          <w:b/>
          <w:color w:val="auto"/>
          <w:spacing w:val="-6"/>
          <w:sz w:val="32"/>
          <w:szCs w:val="32"/>
          <w:highlight w:val="none"/>
        </w:rPr>
        <w:t>五、评  标</w:t>
      </w:r>
    </w:p>
    <w:p>
      <w:pPr>
        <w:spacing w:line="288" w:lineRule="auto"/>
        <w:outlineLvl w:val="2"/>
        <w:rPr>
          <w:rFonts w:hint="eastAsia" w:ascii="宋体" w:hAnsi="宋体"/>
          <w:b/>
          <w:color w:val="auto"/>
          <w:spacing w:val="-6"/>
          <w:sz w:val="24"/>
          <w:highlight w:val="none"/>
        </w:rPr>
      </w:pPr>
      <w:r>
        <w:rPr>
          <w:rFonts w:hint="eastAsia" w:ascii="宋体" w:hAnsi="宋体"/>
          <w:b/>
          <w:color w:val="auto"/>
          <w:spacing w:val="-6"/>
          <w:sz w:val="24"/>
          <w:highlight w:val="none"/>
        </w:rPr>
        <w:t>（一） 组建评标委员会</w:t>
      </w:r>
    </w:p>
    <w:p>
      <w:pPr>
        <w:pStyle w:val="12"/>
        <w:spacing w:before="0" w:beforeLines="0" w:after="0" w:afterLines="0" w:line="288" w:lineRule="auto"/>
        <w:ind w:firstLine="396" w:firstLineChars="200"/>
        <w:rPr>
          <w:rFonts w:hAnsi="宋体"/>
          <w:color w:val="auto"/>
          <w:spacing w:val="-6"/>
          <w:sz w:val="21"/>
          <w:szCs w:val="21"/>
          <w:highlight w:val="none"/>
        </w:rPr>
      </w:pPr>
      <w:r>
        <w:rPr>
          <w:rFonts w:hAnsi="宋体"/>
          <w:color w:val="auto"/>
          <w:spacing w:val="-6"/>
          <w:sz w:val="21"/>
          <w:szCs w:val="21"/>
          <w:highlight w:val="none"/>
        </w:rPr>
        <w:t>本项目评标委员会</w:t>
      </w:r>
      <w:r>
        <w:rPr>
          <w:rFonts w:hint="eastAsia" w:hAnsi="宋体"/>
          <w:color w:val="auto"/>
          <w:spacing w:val="-6"/>
          <w:sz w:val="21"/>
          <w:szCs w:val="21"/>
          <w:highlight w:val="none"/>
        </w:rPr>
        <w:t>依据相关法律法规组建，成员人数为5人以上单数</w:t>
      </w:r>
      <w:r>
        <w:rPr>
          <w:rFonts w:hAnsi="宋体"/>
          <w:color w:val="auto"/>
          <w:spacing w:val="-6"/>
          <w:sz w:val="21"/>
          <w:szCs w:val="21"/>
          <w:highlight w:val="none"/>
        </w:rPr>
        <w:t>。</w:t>
      </w:r>
    </w:p>
    <w:p>
      <w:pPr>
        <w:spacing w:line="288" w:lineRule="auto"/>
        <w:outlineLvl w:val="2"/>
        <w:rPr>
          <w:rFonts w:hint="eastAsia" w:ascii="宋体" w:hAnsi="宋体"/>
          <w:b/>
          <w:color w:val="auto"/>
          <w:spacing w:val="-6"/>
          <w:sz w:val="24"/>
          <w:highlight w:val="none"/>
        </w:rPr>
      </w:pPr>
      <w:r>
        <w:rPr>
          <w:rFonts w:ascii="宋体" w:hAnsi="宋体"/>
          <w:b/>
          <w:color w:val="auto"/>
          <w:spacing w:val="-6"/>
          <w:sz w:val="24"/>
          <w:highlight w:val="none"/>
        </w:rPr>
        <w:t>（二</w:t>
      </w:r>
      <w:r>
        <w:rPr>
          <w:rFonts w:hint="eastAsia" w:ascii="宋体" w:hAnsi="宋体"/>
          <w:b/>
          <w:color w:val="auto"/>
          <w:spacing w:val="-6"/>
          <w:sz w:val="24"/>
          <w:highlight w:val="none"/>
        </w:rPr>
        <w:t xml:space="preserve">） </w:t>
      </w:r>
      <w:r>
        <w:rPr>
          <w:rFonts w:ascii="宋体" w:hAnsi="宋体"/>
          <w:b/>
          <w:color w:val="auto"/>
          <w:spacing w:val="-6"/>
          <w:sz w:val="24"/>
          <w:highlight w:val="none"/>
        </w:rPr>
        <w:t>评标的方式</w:t>
      </w:r>
    </w:p>
    <w:p>
      <w:pPr>
        <w:pStyle w:val="12"/>
        <w:spacing w:before="0" w:beforeLines="0" w:after="0" w:afterLines="0" w:line="288" w:lineRule="auto"/>
        <w:ind w:firstLine="396" w:firstLineChars="200"/>
        <w:rPr>
          <w:rFonts w:hint="eastAsia" w:hAnsi="宋体"/>
          <w:color w:val="auto"/>
          <w:spacing w:val="-6"/>
          <w:sz w:val="21"/>
          <w:szCs w:val="21"/>
          <w:highlight w:val="none"/>
        </w:rPr>
      </w:pPr>
      <w:r>
        <w:rPr>
          <w:rFonts w:hAnsi="宋体"/>
          <w:color w:val="auto"/>
          <w:spacing w:val="-6"/>
          <w:sz w:val="21"/>
          <w:szCs w:val="21"/>
          <w:highlight w:val="none"/>
        </w:rPr>
        <w:t>本项目采用不公开方式评标，评标的依据为招标文件和投标文件。</w:t>
      </w:r>
    </w:p>
    <w:p>
      <w:pPr>
        <w:spacing w:line="288" w:lineRule="auto"/>
        <w:outlineLvl w:val="2"/>
        <w:rPr>
          <w:rFonts w:hint="eastAsia" w:ascii="宋体" w:hAnsi="宋体"/>
          <w:b/>
          <w:color w:val="auto"/>
          <w:spacing w:val="-6"/>
          <w:sz w:val="24"/>
          <w:highlight w:val="none"/>
        </w:rPr>
      </w:pPr>
      <w:r>
        <w:rPr>
          <w:rFonts w:ascii="宋体" w:hAnsi="宋体"/>
          <w:b/>
          <w:color w:val="auto"/>
          <w:spacing w:val="-6"/>
          <w:sz w:val="24"/>
          <w:highlight w:val="none"/>
        </w:rPr>
        <w:t>（三）</w:t>
      </w:r>
      <w:r>
        <w:rPr>
          <w:rFonts w:hint="eastAsia" w:ascii="宋体" w:hAnsi="宋体"/>
          <w:b/>
          <w:color w:val="auto"/>
          <w:spacing w:val="-6"/>
          <w:sz w:val="24"/>
          <w:highlight w:val="none"/>
        </w:rPr>
        <w:t xml:space="preserve"> </w:t>
      </w:r>
      <w:r>
        <w:rPr>
          <w:rFonts w:ascii="宋体" w:hAnsi="宋体"/>
          <w:b/>
          <w:color w:val="auto"/>
          <w:spacing w:val="-6"/>
          <w:sz w:val="24"/>
          <w:highlight w:val="none"/>
        </w:rPr>
        <w:t>评标程序</w:t>
      </w:r>
    </w:p>
    <w:p>
      <w:pPr>
        <w:pStyle w:val="12"/>
        <w:spacing w:before="0" w:beforeLines="0" w:after="0" w:afterLines="0"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采购代理机构</w:t>
      </w:r>
      <w:r>
        <w:rPr>
          <w:rFonts w:hAnsi="宋体"/>
          <w:color w:val="auto"/>
          <w:spacing w:val="-6"/>
          <w:sz w:val="21"/>
          <w:szCs w:val="21"/>
          <w:highlight w:val="none"/>
        </w:rPr>
        <w:t>按照</w:t>
      </w:r>
      <w:r>
        <w:rPr>
          <w:rFonts w:hint="eastAsia" w:hAnsi="宋体"/>
          <w:color w:val="auto"/>
          <w:spacing w:val="-6"/>
          <w:sz w:val="21"/>
          <w:szCs w:val="21"/>
          <w:highlight w:val="none"/>
        </w:rPr>
        <w:t>招标</w:t>
      </w:r>
      <w:r>
        <w:rPr>
          <w:rFonts w:hAnsi="宋体"/>
          <w:color w:val="auto"/>
          <w:spacing w:val="-6"/>
          <w:sz w:val="21"/>
          <w:szCs w:val="21"/>
          <w:highlight w:val="none"/>
        </w:rPr>
        <w:t>文件规定的时间、地点及程序组织</w:t>
      </w:r>
      <w:r>
        <w:rPr>
          <w:rFonts w:hint="eastAsia" w:hAnsi="宋体"/>
          <w:color w:val="auto"/>
          <w:spacing w:val="-6"/>
          <w:sz w:val="21"/>
          <w:szCs w:val="21"/>
          <w:highlight w:val="none"/>
        </w:rPr>
        <w:t>评标</w:t>
      </w:r>
      <w:r>
        <w:rPr>
          <w:rFonts w:hAnsi="宋体"/>
          <w:color w:val="auto"/>
          <w:spacing w:val="-6"/>
          <w:sz w:val="21"/>
          <w:szCs w:val="21"/>
          <w:highlight w:val="none"/>
        </w:rPr>
        <w:t>。</w:t>
      </w:r>
      <w:r>
        <w:rPr>
          <w:rFonts w:hint="eastAsia" w:hAnsi="宋体"/>
          <w:color w:val="auto"/>
          <w:spacing w:val="-6"/>
          <w:sz w:val="21"/>
          <w:szCs w:val="21"/>
          <w:highlight w:val="none"/>
        </w:rPr>
        <w:t>评标</w:t>
      </w:r>
      <w:r>
        <w:rPr>
          <w:rFonts w:hAnsi="宋体"/>
          <w:color w:val="auto"/>
          <w:spacing w:val="-6"/>
          <w:sz w:val="21"/>
          <w:szCs w:val="21"/>
          <w:highlight w:val="none"/>
        </w:rPr>
        <w:t>活动一般应按以下程序组织开展：</w:t>
      </w:r>
    </w:p>
    <w:p>
      <w:pPr>
        <w:pStyle w:val="12"/>
        <w:spacing w:before="0" w:beforeLines="0" w:after="0" w:afterLines="0"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1.</w:t>
      </w:r>
      <w:r>
        <w:rPr>
          <w:rFonts w:hAnsi="宋体"/>
          <w:color w:val="auto"/>
          <w:spacing w:val="-6"/>
          <w:sz w:val="21"/>
          <w:szCs w:val="21"/>
          <w:highlight w:val="none"/>
        </w:rPr>
        <w:t>开启</w:t>
      </w:r>
      <w:r>
        <w:rPr>
          <w:rFonts w:hint="eastAsia" w:hAnsi="宋体"/>
          <w:color w:val="auto"/>
          <w:spacing w:val="-6"/>
          <w:sz w:val="21"/>
          <w:szCs w:val="21"/>
          <w:highlight w:val="none"/>
        </w:rPr>
        <w:t>评标</w:t>
      </w:r>
      <w:r>
        <w:rPr>
          <w:rFonts w:hAnsi="宋体"/>
          <w:color w:val="auto"/>
          <w:spacing w:val="-6"/>
          <w:sz w:val="21"/>
          <w:szCs w:val="21"/>
          <w:highlight w:val="none"/>
        </w:rPr>
        <w:t>场地的录音录像采集设备，并确保其正常运行</w:t>
      </w:r>
      <w:r>
        <w:rPr>
          <w:rFonts w:hint="eastAsia" w:hAnsi="宋体"/>
          <w:color w:val="auto"/>
          <w:spacing w:val="-6"/>
          <w:sz w:val="21"/>
          <w:szCs w:val="21"/>
          <w:highlight w:val="none"/>
        </w:rPr>
        <w:t>。</w:t>
      </w:r>
    </w:p>
    <w:p>
      <w:pPr>
        <w:pStyle w:val="12"/>
        <w:spacing w:before="0" w:beforeLines="0" w:after="0" w:afterLines="0"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2.</w:t>
      </w:r>
      <w:r>
        <w:rPr>
          <w:rFonts w:hAnsi="宋体"/>
          <w:color w:val="auto"/>
          <w:spacing w:val="-6"/>
          <w:sz w:val="21"/>
          <w:szCs w:val="21"/>
          <w:highlight w:val="none"/>
        </w:rPr>
        <w:t>核验出席</w:t>
      </w:r>
      <w:r>
        <w:rPr>
          <w:rFonts w:hint="eastAsia" w:hAnsi="宋体"/>
          <w:color w:val="auto"/>
          <w:spacing w:val="-6"/>
          <w:sz w:val="21"/>
          <w:szCs w:val="21"/>
          <w:highlight w:val="none"/>
        </w:rPr>
        <w:t>评标</w:t>
      </w:r>
      <w:r>
        <w:rPr>
          <w:rFonts w:hAnsi="宋体"/>
          <w:color w:val="auto"/>
          <w:spacing w:val="-6"/>
          <w:sz w:val="21"/>
          <w:szCs w:val="21"/>
          <w:highlight w:val="none"/>
        </w:rPr>
        <w:t>活动现场的</w:t>
      </w:r>
      <w:r>
        <w:rPr>
          <w:rFonts w:hint="eastAsia" w:hAnsi="宋体"/>
          <w:color w:val="auto"/>
          <w:spacing w:val="-6"/>
          <w:sz w:val="21"/>
          <w:szCs w:val="21"/>
          <w:highlight w:val="none"/>
        </w:rPr>
        <w:t>评标委员会</w:t>
      </w:r>
      <w:r>
        <w:rPr>
          <w:rFonts w:hAnsi="宋体"/>
          <w:color w:val="auto"/>
          <w:spacing w:val="-6"/>
          <w:sz w:val="21"/>
          <w:szCs w:val="21"/>
          <w:highlight w:val="none"/>
        </w:rPr>
        <w:t>各成员身份，并要求其分别登记、签到，按规定统一收缴、保存其通讯工具，无关人员一律拒绝其进入</w:t>
      </w:r>
      <w:r>
        <w:rPr>
          <w:rFonts w:hint="eastAsia" w:hAnsi="宋体"/>
          <w:color w:val="auto"/>
          <w:spacing w:val="-6"/>
          <w:sz w:val="21"/>
          <w:szCs w:val="21"/>
          <w:highlight w:val="none"/>
        </w:rPr>
        <w:t>评标</w:t>
      </w:r>
      <w:r>
        <w:rPr>
          <w:rFonts w:hAnsi="宋体"/>
          <w:color w:val="auto"/>
          <w:spacing w:val="-6"/>
          <w:sz w:val="21"/>
          <w:szCs w:val="21"/>
          <w:highlight w:val="none"/>
        </w:rPr>
        <w:t>现场。</w:t>
      </w:r>
    </w:p>
    <w:p>
      <w:pPr>
        <w:pStyle w:val="12"/>
        <w:spacing w:before="0" w:beforeLines="0" w:after="0" w:afterLines="0"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3.</w:t>
      </w:r>
      <w:r>
        <w:rPr>
          <w:rFonts w:hAnsi="宋体"/>
          <w:color w:val="auto"/>
          <w:spacing w:val="-6"/>
          <w:sz w:val="21"/>
          <w:szCs w:val="21"/>
          <w:highlight w:val="none"/>
        </w:rPr>
        <w:t>介绍</w:t>
      </w:r>
      <w:r>
        <w:rPr>
          <w:rFonts w:hint="eastAsia" w:hAnsi="宋体"/>
          <w:color w:val="auto"/>
          <w:spacing w:val="-6"/>
          <w:sz w:val="21"/>
          <w:szCs w:val="21"/>
          <w:highlight w:val="none"/>
        </w:rPr>
        <w:t>评标</w:t>
      </w:r>
      <w:r>
        <w:rPr>
          <w:rFonts w:hAnsi="宋体"/>
          <w:color w:val="auto"/>
          <w:spacing w:val="-6"/>
          <w:sz w:val="21"/>
          <w:szCs w:val="21"/>
          <w:highlight w:val="none"/>
        </w:rPr>
        <w:t>现场的人员情况，宣布</w:t>
      </w:r>
      <w:r>
        <w:rPr>
          <w:rFonts w:hint="eastAsia" w:hAnsi="宋体"/>
          <w:color w:val="auto"/>
          <w:spacing w:val="-6"/>
          <w:sz w:val="21"/>
          <w:szCs w:val="21"/>
          <w:highlight w:val="none"/>
        </w:rPr>
        <w:t>评标</w:t>
      </w:r>
      <w:r>
        <w:rPr>
          <w:rFonts w:hAnsi="宋体"/>
          <w:color w:val="auto"/>
          <w:spacing w:val="-6"/>
          <w:sz w:val="21"/>
          <w:szCs w:val="21"/>
          <w:highlight w:val="none"/>
        </w:rPr>
        <w:t>工作纪律，告知</w:t>
      </w:r>
      <w:r>
        <w:rPr>
          <w:rFonts w:hint="eastAsia" w:hAnsi="宋体"/>
          <w:color w:val="auto"/>
          <w:spacing w:val="-6"/>
          <w:sz w:val="21"/>
          <w:szCs w:val="21"/>
          <w:highlight w:val="none"/>
        </w:rPr>
        <w:t>评标委员会</w:t>
      </w:r>
      <w:r>
        <w:rPr>
          <w:rFonts w:hAnsi="宋体"/>
          <w:color w:val="auto"/>
          <w:spacing w:val="-6"/>
          <w:sz w:val="21"/>
          <w:szCs w:val="21"/>
          <w:highlight w:val="none"/>
        </w:rPr>
        <w:t>应当回避情形</w:t>
      </w:r>
      <w:r>
        <w:rPr>
          <w:rFonts w:hint="eastAsia" w:hAnsi="宋体"/>
          <w:color w:val="auto"/>
          <w:spacing w:val="-6"/>
          <w:sz w:val="21"/>
          <w:szCs w:val="21"/>
          <w:highlight w:val="none"/>
        </w:rPr>
        <w:t>，</w:t>
      </w:r>
      <w:r>
        <w:rPr>
          <w:rFonts w:hAnsi="宋体"/>
          <w:color w:val="auto"/>
          <w:spacing w:val="-6"/>
          <w:sz w:val="21"/>
          <w:szCs w:val="21"/>
          <w:highlight w:val="none"/>
        </w:rPr>
        <w:t>组织推选</w:t>
      </w:r>
      <w:r>
        <w:rPr>
          <w:rFonts w:hint="eastAsia" w:hAnsi="宋体"/>
          <w:color w:val="auto"/>
          <w:spacing w:val="-6"/>
          <w:sz w:val="21"/>
          <w:szCs w:val="21"/>
          <w:highlight w:val="none"/>
        </w:rPr>
        <w:t>评标委员会</w:t>
      </w:r>
      <w:r>
        <w:rPr>
          <w:rFonts w:hAnsi="宋体"/>
          <w:color w:val="auto"/>
          <w:spacing w:val="-6"/>
          <w:sz w:val="21"/>
          <w:szCs w:val="21"/>
          <w:highlight w:val="none"/>
        </w:rPr>
        <w:t>组长。</w:t>
      </w:r>
    </w:p>
    <w:p>
      <w:pPr>
        <w:pStyle w:val="12"/>
        <w:spacing w:before="0" w:beforeLines="0" w:after="0" w:afterLines="0"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4.</w:t>
      </w:r>
      <w:r>
        <w:rPr>
          <w:rFonts w:hAnsi="宋体"/>
          <w:color w:val="auto"/>
          <w:spacing w:val="-6"/>
          <w:sz w:val="21"/>
          <w:szCs w:val="21"/>
          <w:highlight w:val="none"/>
        </w:rPr>
        <w:t>通报</w:t>
      </w:r>
      <w:r>
        <w:rPr>
          <w:rFonts w:hint="eastAsia" w:hAnsi="宋体"/>
          <w:color w:val="auto"/>
          <w:spacing w:val="-6"/>
          <w:sz w:val="21"/>
          <w:szCs w:val="21"/>
          <w:highlight w:val="none"/>
        </w:rPr>
        <w:t>依法获取招标文件的投标人</w:t>
      </w:r>
      <w:r>
        <w:rPr>
          <w:rFonts w:hAnsi="宋体"/>
          <w:color w:val="auto"/>
          <w:spacing w:val="-6"/>
          <w:sz w:val="21"/>
          <w:szCs w:val="21"/>
          <w:highlight w:val="none"/>
        </w:rPr>
        <w:t>名单及资格预审情况（如有），宣读最终提交</w:t>
      </w:r>
      <w:r>
        <w:rPr>
          <w:rFonts w:hint="eastAsia" w:hAnsi="宋体"/>
          <w:color w:val="auto"/>
          <w:spacing w:val="-6"/>
          <w:sz w:val="21"/>
          <w:szCs w:val="21"/>
          <w:highlight w:val="none"/>
        </w:rPr>
        <w:t>投标文件且通过</w:t>
      </w:r>
      <w:r>
        <w:rPr>
          <w:rFonts w:hAnsi="宋体"/>
          <w:color w:val="auto"/>
          <w:spacing w:val="-6"/>
          <w:sz w:val="21"/>
          <w:szCs w:val="21"/>
          <w:highlight w:val="none"/>
        </w:rPr>
        <w:t>资格审查的</w:t>
      </w:r>
      <w:r>
        <w:rPr>
          <w:rFonts w:hint="eastAsia" w:hAnsi="宋体"/>
          <w:color w:val="auto"/>
          <w:spacing w:val="-6"/>
          <w:sz w:val="21"/>
          <w:szCs w:val="21"/>
          <w:highlight w:val="none"/>
        </w:rPr>
        <w:t>投标人</w:t>
      </w:r>
      <w:r>
        <w:rPr>
          <w:rFonts w:hAnsi="宋体"/>
          <w:color w:val="auto"/>
          <w:spacing w:val="-6"/>
          <w:sz w:val="21"/>
          <w:szCs w:val="21"/>
          <w:highlight w:val="none"/>
        </w:rPr>
        <w:t>名单，组织</w:t>
      </w:r>
      <w:r>
        <w:rPr>
          <w:rFonts w:hint="eastAsia" w:hAnsi="宋体"/>
          <w:color w:val="auto"/>
          <w:spacing w:val="-6"/>
          <w:sz w:val="21"/>
          <w:szCs w:val="21"/>
          <w:highlight w:val="none"/>
        </w:rPr>
        <w:t>评标委员会</w:t>
      </w:r>
      <w:r>
        <w:rPr>
          <w:rFonts w:hAnsi="宋体"/>
          <w:color w:val="auto"/>
          <w:spacing w:val="-6"/>
          <w:sz w:val="21"/>
          <w:szCs w:val="21"/>
          <w:highlight w:val="none"/>
        </w:rPr>
        <w:t>各位成员签订《政府采购评审人员廉洁自律承诺书》。</w:t>
      </w:r>
    </w:p>
    <w:p>
      <w:pPr>
        <w:pStyle w:val="12"/>
        <w:spacing w:before="0" w:beforeLines="0" w:after="0" w:afterLines="0"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5.</w:t>
      </w:r>
      <w:r>
        <w:rPr>
          <w:rFonts w:hAnsi="宋体"/>
          <w:color w:val="auto"/>
          <w:spacing w:val="-6"/>
          <w:sz w:val="21"/>
          <w:szCs w:val="21"/>
          <w:highlight w:val="none"/>
        </w:rPr>
        <w:t>根据需要简要介绍</w:t>
      </w:r>
      <w:r>
        <w:rPr>
          <w:rFonts w:hint="eastAsia" w:hAnsi="宋体"/>
          <w:color w:val="auto"/>
          <w:spacing w:val="-6"/>
          <w:sz w:val="21"/>
          <w:szCs w:val="21"/>
          <w:highlight w:val="none"/>
        </w:rPr>
        <w:t>招标</w:t>
      </w:r>
      <w:r>
        <w:rPr>
          <w:rFonts w:hAnsi="宋体"/>
          <w:color w:val="auto"/>
          <w:spacing w:val="-6"/>
          <w:sz w:val="21"/>
          <w:szCs w:val="21"/>
          <w:highlight w:val="none"/>
        </w:rPr>
        <w:t>文件（含补充文件）制定及质疑答复情况、按书面陈述项目基本情况及</w:t>
      </w:r>
      <w:r>
        <w:rPr>
          <w:rFonts w:hint="eastAsia" w:hAnsi="宋体"/>
          <w:color w:val="auto"/>
          <w:spacing w:val="-6"/>
          <w:sz w:val="21"/>
          <w:szCs w:val="21"/>
          <w:highlight w:val="none"/>
        </w:rPr>
        <w:t>评标</w:t>
      </w:r>
      <w:r>
        <w:rPr>
          <w:rFonts w:hAnsi="宋体"/>
          <w:color w:val="auto"/>
          <w:spacing w:val="-6"/>
          <w:sz w:val="21"/>
          <w:szCs w:val="21"/>
          <w:highlight w:val="none"/>
        </w:rPr>
        <w:t>工作需注意事项等，让评审专家尽快知悉和了解所评审项目的采购需求、评审依据、评审标准、工作程序等；提醒</w:t>
      </w:r>
      <w:r>
        <w:rPr>
          <w:rFonts w:hint="eastAsia" w:hAnsi="宋体"/>
          <w:color w:val="auto"/>
          <w:spacing w:val="-6"/>
          <w:sz w:val="21"/>
          <w:szCs w:val="21"/>
          <w:highlight w:val="none"/>
        </w:rPr>
        <w:t>评标委员会</w:t>
      </w:r>
      <w:r>
        <w:rPr>
          <w:rFonts w:hAnsi="宋体"/>
          <w:color w:val="auto"/>
          <w:spacing w:val="-6"/>
          <w:sz w:val="21"/>
          <w:szCs w:val="21"/>
          <w:highlight w:val="none"/>
        </w:rPr>
        <w:t>对客观评审项目应统一评审依据和评审标准，对主观评审项目应确定大致的评审要求和评审尺度；对</w:t>
      </w:r>
      <w:r>
        <w:rPr>
          <w:rFonts w:hint="eastAsia" w:hAnsi="宋体"/>
          <w:color w:val="auto"/>
          <w:spacing w:val="-6"/>
          <w:sz w:val="21"/>
          <w:szCs w:val="21"/>
          <w:highlight w:val="none"/>
        </w:rPr>
        <w:t>评标委员会</w:t>
      </w:r>
      <w:r>
        <w:rPr>
          <w:rFonts w:hAnsi="宋体"/>
          <w:color w:val="auto"/>
          <w:spacing w:val="-6"/>
          <w:sz w:val="21"/>
          <w:szCs w:val="21"/>
          <w:highlight w:val="none"/>
        </w:rPr>
        <w:t>提出的有关</w:t>
      </w:r>
      <w:r>
        <w:rPr>
          <w:rFonts w:hint="eastAsia" w:hAnsi="宋体"/>
          <w:color w:val="auto"/>
          <w:spacing w:val="-6"/>
          <w:sz w:val="21"/>
          <w:szCs w:val="21"/>
          <w:highlight w:val="none"/>
        </w:rPr>
        <w:t>招标</w:t>
      </w:r>
      <w:r>
        <w:rPr>
          <w:rFonts w:hAnsi="宋体"/>
          <w:color w:val="auto"/>
          <w:spacing w:val="-6"/>
          <w:sz w:val="21"/>
          <w:szCs w:val="21"/>
          <w:highlight w:val="none"/>
        </w:rPr>
        <w:t>文件、</w:t>
      </w:r>
      <w:r>
        <w:rPr>
          <w:rFonts w:hint="eastAsia" w:hAnsi="宋体"/>
          <w:color w:val="auto"/>
          <w:spacing w:val="-6"/>
          <w:sz w:val="21"/>
          <w:szCs w:val="21"/>
          <w:highlight w:val="none"/>
        </w:rPr>
        <w:t>投标</w:t>
      </w:r>
      <w:r>
        <w:rPr>
          <w:rFonts w:hAnsi="宋体"/>
          <w:color w:val="auto"/>
          <w:spacing w:val="-6"/>
          <w:sz w:val="21"/>
          <w:szCs w:val="21"/>
          <w:highlight w:val="none"/>
        </w:rPr>
        <w:t>文件的问题进行必要的说明、解释或讨论。</w:t>
      </w:r>
    </w:p>
    <w:p>
      <w:pPr>
        <w:pStyle w:val="12"/>
        <w:spacing w:before="0" w:beforeLines="0" w:after="0" w:afterLines="0"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6.评标委员会</w:t>
      </w:r>
      <w:r>
        <w:rPr>
          <w:rFonts w:hAnsi="宋体"/>
          <w:color w:val="auto"/>
          <w:spacing w:val="-6"/>
          <w:sz w:val="21"/>
          <w:szCs w:val="21"/>
          <w:highlight w:val="none"/>
        </w:rPr>
        <w:t>组长组织</w:t>
      </w:r>
      <w:r>
        <w:rPr>
          <w:rFonts w:hint="eastAsia" w:hAnsi="宋体"/>
          <w:color w:val="auto"/>
          <w:spacing w:val="-6"/>
          <w:sz w:val="21"/>
          <w:szCs w:val="21"/>
          <w:highlight w:val="none"/>
        </w:rPr>
        <w:t>评标委员会</w:t>
      </w:r>
      <w:r>
        <w:rPr>
          <w:rFonts w:hAnsi="宋体"/>
          <w:color w:val="auto"/>
          <w:spacing w:val="-6"/>
          <w:sz w:val="21"/>
          <w:szCs w:val="21"/>
          <w:highlight w:val="none"/>
        </w:rPr>
        <w:t>独立评审。评标委员会对拟认定为投标文件无效</w:t>
      </w:r>
      <w:r>
        <w:rPr>
          <w:rFonts w:hint="eastAsia" w:hAnsi="宋体"/>
          <w:color w:val="auto"/>
          <w:spacing w:val="-6"/>
          <w:sz w:val="21"/>
          <w:szCs w:val="21"/>
          <w:highlight w:val="none"/>
        </w:rPr>
        <w:t>的</w:t>
      </w:r>
      <w:r>
        <w:rPr>
          <w:rFonts w:hAnsi="宋体"/>
          <w:color w:val="auto"/>
          <w:spacing w:val="-6"/>
          <w:sz w:val="21"/>
          <w:szCs w:val="21"/>
          <w:highlight w:val="none"/>
        </w:rPr>
        <w:t>，应组织相关</w:t>
      </w:r>
      <w:r>
        <w:rPr>
          <w:rFonts w:hint="eastAsia" w:hAnsi="宋体"/>
          <w:color w:val="auto"/>
          <w:spacing w:val="-6"/>
          <w:sz w:val="21"/>
          <w:szCs w:val="21"/>
          <w:highlight w:val="none"/>
        </w:rPr>
        <w:t>投标人</w:t>
      </w:r>
      <w:r>
        <w:rPr>
          <w:rFonts w:hAnsi="宋体"/>
          <w:color w:val="auto"/>
          <w:spacing w:val="-6"/>
          <w:sz w:val="21"/>
          <w:szCs w:val="21"/>
          <w:highlight w:val="none"/>
        </w:rPr>
        <w:t>代表</w:t>
      </w:r>
      <w:r>
        <w:rPr>
          <w:rFonts w:hint="eastAsia" w:hAnsi="宋体"/>
          <w:color w:val="auto"/>
          <w:spacing w:val="-6"/>
          <w:sz w:val="21"/>
          <w:szCs w:val="21"/>
          <w:highlight w:val="none"/>
        </w:rPr>
        <w:t>通过发送邮件（或通过政府采购云平台在线答复）形式</w:t>
      </w:r>
      <w:r>
        <w:rPr>
          <w:rFonts w:hAnsi="宋体"/>
          <w:color w:val="auto"/>
          <w:spacing w:val="-6"/>
          <w:sz w:val="21"/>
          <w:szCs w:val="21"/>
          <w:highlight w:val="none"/>
        </w:rPr>
        <w:t>进行陈述、澄清或申辩；采购代理机构可协助评标委员会组长对打分结果进行校对、核对并汇总统计；对明显畸高、畸低的评分（其总评分偏离平均分30%以上的），评标委员会组长应提醒相关评审人员进行复核或书面说明理由，评审人员拒绝说明的，由现场监督员据实记录。</w:t>
      </w:r>
    </w:p>
    <w:p>
      <w:pPr>
        <w:pStyle w:val="12"/>
        <w:spacing w:before="0" w:beforeLines="0" w:after="0" w:afterLines="0"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7.</w:t>
      </w:r>
      <w:r>
        <w:rPr>
          <w:rFonts w:hAnsi="宋体"/>
          <w:color w:val="auto"/>
          <w:spacing w:val="-6"/>
          <w:sz w:val="21"/>
          <w:szCs w:val="21"/>
          <w:highlight w:val="none"/>
        </w:rPr>
        <w:t>做好</w:t>
      </w:r>
      <w:r>
        <w:rPr>
          <w:rFonts w:hint="eastAsia" w:hAnsi="宋体"/>
          <w:color w:val="auto"/>
          <w:spacing w:val="-6"/>
          <w:sz w:val="21"/>
          <w:szCs w:val="21"/>
          <w:highlight w:val="none"/>
        </w:rPr>
        <w:t>评标</w:t>
      </w:r>
      <w:r>
        <w:rPr>
          <w:rFonts w:hAnsi="宋体"/>
          <w:color w:val="auto"/>
          <w:spacing w:val="-6"/>
          <w:sz w:val="21"/>
          <w:szCs w:val="21"/>
          <w:highlight w:val="none"/>
        </w:rPr>
        <w:t>现场相关记录，协助评标委员会组长做好</w:t>
      </w:r>
      <w:r>
        <w:rPr>
          <w:rFonts w:hint="eastAsia" w:hAnsi="宋体"/>
          <w:color w:val="auto"/>
          <w:spacing w:val="-6"/>
          <w:sz w:val="21"/>
          <w:szCs w:val="21"/>
          <w:highlight w:val="none"/>
        </w:rPr>
        <w:t>评标</w:t>
      </w:r>
      <w:r>
        <w:rPr>
          <w:rFonts w:hAnsi="宋体"/>
          <w:color w:val="auto"/>
          <w:spacing w:val="-6"/>
          <w:sz w:val="21"/>
          <w:szCs w:val="21"/>
          <w:highlight w:val="none"/>
        </w:rPr>
        <w:t>报告起草、有关内容电脑文字录入等工作，并要求评标委员会各成员签字确认。</w:t>
      </w:r>
    </w:p>
    <w:p>
      <w:pPr>
        <w:pStyle w:val="12"/>
        <w:spacing w:before="0" w:beforeLines="0" w:after="0" w:afterLines="0" w:line="288" w:lineRule="auto"/>
        <w:ind w:firstLine="396" w:firstLineChars="200"/>
        <w:rPr>
          <w:rFonts w:hint="eastAsia" w:hAnsi="宋体"/>
          <w:color w:val="auto"/>
          <w:spacing w:val="-6"/>
          <w:sz w:val="21"/>
          <w:szCs w:val="21"/>
          <w:highlight w:val="none"/>
        </w:rPr>
      </w:pPr>
      <w:r>
        <w:rPr>
          <w:rFonts w:hint="eastAsia" w:hAnsi="宋体"/>
          <w:color w:val="auto"/>
          <w:spacing w:val="-6"/>
          <w:sz w:val="21"/>
          <w:szCs w:val="21"/>
          <w:highlight w:val="none"/>
        </w:rPr>
        <w:t>8.评标</w:t>
      </w:r>
      <w:r>
        <w:rPr>
          <w:rFonts w:hAnsi="宋体"/>
          <w:color w:val="auto"/>
          <w:spacing w:val="-6"/>
          <w:sz w:val="21"/>
          <w:szCs w:val="21"/>
          <w:highlight w:val="none"/>
        </w:rPr>
        <w:t>结束后，</w:t>
      </w:r>
      <w:r>
        <w:rPr>
          <w:rFonts w:hint="eastAsia" w:hAnsi="宋体"/>
          <w:color w:val="auto"/>
          <w:spacing w:val="-6"/>
          <w:sz w:val="21"/>
          <w:szCs w:val="21"/>
          <w:highlight w:val="none"/>
        </w:rPr>
        <w:t>采购代理机构</w:t>
      </w:r>
      <w:r>
        <w:rPr>
          <w:rFonts w:hAnsi="宋体"/>
          <w:color w:val="auto"/>
          <w:spacing w:val="-6"/>
          <w:sz w:val="21"/>
          <w:szCs w:val="21"/>
          <w:highlight w:val="none"/>
        </w:rPr>
        <w:t>交还评审人员及其他现场相关人员的通讯工具。</w:t>
      </w:r>
    </w:p>
    <w:p>
      <w:pPr>
        <w:spacing w:line="288" w:lineRule="auto"/>
        <w:outlineLvl w:val="2"/>
        <w:rPr>
          <w:rFonts w:ascii="宋体" w:hAnsi="宋体"/>
          <w:b/>
          <w:color w:val="auto"/>
          <w:spacing w:val="-6"/>
          <w:sz w:val="24"/>
          <w:highlight w:val="none"/>
        </w:rPr>
      </w:pPr>
      <w:r>
        <w:rPr>
          <w:rFonts w:ascii="宋体" w:hAnsi="宋体"/>
          <w:b/>
          <w:color w:val="auto"/>
          <w:spacing w:val="-6"/>
          <w:sz w:val="24"/>
          <w:highlight w:val="none"/>
        </w:rPr>
        <w:t>（四）</w:t>
      </w:r>
      <w:r>
        <w:rPr>
          <w:rFonts w:hint="eastAsia" w:ascii="宋体" w:hAnsi="宋体"/>
          <w:b/>
          <w:color w:val="auto"/>
          <w:spacing w:val="-6"/>
          <w:sz w:val="24"/>
          <w:highlight w:val="none"/>
        </w:rPr>
        <w:t xml:space="preserve"> </w:t>
      </w:r>
      <w:r>
        <w:rPr>
          <w:rFonts w:ascii="宋体" w:hAnsi="宋体"/>
          <w:b/>
          <w:color w:val="auto"/>
          <w:spacing w:val="-6"/>
          <w:sz w:val="24"/>
          <w:highlight w:val="none"/>
        </w:rPr>
        <w:t>澄清问题的形式</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对于投标文件中含义不明确、同类问题表述不一致或者有明显文字和计算错误的内容，评标委员会应当以书面（或通过政府采购云平台在线询标）形式要求投标人作出必要的澄清、说明或者补正。</w:t>
      </w:r>
    </w:p>
    <w:p>
      <w:pPr>
        <w:spacing w:line="288" w:lineRule="auto"/>
        <w:ind w:firstLine="396" w:firstLineChars="200"/>
        <w:rPr>
          <w:rFonts w:hint="eastAsia"/>
          <w:color w:val="auto"/>
          <w:highlight w:val="none"/>
        </w:rPr>
      </w:pPr>
      <w:r>
        <w:rPr>
          <w:rFonts w:hint="eastAsia" w:ascii="宋体" w:hAnsi="宋体"/>
          <w:color w:val="auto"/>
          <w:spacing w:val="-6"/>
          <w:sz w:val="21"/>
          <w:szCs w:val="21"/>
          <w:highlight w:val="none"/>
        </w:rPr>
        <w:t>投标人的澄清、说明或者补正应当采用书面（或通过政府采购云平台在线答复）形式，采用书面形式的加盖公章（非电子签章）或者由法定代表人或其授权的代表签字。投标人的澄清、说明或者补正不得超出投标文件的范围或者改变投标文件的实质性内容。</w:t>
      </w:r>
      <w:r>
        <w:rPr>
          <w:rFonts w:hint="eastAsia" w:hAnsi="宋体" w:cs="宋体"/>
          <w:b/>
          <w:bCs/>
          <w:color w:val="auto"/>
          <w:kern w:val="0"/>
          <w:sz w:val="21"/>
          <w:szCs w:val="21"/>
          <w:highlight w:val="none"/>
        </w:rPr>
        <w:t>采用书面形式的</w:t>
      </w:r>
      <w:r>
        <w:rPr>
          <w:rFonts w:hint="eastAsia" w:hAnsi="宋体"/>
          <w:b/>
          <w:bCs/>
          <w:color w:val="auto"/>
          <w:spacing w:val="-6"/>
          <w:sz w:val="21"/>
          <w:szCs w:val="21"/>
          <w:highlight w:val="none"/>
        </w:rPr>
        <w:t>澄清、说明或者更正，</w:t>
      </w:r>
      <w:r>
        <w:rPr>
          <w:rFonts w:hint="eastAsia" w:hAnsi="宋体" w:cs="宋体"/>
          <w:b/>
          <w:bCs/>
          <w:color w:val="auto"/>
          <w:kern w:val="0"/>
          <w:sz w:val="21"/>
          <w:szCs w:val="21"/>
          <w:highlight w:val="none"/>
        </w:rPr>
        <w:t>投标人应在规定时间内（</w:t>
      </w:r>
      <w:r>
        <w:rPr>
          <w:rFonts w:hint="eastAsia" w:hAnsi="宋体"/>
          <w:b/>
          <w:bCs/>
          <w:color w:val="auto"/>
          <w:spacing w:val="-6"/>
          <w:sz w:val="21"/>
          <w:szCs w:val="21"/>
          <w:highlight w:val="none"/>
        </w:rPr>
        <w:t>不得少于半小时</w:t>
      </w:r>
      <w:r>
        <w:rPr>
          <w:rFonts w:hint="eastAsia" w:hAnsi="宋体" w:cs="宋体"/>
          <w:b/>
          <w:bCs/>
          <w:color w:val="auto"/>
          <w:kern w:val="0"/>
          <w:sz w:val="21"/>
          <w:szCs w:val="21"/>
          <w:highlight w:val="none"/>
        </w:rPr>
        <w:t>）</w:t>
      </w:r>
      <w:r>
        <w:rPr>
          <w:rFonts w:hint="eastAsia" w:hAnsi="宋体"/>
          <w:b/>
          <w:bCs/>
          <w:color w:val="auto"/>
          <w:spacing w:val="-6"/>
          <w:sz w:val="21"/>
          <w:szCs w:val="21"/>
          <w:highlight w:val="none"/>
        </w:rPr>
        <w:t>通过指定的电子邮箱（</w:t>
      </w:r>
      <w:r>
        <w:rPr>
          <w:rFonts w:hint="eastAsia" w:hAnsi="宋体"/>
          <w:b/>
          <w:bCs/>
          <w:color w:val="auto"/>
          <w:spacing w:val="-6"/>
          <w:sz w:val="21"/>
          <w:szCs w:val="21"/>
          <w:highlight w:val="none"/>
          <w:lang w:val="en-US" w:eastAsia="zh-CN"/>
        </w:rPr>
        <w:t>zb02</w:t>
      </w:r>
      <w:r>
        <w:rPr>
          <w:rFonts w:hint="eastAsia" w:hAnsi="宋体"/>
          <w:b/>
          <w:bCs/>
          <w:color w:val="auto"/>
          <w:spacing w:val="-6"/>
          <w:sz w:val="21"/>
          <w:szCs w:val="21"/>
          <w:highlight w:val="none"/>
        </w:rPr>
        <w:t>@qszb.net）或传真号码（</w:t>
      </w:r>
      <w:r>
        <w:rPr>
          <w:rFonts w:hint="eastAsia" w:ascii="宋体" w:hAnsi="宋体"/>
          <w:b/>
          <w:bCs/>
          <w:color w:val="auto"/>
          <w:sz w:val="21"/>
          <w:szCs w:val="21"/>
          <w:highlight w:val="none"/>
        </w:rPr>
        <w:t>0571-87666116</w:t>
      </w:r>
      <w:r>
        <w:rPr>
          <w:rFonts w:hint="eastAsia" w:hAnsi="宋体"/>
          <w:b/>
          <w:bCs/>
          <w:color w:val="auto"/>
          <w:spacing w:val="-6"/>
          <w:sz w:val="21"/>
          <w:szCs w:val="21"/>
          <w:highlight w:val="none"/>
        </w:rPr>
        <w:t>）提交。</w:t>
      </w:r>
    </w:p>
    <w:p>
      <w:pPr>
        <w:spacing w:line="288" w:lineRule="auto"/>
        <w:outlineLvl w:val="2"/>
        <w:rPr>
          <w:rFonts w:ascii="宋体" w:hAnsi="宋体"/>
          <w:b/>
          <w:color w:val="auto"/>
          <w:spacing w:val="-6"/>
          <w:sz w:val="24"/>
          <w:highlight w:val="none"/>
        </w:rPr>
      </w:pPr>
      <w:r>
        <w:rPr>
          <w:rFonts w:ascii="宋体" w:hAnsi="宋体"/>
          <w:b/>
          <w:color w:val="auto"/>
          <w:spacing w:val="-6"/>
          <w:sz w:val="24"/>
          <w:highlight w:val="none"/>
        </w:rPr>
        <w:t>（五）</w:t>
      </w:r>
      <w:r>
        <w:rPr>
          <w:rFonts w:hint="eastAsia" w:ascii="宋体" w:hAnsi="宋体"/>
          <w:b/>
          <w:color w:val="auto"/>
          <w:spacing w:val="-6"/>
          <w:sz w:val="24"/>
          <w:highlight w:val="none"/>
        </w:rPr>
        <w:t xml:space="preserve"> </w:t>
      </w:r>
      <w:r>
        <w:rPr>
          <w:rFonts w:ascii="宋体" w:hAnsi="宋体"/>
          <w:b/>
          <w:color w:val="auto"/>
          <w:spacing w:val="-6"/>
          <w:sz w:val="24"/>
          <w:highlight w:val="none"/>
        </w:rPr>
        <w:t>错误修正</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投标文件报价出现前后不一致的，除招标文件另有规定外，按照下列规定修正：</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（一）投标文件中开标一览表内容与投标文件中相应内容不一致的，以开标一览表为准；</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（二）大写金额和小写金额不一致的，以大写金额为准；</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（三）单价金额小数点或者百分比有明显错位的，以开标一览表的总价为准，并修改单价；</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（四）总价金额与按单价汇总金额不一致的，以单价金额计算结果为准。</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同时出现两种以上不一致的，按照前款规定的顺序修正。修正后的报价按照</w:t>
      </w:r>
      <w:r>
        <w:rPr>
          <w:rFonts w:ascii="宋体" w:hAnsi="宋体"/>
          <w:color w:val="auto"/>
          <w:spacing w:val="-6"/>
          <w:sz w:val="21"/>
          <w:szCs w:val="21"/>
          <w:highlight w:val="none"/>
        </w:rPr>
        <w:t>（四）澄清问题的形式</w:t>
      </w:r>
      <w:r>
        <w:rPr>
          <w:rFonts w:hint="eastAsia" w:ascii="宋体" w:hAnsi="宋体"/>
          <w:color w:val="auto"/>
          <w:spacing w:val="-6"/>
          <w:sz w:val="21"/>
          <w:szCs w:val="21"/>
          <w:highlight w:val="none"/>
        </w:rPr>
        <w:t>第二款的规定经投标人确认后产生约束力，投标人不确认的，其投标无效。</w:t>
      </w:r>
    </w:p>
    <w:p>
      <w:pPr>
        <w:spacing w:line="288" w:lineRule="auto"/>
        <w:outlineLvl w:val="2"/>
        <w:rPr>
          <w:rFonts w:ascii="宋体" w:hAnsi="宋体"/>
          <w:b/>
          <w:color w:val="auto"/>
          <w:spacing w:val="-6"/>
          <w:sz w:val="24"/>
          <w:highlight w:val="none"/>
        </w:rPr>
      </w:pPr>
      <w:r>
        <w:rPr>
          <w:rFonts w:ascii="宋体" w:hAnsi="宋体"/>
          <w:b/>
          <w:color w:val="auto"/>
          <w:spacing w:val="-6"/>
          <w:sz w:val="24"/>
          <w:highlight w:val="none"/>
        </w:rPr>
        <w:t>（</w:t>
      </w:r>
      <w:r>
        <w:rPr>
          <w:rFonts w:hint="eastAsia" w:ascii="宋体" w:hAnsi="宋体"/>
          <w:b/>
          <w:color w:val="auto"/>
          <w:spacing w:val="-6"/>
          <w:sz w:val="24"/>
          <w:highlight w:val="none"/>
        </w:rPr>
        <w:t>六</w:t>
      </w:r>
      <w:r>
        <w:rPr>
          <w:rFonts w:ascii="宋体" w:hAnsi="宋体"/>
          <w:b/>
          <w:color w:val="auto"/>
          <w:spacing w:val="-6"/>
          <w:sz w:val="24"/>
          <w:highlight w:val="none"/>
        </w:rPr>
        <w:t>）</w:t>
      </w:r>
      <w:r>
        <w:rPr>
          <w:rFonts w:hint="eastAsia" w:ascii="宋体" w:hAnsi="宋体"/>
          <w:b/>
          <w:color w:val="auto"/>
          <w:spacing w:val="-6"/>
          <w:sz w:val="24"/>
          <w:highlight w:val="none"/>
        </w:rPr>
        <w:t xml:space="preserve"> </w:t>
      </w:r>
      <w:r>
        <w:rPr>
          <w:rFonts w:ascii="宋体" w:hAnsi="宋体"/>
          <w:b/>
          <w:color w:val="auto"/>
          <w:spacing w:val="-6"/>
          <w:sz w:val="24"/>
          <w:highlight w:val="none"/>
        </w:rPr>
        <w:t>评标原则和评标办法</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1</w:t>
      </w:r>
      <w:r>
        <w:rPr>
          <w:rFonts w:ascii="宋体" w:hAnsi="宋体"/>
          <w:color w:val="auto"/>
          <w:spacing w:val="-6"/>
          <w:sz w:val="21"/>
          <w:szCs w:val="21"/>
          <w:highlight w:val="none"/>
        </w:rPr>
        <w:t>.</w:t>
      </w:r>
      <w:r>
        <w:rPr>
          <w:rFonts w:hint="eastAsia" w:ascii="宋体" w:hAnsi="宋体"/>
          <w:color w:val="auto"/>
          <w:spacing w:val="-6"/>
          <w:sz w:val="21"/>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2</w:t>
      </w:r>
      <w:r>
        <w:rPr>
          <w:rFonts w:ascii="宋体" w:hAnsi="宋体"/>
          <w:color w:val="auto"/>
          <w:spacing w:val="-6"/>
          <w:sz w:val="21"/>
          <w:szCs w:val="21"/>
          <w:highlight w:val="none"/>
        </w:rPr>
        <w:t>.</w:t>
      </w:r>
      <w:r>
        <w:rPr>
          <w:rFonts w:hint="eastAsia" w:ascii="宋体" w:hAnsi="宋体"/>
          <w:color w:val="auto"/>
          <w:spacing w:val="-6"/>
          <w:sz w:val="21"/>
          <w:szCs w:val="21"/>
          <w:highlight w:val="none"/>
        </w:rPr>
        <w:t>评标中因评标委员会成员缺席、回避或者健康等特殊原因导致评标委员会组成不符合规定的，依法补足后继续评标。被更换的评标委员会成员所作出的评标意见无效。</w:t>
      </w:r>
    </w:p>
    <w:p>
      <w:pPr>
        <w:spacing w:line="288" w:lineRule="auto"/>
        <w:ind w:firstLine="396" w:firstLineChars="200"/>
        <w:rPr>
          <w:rFonts w:hint="eastAsia" w:ascii="宋体" w:hAnsi="宋体"/>
          <w:color w:val="auto"/>
          <w:spacing w:val="-6"/>
          <w:sz w:val="21"/>
          <w:szCs w:val="21"/>
          <w:highlight w:val="none"/>
        </w:rPr>
      </w:pPr>
      <w:r>
        <w:rPr>
          <w:rFonts w:ascii="宋体" w:hAnsi="宋体"/>
          <w:color w:val="auto"/>
          <w:spacing w:val="-6"/>
          <w:sz w:val="21"/>
          <w:szCs w:val="21"/>
          <w:highlight w:val="none"/>
        </w:rPr>
        <w:t>3.</w:t>
      </w:r>
      <w:r>
        <w:rPr>
          <w:rFonts w:hint="eastAsia" w:ascii="宋体" w:hAnsi="宋体"/>
          <w:color w:val="auto"/>
          <w:spacing w:val="-6"/>
          <w:sz w:val="21"/>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4.评标办法。本项目评标办法是综合评分法，具体评标内容及评分标准等详见《第四章：评标办法及评分标准》。</w:t>
      </w:r>
    </w:p>
    <w:p>
      <w:pPr>
        <w:spacing w:line="288" w:lineRule="auto"/>
        <w:outlineLvl w:val="2"/>
        <w:rPr>
          <w:rFonts w:hint="eastAsia" w:ascii="宋体" w:hAnsi="宋体"/>
          <w:b/>
          <w:color w:val="auto"/>
          <w:spacing w:val="-6"/>
          <w:sz w:val="24"/>
          <w:highlight w:val="none"/>
        </w:rPr>
      </w:pPr>
      <w:r>
        <w:rPr>
          <w:rFonts w:hint="eastAsia" w:ascii="宋体" w:hAnsi="宋体"/>
          <w:b/>
          <w:color w:val="auto"/>
          <w:spacing w:val="-6"/>
          <w:sz w:val="24"/>
          <w:highlight w:val="none"/>
        </w:rPr>
        <w:t>（七） 定 标</w:t>
      </w:r>
    </w:p>
    <w:p>
      <w:pPr>
        <w:spacing w:line="288"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1.采购代理机构自评标结束之日起2个工作日内将评标报告送交采购人。采购人收到评标报告之日起</w:t>
      </w:r>
      <w:r>
        <w:rPr>
          <w:rFonts w:ascii="宋体" w:hAnsi="宋体"/>
          <w:color w:val="auto"/>
          <w:spacing w:val="-6"/>
          <w:sz w:val="21"/>
          <w:szCs w:val="21"/>
          <w:highlight w:val="none"/>
        </w:rPr>
        <w:t>5</w:t>
      </w:r>
      <w:r>
        <w:rPr>
          <w:rFonts w:hint="eastAsia" w:ascii="宋体" w:hAnsi="宋体"/>
          <w:color w:val="auto"/>
          <w:spacing w:val="-6"/>
          <w:sz w:val="21"/>
          <w:szCs w:val="21"/>
          <w:highlight w:val="none"/>
        </w:rPr>
        <w:t>个工作日内在评标报告推荐的中标候选人中按顺序确定中标人。</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2.采购代理机构自中标人确定之日起</w:t>
      </w:r>
      <w:r>
        <w:rPr>
          <w:rFonts w:ascii="宋体" w:hAnsi="宋体"/>
          <w:color w:val="auto"/>
          <w:spacing w:val="-6"/>
          <w:sz w:val="21"/>
          <w:szCs w:val="21"/>
          <w:highlight w:val="none"/>
        </w:rPr>
        <w:t>2</w:t>
      </w:r>
      <w:r>
        <w:rPr>
          <w:rFonts w:hint="eastAsia" w:ascii="宋体" w:hAnsi="宋体"/>
          <w:color w:val="auto"/>
          <w:spacing w:val="-6"/>
          <w:sz w:val="21"/>
          <w:szCs w:val="21"/>
          <w:highlight w:val="none"/>
        </w:rPr>
        <w:t>个工作日内，发出中标通知书，并在浙江政府采购网（</w:t>
      </w:r>
      <w:r>
        <w:rPr>
          <w:rFonts w:hint="eastAsia" w:ascii="宋体" w:hAnsi="宋体"/>
          <w:color w:val="auto"/>
          <w:spacing w:val="-6"/>
          <w:sz w:val="21"/>
          <w:szCs w:val="21"/>
          <w:highlight w:val="none"/>
        </w:rPr>
        <w:fldChar w:fldCharType="begin"/>
      </w:r>
      <w:r>
        <w:rPr>
          <w:rFonts w:hint="eastAsia" w:ascii="宋体" w:hAnsi="宋体"/>
          <w:color w:val="auto"/>
          <w:spacing w:val="-6"/>
          <w:sz w:val="21"/>
          <w:szCs w:val="21"/>
          <w:highlight w:val="none"/>
        </w:rPr>
        <w:instrText xml:space="preserve"> HYPERLINK "http://www.zjzfcg.gov.cn/" </w:instrText>
      </w:r>
      <w:r>
        <w:rPr>
          <w:rFonts w:hint="eastAsia" w:ascii="宋体" w:hAnsi="宋体"/>
          <w:color w:val="auto"/>
          <w:spacing w:val="-6"/>
          <w:sz w:val="21"/>
          <w:szCs w:val="21"/>
          <w:highlight w:val="none"/>
        </w:rPr>
        <w:fldChar w:fldCharType="separate"/>
      </w:r>
      <w:r>
        <w:rPr>
          <w:rFonts w:hint="eastAsia" w:ascii="宋体" w:hAnsi="宋体"/>
          <w:color w:val="auto"/>
          <w:spacing w:val="-6"/>
          <w:sz w:val="21"/>
          <w:szCs w:val="21"/>
          <w:highlight w:val="none"/>
        </w:rPr>
        <w:t>http://zfcg.czt.zj.gov.cn</w:t>
      </w:r>
      <w:r>
        <w:rPr>
          <w:rFonts w:hint="eastAsia" w:ascii="宋体" w:hAnsi="宋体"/>
          <w:color w:val="auto"/>
          <w:spacing w:val="-6"/>
          <w:sz w:val="21"/>
          <w:szCs w:val="21"/>
          <w:highlight w:val="none"/>
        </w:rPr>
        <w:fldChar w:fldCharType="end"/>
      </w:r>
      <w:r>
        <w:rPr>
          <w:rFonts w:hint="eastAsia" w:ascii="宋体" w:hAnsi="宋体"/>
          <w:color w:val="auto"/>
          <w:spacing w:val="-6"/>
          <w:sz w:val="21"/>
          <w:szCs w:val="21"/>
          <w:highlight w:val="none"/>
        </w:rPr>
        <w:t>）等相关网站或媒体上公告中标结果。</w:t>
      </w:r>
    </w:p>
    <w:p>
      <w:pPr>
        <w:spacing w:line="288" w:lineRule="auto"/>
        <w:outlineLvl w:val="2"/>
        <w:rPr>
          <w:rFonts w:hint="eastAsia" w:ascii="宋体" w:hAnsi="宋体"/>
          <w:b/>
          <w:color w:val="auto"/>
          <w:spacing w:val="-6"/>
          <w:sz w:val="24"/>
          <w:highlight w:val="none"/>
        </w:rPr>
      </w:pPr>
      <w:r>
        <w:rPr>
          <w:rFonts w:hint="eastAsia" w:ascii="宋体" w:hAnsi="宋体"/>
          <w:b/>
          <w:color w:val="auto"/>
          <w:spacing w:val="-6"/>
          <w:sz w:val="24"/>
          <w:highlight w:val="none"/>
        </w:rPr>
        <w:t>（八） 合同授予</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1</w:t>
      </w:r>
      <w:r>
        <w:rPr>
          <w:rFonts w:ascii="宋体" w:hAnsi="宋体"/>
          <w:color w:val="auto"/>
          <w:spacing w:val="-6"/>
          <w:sz w:val="21"/>
          <w:szCs w:val="21"/>
          <w:highlight w:val="none"/>
        </w:rPr>
        <w:t>.</w:t>
      </w:r>
      <w:r>
        <w:rPr>
          <w:rFonts w:hint="eastAsia" w:ascii="宋体" w:hAnsi="宋体"/>
          <w:color w:val="auto"/>
          <w:spacing w:val="-6"/>
          <w:sz w:val="21"/>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spacing w:line="288" w:lineRule="auto"/>
        <w:ind w:firstLine="480" w:firstLineChars="200"/>
        <w:jc w:val="center"/>
        <w:outlineLvl w:val="1"/>
        <w:rPr>
          <w:rFonts w:hint="eastAsia" w:ascii="宋体" w:hAnsi="宋体"/>
          <w:color w:val="auto"/>
          <w:sz w:val="24"/>
          <w:highlight w:val="none"/>
        </w:rPr>
      </w:pPr>
      <w:r>
        <w:rPr>
          <w:rFonts w:hint="eastAsia" w:ascii="宋体" w:hAnsi="宋体"/>
          <w:color w:val="auto"/>
          <w:sz w:val="24"/>
          <w:highlight w:val="none"/>
        </w:rPr>
        <w:br w:type="page"/>
      </w:r>
      <w:r>
        <w:rPr>
          <w:rFonts w:hint="eastAsia" w:ascii="宋体" w:hAnsi="宋体"/>
          <w:b/>
          <w:color w:val="auto"/>
          <w:spacing w:val="-6"/>
          <w:sz w:val="32"/>
          <w:szCs w:val="32"/>
          <w:highlight w:val="none"/>
        </w:rPr>
        <w:t>六、可中止电子交易活动的情形</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采购过程中出现以下情形，导致电子交易平台无法正常运行，或者无法保证电子交易的公平、公正和安全时，采购代理机构可中止电子交易活动：</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1.电子交易平台发生故障而无法登录访问的；</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2.电子交易平台应用或数据库出现错误，不能进行正常操作的；</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3.电子交易平台发现严重安全漏洞，有潜在泄密危险的；</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4.病毒发作导致不能进行正常操作的；</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color w:val="auto"/>
          <w:spacing w:val="-6"/>
          <w:sz w:val="21"/>
          <w:szCs w:val="21"/>
          <w:highlight w:val="none"/>
        </w:rPr>
        <w:t>5.其他无法保证电子交易的公平、公正和安全的情况。</w:t>
      </w:r>
    </w:p>
    <w:p>
      <w:pPr>
        <w:spacing w:line="288" w:lineRule="auto"/>
        <w:ind w:firstLine="396" w:firstLineChars="200"/>
        <w:rPr>
          <w:rFonts w:hint="eastAsia"/>
          <w:color w:val="auto"/>
          <w:highlight w:val="none"/>
        </w:rPr>
      </w:pPr>
      <w:r>
        <w:rPr>
          <w:rFonts w:hint="eastAsia" w:ascii="宋体" w:hAnsi="宋体"/>
          <w:color w:val="auto"/>
          <w:spacing w:val="-6"/>
          <w:sz w:val="21"/>
          <w:szCs w:val="21"/>
          <w:highlight w:val="none"/>
        </w:rPr>
        <w:t>出现前款规定情形，不影响采购公平、公正性的，采购代理机构可以待上述情形消除后继续组织电子交易活动；影响或可能影响采购公平、公正性的，应当重新采购。</w:t>
      </w:r>
    </w:p>
    <w:p>
      <w:pPr>
        <w:spacing w:line="288" w:lineRule="auto"/>
        <w:jc w:val="center"/>
        <w:outlineLvl w:val="0"/>
        <w:rPr>
          <w:rFonts w:hint="eastAsia" w:ascii="宋体" w:hAnsi="宋体"/>
          <w:b/>
          <w:color w:val="auto"/>
          <w:spacing w:val="-6"/>
          <w:sz w:val="32"/>
          <w:szCs w:val="32"/>
          <w:highlight w:val="none"/>
        </w:rPr>
      </w:pPr>
      <w:r>
        <w:rPr>
          <w:rFonts w:ascii="宋体" w:hAnsi="宋体"/>
          <w:b/>
          <w:bCs/>
          <w:color w:val="auto"/>
          <w:spacing w:val="-6"/>
          <w:sz w:val="21"/>
          <w:szCs w:val="21"/>
          <w:highlight w:val="none"/>
        </w:rPr>
        <w:br w:type="page"/>
      </w:r>
      <w:r>
        <w:rPr>
          <w:rFonts w:hint="eastAsia" w:ascii="宋体" w:hAnsi="宋体"/>
          <w:b/>
          <w:color w:val="auto"/>
          <w:sz w:val="32"/>
          <w:szCs w:val="32"/>
          <w:highlight w:val="none"/>
        </w:rPr>
        <w:t>第四章  评标办法及评分标准</w:t>
      </w:r>
    </w:p>
    <w:p>
      <w:pPr>
        <w:spacing w:line="288" w:lineRule="auto"/>
        <w:outlineLvl w:val="1"/>
        <w:rPr>
          <w:rFonts w:hint="eastAsia" w:ascii="宋体" w:hAnsi="宋体"/>
          <w:b/>
          <w:color w:val="auto"/>
          <w:spacing w:val="-6"/>
          <w:sz w:val="24"/>
          <w:highlight w:val="none"/>
        </w:rPr>
      </w:pPr>
      <w:r>
        <w:rPr>
          <w:rFonts w:hint="eastAsia" w:ascii="宋体" w:hAnsi="宋体"/>
          <w:b/>
          <w:color w:val="auto"/>
          <w:spacing w:val="-6"/>
          <w:sz w:val="24"/>
          <w:highlight w:val="none"/>
        </w:rPr>
        <w:t>一、总则</w:t>
      </w:r>
    </w:p>
    <w:p>
      <w:pPr>
        <w:spacing w:line="288" w:lineRule="auto"/>
        <w:ind w:firstLine="396" w:firstLineChars="200"/>
        <w:rPr>
          <w:rFonts w:ascii="宋体" w:hAnsi="宋体"/>
          <w:bCs/>
          <w:color w:val="auto"/>
          <w:spacing w:val="-6"/>
          <w:sz w:val="21"/>
          <w:szCs w:val="21"/>
          <w:highlight w:val="none"/>
        </w:rPr>
      </w:pPr>
      <w:r>
        <w:rPr>
          <w:rFonts w:hint="eastAsia" w:ascii="宋体" w:hAnsi="宋体"/>
          <w:bCs/>
          <w:color w:val="auto"/>
          <w:spacing w:val="-6"/>
          <w:sz w:val="21"/>
          <w:szCs w:val="21"/>
          <w:highlight w:val="none"/>
        </w:rPr>
        <w:t>本次评标采用综合评分法，总分为100分。合格投标人的评标得分为各项目汇总得分，中标候选资格按评标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spacing w:line="288" w:lineRule="auto"/>
        <w:ind w:firstLine="396" w:firstLineChars="200"/>
        <w:rPr>
          <w:rFonts w:hint="eastAsia" w:ascii="宋体" w:hAnsi="宋体"/>
          <w:bCs/>
          <w:color w:val="auto"/>
          <w:spacing w:val="-6"/>
          <w:sz w:val="21"/>
          <w:szCs w:val="21"/>
          <w:highlight w:val="none"/>
        </w:rPr>
      </w:pPr>
      <w:r>
        <w:rPr>
          <w:rFonts w:hint="eastAsia" w:ascii="宋体" w:hAnsi="宋体"/>
          <w:bCs/>
          <w:color w:val="auto"/>
          <w:spacing w:val="-6"/>
          <w:sz w:val="21"/>
          <w:szCs w:val="21"/>
          <w:highlight w:val="none"/>
        </w:rPr>
        <w:t>评分过程中采用四舍五入法，并保留小数2位。</w:t>
      </w:r>
    </w:p>
    <w:p>
      <w:pPr>
        <w:spacing w:line="288" w:lineRule="auto"/>
        <w:ind w:firstLine="396" w:firstLineChars="200"/>
        <w:rPr>
          <w:rFonts w:hint="eastAsia" w:ascii="宋体" w:hAnsi="宋体"/>
          <w:bCs/>
          <w:color w:val="auto"/>
          <w:spacing w:val="-6"/>
          <w:sz w:val="21"/>
          <w:szCs w:val="21"/>
          <w:highlight w:val="none"/>
        </w:rPr>
      </w:pPr>
      <w:r>
        <w:rPr>
          <w:rFonts w:hint="eastAsia" w:ascii="宋体" w:hAnsi="宋体"/>
          <w:color w:val="auto"/>
          <w:spacing w:val="-6"/>
          <w:sz w:val="21"/>
          <w:szCs w:val="21"/>
          <w:highlight w:val="none"/>
        </w:rPr>
        <w:t>投标人评标</w:t>
      </w:r>
      <w:r>
        <w:rPr>
          <w:rFonts w:hint="eastAsia" w:ascii="宋体" w:hAnsi="宋体"/>
          <w:bCs/>
          <w:color w:val="auto"/>
          <w:spacing w:val="-6"/>
          <w:sz w:val="21"/>
          <w:szCs w:val="21"/>
          <w:highlight w:val="none"/>
        </w:rPr>
        <w:t>综合得分=商务分+技术分+价格分</w:t>
      </w:r>
    </w:p>
    <w:p>
      <w:pPr>
        <w:spacing w:line="288" w:lineRule="auto"/>
        <w:ind w:firstLine="396" w:firstLineChars="200"/>
        <w:rPr>
          <w:rFonts w:hint="eastAsia" w:ascii="宋体" w:hAnsi="宋体"/>
          <w:color w:val="auto"/>
          <w:spacing w:val="-6"/>
          <w:sz w:val="21"/>
          <w:szCs w:val="21"/>
          <w:highlight w:val="none"/>
        </w:rPr>
      </w:pPr>
      <w:r>
        <w:rPr>
          <w:rFonts w:hint="eastAsia" w:ascii="宋体" w:hAnsi="宋体"/>
          <w:bCs/>
          <w:color w:val="auto"/>
          <w:spacing w:val="-6"/>
          <w:sz w:val="21"/>
          <w:szCs w:val="21"/>
          <w:highlight w:val="none"/>
        </w:rPr>
        <w:t>商务和技术分按照评标委员会成员的独立评分结果的算术平均分计算，计算公式为：商务分</w:t>
      </w:r>
      <w:r>
        <w:rPr>
          <w:rFonts w:ascii="宋体" w:hAnsi="宋体"/>
          <w:bCs/>
          <w:color w:val="auto"/>
          <w:spacing w:val="-6"/>
          <w:sz w:val="21"/>
          <w:szCs w:val="21"/>
          <w:highlight w:val="none"/>
        </w:rPr>
        <w:t>、</w:t>
      </w:r>
      <w:r>
        <w:rPr>
          <w:rFonts w:hint="eastAsia" w:ascii="宋体" w:hAnsi="宋体"/>
          <w:bCs/>
          <w:color w:val="auto"/>
          <w:spacing w:val="-6"/>
          <w:sz w:val="21"/>
          <w:szCs w:val="21"/>
          <w:highlight w:val="none"/>
        </w:rPr>
        <w:t>技术分=评标委员会所有成员评分合计数</w:t>
      </w:r>
      <w:r>
        <w:rPr>
          <w:rFonts w:ascii="宋体" w:hAnsi="宋体"/>
          <w:bCs/>
          <w:color w:val="auto"/>
          <w:spacing w:val="-6"/>
          <w:sz w:val="21"/>
          <w:szCs w:val="21"/>
          <w:highlight w:val="none"/>
        </w:rPr>
        <w:t>/</w:t>
      </w:r>
      <w:r>
        <w:rPr>
          <w:rFonts w:hint="eastAsia" w:ascii="宋体" w:hAnsi="宋体"/>
          <w:bCs/>
          <w:color w:val="auto"/>
          <w:spacing w:val="-6"/>
          <w:sz w:val="21"/>
          <w:szCs w:val="21"/>
          <w:highlight w:val="none"/>
        </w:rPr>
        <w:t>评标委员会组成人员数</w:t>
      </w:r>
    </w:p>
    <w:p>
      <w:pPr>
        <w:numPr>
          <w:ilvl w:val="0"/>
          <w:numId w:val="3"/>
        </w:numPr>
        <w:spacing w:line="288" w:lineRule="auto"/>
        <w:outlineLvl w:val="1"/>
        <w:rPr>
          <w:rFonts w:hint="eastAsia" w:ascii="宋体" w:hAnsi="宋体"/>
          <w:b/>
          <w:color w:val="auto"/>
          <w:spacing w:val="-6"/>
          <w:sz w:val="24"/>
          <w:highlight w:val="none"/>
        </w:rPr>
      </w:pPr>
      <w:r>
        <w:rPr>
          <w:rFonts w:hint="eastAsia" w:ascii="宋体" w:hAnsi="宋体"/>
          <w:b/>
          <w:color w:val="auto"/>
          <w:spacing w:val="-6"/>
          <w:sz w:val="24"/>
          <w:highlight w:val="none"/>
        </w:rPr>
        <w:t>评标内容及标准</w:t>
      </w:r>
    </w:p>
    <w:tbl>
      <w:tblPr>
        <w:tblStyle w:val="22"/>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767" w:type="dxa"/>
            <w:noWrap w:val="0"/>
            <w:vAlign w:val="center"/>
          </w:tcPr>
          <w:p>
            <w:pPr>
              <w:jc w:val="center"/>
              <w:rPr>
                <w:rFonts w:hint="eastAsia"/>
                <w:b/>
                <w:bCs/>
                <w:color w:val="auto"/>
                <w:sz w:val="21"/>
                <w:szCs w:val="21"/>
                <w:highlight w:val="none"/>
              </w:rPr>
            </w:pPr>
            <w:r>
              <w:rPr>
                <w:rFonts w:hint="eastAsia"/>
                <w:b/>
                <w:bCs/>
                <w:color w:val="auto"/>
                <w:sz w:val="21"/>
                <w:szCs w:val="21"/>
                <w:highlight w:val="none"/>
              </w:rPr>
              <w:t>评审因素</w:t>
            </w:r>
          </w:p>
        </w:tc>
        <w:tc>
          <w:tcPr>
            <w:tcW w:w="654" w:type="dxa"/>
            <w:noWrap w:val="0"/>
            <w:vAlign w:val="center"/>
          </w:tcPr>
          <w:p>
            <w:pPr>
              <w:jc w:val="center"/>
              <w:rPr>
                <w:rFonts w:hint="eastAsia"/>
                <w:b/>
                <w:bCs/>
                <w:color w:val="auto"/>
                <w:sz w:val="21"/>
                <w:szCs w:val="21"/>
                <w:highlight w:val="none"/>
              </w:rPr>
            </w:pPr>
            <w:r>
              <w:rPr>
                <w:rFonts w:hint="eastAsia"/>
                <w:b/>
                <w:bCs/>
                <w:color w:val="auto"/>
                <w:sz w:val="21"/>
                <w:szCs w:val="21"/>
                <w:highlight w:val="none"/>
              </w:rPr>
              <w:t>分值</w:t>
            </w:r>
          </w:p>
        </w:tc>
        <w:tc>
          <w:tcPr>
            <w:tcW w:w="7207" w:type="dxa"/>
            <w:noWrap w:val="0"/>
            <w:vAlign w:val="center"/>
          </w:tcPr>
          <w:p>
            <w:pPr>
              <w:jc w:val="center"/>
              <w:rPr>
                <w:b/>
                <w:bCs/>
                <w:color w:val="auto"/>
                <w:sz w:val="21"/>
                <w:szCs w:val="21"/>
                <w:highlight w:val="none"/>
              </w:rPr>
            </w:pPr>
            <w:r>
              <w:rPr>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3"/>
            <w:noWrap w:val="0"/>
            <w:vAlign w:val="center"/>
          </w:tcPr>
          <w:p>
            <w:pPr>
              <w:jc w:val="center"/>
              <w:rPr>
                <w:b/>
                <w:bCs/>
                <w:color w:val="auto"/>
                <w:sz w:val="21"/>
                <w:szCs w:val="21"/>
                <w:highlight w:val="none"/>
              </w:rPr>
            </w:pPr>
            <w:r>
              <w:rPr>
                <w:b/>
                <w:bCs/>
                <w:color w:val="auto"/>
                <w:sz w:val="21"/>
                <w:szCs w:val="21"/>
                <w:highlight w:val="none"/>
              </w:rPr>
              <w:t>价格</w:t>
            </w:r>
            <w:r>
              <w:rPr>
                <w:rFonts w:hint="eastAsia"/>
                <w:b/>
                <w:bCs/>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76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投标报价</w:t>
            </w:r>
          </w:p>
        </w:tc>
        <w:tc>
          <w:tcPr>
            <w:tcW w:w="65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30</w:t>
            </w:r>
          </w:p>
        </w:tc>
        <w:tc>
          <w:tcPr>
            <w:tcW w:w="7207"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价格分采用低价优先法计算，即满足招标文件要求且投标价格最低的投标报价为评标基准价，其他投标人的价格分按照下列公式计算：</w:t>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价格分=（评标基准价/投标报价）×30%×100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3"/>
            <w:noWrap w:val="0"/>
            <w:vAlign w:val="center"/>
          </w:tcPr>
          <w:p>
            <w:pPr>
              <w:jc w:val="center"/>
              <w:rPr>
                <w:b/>
                <w:bCs/>
                <w:color w:val="auto"/>
                <w:sz w:val="21"/>
                <w:szCs w:val="21"/>
                <w:highlight w:val="none"/>
              </w:rPr>
            </w:pPr>
            <w:r>
              <w:rPr>
                <w:b/>
                <w:bCs/>
                <w:color w:val="auto"/>
                <w:sz w:val="21"/>
                <w:szCs w:val="21"/>
                <w:highlight w:val="none"/>
              </w:rPr>
              <w:t>商务分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767" w:type="dxa"/>
            <w:noWrap w:val="0"/>
            <w:vAlign w:val="center"/>
          </w:tcPr>
          <w:p>
            <w:pPr>
              <w:jc w:val="center"/>
              <w:rPr>
                <w:rFonts w:hint="eastAsia" w:ascii="宋体" w:hAnsi="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投标人信誉</w:t>
            </w:r>
          </w:p>
        </w:tc>
        <w:tc>
          <w:tcPr>
            <w:tcW w:w="654" w:type="dxa"/>
            <w:noWrap w:val="0"/>
            <w:vAlign w:val="center"/>
          </w:tcPr>
          <w:p>
            <w:pPr>
              <w:jc w:val="center"/>
              <w:rPr>
                <w:rFonts w:hint="eastAsia" w:ascii="宋体" w:hAnsi="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5</w:t>
            </w:r>
          </w:p>
        </w:tc>
        <w:tc>
          <w:tcPr>
            <w:tcW w:w="7207" w:type="dxa"/>
            <w:noWrap w:val="0"/>
            <w:vAlign w:val="center"/>
          </w:tcPr>
          <w:p>
            <w:pPr>
              <w:spacing w:line="288" w:lineRule="auto"/>
              <w:rPr>
                <w:rFonts w:hint="eastAsia" w:ascii="宋体"/>
                <w:color w:val="auto"/>
                <w:spacing w:val="-6"/>
                <w:kern w:val="2"/>
                <w:sz w:val="21"/>
                <w:szCs w:val="21"/>
                <w:highlight w:val="none"/>
                <w:lang w:val="en-US" w:eastAsia="zh-CN" w:bidi="ar-SA"/>
              </w:rPr>
            </w:pPr>
            <w:r>
              <w:rPr>
                <w:rFonts w:hint="eastAsia" w:ascii="宋体" w:hAnsi="宋体"/>
                <w:color w:val="auto"/>
                <w:spacing w:val="-6"/>
                <w:sz w:val="21"/>
                <w:szCs w:val="21"/>
                <w:highlight w:val="none"/>
              </w:rPr>
              <w:t>投标人</w:t>
            </w:r>
            <w:r>
              <w:rPr>
                <w:rFonts w:ascii="宋体" w:hAnsi="宋体"/>
                <w:color w:val="auto"/>
                <w:spacing w:val="-6"/>
                <w:sz w:val="21"/>
                <w:szCs w:val="21"/>
                <w:highlight w:val="none"/>
              </w:rPr>
              <w:t>ISO</w:t>
            </w:r>
            <w:r>
              <w:rPr>
                <w:rFonts w:hint="eastAsia" w:ascii="宋体" w:hAnsi="宋体"/>
                <w:color w:val="auto"/>
                <w:spacing w:val="-6"/>
                <w:sz w:val="21"/>
                <w:szCs w:val="21"/>
                <w:highlight w:val="none"/>
              </w:rPr>
              <w:t>系列管理体系认证、有关部门颁发的企业信誉相关的奖项，每提供一份有效证明材料得</w:t>
            </w:r>
            <w:r>
              <w:rPr>
                <w:rFonts w:ascii="宋体" w:hAnsi="宋体"/>
                <w:color w:val="auto"/>
                <w:spacing w:val="-6"/>
                <w:sz w:val="21"/>
                <w:szCs w:val="21"/>
                <w:highlight w:val="none"/>
              </w:rPr>
              <w:t>1</w:t>
            </w:r>
            <w:r>
              <w:rPr>
                <w:rFonts w:hint="eastAsia" w:ascii="宋体" w:hAnsi="宋体"/>
                <w:color w:val="auto"/>
                <w:spacing w:val="-6"/>
                <w:sz w:val="21"/>
                <w:szCs w:val="21"/>
                <w:highlight w:val="none"/>
              </w:rPr>
              <w:t>分，最多得</w:t>
            </w:r>
            <w:r>
              <w:rPr>
                <w:rFonts w:hint="eastAsia" w:ascii="宋体" w:hAnsi="宋体"/>
                <w:color w:val="auto"/>
                <w:spacing w:val="-6"/>
                <w:sz w:val="21"/>
                <w:szCs w:val="21"/>
                <w:highlight w:val="none"/>
                <w:lang w:val="en-US" w:eastAsia="zh-CN"/>
              </w:rPr>
              <w:t>5</w:t>
            </w:r>
            <w:r>
              <w:rPr>
                <w:rFonts w:hint="eastAsia" w:ascii="宋体" w:hAnsi="宋体"/>
                <w:color w:val="auto"/>
                <w:spacing w:val="-6"/>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767" w:type="dxa"/>
            <w:noWrap w:val="0"/>
            <w:vAlign w:val="center"/>
          </w:tcPr>
          <w:p>
            <w:pPr>
              <w:jc w:val="center"/>
              <w:rPr>
                <w:rFonts w:hint="eastAsia" w:ascii="宋体" w:hAnsi="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质保期</w:t>
            </w:r>
          </w:p>
        </w:tc>
        <w:tc>
          <w:tcPr>
            <w:tcW w:w="654" w:type="dxa"/>
            <w:noWrap w:val="0"/>
            <w:vAlign w:val="center"/>
          </w:tcPr>
          <w:p>
            <w:pPr>
              <w:jc w:val="center"/>
              <w:rPr>
                <w:rFonts w:hint="eastAsia" w:ascii="宋体" w:hAnsi="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3</w:t>
            </w:r>
          </w:p>
        </w:tc>
        <w:tc>
          <w:tcPr>
            <w:tcW w:w="7207" w:type="dxa"/>
            <w:noWrap w:val="0"/>
            <w:vAlign w:val="center"/>
          </w:tcPr>
          <w:p>
            <w:pPr>
              <w:spacing w:line="288" w:lineRule="auto"/>
              <w:rPr>
                <w:rFonts w:hint="eastAsia" w:ascii="宋体" w:hAnsi="宋体" w:cs="宋体"/>
                <w:color w:val="auto"/>
                <w:kern w:val="2"/>
                <w:sz w:val="21"/>
                <w:szCs w:val="21"/>
                <w:highlight w:val="none"/>
                <w:lang w:val="en-US" w:eastAsia="zh-CN" w:bidi="ar-SA"/>
              </w:rPr>
            </w:pPr>
            <w:r>
              <w:rPr>
                <w:rFonts w:hint="eastAsia" w:ascii="宋体" w:hAnsi="宋体"/>
                <w:color w:val="auto"/>
                <w:spacing w:val="-6"/>
                <w:sz w:val="21"/>
                <w:szCs w:val="21"/>
                <w:highlight w:val="none"/>
              </w:rPr>
              <w:t>质保期满足招标文件要求的得</w:t>
            </w:r>
            <w:r>
              <w:rPr>
                <w:rFonts w:ascii="宋体" w:hAnsi="宋体"/>
                <w:color w:val="auto"/>
                <w:spacing w:val="-6"/>
                <w:sz w:val="21"/>
                <w:szCs w:val="21"/>
                <w:highlight w:val="none"/>
              </w:rPr>
              <w:t>1</w:t>
            </w:r>
            <w:r>
              <w:rPr>
                <w:rFonts w:hint="eastAsia" w:ascii="宋体" w:hAnsi="宋体"/>
                <w:color w:val="auto"/>
                <w:spacing w:val="-6"/>
                <w:sz w:val="21"/>
                <w:szCs w:val="21"/>
                <w:highlight w:val="none"/>
              </w:rPr>
              <w:t>分</w:t>
            </w:r>
            <w:r>
              <w:rPr>
                <w:rFonts w:ascii="宋体"/>
                <w:color w:val="auto"/>
                <w:spacing w:val="-6"/>
                <w:sz w:val="21"/>
                <w:szCs w:val="21"/>
                <w:highlight w:val="none"/>
              </w:rPr>
              <w:t>,</w:t>
            </w:r>
            <w:r>
              <w:rPr>
                <w:rFonts w:hint="eastAsia" w:ascii="宋体" w:hAnsi="宋体"/>
                <w:color w:val="auto"/>
                <w:spacing w:val="-6"/>
                <w:sz w:val="21"/>
                <w:szCs w:val="21"/>
                <w:highlight w:val="none"/>
              </w:rPr>
              <w:t>每延长一年加</w:t>
            </w:r>
            <w:r>
              <w:rPr>
                <w:rFonts w:ascii="宋体" w:hAnsi="宋体"/>
                <w:color w:val="auto"/>
                <w:spacing w:val="-6"/>
                <w:sz w:val="21"/>
                <w:szCs w:val="21"/>
                <w:highlight w:val="none"/>
              </w:rPr>
              <w:t>1</w:t>
            </w:r>
            <w:r>
              <w:rPr>
                <w:rFonts w:hint="eastAsia" w:ascii="宋体" w:hAnsi="宋体"/>
                <w:color w:val="auto"/>
                <w:spacing w:val="-6"/>
                <w:sz w:val="21"/>
                <w:szCs w:val="21"/>
                <w:highlight w:val="none"/>
              </w:rPr>
              <w:t>分</w:t>
            </w:r>
            <w:r>
              <w:rPr>
                <w:rFonts w:ascii="宋体"/>
                <w:color w:val="auto"/>
                <w:spacing w:val="-6"/>
                <w:sz w:val="21"/>
                <w:szCs w:val="21"/>
                <w:highlight w:val="none"/>
              </w:rPr>
              <w:t>,</w:t>
            </w:r>
            <w:r>
              <w:rPr>
                <w:rFonts w:hint="eastAsia" w:ascii="宋体" w:hAnsi="宋体"/>
                <w:color w:val="auto"/>
                <w:spacing w:val="-6"/>
                <w:sz w:val="21"/>
                <w:szCs w:val="21"/>
                <w:highlight w:val="none"/>
              </w:rPr>
              <w:t>最多加</w:t>
            </w:r>
            <w:r>
              <w:rPr>
                <w:rFonts w:ascii="宋体" w:hAnsi="宋体"/>
                <w:color w:val="auto"/>
                <w:spacing w:val="-6"/>
                <w:sz w:val="21"/>
                <w:szCs w:val="21"/>
                <w:highlight w:val="none"/>
              </w:rPr>
              <w:t>2</w:t>
            </w:r>
            <w:r>
              <w:rPr>
                <w:rFonts w:hint="eastAsia" w:ascii="宋体" w:hAnsi="宋体"/>
                <w:color w:val="auto"/>
                <w:spacing w:val="-6"/>
                <w:sz w:val="21"/>
                <w:szCs w:val="21"/>
                <w:highlight w:val="none"/>
              </w:rPr>
              <w:t>分</w:t>
            </w:r>
            <w:r>
              <w:rPr>
                <w:rFonts w:ascii="宋体"/>
                <w:color w:val="auto"/>
                <w:spacing w:val="-6"/>
                <w:sz w:val="21"/>
                <w:szCs w:val="21"/>
                <w:highlight w:val="none"/>
              </w:rPr>
              <w:t>,</w:t>
            </w:r>
            <w:r>
              <w:rPr>
                <w:rFonts w:hint="eastAsia" w:ascii="宋体"/>
                <w:color w:val="auto"/>
                <w:spacing w:val="-6"/>
                <w:sz w:val="21"/>
                <w:szCs w:val="21"/>
                <w:highlight w:val="none"/>
                <w:lang w:eastAsia="zh-CN"/>
              </w:rPr>
              <w:t>共</w:t>
            </w:r>
            <w:r>
              <w:rPr>
                <w:rFonts w:hint="eastAsia" w:ascii="宋体"/>
                <w:color w:val="auto"/>
                <w:spacing w:val="-6"/>
                <w:sz w:val="21"/>
                <w:szCs w:val="21"/>
                <w:highlight w:val="none"/>
                <w:lang w:val="en-US" w:eastAsia="zh-CN"/>
              </w:rPr>
              <w:t>3分（</w:t>
            </w:r>
            <w:r>
              <w:rPr>
                <w:rFonts w:hint="eastAsia" w:ascii="宋体" w:hAnsi="宋体"/>
                <w:color w:val="auto"/>
                <w:spacing w:val="-6"/>
                <w:sz w:val="21"/>
                <w:szCs w:val="21"/>
                <w:highlight w:val="none"/>
              </w:rPr>
              <w:t>延长时间不足一年的不计入加分</w:t>
            </w:r>
            <w:r>
              <w:rPr>
                <w:rFonts w:hint="eastAsia" w:ascii="宋体"/>
                <w:color w:val="auto"/>
                <w:spacing w:val="-6"/>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767" w:type="dxa"/>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业绩</w:t>
            </w:r>
          </w:p>
        </w:tc>
        <w:tc>
          <w:tcPr>
            <w:tcW w:w="654" w:type="dxa"/>
            <w:noWrap w:val="0"/>
            <w:vAlign w:val="center"/>
          </w:tcPr>
          <w:p>
            <w:pPr>
              <w:jc w:val="center"/>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5</w:t>
            </w:r>
          </w:p>
        </w:tc>
        <w:tc>
          <w:tcPr>
            <w:tcW w:w="7207" w:type="dxa"/>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投标人自2017年1月1日以来（以合同签订时间为准）同类项目业绩（以提供的合同复印件为准）：每提供1份合同业绩得1分，最高得</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767" w:type="dxa"/>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政策功能</w:t>
            </w:r>
          </w:p>
        </w:tc>
        <w:tc>
          <w:tcPr>
            <w:tcW w:w="654" w:type="dxa"/>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1</w:t>
            </w:r>
          </w:p>
        </w:tc>
        <w:tc>
          <w:tcPr>
            <w:tcW w:w="7207" w:type="dxa"/>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投标产品属于品目清单范围且提供国家确定的认证机构出具的处于有效期之内的节能产品认证证书（复印件加盖公章）的得0.5分；投标产品属于品目清单范围且提供国家确定的认证机构出具的处于有效期之内的环境标志产品认证证书（复印件加盖公章）的得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3"/>
            <w:noWrap w:val="0"/>
            <w:vAlign w:val="center"/>
          </w:tcPr>
          <w:p>
            <w:pPr>
              <w:jc w:val="center"/>
              <w:rPr>
                <w:rFonts w:hint="eastAsia"/>
                <w:b/>
                <w:bCs/>
                <w:color w:val="auto"/>
                <w:sz w:val="21"/>
                <w:szCs w:val="21"/>
                <w:highlight w:val="none"/>
              </w:rPr>
            </w:pPr>
            <w:r>
              <w:rPr>
                <w:rFonts w:hint="eastAsia"/>
                <w:b/>
                <w:bCs/>
                <w:color w:val="auto"/>
                <w:sz w:val="21"/>
                <w:szCs w:val="21"/>
                <w:highlight w:val="none"/>
              </w:rPr>
              <w:t>技术</w:t>
            </w:r>
            <w:r>
              <w:rPr>
                <w:b/>
                <w:bCs/>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767" w:type="dxa"/>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投标产品响应程度</w:t>
            </w:r>
          </w:p>
        </w:tc>
        <w:tc>
          <w:tcPr>
            <w:tcW w:w="654" w:type="dxa"/>
            <w:noWrap w:val="0"/>
            <w:vAlign w:val="center"/>
          </w:tcPr>
          <w:p>
            <w:pPr>
              <w:jc w:val="center"/>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24</w:t>
            </w:r>
          </w:p>
        </w:tc>
        <w:tc>
          <w:tcPr>
            <w:tcW w:w="7207" w:type="dxa"/>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不符合（负偏离）技术要求中标注“▲”条款（不可偏离）的投标无效，满足或明显优于招标文件明确的全部技术条款要求的得分；</w:t>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技术条款低于技术要求（负偏离）的每项扣</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rPr>
              <w:t>分），</w:t>
            </w:r>
            <w:r>
              <w:rPr>
                <w:rFonts w:hint="eastAsia" w:ascii="宋体" w:hAnsi="宋体" w:cs="宋体"/>
                <w:color w:val="auto"/>
                <w:sz w:val="21"/>
                <w:szCs w:val="21"/>
                <w:highlight w:val="none"/>
                <w:lang w:val="en-US" w:eastAsia="zh-CN"/>
              </w:rPr>
              <w:t>扣分超过24分</w:t>
            </w:r>
            <w:r>
              <w:rPr>
                <w:rFonts w:hint="eastAsia" w:ascii="宋体" w:hAnsi="宋体" w:cs="宋体"/>
                <w:color w:val="auto"/>
                <w:sz w:val="21"/>
                <w:szCs w:val="21"/>
                <w:highlight w:val="none"/>
              </w:rPr>
              <w:t>的投标无效。</w:t>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注：技术偏离表技术要求中响应规格与技术支持资料不一致的经评标委员会讨论后可被认定为负偏离。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767" w:type="dxa"/>
            <w:vMerge w:val="restart"/>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投标产品功能及配置</w:t>
            </w:r>
          </w:p>
        </w:tc>
        <w:tc>
          <w:tcPr>
            <w:tcW w:w="654" w:type="dxa"/>
            <w:noWrap w:val="0"/>
            <w:vAlign w:val="center"/>
          </w:tcPr>
          <w:p>
            <w:pPr>
              <w:jc w:val="center"/>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3</w:t>
            </w:r>
          </w:p>
        </w:tc>
        <w:tc>
          <w:tcPr>
            <w:tcW w:w="7207" w:type="dxa"/>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投标产品功能的先进性、完整性和适用性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767" w:type="dxa"/>
            <w:vMerge w:val="continue"/>
            <w:noWrap w:val="0"/>
            <w:vAlign w:val="center"/>
          </w:tcPr>
          <w:p>
            <w:pPr>
              <w:jc w:val="center"/>
              <w:rPr>
                <w:rFonts w:hint="eastAsia" w:ascii="宋体" w:hAnsi="宋体" w:cs="宋体"/>
                <w:b/>
                <w:bCs/>
                <w:color w:val="auto"/>
                <w:sz w:val="21"/>
                <w:szCs w:val="21"/>
                <w:highlight w:val="none"/>
              </w:rPr>
            </w:pPr>
          </w:p>
        </w:tc>
        <w:tc>
          <w:tcPr>
            <w:tcW w:w="654" w:type="dxa"/>
            <w:noWrap w:val="0"/>
            <w:vAlign w:val="center"/>
          </w:tcPr>
          <w:p>
            <w:pPr>
              <w:jc w:val="center"/>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3</w:t>
            </w:r>
          </w:p>
        </w:tc>
        <w:tc>
          <w:tcPr>
            <w:tcW w:w="7207" w:type="dxa"/>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投标产品配置的先进性、完整性和适用性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767" w:type="dxa"/>
            <w:noWrap w:val="0"/>
            <w:vAlign w:val="center"/>
          </w:tcPr>
          <w:p>
            <w:pPr>
              <w:jc w:val="center"/>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rPr>
              <w:t>投标产品技术支持资料</w:t>
            </w:r>
          </w:p>
        </w:tc>
        <w:tc>
          <w:tcPr>
            <w:tcW w:w="654" w:type="dxa"/>
            <w:noWrap w:val="0"/>
            <w:vAlign w:val="center"/>
          </w:tcPr>
          <w:p>
            <w:pPr>
              <w:jc w:val="center"/>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5</w:t>
            </w:r>
          </w:p>
        </w:tc>
        <w:tc>
          <w:tcPr>
            <w:tcW w:w="7207" w:type="dxa"/>
            <w:noWrap w:val="0"/>
            <w:vAlign w:val="center"/>
          </w:tcPr>
          <w:p>
            <w:pPr>
              <w:rPr>
                <w:rFonts w:hint="eastAsia" w:ascii="宋体" w:hAnsi="宋体" w:eastAsia="宋体"/>
                <w:color w:val="auto"/>
                <w:kern w:val="2"/>
                <w:sz w:val="21"/>
                <w:szCs w:val="21"/>
                <w:highlight w:val="none"/>
                <w:lang w:val="en-US" w:eastAsia="zh-CN" w:bidi="ar-SA"/>
              </w:rPr>
            </w:pPr>
            <w:r>
              <w:rPr>
                <w:rFonts w:hint="eastAsia" w:ascii="宋体" w:hAnsi="宋体" w:eastAsia="宋体" w:cs="宋体"/>
                <w:color w:val="auto"/>
                <w:spacing w:val="-6"/>
                <w:sz w:val="21"/>
                <w:szCs w:val="21"/>
                <w:highlight w:val="none"/>
              </w:rPr>
              <w:t>投标产品</w:t>
            </w:r>
            <w:r>
              <w:rPr>
                <w:rFonts w:hint="eastAsia" w:ascii="宋体" w:hAnsi="宋体" w:eastAsia="宋体" w:cs="宋体"/>
                <w:color w:val="auto"/>
                <w:sz w:val="21"/>
                <w:szCs w:val="21"/>
                <w:highlight w:val="none"/>
              </w:rPr>
              <w:t>技术支持资料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彩页、检测报告等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完整性及对投标产品技术偏离程度的证明</w:t>
            </w:r>
            <w:r>
              <w:rPr>
                <w:rFonts w:hint="eastAsia" w:ascii="宋体" w:hAnsi="宋体" w:eastAsia="宋体" w:cs="宋体"/>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767" w:type="dxa"/>
            <w:vMerge w:val="restart"/>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技术方案</w:t>
            </w:r>
          </w:p>
        </w:tc>
        <w:tc>
          <w:tcPr>
            <w:tcW w:w="654" w:type="dxa"/>
            <w:noWrap w:val="0"/>
            <w:vAlign w:val="center"/>
          </w:tcPr>
          <w:p>
            <w:pPr>
              <w:jc w:val="center"/>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5</w:t>
            </w:r>
          </w:p>
        </w:tc>
        <w:tc>
          <w:tcPr>
            <w:tcW w:w="7207" w:type="dxa"/>
            <w:noWrap w:val="0"/>
            <w:vAlign w:val="center"/>
          </w:tcPr>
          <w:p>
            <w:pPr>
              <w:rPr>
                <w:rFonts w:hint="eastAsia" w:ascii="宋体" w:hAnsi="宋体"/>
                <w:color w:val="auto"/>
                <w:kern w:val="2"/>
                <w:sz w:val="21"/>
                <w:szCs w:val="21"/>
                <w:highlight w:val="none"/>
                <w:lang w:val="en-US" w:eastAsia="zh-CN" w:bidi="ar-SA"/>
              </w:rPr>
            </w:pPr>
            <w:r>
              <w:rPr>
                <w:rFonts w:hint="eastAsia" w:ascii="宋体" w:hAnsi="宋体" w:eastAsia="宋体" w:cs="宋体"/>
                <w:color w:val="auto"/>
                <w:sz w:val="21"/>
                <w:szCs w:val="21"/>
                <w:highlight w:val="none"/>
              </w:rPr>
              <w:t>项目技术方案：具体技术解决方案</w:t>
            </w:r>
            <w:r>
              <w:rPr>
                <w:rFonts w:hint="eastAsia" w:ascii="宋体" w:hAnsi="宋体" w:eastAsia="宋体" w:cs="宋体"/>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767" w:type="dxa"/>
            <w:vMerge w:val="continue"/>
            <w:noWrap w:val="0"/>
            <w:vAlign w:val="center"/>
          </w:tcPr>
          <w:p>
            <w:pPr>
              <w:jc w:val="center"/>
              <w:rPr>
                <w:rFonts w:hint="eastAsia" w:ascii="宋体" w:hAnsi="宋体" w:cs="宋体"/>
                <w:b/>
                <w:bCs/>
                <w:color w:val="auto"/>
                <w:sz w:val="21"/>
                <w:szCs w:val="21"/>
                <w:highlight w:val="none"/>
              </w:rPr>
            </w:pPr>
          </w:p>
        </w:tc>
        <w:tc>
          <w:tcPr>
            <w:tcW w:w="654" w:type="dxa"/>
            <w:noWrap w:val="0"/>
            <w:vAlign w:val="center"/>
          </w:tcPr>
          <w:p>
            <w:pPr>
              <w:jc w:val="center"/>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4</w:t>
            </w:r>
          </w:p>
        </w:tc>
        <w:tc>
          <w:tcPr>
            <w:tcW w:w="7207" w:type="dxa"/>
            <w:noWrap w:val="0"/>
            <w:vAlign w:val="center"/>
          </w:tcPr>
          <w:p>
            <w:pPr>
              <w:rPr>
                <w:rFonts w:hint="eastAsia" w:ascii="宋体" w:hAnsi="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项目</w:t>
            </w:r>
            <w:r>
              <w:rPr>
                <w:rFonts w:hint="eastAsia" w:ascii="宋体" w:hAnsi="宋体" w:eastAsia="宋体" w:cs="宋体"/>
                <w:color w:val="auto"/>
                <w:sz w:val="21"/>
                <w:szCs w:val="21"/>
                <w:highlight w:val="none"/>
              </w:rPr>
              <w:t>实施计划</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工期安排、人员排班、拟投入设施设备等情况。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767" w:type="dxa"/>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合同履约</w:t>
            </w:r>
          </w:p>
        </w:tc>
        <w:tc>
          <w:tcPr>
            <w:tcW w:w="654" w:type="dxa"/>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2</w:t>
            </w:r>
          </w:p>
        </w:tc>
        <w:tc>
          <w:tcPr>
            <w:tcW w:w="7207" w:type="dxa"/>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投标人自2017年1月1日以来同类项目的用户评价（至少良好）或验收报告</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合格</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，每提供一份有效证明材料得0.5分，最高得2分（投标文件中提供复印件，不提供不得分）。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767" w:type="dxa"/>
            <w:vMerge w:val="restart"/>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售后服务</w:t>
            </w:r>
          </w:p>
        </w:tc>
        <w:tc>
          <w:tcPr>
            <w:tcW w:w="654" w:type="dxa"/>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3</w:t>
            </w:r>
          </w:p>
        </w:tc>
        <w:tc>
          <w:tcPr>
            <w:tcW w:w="7207" w:type="dxa"/>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售后服务方案、售后服务承诺的可行性及服务承诺落实的保障措施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767" w:type="dxa"/>
            <w:vMerge w:val="continue"/>
            <w:noWrap w:val="0"/>
            <w:vAlign w:val="center"/>
          </w:tcPr>
          <w:p>
            <w:pPr>
              <w:jc w:val="center"/>
              <w:rPr>
                <w:rFonts w:hint="eastAsia" w:ascii="宋体" w:hAnsi="宋体" w:cs="宋体"/>
                <w:b/>
                <w:bCs/>
                <w:color w:val="auto"/>
                <w:sz w:val="21"/>
                <w:szCs w:val="21"/>
                <w:highlight w:val="none"/>
              </w:rPr>
            </w:pPr>
          </w:p>
        </w:tc>
        <w:tc>
          <w:tcPr>
            <w:tcW w:w="654" w:type="dxa"/>
            <w:noWrap w:val="0"/>
            <w:vAlign w:val="center"/>
          </w:tcPr>
          <w:p>
            <w:pPr>
              <w:jc w:val="center"/>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3</w:t>
            </w:r>
          </w:p>
        </w:tc>
        <w:tc>
          <w:tcPr>
            <w:tcW w:w="7207" w:type="dxa"/>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质保期内外的后续技术支持和维护能力情况，配件、附件、备品备件的准备和保障措施。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767" w:type="dxa"/>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技术服务、培训</w:t>
            </w:r>
          </w:p>
        </w:tc>
        <w:tc>
          <w:tcPr>
            <w:tcW w:w="654" w:type="dxa"/>
            <w:noWrap w:val="0"/>
            <w:vAlign w:val="center"/>
          </w:tcPr>
          <w:p>
            <w:pPr>
              <w:jc w:val="center"/>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4</w:t>
            </w:r>
          </w:p>
        </w:tc>
        <w:tc>
          <w:tcPr>
            <w:tcW w:w="7207" w:type="dxa"/>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服务力量和服务保障，培训计划内容、培训范围，实施及针对性。</w:t>
            </w:r>
          </w:p>
        </w:tc>
      </w:tr>
    </w:tbl>
    <w:p>
      <w:pPr>
        <w:spacing w:line="360" w:lineRule="auto"/>
        <w:jc w:val="left"/>
        <w:rPr>
          <w:rFonts w:hint="eastAsia" w:ascii="宋体" w:hAnsi="宋体"/>
          <w:b/>
          <w:color w:val="auto"/>
          <w:sz w:val="21"/>
          <w:szCs w:val="21"/>
          <w:highlight w:val="none"/>
        </w:rPr>
      </w:pPr>
    </w:p>
    <w:p>
      <w:pPr>
        <w:spacing w:line="360" w:lineRule="auto"/>
        <w:jc w:val="left"/>
        <w:rPr>
          <w:rFonts w:ascii="宋体" w:hAnsi="宋体"/>
          <w:b/>
          <w:color w:val="auto"/>
          <w:sz w:val="21"/>
          <w:szCs w:val="21"/>
          <w:highlight w:val="none"/>
        </w:rPr>
      </w:pPr>
      <w:r>
        <w:rPr>
          <w:rFonts w:hint="eastAsia" w:ascii="宋体" w:hAnsi="宋体"/>
          <w:b/>
          <w:color w:val="auto"/>
          <w:sz w:val="21"/>
          <w:szCs w:val="21"/>
          <w:highlight w:val="none"/>
        </w:rPr>
        <w:t>说明</w:t>
      </w:r>
      <w:r>
        <w:rPr>
          <w:rFonts w:ascii="宋体" w:hAnsi="宋体"/>
          <w:b/>
          <w:color w:val="auto"/>
          <w:sz w:val="21"/>
          <w:szCs w:val="21"/>
          <w:highlight w:val="none"/>
        </w:rPr>
        <w:t>：</w:t>
      </w:r>
    </w:p>
    <w:p>
      <w:pPr>
        <w:spacing w:line="360" w:lineRule="auto"/>
        <w:jc w:val="left"/>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1.根据《政府采购促进中小企业发展暂行办法》（财库[2011]181号）的规定，投标人如为小型或微型企业并提交相关证明材料的，</w:t>
      </w:r>
      <w:r>
        <w:rPr>
          <w:rFonts w:hint="eastAsia" w:ascii="宋体" w:hAnsi="宋体"/>
          <w:b/>
          <w:bCs/>
          <w:color w:val="auto"/>
          <w:spacing w:val="-6"/>
          <w:sz w:val="21"/>
          <w:szCs w:val="21"/>
          <w:highlight w:val="none"/>
          <w:lang w:val="en-US" w:eastAsia="zh-CN"/>
        </w:rPr>
        <w:t>其</w:t>
      </w:r>
      <w:r>
        <w:rPr>
          <w:rFonts w:hint="eastAsia" w:ascii="宋体" w:hAnsi="宋体"/>
          <w:b/>
          <w:bCs/>
          <w:color w:val="auto"/>
          <w:spacing w:val="-6"/>
          <w:sz w:val="21"/>
          <w:szCs w:val="21"/>
          <w:highlight w:val="none"/>
        </w:rPr>
        <w:t>所投产品</w:t>
      </w:r>
      <w:r>
        <w:rPr>
          <w:rFonts w:hint="eastAsia" w:ascii="宋体" w:hAnsi="宋体"/>
          <w:b/>
          <w:bCs/>
          <w:color w:val="auto"/>
          <w:spacing w:val="-6"/>
          <w:sz w:val="21"/>
          <w:szCs w:val="21"/>
          <w:highlight w:val="none"/>
          <w:lang w:val="en-US" w:eastAsia="zh-CN"/>
        </w:rPr>
        <w:t>中的</w:t>
      </w:r>
      <w:r>
        <w:rPr>
          <w:rFonts w:hint="eastAsia" w:ascii="宋体" w:hAnsi="宋体"/>
          <w:b/>
          <w:bCs/>
          <w:color w:val="auto"/>
          <w:spacing w:val="-6"/>
          <w:sz w:val="21"/>
          <w:szCs w:val="21"/>
          <w:highlight w:val="none"/>
        </w:rPr>
        <w:t>小型或微型企业制造部分</w:t>
      </w:r>
      <w:r>
        <w:rPr>
          <w:rFonts w:ascii="宋体" w:hAnsi="宋体"/>
          <w:b/>
          <w:bCs/>
          <w:color w:val="auto"/>
          <w:spacing w:val="-6"/>
          <w:sz w:val="21"/>
          <w:szCs w:val="21"/>
          <w:highlight w:val="none"/>
        </w:rPr>
        <w:t>的投标</w:t>
      </w:r>
      <w:r>
        <w:rPr>
          <w:rFonts w:hint="eastAsia" w:ascii="宋体" w:hAnsi="宋体"/>
          <w:b/>
          <w:bCs/>
          <w:color w:val="auto"/>
          <w:spacing w:val="-6"/>
          <w:sz w:val="21"/>
          <w:szCs w:val="21"/>
          <w:highlight w:val="none"/>
        </w:rPr>
        <w:t>报价扣除6%后参与评审；</w:t>
      </w:r>
    </w:p>
    <w:p>
      <w:pPr>
        <w:spacing w:line="360" w:lineRule="auto"/>
        <w:jc w:val="left"/>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2.根据《关于政府采购支持监狱企业发展有关问题的通知》（财库[2014]68号）的规定，投标人如为监狱企业并提交相关证明材料的，视同小型、微型企业；</w:t>
      </w:r>
    </w:p>
    <w:p>
      <w:pPr>
        <w:spacing w:line="360" w:lineRule="auto"/>
        <w:jc w:val="left"/>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3.根据《关于促进残疾人就业政府采购政策的通知》（财库[2017]141号）的规定，投标人如为残疾人福利性单位并提交《残疾人福利性单位声明函》的，视同小型、微型企业；</w:t>
      </w: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4.残疾人福利性单位属于小型、微型企业的，不重复享受政策。</w:t>
      </w:r>
    </w:p>
    <w:p>
      <w:pPr>
        <w:spacing w:line="288" w:lineRule="auto"/>
        <w:jc w:val="center"/>
        <w:outlineLvl w:val="0"/>
        <w:rPr>
          <w:rFonts w:hint="eastAsia" w:ascii="宋体" w:hAnsi="宋体"/>
          <w:b/>
          <w:bCs/>
          <w:color w:val="auto"/>
          <w:spacing w:val="-6"/>
          <w:sz w:val="32"/>
          <w:szCs w:val="32"/>
          <w:highlight w:val="none"/>
        </w:rPr>
      </w:pPr>
      <w:r>
        <w:rPr>
          <w:rFonts w:ascii="宋体" w:hAnsi="宋体"/>
          <w:b/>
          <w:bCs/>
          <w:color w:val="auto"/>
          <w:spacing w:val="-6"/>
          <w:sz w:val="32"/>
          <w:szCs w:val="32"/>
          <w:highlight w:val="none"/>
        </w:rPr>
        <w:br w:type="page"/>
      </w:r>
      <w:r>
        <w:rPr>
          <w:rFonts w:hint="eastAsia" w:ascii="宋体" w:hAnsi="宋体"/>
          <w:b/>
          <w:color w:val="auto"/>
          <w:sz w:val="32"/>
          <w:szCs w:val="32"/>
          <w:highlight w:val="none"/>
        </w:rPr>
        <w:t>第五章  拟签订的合同文本</w:t>
      </w:r>
    </w:p>
    <w:p>
      <w:pPr>
        <w:spacing w:line="288" w:lineRule="auto"/>
        <w:ind w:firstLine="458" w:firstLineChars="200"/>
        <w:jc w:val="center"/>
        <w:rPr>
          <w:rFonts w:hint="eastAsia" w:ascii="宋体" w:hAnsi="宋体" w:cs="宋体"/>
          <w:color w:val="auto"/>
          <w:spacing w:val="-6"/>
          <w:sz w:val="24"/>
          <w:highlight w:val="none"/>
        </w:rPr>
      </w:pPr>
      <w:r>
        <w:rPr>
          <w:rFonts w:hint="eastAsia" w:ascii="宋体" w:hAnsi="宋体"/>
          <w:b/>
          <w:color w:val="auto"/>
          <w:spacing w:val="-6"/>
          <w:sz w:val="24"/>
          <w:highlight w:val="none"/>
          <w:lang w:eastAsia="zh-CN"/>
        </w:rPr>
        <w:t>微波暗室测试系统</w:t>
      </w:r>
      <w:r>
        <w:rPr>
          <w:rFonts w:hint="eastAsia" w:ascii="宋体" w:hAnsi="宋体"/>
          <w:b/>
          <w:color w:val="auto"/>
          <w:spacing w:val="-6"/>
          <w:sz w:val="24"/>
          <w:highlight w:val="none"/>
        </w:rPr>
        <w:t>政府采购合同</w:t>
      </w:r>
    </w:p>
    <w:p>
      <w:pPr>
        <w:spacing w:line="288" w:lineRule="auto"/>
        <w:ind w:firstLine="396" w:firstLineChars="200"/>
        <w:jc w:val="center"/>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t>（本合同为合同样稿，最终稿由三方协商后确定，合同实质性内容不得更改；签订合同时删除此行）</w:t>
      </w:r>
    </w:p>
    <w:p>
      <w:pPr>
        <w:snapToGrid w:val="0"/>
        <w:spacing w:line="288" w:lineRule="auto"/>
        <w:rPr>
          <w:rFonts w:hint="eastAsia"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采购编号：</w:t>
      </w:r>
      <w:r>
        <w:rPr>
          <w:rFonts w:hint="eastAsia" w:ascii="宋体" w:hAnsi="宋体" w:eastAsia="宋体" w:cs="Times New Roman"/>
          <w:color w:val="auto"/>
          <w:spacing w:val="-6"/>
          <w:sz w:val="21"/>
          <w:szCs w:val="21"/>
          <w:highlight w:val="none"/>
          <w:lang w:bidi="ar"/>
        </w:rPr>
        <w:t xml:space="preserve"> </w:t>
      </w:r>
    </w:p>
    <w:p>
      <w:pPr>
        <w:snapToGrid w:val="0"/>
        <w:spacing w:line="288" w:lineRule="auto"/>
        <w:rPr>
          <w:rFonts w:hint="eastAsia" w:ascii="宋体" w:hAnsi="宋体" w:eastAsia="宋体" w:cs="宋体"/>
          <w:color w:val="auto"/>
          <w:spacing w:val="-6"/>
          <w:sz w:val="21"/>
          <w:szCs w:val="21"/>
          <w:highlight w:val="none"/>
          <w:lang w:bidi="ar"/>
        </w:rPr>
      </w:pPr>
      <w:r>
        <w:rPr>
          <w:rFonts w:hint="eastAsia" w:ascii="宋体" w:hAnsi="宋体" w:eastAsia="宋体" w:cs="宋体"/>
          <w:color w:val="auto"/>
          <w:spacing w:val="-6"/>
          <w:sz w:val="21"/>
          <w:szCs w:val="21"/>
          <w:highlight w:val="none"/>
          <w:lang w:bidi="ar"/>
        </w:rPr>
        <w:t>确认书编号：</w:t>
      </w:r>
    </w:p>
    <w:p>
      <w:pPr>
        <w:snapToGrid w:val="0"/>
        <w:spacing w:line="288" w:lineRule="auto"/>
        <w:rPr>
          <w:rFonts w:hint="eastAsia"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甲方（需方）：杭州电子科技大学</w:t>
      </w:r>
    </w:p>
    <w:p>
      <w:pPr>
        <w:snapToGrid w:val="0"/>
        <w:spacing w:line="288" w:lineRule="auto"/>
        <w:rPr>
          <w:rFonts w:hint="eastAsia"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乙方（供方）：</w:t>
      </w:r>
    </w:p>
    <w:p>
      <w:pPr>
        <w:snapToGrid w:val="0"/>
        <w:spacing w:line="288" w:lineRule="auto"/>
        <w:rPr>
          <w:rFonts w:hint="eastAsia"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采购代理机构：浙江求是招标代理有限公司</w:t>
      </w:r>
    </w:p>
    <w:p>
      <w:pPr>
        <w:snapToGrid w:val="0"/>
        <w:spacing w:line="288" w:lineRule="auto"/>
        <w:rPr>
          <w:rFonts w:hint="eastAsia"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签约时间、地点：</w:t>
      </w:r>
      <w:r>
        <w:rPr>
          <w:rFonts w:hint="eastAsia" w:ascii="宋体" w:hAnsi="宋体" w:eastAsia="宋体" w:cs="Times New Roman"/>
          <w:color w:val="auto"/>
          <w:spacing w:val="-6"/>
          <w:sz w:val="21"/>
          <w:szCs w:val="21"/>
          <w:highlight w:val="none"/>
          <w:lang w:bidi="ar"/>
        </w:rPr>
        <w:t>2020</w:t>
      </w:r>
      <w:r>
        <w:rPr>
          <w:rFonts w:hint="eastAsia" w:ascii="宋体" w:hAnsi="宋体" w:eastAsia="宋体" w:cs="宋体"/>
          <w:color w:val="auto"/>
          <w:spacing w:val="-6"/>
          <w:sz w:val="21"/>
          <w:szCs w:val="21"/>
          <w:highlight w:val="none"/>
          <w:lang w:bidi="ar"/>
        </w:rPr>
        <w:t>年</w:t>
      </w:r>
      <w:r>
        <w:rPr>
          <w:rFonts w:hint="eastAsia" w:ascii="宋体" w:hAnsi="宋体" w:eastAsia="宋体" w:cs="Times New Roman"/>
          <w:color w:val="auto"/>
          <w:spacing w:val="-6"/>
          <w:sz w:val="21"/>
          <w:szCs w:val="21"/>
          <w:highlight w:val="none"/>
          <w:lang w:bidi="ar"/>
        </w:rPr>
        <w:t xml:space="preserve">  </w:t>
      </w:r>
      <w:r>
        <w:rPr>
          <w:rFonts w:hint="eastAsia" w:ascii="宋体" w:hAnsi="宋体" w:eastAsia="宋体" w:cs="宋体"/>
          <w:color w:val="auto"/>
          <w:spacing w:val="-6"/>
          <w:sz w:val="21"/>
          <w:szCs w:val="21"/>
          <w:highlight w:val="none"/>
          <w:lang w:bidi="ar"/>
        </w:rPr>
        <w:t>月</w:t>
      </w:r>
      <w:r>
        <w:rPr>
          <w:rFonts w:hint="eastAsia" w:ascii="宋体" w:hAnsi="宋体" w:eastAsia="宋体" w:cs="Times New Roman"/>
          <w:color w:val="auto"/>
          <w:spacing w:val="-6"/>
          <w:sz w:val="21"/>
          <w:szCs w:val="21"/>
          <w:highlight w:val="none"/>
          <w:lang w:bidi="ar"/>
        </w:rPr>
        <w:t xml:space="preserve">   </w:t>
      </w:r>
      <w:r>
        <w:rPr>
          <w:rFonts w:hint="eastAsia" w:ascii="宋体" w:hAnsi="宋体" w:eastAsia="宋体" w:cs="宋体"/>
          <w:color w:val="auto"/>
          <w:spacing w:val="-6"/>
          <w:sz w:val="21"/>
          <w:szCs w:val="21"/>
          <w:highlight w:val="none"/>
          <w:lang w:bidi="ar"/>
        </w:rPr>
        <w:t>日，杭州</w:t>
      </w:r>
    </w:p>
    <w:p>
      <w:pPr>
        <w:snapToGrid w:val="0"/>
        <w:spacing w:line="288" w:lineRule="auto"/>
        <w:rPr>
          <w:rFonts w:hint="eastAsia"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lang w:bidi="ar"/>
        </w:rPr>
        <w:t xml:space="preserve"> </w:t>
      </w:r>
    </w:p>
    <w:p>
      <w:pPr>
        <w:snapToGrid w:val="0"/>
        <w:spacing w:line="288" w:lineRule="auto"/>
        <w:ind w:left="-238" w:leftChars="-85" w:right="31" w:rightChars="11"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甲、乙双方根据浙江求是招标代理有限公司关于杭州电子科技大学</w:t>
      </w:r>
      <w:r>
        <w:rPr>
          <w:rFonts w:hint="eastAsia" w:ascii="宋体" w:hAnsi="宋体" w:eastAsia="宋体" w:cs="Times New Roman"/>
          <w:color w:val="auto"/>
          <w:spacing w:val="-6"/>
          <w:sz w:val="21"/>
          <w:szCs w:val="21"/>
          <w:highlight w:val="none"/>
          <w:u w:val="single"/>
          <w:lang w:bidi="ar"/>
        </w:rPr>
        <w:t xml:space="preserve">                   </w:t>
      </w:r>
      <w:r>
        <w:rPr>
          <w:rFonts w:hint="eastAsia" w:ascii="宋体" w:hAnsi="宋体" w:eastAsia="宋体" w:cs="宋体"/>
          <w:color w:val="auto"/>
          <w:spacing w:val="-6"/>
          <w:sz w:val="21"/>
          <w:szCs w:val="21"/>
          <w:highlight w:val="none"/>
          <w:lang w:bidi="ar"/>
        </w:rPr>
        <w:t>项目竞争性磋商采购的结果，签署本合同。</w:t>
      </w:r>
    </w:p>
    <w:p>
      <w:pPr>
        <w:snapToGrid w:val="0"/>
        <w:spacing w:line="288" w:lineRule="auto"/>
        <w:rPr>
          <w:rFonts w:hint="eastAsia"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lang w:bidi="ar"/>
        </w:rPr>
        <w:t>第一条：采购标的物清单及合同价格</w:t>
      </w:r>
    </w:p>
    <w:tbl>
      <w:tblPr>
        <w:tblStyle w:val="22"/>
        <w:tblW w:w="8611"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800"/>
        <w:gridCol w:w="1771"/>
        <w:gridCol w:w="720"/>
        <w:gridCol w:w="720"/>
        <w:gridCol w:w="1260"/>
        <w:gridCol w:w="1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pPr>
              <w:snapToGrid w:val="0"/>
              <w:spacing w:line="288" w:lineRule="auto"/>
              <w:jc w:val="center"/>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序号</w:t>
            </w:r>
          </w:p>
        </w:tc>
        <w:tc>
          <w:tcPr>
            <w:tcW w:w="1800" w:type="dxa"/>
            <w:tcBorders>
              <w:top w:val="single" w:color="auto" w:sz="4" w:space="0"/>
              <w:left w:val="nil"/>
              <w:bottom w:val="single" w:color="auto" w:sz="4" w:space="0"/>
              <w:right w:val="single" w:color="auto" w:sz="4" w:space="0"/>
            </w:tcBorders>
            <w:noWrap w:val="0"/>
            <w:vAlign w:val="center"/>
          </w:tcPr>
          <w:p>
            <w:pPr>
              <w:snapToGrid w:val="0"/>
              <w:spacing w:line="288" w:lineRule="auto"/>
              <w:jc w:val="center"/>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名称</w:t>
            </w:r>
          </w:p>
        </w:tc>
        <w:tc>
          <w:tcPr>
            <w:tcW w:w="1771" w:type="dxa"/>
            <w:tcBorders>
              <w:top w:val="single" w:color="auto" w:sz="4" w:space="0"/>
              <w:left w:val="nil"/>
              <w:bottom w:val="single" w:color="auto" w:sz="4" w:space="0"/>
              <w:right w:val="single" w:color="auto" w:sz="4" w:space="0"/>
            </w:tcBorders>
            <w:noWrap w:val="0"/>
            <w:vAlign w:val="center"/>
          </w:tcPr>
          <w:p>
            <w:pPr>
              <w:snapToGrid w:val="0"/>
              <w:spacing w:line="288" w:lineRule="auto"/>
              <w:jc w:val="center"/>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具体内容</w:t>
            </w:r>
          </w:p>
        </w:tc>
        <w:tc>
          <w:tcPr>
            <w:tcW w:w="720" w:type="dxa"/>
            <w:tcBorders>
              <w:top w:val="single" w:color="auto" w:sz="4" w:space="0"/>
              <w:left w:val="nil"/>
              <w:bottom w:val="single" w:color="auto" w:sz="4" w:space="0"/>
              <w:right w:val="single" w:color="auto" w:sz="4" w:space="0"/>
            </w:tcBorders>
            <w:noWrap w:val="0"/>
            <w:vAlign w:val="center"/>
          </w:tcPr>
          <w:p>
            <w:pPr>
              <w:snapToGrid w:val="0"/>
              <w:spacing w:line="288" w:lineRule="auto"/>
              <w:jc w:val="center"/>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数量</w:t>
            </w:r>
          </w:p>
        </w:tc>
        <w:tc>
          <w:tcPr>
            <w:tcW w:w="720" w:type="dxa"/>
            <w:tcBorders>
              <w:top w:val="single" w:color="auto" w:sz="4" w:space="0"/>
              <w:left w:val="nil"/>
              <w:bottom w:val="single" w:color="auto" w:sz="4" w:space="0"/>
              <w:right w:val="single" w:color="auto" w:sz="4" w:space="0"/>
            </w:tcBorders>
            <w:noWrap w:val="0"/>
            <w:vAlign w:val="center"/>
          </w:tcPr>
          <w:p>
            <w:pPr>
              <w:snapToGrid w:val="0"/>
              <w:spacing w:line="288" w:lineRule="auto"/>
              <w:jc w:val="center"/>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单位</w:t>
            </w:r>
          </w:p>
        </w:tc>
        <w:tc>
          <w:tcPr>
            <w:tcW w:w="1260" w:type="dxa"/>
            <w:tcBorders>
              <w:top w:val="single" w:color="auto" w:sz="4" w:space="0"/>
              <w:left w:val="nil"/>
              <w:bottom w:val="single" w:color="auto" w:sz="4" w:space="0"/>
              <w:right w:val="single" w:color="auto" w:sz="4" w:space="0"/>
            </w:tcBorders>
            <w:noWrap w:val="0"/>
            <w:vAlign w:val="center"/>
          </w:tcPr>
          <w:p>
            <w:pPr>
              <w:snapToGrid w:val="0"/>
              <w:spacing w:line="288" w:lineRule="auto"/>
              <w:jc w:val="center"/>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单价</w:t>
            </w:r>
          </w:p>
        </w:tc>
        <w:tc>
          <w:tcPr>
            <w:tcW w:w="1620" w:type="dxa"/>
            <w:tcBorders>
              <w:top w:val="single" w:color="auto" w:sz="4" w:space="0"/>
              <w:left w:val="nil"/>
              <w:bottom w:val="single" w:color="auto" w:sz="4" w:space="0"/>
              <w:right w:val="single" w:color="auto" w:sz="4" w:space="0"/>
            </w:tcBorders>
            <w:noWrap w:val="0"/>
            <w:vAlign w:val="center"/>
          </w:tcPr>
          <w:p>
            <w:pPr>
              <w:snapToGrid w:val="0"/>
              <w:spacing w:line="288" w:lineRule="auto"/>
              <w:jc w:val="center"/>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pPr>
              <w:snapToGrid w:val="0"/>
              <w:spacing w:line="288" w:lineRule="auto"/>
              <w:jc w:val="center"/>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1</w:t>
            </w:r>
          </w:p>
        </w:tc>
        <w:tc>
          <w:tcPr>
            <w:tcW w:w="1800" w:type="dxa"/>
            <w:tcBorders>
              <w:top w:val="single" w:color="auto" w:sz="4" w:space="0"/>
              <w:left w:val="nil"/>
              <w:bottom w:val="single" w:color="auto" w:sz="4" w:space="0"/>
              <w:right w:val="single" w:color="auto" w:sz="4" w:space="0"/>
            </w:tcBorders>
            <w:noWrap w:val="0"/>
            <w:vAlign w:val="center"/>
          </w:tcPr>
          <w:p>
            <w:pPr>
              <w:snapToGrid w:val="0"/>
              <w:spacing w:line="288" w:lineRule="auto"/>
              <w:ind w:left="238" w:leftChars="85"/>
              <w:jc w:val="center"/>
              <w:rPr>
                <w:rFonts w:hint="eastAsia" w:ascii="宋体" w:hAnsi="宋体" w:eastAsia="宋体" w:cs="Times New Roman"/>
                <w:color w:val="auto"/>
                <w:spacing w:val="-6"/>
                <w:sz w:val="21"/>
                <w:szCs w:val="21"/>
                <w:highlight w:val="none"/>
              </w:rPr>
            </w:pPr>
          </w:p>
        </w:tc>
        <w:tc>
          <w:tcPr>
            <w:tcW w:w="1771" w:type="dxa"/>
            <w:tcBorders>
              <w:top w:val="single" w:color="auto" w:sz="4" w:space="0"/>
              <w:left w:val="nil"/>
              <w:bottom w:val="single" w:color="auto" w:sz="4" w:space="0"/>
              <w:right w:val="single" w:color="auto" w:sz="4" w:space="0"/>
            </w:tcBorders>
            <w:noWrap w:val="0"/>
            <w:vAlign w:val="top"/>
          </w:tcPr>
          <w:p>
            <w:pPr>
              <w:snapToGrid w:val="0"/>
              <w:spacing w:line="288" w:lineRule="auto"/>
              <w:rPr>
                <w:rFonts w:hint="eastAsia" w:ascii="宋体" w:hAnsi="宋体" w:eastAsia="宋体"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noWrap w:val="0"/>
            <w:vAlign w:val="center"/>
          </w:tcPr>
          <w:p>
            <w:pPr>
              <w:snapToGrid w:val="0"/>
              <w:spacing w:line="288" w:lineRule="auto"/>
              <w:jc w:val="center"/>
              <w:rPr>
                <w:rFonts w:hint="eastAsia" w:ascii="宋体" w:hAnsi="宋体" w:eastAsia="宋体"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noWrap w:val="0"/>
            <w:vAlign w:val="center"/>
          </w:tcPr>
          <w:p>
            <w:pPr>
              <w:snapToGrid w:val="0"/>
              <w:spacing w:line="288" w:lineRule="auto"/>
              <w:jc w:val="center"/>
              <w:rPr>
                <w:rFonts w:hint="eastAsia" w:ascii="宋体" w:hAnsi="宋体" w:eastAsia="宋体" w:cs="Times New Roman"/>
                <w:color w:val="auto"/>
                <w:spacing w:val="-6"/>
                <w:sz w:val="21"/>
                <w:szCs w:val="21"/>
                <w:highlight w:val="none"/>
              </w:rPr>
            </w:pPr>
          </w:p>
        </w:tc>
        <w:tc>
          <w:tcPr>
            <w:tcW w:w="1260" w:type="dxa"/>
            <w:tcBorders>
              <w:top w:val="single" w:color="auto" w:sz="4" w:space="0"/>
              <w:left w:val="nil"/>
              <w:bottom w:val="single" w:color="auto" w:sz="4" w:space="0"/>
              <w:right w:val="single" w:color="auto" w:sz="4" w:space="0"/>
            </w:tcBorders>
            <w:noWrap w:val="0"/>
            <w:vAlign w:val="center"/>
          </w:tcPr>
          <w:p>
            <w:pPr>
              <w:snapToGrid w:val="0"/>
              <w:spacing w:line="288" w:lineRule="auto"/>
              <w:jc w:val="center"/>
              <w:rPr>
                <w:rFonts w:hint="eastAsia" w:ascii="宋体" w:hAnsi="宋体" w:eastAsia="宋体" w:cs="Times New Roman"/>
                <w:color w:val="auto"/>
                <w:spacing w:val="-6"/>
                <w:sz w:val="21"/>
                <w:szCs w:val="21"/>
                <w:highlight w:val="none"/>
              </w:rPr>
            </w:pPr>
          </w:p>
        </w:tc>
        <w:tc>
          <w:tcPr>
            <w:tcW w:w="1620" w:type="dxa"/>
            <w:tcBorders>
              <w:top w:val="single" w:color="auto" w:sz="4" w:space="0"/>
              <w:left w:val="nil"/>
              <w:bottom w:val="single" w:color="auto" w:sz="4" w:space="0"/>
              <w:right w:val="single" w:color="auto" w:sz="4" w:space="0"/>
            </w:tcBorders>
            <w:noWrap w:val="0"/>
            <w:vAlign w:val="center"/>
          </w:tcPr>
          <w:p>
            <w:pPr>
              <w:snapToGrid w:val="0"/>
              <w:spacing w:line="288" w:lineRule="auto"/>
              <w:rPr>
                <w:rFonts w:hint="eastAsia" w:ascii="宋体" w:hAnsi="宋体" w:eastAsia="宋体"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pPr>
              <w:snapToGrid w:val="0"/>
              <w:spacing w:line="288" w:lineRule="auto"/>
              <w:jc w:val="center"/>
              <w:rPr>
                <w:rFonts w:hint="eastAsia" w:ascii="宋体" w:hAnsi="宋体" w:eastAsia="宋体" w:cs="Times New Roman"/>
                <w:color w:val="auto"/>
                <w:spacing w:val="-6"/>
                <w:sz w:val="21"/>
                <w:szCs w:val="21"/>
                <w:highlight w:val="none"/>
                <w:lang w:bidi="ar"/>
              </w:rPr>
            </w:pPr>
            <w:r>
              <w:rPr>
                <w:rFonts w:hint="eastAsia" w:ascii="宋体" w:hAnsi="宋体" w:eastAsia="宋体" w:cs="Times New Roman"/>
                <w:color w:val="auto"/>
                <w:spacing w:val="-6"/>
                <w:sz w:val="21"/>
                <w:szCs w:val="21"/>
                <w:highlight w:val="none"/>
                <w:lang w:bidi="ar"/>
              </w:rPr>
              <w:t>2</w:t>
            </w:r>
          </w:p>
        </w:tc>
        <w:tc>
          <w:tcPr>
            <w:tcW w:w="1800" w:type="dxa"/>
            <w:tcBorders>
              <w:top w:val="single" w:color="auto" w:sz="4" w:space="0"/>
              <w:left w:val="nil"/>
              <w:bottom w:val="single" w:color="auto" w:sz="4" w:space="0"/>
              <w:right w:val="single" w:color="auto" w:sz="4" w:space="0"/>
            </w:tcBorders>
            <w:noWrap w:val="0"/>
            <w:vAlign w:val="center"/>
          </w:tcPr>
          <w:p>
            <w:pPr>
              <w:snapToGrid w:val="0"/>
              <w:spacing w:line="288" w:lineRule="auto"/>
              <w:ind w:left="238" w:leftChars="85"/>
              <w:jc w:val="center"/>
              <w:rPr>
                <w:rFonts w:hint="eastAsia" w:ascii="宋体" w:hAnsi="宋体" w:eastAsia="宋体" w:cs="Times New Roman"/>
                <w:color w:val="auto"/>
                <w:spacing w:val="-6"/>
                <w:sz w:val="21"/>
                <w:szCs w:val="21"/>
                <w:highlight w:val="none"/>
              </w:rPr>
            </w:pPr>
          </w:p>
        </w:tc>
        <w:tc>
          <w:tcPr>
            <w:tcW w:w="1771" w:type="dxa"/>
            <w:tcBorders>
              <w:top w:val="single" w:color="auto" w:sz="4" w:space="0"/>
              <w:left w:val="nil"/>
              <w:bottom w:val="single" w:color="auto" w:sz="4" w:space="0"/>
              <w:right w:val="single" w:color="auto" w:sz="4" w:space="0"/>
            </w:tcBorders>
            <w:noWrap w:val="0"/>
            <w:vAlign w:val="top"/>
          </w:tcPr>
          <w:p>
            <w:pPr>
              <w:snapToGrid w:val="0"/>
              <w:spacing w:line="288" w:lineRule="auto"/>
              <w:rPr>
                <w:rFonts w:hint="eastAsia" w:ascii="宋体" w:hAnsi="宋体" w:eastAsia="宋体"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noWrap w:val="0"/>
            <w:vAlign w:val="center"/>
          </w:tcPr>
          <w:p>
            <w:pPr>
              <w:snapToGrid w:val="0"/>
              <w:spacing w:line="288" w:lineRule="auto"/>
              <w:jc w:val="center"/>
              <w:rPr>
                <w:rFonts w:hint="eastAsia" w:ascii="宋体" w:hAnsi="宋体" w:eastAsia="宋体"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noWrap w:val="0"/>
            <w:vAlign w:val="center"/>
          </w:tcPr>
          <w:p>
            <w:pPr>
              <w:snapToGrid w:val="0"/>
              <w:spacing w:line="288" w:lineRule="auto"/>
              <w:jc w:val="center"/>
              <w:rPr>
                <w:rFonts w:hint="eastAsia" w:ascii="宋体" w:hAnsi="宋体" w:eastAsia="宋体" w:cs="Times New Roman"/>
                <w:color w:val="auto"/>
                <w:spacing w:val="-6"/>
                <w:sz w:val="21"/>
                <w:szCs w:val="21"/>
                <w:highlight w:val="none"/>
              </w:rPr>
            </w:pPr>
          </w:p>
        </w:tc>
        <w:tc>
          <w:tcPr>
            <w:tcW w:w="1260" w:type="dxa"/>
            <w:tcBorders>
              <w:top w:val="single" w:color="auto" w:sz="4" w:space="0"/>
              <w:left w:val="nil"/>
              <w:bottom w:val="single" w:color="auto" w:sz="4" w:space="0"/>
              <w:right w:val="single" w:color="auto" w:sz="4" w:space="0"/>
            </w:tcBorders>
            <w:noWrap w:val="0"/>
            <w:vAlign w:val="center"/>
          </w:tcPr>
          <w:p>
            <w:pPr>
              <w:snapToGrid w:val="0"/>
              <w:spacing w:line="288" w:lineRule="auto"/>
              <w:jc w:val="center"/>
              <w:rPr>
                <w:rFonts w:hint="eastAsia" w:ascii="宋体" w:hAnsi="宋体" w:eastAsia="宋体" w:cs="Times New Roman"/>
                <w:color w:val="auto"/>
                <w:spacing w:val="-6"/>
                <w:sz w:val="21"/>
                <w:szCs w:val="21"/>
                <w:highlight w:val="none"/>
              </w:rPr>
            </w:pPr>
          </w:p>
        </w:tc>
        <w:tc>
          <w:tcPr>
            <w:tcW w:w="1620" w:type="dxa"/>
            <w:tcBorders>
              <w:top w:val="single" w:color="auto" w:sz="4" w:space="0"/>
              <w:left w:val="nil"/>
              <w:bottom w:val="single" w:color="auto" w:sz="4" w:space="0"/>
              <w:right w:val="single" w:color="auto" w:sz="4" w:space="0"/>
            </w:tcBorders>
            <w:noWrap w:val="0"/>
            <w:vAlign w:val="center"/>
          </w:tcPr>
          <w:p>
            <w:pPr>
              <w:snapToGrid w:val="0"/>
              <w:spacing w:line="288" w:lineRule="auto"/>
              <w:rPr>
                <w:rFonts w:hint="eastAsia" w:ascii="宋体" w:hAnsi="宋体" w:eastAsia="宋体"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611" w:type="dxa"/>
            <w:gridSpan w:val="7"/>
            <w:tcBorders>
              <w:top w:val="single" w:color="auto" w:sz="4" w:space="0"/>
              <w:left w:val="single" w:color="auto" w:sz="4" w:space="0"/>
              <w:bottom w:val="single" w:color="auto" w:sz="4" w:space="0"/>
              <w:right w:val="single" w:color="auto" w:sz="4" w:space="0"/>
            </w:tcBorders>
            <w:noWrap w:val="0"/>
            <w:vAlign w:val="center"/>
          </w:tcPr>
          <w:p>
            <w:pPr>
              <w:snapToGrid w:val="0"/>
              <w:spacing w:line="288" w:lineRule="auto"/>
              <w:jc w:val="left"/>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合同总价（人民币）：</w:t>
            </w:r>
          </w:p>
        </w:tc>
      </w:tr>
    </w:tbl>
    <w:p>
      <w:pPr>
        <w:snapToGrid w:val="0"/>
        <w:spacing w:line="288" w:lineRule="auto"/>
        <w:rPr>
          <w:rFonts w:hint="eastAsia"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注：</w:t>
      </w:r>
      <w:r>
        <w:rPr>
          <w:rFonts w:hint="eastAsia" w:ascii="宋体" w:hAnsi="宋体" w:eastAsia="宋体" w:cs="Times New Roman"/>
          <w:color w:val="auto"/>
          <w:spacing w:val="-6"/>
          <w:sz w:val="21"/>
          <w:szCs w:val="21"/>
          <w:highlight w:val="none"/>
          <w:lang w:bidi="ar"/>
        </w:rPr>
        <w:t>1、以上合同总价包括将货物运抵甲方指定地点的运费及安装调试、培训等一切费用。</w:t>
      </w:r>
    </w:p>
    <w:p>
      <w:pPr>
        <w:snapToGrid w:val="0"/>
        <w:spacing w:line="288" w:lineRule="auto"/>
        <w:rPr>
          <w:rFonts w:hint="eastAsia"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lang w:bidi="ar"/>
        </w:rPr>
        <w:t>第二条：质量保证及售后服务</w:t>
      </w:r>
    </w:p>
    <w:p>
      <w:pPr>
        <w:snapToGrid w:val="0"/>
        <w:spacing w:line="288" w:lineRule="auto"/>
        <w:ind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1. 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2. 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⑴更换：由乙方承担所发生的全部费用。</w:t>
      </w:r>
    </w:p>
    <w:p>
      <w:pPr>
        <w:snapToGrid w:val="0"/>
        <w:spacing w:line="288" w:lineRule="auto"/>
        <w:ind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⑵贬值处理：由甲乙双方合议定价。</w:t>
      </w:r>
    </w:p>
    <w:p>
      <w:pPr>
        <w:snapToGrid w:val="0"/>
        <w:spacing w:line="288" w:lineRule="auto"/>
        <w:ind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⑶退货处理：乙方应退还甲方支付的合同款，同时应承担该货物的直接费用（运输、保险、检验、货款利息及银行手续费等）。</w:t>
      </w:r>
    </w:p>
    <w:p>
      <w:pPr>
        <w:snapToGrid w:val="0"/>
        <w:spacing w:line="288" w:lineRule="auto"/>
        <w:ind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3. 如在使用过程中发生质量问题，乙方在接到甲方通知后在</w:t>
      </w:r>
      <w:r>
        <w:rPr>
          <w:rFonts w:hint="eastAsia" w:ascii="宋体" w:hAnsi="宋体" w:eastAsia="宋体" w:cs="Times New Roman"/>
          <w:color w:val="auto"/>
          <w:spacing w:val="-6"/>
          <w:sz w:val="21"/>
          <w:szCs w:val="21"/>
          <w:highlight w:val="none"/>
          <w:u w:val="single"/>
          <w:lang w:bidi="ar"/>
        </w:rPr>
        <w:t xml:space="preserve">        </w:t>
      </w:r>
      <w:r>
        <w:rPr>
          <w:rFonts w:hint="eastAsia" w:ascii="宋体" w:hAnsi="宋体" w:eastAsia="宋体" w:cs="宋体"/>
          <w:color w:val="auto"/>
          <w:spacing w:val="-6"/>
          <w:sz w:val="21"/>
          <w:szCs w:val="21"/>
          <w:highlight w:val="none"/>
          <w:lang w:bidi="ar"/>
        </w:rPr>
        <w:t>小时内到达甲方现场。</w:t>
      </w:r>
    </w:p>
    <w:p>
      <w:pPr>
        <w:snapToGrid w:val="0"/>
        <w:spacing w:line="288" w:lineRule="auto"/>
        <w:ind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4. 在质保期内，乙方应对货物出现的质量及安全问题负责处理解决并承担一切费用。</w:t>
      </w:r>
    </w:p>
    <w:p>
      <w:pPr>
        <w:snapToGrid w:val="0"/>
        <w:spacing w:line="288" w:lineRule="auto"/>
        <w:ind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 xml:space="preserve">5. </w:t>
      </w:r>
      <w:r>
        <w:rPr>
          <w:rFonts w:hint="eastAsia" w:ascii="宋体" w:hAnsi="宋体" w:eastAsia="宋体" w:cs="宋体"/>
          <w:color w:val="auto"/>
          <w:spacing w:val="-6"/>
          <w:sz w:val="21"/>
          <w:szCs w:val="21"/>
          <w:highlight w:val="none"/>
          <w:lang w:bidi="ar"/>
        </w:rPr>
        <w:t>质保期</w:t>
      </w:r>
      <w:r>
        <w:rPr>
          <w:rFonts w:hint="eastAsia" w:ascii="宋体" w:hAnsi="宋体" w:eastAsia="宋体" w:cs="Times New Roman"/>
          <w:color w:val="auto"/>
          <w:spacing w:val="-6"/>
          <w:sz w:val="21"/>
          <w:szCs w:val="21"/>
          <w:highlight w:val="none"/>
          <w:u w:val="single"/>
          <w:lang w:bidi="ar"/>
        </w:rPr>
        <w:t xml:space="preserve">     </w:t>
      </w:r>
      <w:r>
        <w:rPr>
          <w:rFonts w:hint="eastAsia" w:ascii="宋体" w:hAnsi="宋体" w:eastAsia="宋体" w:cs="宋体"/>
          <w:color w:val="auto"/>
          <w:spacing w:val="-6"/>
          <w:sz w:val="21"/>
          <w:szCs w:val="21"/>
          <w:highlight w:val="none"/>
          <w:lang w:bidi="ar"/>
        </w:rPr>
        <w:t>年（自货物验收合格通过日算起），因人为因素出现的故障不在免费保修范围内。超过保修期的机器设备，终生维修，维修时只收部件成本费。</w:t>
      </w:r>
    </w:p>
    <w:p>
      <w:pPr>
        <w:widowControl w:val="0"/>
        <w:snapToGrid w:val="0"/>
        <w:spacing w:before="0" w:beforeLines="0" w:beforeAutospacing="0" w:after="0" w:afterLines="0" w:afterAutospacing="0" w:line="288" w:lineRule="auto"/>
        <w:ind w:left="0" w:leftChars="0" w:firstLine="0" w:firstLineChars="0"/>
        <w:jc w:val="both"/>
        <w:rPr>
          <w:rFonts w:hint="eastAsia" w:ascii="宋体" w:hAnsi="宋体" w:eastAsia="宋体" w:cs="Times New Roman"/>
          <w:b/>
          <w:color w:val="auto"/>
          <w:spacing w:val="-6"/>
          <w:kern w:val="2"/>
          <w:sz w:val="21"/>
          <w:szCs w:val="21"/>
          <w:highlight w:val="none"/>
          <w:lang w:val="en-US" w:eastAsia="zh-CN" w:bidi="ar-SA"/>
        </w:rPr>
      </w:pPr>
      <w:r>
        <w:rPr>
          <w:rFonts w:hint="eastAsia" w:ascii="宋体" w:hAnsi="宋体" w:eastAsia="宋体" w:cs="宋体"/>
          <w:b/>
          <w:color w:val="auto"/>
          <w:spacing w:val="-6"/>
          <w:kern w:val="2"/>
          <w:sz w:val="21"/>
          <w:szCs w:val="21"/>
          <w:highlight w:val="none"/>
          <w:lang w:val="en-US" w:eastAsia="zh-CN" w:bidi="ar"/>
        </w:rPr>
        <w:t>第三条：技术资料</w:t>
      </w:r>
    </w:p>
    <w:p>
      <w:pPr>
        <w:numPr>
          <w:ilvl w:val="0"/>
          <w:numId w:val="4"/>
        </w:numPr>
        <w:snapToGrid w:val="0"/>
        <w:spacing w:line="288" w:lineRule="auto"/>
        <w:ind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乙方应按招标文件规定的时间向甲方提供使用货物的有关技术资料。</w:t>
      </w:r>
    </w:p>
    <w:p>
      <w:pPr>
        <w:snapToGrid w:val="0"/>
        <w:spacing w:line="288" w:lineRule="auto"/>
        <w:ind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widowControl w:val="0"/>
        <w:snapToGrid w:val="0"/>
        <w:spacing w:before="0" w:beforeLines="0" w:beforeAutospacing="0" w:after="0" w:afterLines="0" w:afterAutospacing="0" w:line="288" w:lineRule="auto"/>
        <w:ind w:left="340" w:hanging="340" w:hangingChars="171"/>
        <w:jc w:val="both"/>
        <w:rPr>
          <w:rFonts w:hint="eastAsia" w:ascii="宋体" w:hAnsi="宋体" w:eastAsia="宋体" w:cs="Times New Roman"/>
          <w:b/>
          <w:color w:val="auto"/>
          <w:spacing w:val="-6"/>
          <w:kern w:val="2"/>
          <w:sz w:val="21"/>
          <w:szCs w:val="21"/>
          <w:highlight w:val="none"/>
          <w:lang w:val="en-US" w:eastAsia="zh-CN" w:bidi="ar-SA"/>
        </w:rPr>
      </w:pPr>
      <w:r>
        <w:rPr>
          <w:rFonts w:hint="eastAsia" w:ascii="宋体" w:hAnsi="宋体" w:eastAsia="宋体" w:cs="宋体"/>
          <w:b/>
          <w:color w:val="auto"/>
          <w:spacing w:val="-6"/>
          <w:kern w:val="2"/>
          <w:sz w:val="21"/>
          <w:szCs w:val="21"/>
          <w:highlight w:val="none"/>
          <w:lang w:val="en-US" w:eastAsia="zh-CN" w:bidi="ar"/>
        </w:rPr>
        <w:t>第四条：知识产权</w:t>
      </w:r>
    </w:p>
    <w:p>
      <w:pPr>
        <w:snapToGrid w:val="0"/>
        <w:spacing w:line="288" w:lineRule="auto"/>
        <w:ind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乙方应保证所提供的货物或其任何一部分均不会侵犯任何第三方的知识产权</w:t>
      </w:r>
    </w:p>
    <w:p>
      <w:pPr>
        <w:snapToGrid w:val="0"/>
        <w:spacing w:line="288" w:lineRule="auto"/>
        <w:rPr>
          <w:rFonts w:hint="eastAsia"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lang w:bidi="ar"/>
        </w:rPr>
        <w:t>第五条：交货时间、地点</w:t>
      </w:r>
    </w:p>
    <w:p>
      <w:pPr>
        <w:snapToGrid w:val="0"/>
        <w:spacing w:line="288" w:lineRule="auto"/>
        <w:ind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1.交货时间：合同签订后</w:t>
      </w:r>
      <w:r>
        <w:rPr>
          <w:rFonts w:hint="eastAsia" w:ascii="宋体" w:hAnsi="宋体" w:cs="Times New Roman"/>
          <w:color w:val="auto"/>
          <w:spacing w:val="-6"/>
          <w:sz w:val="21"/>
          <w:szCs w:val="21"/>
          <w:highlight w:val="none"/>
          <w:lang w:val="en-US" w:eastAsia="zh-CN"/>
        </w:rPr>
        <w:t>6个月</w:t>
      </w:r>
      <w:r>
        <w:rPr>
          <w:rFonts w:hint="eastAsia" w:ascii="宋体" w:hAnsi="宋体" w:eastAsia="宋体" w:cs="Times New Roman"/>
          <w:color w:val="auto"/>
          <w:spacing w:val="-6"/>
          <w:sz w:val="21"/>
          <w:szCs w:val="21"/>
          <w:highlight w:val="none"/>
        </w:rPr>
        <w:t>内。</w:t>
      </w:r>
    </w:p>
    <w:p>
      <w:pPr>
        <w:snapToGrid w:val="0"/>
        <w:spacing w:line="288" w:lineRule="auto"/>
        <w:ind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2.交货地点：用户指定的地点。</w:t>
      </w:r>
    </w:p>
    <w:p>
      <w:pPr>
        <w:snapToGrid w:val="0"/>
        <w:spacing w:line="288" w:lineRule="auto"/>
        <w:rPr>
          <w:rFonts w:hint="eastAsia"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lang w:bidi="ar"/>
        </w:rPr>
        <w:t>第六条：售后服务</w:t>
      </w:r>
    </w:p>
    <w:p>
      <w:pPr>
        <w:widowControl w:val="0"/>
        <w:snapToGrid w:val="0"/>
        <w:spacing w:before="0" w:beforeLines="0" w:beforeAutospacing="0" w:after="0" w:afterLines="0" w:afterAutospacing="0" w:line="288" w:lineRule="auto"/>
        <w:ind w:right="31" w:rightChars="11" w:firstLine="420"/>
        <w:jc w:val="both"/>
        <w:rPr>
          <w:rFonts w:hint="eastAsia" w:ascii="宋体" w:hAnsi="宋体" w:eastAsia="宋体" w:cs="Times New Roman"/>
          <w:color w:val="auto"/>
          <w:spacing w:val="-6"/>
          <w:kern w:val="2"/>
          <w:sz w:val="21"/>
          <w:szCs w:val="21"/>
          <w:highlight w:val="none"/>
          <w:lang w:val="en-US" w:eastAsia="zh-CN" w:bidi="ar-SA"/>
        </w:rPr>
      </w:pPr>
      <w:r>
        <w:rPr>
          <w:rFonts w:hint="eastAsia" w:ascii="宋体" w:hAnsi="宋体" w:eastAsia="宋体" w:cs="宋体"/>
          <w:color w:val="auto"/>
          <w:spacing w:val="-6"/>
          <w:kern w:val="2"/>
          <w:sz w:val="21"/>
          <w:szCs w:val="21"/>
          <w:highlight w:val="none"/>
          <w:lang w:val="en-US" w:eastAsia="zh-CN" w:bidi="ar"/>
        </w:rPr>
        <w:t>设备自验收合格后起保修</w:t>
      </w:r>
      <w:r>
        <w:rPr>
          <w:rFonts w:hint="eastAsia" w:ascii="宋体" w:hAnsi="宋体" w:eastAsia="宋体" w:cs="Times New Roman"/>
          <w:color w:val="auto"/>
          <w:spacing w:val="-6"/>
          <w:kern w:val="2"/>
          <w:sz w:val="21"/>
          <w:szCs w:val="21"/>
          <w:highlight w:val="none"/>
          <w:u w:val="singl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年。维修响应时间：</w:t>
      </w:r>
      <w:r>
        <w:rPr>
          <w:rFonts w:hint="eastAsia" w:ascii="宋体" w:hAnsi="宋体" w:eastAsia="宋体" w:cs="Times New Roman"/>
          <w:color w:val="auto"/>
          <w:spacing w:val="-6"/>
          <w:kern w:val="2"/>
          <w:sz w:val="21"/>
          <w:szCs w:val="21"/>
          <w:highlight w:val="none"/>
          <w:u w:val="singl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小时以内，电话技术支持；若需上门维修，则</w:t>
      </w:r>
      <w:r>
        <w:rPr>
          <w:rFonts w:hint="eastAsia" w:ascii="宋体" w:hAnsi="宋体" w:eastAsia="宋体" w:cs="Times New Roman"/>
          <w:color w:val="auto"/>
          <w:spacing w:val="-6"/>
          <w:kern w:val="2"/>
          <w:sz w:val="21"/>
          <w:szCs w:val="21"/>
          <w:highlight w:val="none"/>
          <w:u w:val="single"/>
          <w:lang w:val="en-US" w:eastAsia="zh-CN" w:bidi="ar"/>
        </w:rPr>
        <w:t xml:space="preserve">   </w:t>
      </w:r>
      <w:r>
        <w:rPr>
          <w:rFonts w:hint="eastAsia" w:ascii="宋体" w:hAnsi="宋体" w:eastAsia="宋体" w:cs="宋体"/>
          <w:color w:val="auto"/>
          <w:spacing w:val="-6"/>
          <w:kern w:val="2"/>
          <w:sz w:val="21"/>
          <w:szCs w:val="21"/>
          <w:highlight w:val="none"/>
          <w:lang w:val="en-US" w:eastAsia="zh-CN" w:bidi="ar"/>
        </w:rPr>
        <w:t>小时内到达现场并进行维修；保修期后，乙方继续为甲方服务，仅收取零配件成本费。保修内出现无法排除的故障，乙方需无条件为甲方更换同型号产品。</w:t>
      </w:r>
    </w:p>
    <w:p>
      <w:pPr>
        <w:snapToGrid w:val="0"/>
        <w:spacing w:line="288" w:lineRule="auto"/>
        <w:rPr>
          <w:rFonts w:hint="eastAsia"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lang w:bidi="ar"/>
        </w:rPr>
        <w:t>第七条：调试与验收</w:t>
      </w:r>
    </w:p>
    <w:p>
      <w:pPr>
        <w:snapToGrid w:val="0"/>
        <w:spacing w:line="288" w:lineRule="auto"/>
        <w:ind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1. 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2. 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3. 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4. 对技术复杂的货物，甲方应请国家认可的专业检测机构参与初步验收及最终验收，并由其出具质量检测报告。</w:t>
      </w:r>
    </w:p>
    <w:p>
      <w:pPr>
        <w:snapToGrid w:val="0"/>
        <w:spacing w:line="288" w:lineRule="auto"/>
        <w:ind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5. 验收时乙方必须在现场，验收完毕后作出验收结果报告；验收费用由乙方负责。</w:t>
      </w:r>
    </w:p>
    <w:p>
      <w:pPr>
        <w:snapToGrid w:val="0"/>
        <w:spacing w:line="288" w:lineRule="auto"/>
        <w:ind w:right="31" w:rightChars="11"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 xml:space="preserve">6. </w:t>
      </w:r>
      <w:r>
        <w:rPr>
          <w:rFonts w:hint="eastAsia" w:ascii="宋体" w:hAnsi="宋体" w:eastAsia="宋体" w:cs="宋体"/>
          <w:color w:val="auto"/>
          <w:spacing w:val="-6"/>
          <w:sz w:val="21"/>
          <w:szCs w:val="21"/>
          <w:highlight w:val="none"/>
          <w:lang w:bidi="ar"/>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ascii="宋体" w:hAnsi="宋体" w:eastAsia="宋体" w:cs="Times New Roman"/>
          <w:color w:val="auto"/>
          <w:spacing w:val="-6"/>
          <w:sz w:val="21"/>
          <w:szCs w:val="21"/>
          <w:highlight w:val="none"/>
          <w:lang w:bidi="ar"/>
        </w:rPr>
        <w:t>10％的赔偿金。</w:t>
      </w:r>
    </w:p>
    <w:p>
      <w:pPr>
        <w:snapToGrid w:val="0"/>
        <w:spacing w:line="288" w:lineRule="auto"/>
        <w:rPr>
          <w:rFonts w:hint="eastAsia" w:ascii="宋体" w:hAnsi="宋体" w:eastAsia="宋体" w:cs="宋体"/>
          <w:b/>
          <w:color w:val="auto"/>
          <w:spacing w:val="-6"/>
          <w:kern w:val="0"/>
          <w:sz w:val="21"/>
          <w:szCs w:val="21"/>
          <w:highlight w:val="none"/>
        </w:rPr>
      </w:pPr>
      <w:r>
        <w:rPr>
          <w:rFonts w:hint="eastAsia" w:ascii="宋体" w:hAnsi="宋体" w:eastAsia="宋体" w:cs="宋体"/>
          <w:b/>
          <w:color w:val="auto"/>
          <w:spacing w:val="-6"/>
          <w:sz w:val="21"/>
          <w:szCs w:val="21"/>
          <w:highlight w:val="none"/>
          <w:lang w:bidi="ar"/>
        </w:rPr>
        <w:t>第八条：货款的支付</w:t>
      </w:r>
    </w:p>
    <w:p>
      <w:pPr>
        <w:snapToGrid w:val="0"/>
        <w:spacing w:line="288" w:lineRule="auto"/>
        <w:ind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1.货物送达指定地点，经</w:t>
      </w:r>
      <w:r>
        <w:rPr>
          <w:rFonts w:hint="eastAsia" w:ascii="宋体" w:hAnsi="宋体" w:eastAsia="宋体" w:cs="Times New Roman"/>
          <w:color w:val="auto"/>
          <w:spacing w:val="-6"/>
          <w:sz w:val="21"/>
          <w:szCs w:val="21"/>
          <w:highlight w:val="none"/>
          <w:lang w:val="en-US" w:eastAsia="zh-CN"/>
        </w:rPr>
        <w:t>甲方</w:t>
      </w:r>
      <w:r>
        <w:rPr>
          <w:rFonts w:hint="eastAsia" w:ascii="宋体" w:hAnsi="宋体" w:eastAsia="宋体" w:cs="Times New Roman"/>
          <w:color w:val="auto"/>
          <w:spacing w:val="-6"/>
          <w:sz w:val="21"/>
          <w:szCs w:val="21"/>
          <w:highlight w:val="none"/>
        </w:rPr>
        <w:t>验收合格且</w:t>
      </w:r>
      <w:r>
        <w:rPr>
          <w:rFonts w:hint="eastAsia" w:ascii="宋体" w:hAnsi="宋体" w:eastAsia="宋体" w:cs="Times New Roman"/>
          <w:color w:val="auto"/>
          <w:spacing w:val="-6"/>
          <w:sz w:val="21"/>
          <w:szCs w:val="21"/>
          <w:highlight w:val="none"/>
          <w:lang w:val="en-US" w:eastAsia="zh-CN"/>
        </w:rPr>
        <w:t>乙方</w:t>
      </w:r>
      <w:r>
        <w:rPr>
          <w:rFonts w:hint="eastAsia" w:ascii="宋体" w:hAnsi="宋体" w:eastAsia="宋体" w:cs="Times New Roman"/>
          <w:color w:val="auto"/>
          <w:spacing w:val="-6"/>
          <w:sz w:val="21"/>
          <w:szCs w:val="21"/>
          <w:highlight w:val="none"/>
        </w:rPr>
        <w:t>已提交履约保证金的，</w:t>
      </w:r>
      <w:r>
        <w:rPr>
          <w:rFonts w:hint="eastAsia" w:ascii="宋体" w:hAnsi="宋体" w:eastAsia="宋体" w:cs="Times New Roman"/>
          <w:color w:val="auto"/>
          <w:spacing w:val="-6"/>
          <w:sz w:val="21"/>
          <w:szCs w:val="21"/>
          <w:highlight w:val="none"/>
          <w:lang w:val="en-US" w:eastAsia="zh-CN"/>
        </w:rPr>
        <w:t>甲方</w:t>
      </w:r>
      <w:r>
        <w:rPr>
          <w:rFonts w:hint="eastAsia" w:ascii="宋体" w:hAnsi="宋体" w:eastAsia="宋体" w:cs="Times New Roman"/>
          <w:color w:val="auto"/>
          <w:spacing w:val="-6"/>
          <w:sz w:val="21"/>
          <w:szCs w:val="21"/>
          <w:highlight w:val="none"/>
        </w:rPr>
        <w:t>向</w:t>
      </w:r>
      <w:r>
        <w:rPr>
          <w:rFonts w:hint="eastAsia" w:ascii="宋体" w:hAnsi="宋体" w:eastAsia="宋体" w:cs="Times New Roman"/>
          <w:color w:val="auto"/>
          <w:spacing w:val="-6"/>
          <w:sz w:val="21"/>
          <w:szCs w:val="21"/>
          <w:highlight w:val="none"/>
          <w:lang w:val="en-US" w:eastAsia="zh-CN"/>
        </w:rPr>
        <w:t>乙方</w:t>
      </w:r>
      <w:r>
        <w:rPr>
          <w:rFonts w:hint="eastAsia" w:ascii="宋体" w:hAnsi="宋体" w:eastAsia="宋体" w:cs="Times New Roman"/>
          <w:color w:val="auto"/>
          <w:spacing w:val="-6"/>
          <w:sz w:val="21"/>
          <w:szCs w:val="21"/>
          <w:highlight w:val="none"/>
        </w:rPr>
        <w:t>支付合同总价的100%。</w:t>
      </w:r>
    </w:p>
    <w:p>
      <w:pPr>
        <w:spacing w:line="288" w:lineRule="auto"/>
        <w:ind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2.合同签订后，乙方向甲方缴纳合同金额5%的履约保证金，履约保证金在质保期内无质量问题和维护问题，质保期满后无息退还。</w:t>
      </w:r>
    </w:p>
    <w:p>
      <w:pPr>
        <w:spacing w:line="288" w:lineRule="auto"/>
        <w:ind w:firstLine="396" w:firstLineChars="200"/>
        <w:rPr>
          <w:rFonts w:hint="eastAsia"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转账信息如下：</w:t>
      </w:r>
    </w:p>
    <w:p>
      <w:pPr>
        <w:spacing w:line="288" w:lineRule="auto"/>
        <w:ind w:firstLine="396" w:firstLineChars="200"/>
        <w:rPr>
          <w:rFonts w:hint="eastAsia"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收款单位（户名）:杭州电子科技大学</w:t>
      </w:r>
    </w:p>
    <w:p>
      <w:pPr>
        <w:spacing w:line="288" w:lineRule="auto"/>
        <w:ind w:firstLine="396" w:firstLineChars="200"/>
        <w:rPr>
          <w:rFonts w:hint="eastAsia"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开户银行：工行高新支行</w:t>
      </w:r>
    </w:p>
    <w:p>
      <w:pPr>
        <w:spacing w:line="288" w:lineRule="auto"/>
        <w:ind w:firstLine="396" w:firstLineChars="200"/>
        <w:rPr>
          <w:rFonts w:hint="eastAsia"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银行账号：1202026209008806216</w:t>
      </w:r>
    </w:p>
    <w:p>
      <w:pPr>
        <w:spacing w:line="288" w:lineRule="auto"/>
        <w:ind w:firstLine="396" w:firstLineChars="200"/>
        <w:rPr>
          <w:rFonts w:hint="eastAsia"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发票开票信息</w:t>
      </w:r>
    </w:p>
    <w:p>
      <w:pPr>
        <w:spacing w:line="288" w:lineRule="auto"/>
        <w:ind w:firstLine="396" w:firstLineChars="200"/>
        <w:rPr>
          <w:rFonts w:hint="eastAsia"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抬头：杭州电子科技大学</w:t>
      </w:r>
    </w:p>
    <w:p>
      <w:pPr>
        <w:snapToGrid w:val="0"/>
        <w:spacing w:line="288" w:lineRule="auto"/>
        <w:ind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Times New Roman"/>
          <w:bCs/>
          <w:color w:val="auto"/>
          <w:spacing w:val="-6"/>
          <w:sz w:val="21"/>
          <w:szCs w:val="21"/>
          <w:highlight w:val="none"/>
        </w:rPr>
        <w:t>税号：12330000470009026T</w:t>
      </w:r>
    </w:p>
    <w:p>
      <w:pPr>
        <w:snapToGrid w:val="0"/>
        <w:spacing w:line="288" w:lineRule="auto"/>
        <w:ind w:right="-686" w:rightChars="-245"/>
        <w:rPr>
          <w:rFonts w:hint="eastAsia"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lang w:bidi="ar"/>
        </w:rPr>
        <w:t>第九条：违约责任</w:t>
      </w:r>
    </w:p>
    <w:p>
      <w:pPr>
        <w:numPr>
          <w:ilvl w:val="0"/>
          <w:numId w:val="5"/>
        </w:numPr>
        <w:snapToGrid w:val="0"/>
        <w:spacing w:line="288" w:lineRule="auto"/>
        <w:ind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乙方逾期履行合同的，自逾期之日起，向甲方每日偿付合同总价千分之五的滞纳金。</w:t>
      </w:r>
    </w:p>
    <w:p>
      <w:pPr>
        <w:numPr>
          <w:ilvl w:val="0"/>
          <w:numId w:val="5"/>
        </w:numPr>
        <w:snapToGrid w:val="0"/>
        <w:spacing w:line="288" w:lineRule="auto"/>
        <w:ind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甲方逾期支付货款的，自逾期之日起，向乙方每日偿付未付价款千分之五的滞纳金。</w:t>
      </w:r>
    </w:p>
    <w:p>
      <w:pPr>
        <w:numPr>
          <w:ilvl w:val="0"/>
          <w:numId w:val="5"/>
        </w:numPr>
        <w:snapToGrid w:val="0"/>
        <w:spacing w:line="288" w:lineRule="auto"/>
        <w:ind w:right="31" w:rightChars="11"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如验收不能达到质量功能（性能）标准，合同商品由乙方在验收后一周内运离安装地点，所需费用由乙方承担。如乙方在一个月内不处理（搬走）合同商品，视为乙方放弃该商品，甲方有权自行处置（包括废物处理）。同时，乙方要支付给甲方总货款的</w:t>
      </w:r>
      <w:r>
        <w:rPr>
          <w:rFonts w:hint="eastAsia" w:ascii="宋体" w:hAnsi="宋体" w:eastAsia="宋体" w:cs="Times New Roman"/>
          <w:color w:val="auto"/>
          <w:spacing w:val="-6"/>
          <w:sz w:val="21"/>
          <w:szCs w:val="21"/>
          <w:highlight w:val="none"/>
          <w:lang w:bidi="ar"/>
        </w:rPr>
        <w:t>20％作为违约赔偿金。</w:t>
      </w:r>
    </w:p>
    <w:p>
      <w:pPr>
        <w:numPr>
          <w:ilvl w:val="0"/>
          <w:numId w:val="5"/>
        </w:numPr>
        <w:snapToGrid w:val="0"/>
        <w:spacing w:line="288" w:lineRule="auto"/>
        <w:ind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widowControl w:val="0"/>
        <w:snapToGrid w:val="0"/>
        <w:spacing w:before="0" w:beforeLines="0" w:beforeAutospacing="0" w:after="0" w:afterLines="0" w:afterAutospacing="0" w:line="288" w:lineRule="auto"/>
        <w:ind w:firstLine="420"/>
        <w:jc w:val="both"/>
        <w:rPr>
          <w:rFonts w:hint="eastAsia" w:ascii="宋体" w:hAnsi="宋体" w:eastAsia="宋体" w:cs="Times New Roman"/>
          <w:b/>
          <w:color w:val="auto"/>
          <w:spacing w:val="-6"/>
          <w:kern w:val="2"/>
          <w:sz w:val="21"/>
          <w:szCs w:val="21"/>
          <w:highlight w:val="none"/>
          <w:lang w:val="en-US" w:eastAsia="zh-CN" w:bidi="ar-SA"/>
        </w:rPr>
      </w:pPr>
      <w:r>
        <w:rPr>
          <w:rFonts w:hint="eastAsia" w:ascii="宋体" w:hAnsi="宋体" w:eastAsia="宋体" w:cs="宋体"/>
          <w:b/>
          <w:color w:val="auto"/>
          <w:spacing w:val="-6"/>
          <w:kern w:val="2"/>
          <w:sz w:val="21"/>
          <w:szCs w:val="21"/>
          <w:highlight w:val="none"/>
          <w:lang w:val="en-US" w:eastAsia="zh-CN" w:bidi="ar"/>
        </w:rPr>
        <w:t>第十条：不可抗力事件处理</w:t>
      </w:r>
    </w:p>
    <w:p>
      <w:pPr>
        <w:snapToGrid w:val="0"/>
        <w:spacing w:line="288" w:lineRule="auto"/>
        <w:ind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1. 在合同有效期内，任何一方因不可抗力事件导致不能履行合同，则合同履行期可延长，其延长期与不可抗力影响期相同。</w:t>
      </w:r>
    </w:p>
    <w:p>
      <w:pPr>
        <w:snapToGrid w:val="0"/>
        <w:spacing w:line="288" w:lineRule="auto"/>
        <w:ind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2. 不可抗力事件发生后，应立即通知对方，并寄送有关权威机构出具的证明。</w:t>
      </w:r>
    </w:p>
    <w:p>
      <w:pPr>
        <w:snapToGrid w:val="0"/>
        <w:spacing w:line="288" w:lineRule="auto"/>
        <w:ind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3. 不可抗力事件延续120天以上，双方应通过友好协商，确定是否继续履行合同。</w:t>
      </w:r>
    </w:p>
    <w:p>
      <w:pPr>
        <w:snapToGrid w:val="0"/>
        <w:spacing w:line="288" w:lineRule="auto"/>
        <w:ind w:right="-686" w:rightChars="-245"/>
        <w:rPr>
          <w:rFonts w:hint="eastAsia"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lang w:bidi="ar"/>
        </w:rPr>
        <w:t>第十一条：争议解决</w:t>
      </w:r>
    </w:p>
    <w:p>
      <w:pPr>
        <w:snapToGrid w:val="0"/>
        <w:spacing w:line="288" w:lineRule="auto"/>
        <w:ind w:right="31" w:rightChars="11"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本合同未尽事宜由三方协商解决，如协商不成，三方同意将本合同引起的争议提交杭州仲裁委员会仲裁解决，仲裁为终局。</w:t>
      </w:r>
    </w:p>
    <w:p>
      <w:pPr>
        <w:snapToGrid w:val="0"/>
        <w:spacing w:line="288" w:lineRule="auto"/>
        <w:ind w:right="-686" w:rightChars="-245"/>
        <w:rPr>
          <w:rFonts w:hint="eastAsia"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lang w:bidi="ar"/>
        </w:rPr>
        <w:t>第十二条：合同生效</w:t>
      </w:r>
    </w:p>
    <w:p>
      <w:pPr>
        <w:numPr>
          <w:ilvl w:val="0"/>
          <w:numId w:val="6"/>
        </w:numPr>
        <w:snapToGrid w:val="0"/>
        <w:spacing w:line="288" w:lineRule="auto"/>
        <w:ind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合同经三方法定代表人或授权代表签字并加盖单位公章后生效。</w:t>
      </w:r>
    </w:p>
    <w:p>
      <w:pPr>
        <w:numPr>
          <w:ilvl w:val="0"/>
          <w:numId w:val="6"/>
        </w:numPr>
        <w:snapToGrid w:val="0"/>
        <w:spacing w:line="288" w:lineRule="auto"/>
        <w:ind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合同执行中涉及采购资金和采购内容修改或补充的，须经财政部门审批，并签书面补充协议报政府采购监督管理部门备案，方可作为主合同不可分割的一部分。</w:t>
      </w:r>
    </w:p>
    <w:p>
      <w:pPr>
        <w:numPr>
          <w:ilvl w:val="0"/>
          <w:numId w:val="6"/>
        </w:numPr>
        <w:snapToGrid w:val="0"/>
        <w:spacing w:line="288" w:lineRule="auto"/>
        <w:ind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本合同未尽事宜，遵照《合同法》有关条文执行。</w:t>
      </w:r>
    </w:p>
    <w:p>
      <w:pPr>
        <w:numPr>
          <w:ilvl w:val="0"/>
          <w:numId w:val="6"/>
        </w:numPr>
        <w:snapToGrid w:val="0"/>
        <w:spacing w:line="288" w:lineRule="auto"/>
        <w:ind w:firstLine="396" w:firstLineChars="200"/>
        <w:rPr>
          <w:rFonts w:hint="eastAsia"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本合同一式五份，乙方、采购代理机构各执壹份，甲方执叁份。</w:t>
      </w:r>
    </w:p>
    <w:tbl>
      <w:tblPr>
        <w:tblStyle w:val="22"/>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3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4320" w:type="dxa"/>
            <w:tcBorders>
              <w:top w:val="single" w:color="auto" w:sz="4" w:space="0"/>
              <w:left w:val="single" w:color="auto" w:sz="4" w:space="0"/>
              <w:bottom w:val="single" w:color="auto" w:sz="4" w:space="0"/>
              <w:right w:val="single" w:color="auto" w:sz="4" w:space="0"/>
            </w:tcBorders>
            <w:noWrap w:val="0"/>
            <w:vAlign w:val="center"/>
          </w:tcPr>
          <w:p>
            <w:pPr>
              <w:spacing w:line="288" w:lineRule="auto"/>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甲方（需方）：（公章）</w:t>
            </w:r>
          </w:p>
        </w:tc>
        <w:tc>
          <w:tcPr>
            <w:tcW w:w="3960" w:type="dxa"/>
            <w:tcBorders>
              <w:top w:val="single" w:color="auto" w:sz="4" w:space="0"/>
              <w:left w:val="nil"/>
              <w:bottom w:val="single" w:color="auto" w:sz="4" w:space="0"/>
              <w:right w:val="single" w:color="auto" w:sz="4" w:space="0"/>
            </w:tcBorders>
            <w:noWrap w:val="0"/>
            <w:vAlign w:val="center"/>
          </w:tcPr>
          <w:p>
            <w:pPr>
              <w:spacing w:line="288" w:lineRule="auto"/>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4320" w:type="dxa"/>
            <w:tcBorders>
              <w:top w:val="single" w:color="auto" w:sz="4" w:space="0"/>
              <w:left w:val="single" w:color="auto" w:sz="4" w:space="0"/>
              <w:bottom w:val="single" w:color="auto" w:sz="4" w:space="0"/>
              <w:right w:val="single" w:color="auto" w:sz="4" w:space="0"/>
            </w:tcBorders>
            <w:noWrap w:val="0"/>
            <w:vAlign w:val="center"/>
          </w:tcPr>
          <w:p>
            <w:pPr>
              <w:spacing w:line="288" w:lineRule="auto"/>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甲方代表：</w:t>
            </w:r>
          </w:p>
          <w:p>
            <w:pPr>
              <w:spacing w:line="288" w:lineRule="auto"/>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(签字）</w:t>
            </w:r>
          </w:p>
        </w:tc>
        <w:tc>
          <w:tcPr>
            <w:tcW w:w="3960" w:type="dxa"/>
            <w:tcBorders>
              <w:top w:val="single" w:color="auto" w:sz="4" w:space="0"/>
              <w:left w:val="nil"/>
              <w:bottom w:val="single" w:color="auto" w:sz="4" w:space="0"/>
              <w:right w:val="single" w:color="auto" w:sz="4" w:space="0"/>
            </w:tcBorders>
            <w:noWrap w:val="0"/>
            <w:vAlign w:val="center"/>
          </w:tcPr>
          <w:p>
            <w:pPr>
              <w:spacing w:line="288" w:lineRule="auto"/>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乙方代表：</w:t>
            </w:r>
          </w:p>
          <w:p>
            <w:pPr>
              <w:spacing w:line="288" w:lineRule="auto"/>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top"/>
          </w:tcPr>
          <w:p>
            <w:pP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bidi="ar"/>
              </w:rPr>
              <w:t>地址：杭州市下沙高教园区</w:t>
            </w:r>
          </w:p>
        </w:tc>
        <w:tc>
          <w:tcPr>
            <w:tcW w:w="3960" w:type="dxa"/>
            <w:tcBorders>
              <w:top w:val="single" w:color="auto" w:sz="4" w:space="0"/>
              <w:left w:val="nil"/>
              <w:bottom w:val="single" w:color="auto" w:sz="4" w:space="0"/>
              <w:right w:val="single" w:color="auto" w:sz="4" w:space="0"/>
            </w:tcBorders>
            <w:noWrap w:val="0"/>
            <w:vAlign w:val="center"/>
          </w:tcPr>
          <w:p>
            <w:pPr>
              <w:spacing w:line="288" w:lineRule="auto"/>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top"/>
          </w:tcPr>
          <w:p>
            <w:pP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bidi="ar"/>
              </w:rPr>
              <w:t>邮编：310018</w:t>
            </w:r>
          </w:p>
        </w:tc>
        <w:tc>
          <w:tcPr>
            <w:tcW w:w="3960" w:type="dxa"/>
            <w:tcBorders>
              <w:top w:val="single" w:color="auto" w:sz="4" w:space="0"/>
              <w:left w:val="nil"/>
              <w:bottom w:val="single" w:color="auto" w:sz="4" w:space="0"/>
              <w:right w:val="single" w:color="auto" w:sz="4" w:space="0"/>
            </w:tcBorders>
            <w:noWrap w:val="0"/>
            <w:vAlign w:val="center"/>
          </w:tcPr>
          <w:p>
            <w:pPr>
              <w:spacing w:line="288" w:lineRule="auto"/>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top"/>
          </w:tcPr>
          <w:p>
            <w:pP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bidi="ar"/>
              </w:rPr>
              <w:t>电话：86878697</w:t>
            </w:r>
          </w:p>
        </w:tc>
        <w:tc>
          <w:tcPr>
            <w:tcW w:w="3960" w:type="dxa"/>
            <w:tcBorders>
              <w:top w:val="single" w:color="auto" w:sz="4" w:space="0"/>
              <w:left w:val="nil"/>
              <w:bottom w:val="single" w:color="auto" w:sz="4" w:space="0"/>
              <w:right w:val="single" w:color="auto" w:sz="4" w:space="0"/>
            </w:tcBorders>
            <w:noWrap w:val="0"/>
            <w:vAlign w:val="center"/>
          </w:tcPr>
          <w:p>
            <w:pPr>
              <w:spacing w:line="288" w:lineRule="auto"/>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top"/>
          </w:tcPr>
          <w:p>
            <w:pP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bidi="ar"/>
              </w:rPr>
              <w:t>传真：86878697</w:t>
            </w:r>
          </w:p>
        </w:tc>
        <w:tc>
          <w:tcPr>
            <w:tcW w:w="3960" w:type="dxa"/>
            <w:tcBorders>
              <w:top w:val="single" w:color="auto" w:sz="4" w:space="0"/>
              <w:left w:val="nil"/>
              <w:bottom w:val="single" w:color="auto" w:sz="4" w:space="0"/>
              <w:right w:val="single" w:color="auto" w:sz="4" w:space="0"/>
            </w:tcBorders>
            <w:noWrap w:val="0"/>
            <w:vAlign w:val="center"/>
          </w:tcPr>
          <w:p>
            <w:pPr>
              <w:spacing w:line="288" w:lineRule="auto"/>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top"/>
          </w:tcPr>
          <w:p>
            <w:pP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bidi="ar"/>
              </w:rPr>
              <w:t>开户银行：工行高新支行</w:t>
            </w:r>
          </w:p>
        </w:tc>
        <w:tc>
          <w:tcPr>
            <w:tcW w:w="3960" w:type="dxa"/>
            <w:tcBorders>
              <w:top w:val="single" w:color="auto" w:sz="4" w:space="0"/>
              <w:left w:val="nil"/>
              <w:bottom w:val="single" w:color="auto" w:sz="4" w:space="0"/>
              <w:right w:val="single" w:color="auto" w:sz="4" w:space="0"/>
            </w:tcBorders>
            <w:noWrap w:val="0"/>
            <w:vAlign w:val="center"/>
          </w:tcPr>
          <w:p>
            <w:pPr>
              <w:spacing w:line="288" w:lineRule="auto"/>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top"/>
          </w:tcPr>
          <w:p>
            <w:pP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bidi="ar"/>
              </w:rPr>
              <w:t>帐号：1202026209008806216</w:t>
            </w:r>
          </w:p>
        </w:tc>
        <w:tc>
          <w:tcPr>
            <w:tcW w:w="3960" w:type="dxa"/>
            <w:tcBorders>
              <w:top w:val="single" w:color="auto" w:sz="4" w:space="0"/>
              <w:left w:val="nil"/>
              <w:bottom w:val="single" w:color="auto" w:sz="4" w:space="0"/>
              <w:right w:val="single" w:color="auto" w:sz="4" w:space="0"/>
            </w:tcBorders>
            <w:noWrap w:val="0"/>
            <w:vAlign w:val="center"/>
          </w:tcPr>
          <w:p>
            <w:pPr>
              <w:spacing w:line="288" w:lineRule="auto"/>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noWrap w:val="0"/>
            <w:vAlign w:val="center"/>
          </w:tcPr>
          <w:p>
            <w:pPr>
              <w:spacing w:line="288" w:lineRule="auto"/>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签字日期：      年  月  日</w:t>
            </w:r>
          </w:p>
        </w:tc>
        <w:tc>
          <w:tcPr>
            <w:tcW w:w="3960" w:type="dxa"/>
            <w:tcBorders>
              <w:top w:val="single" w:color="auto" w:sz="4" w:space="0"/>
              <w:left w:val="nil"/>
              <w:bottom w:val="single" w:color="auto" w:sz="4" w:space="0"/>
              <w:right w:val="single" w:color="auto" w:sz="4" w:space="0"/>
            </w:tcBorders>
            <w:noWrap w:val="0"/>
            <w:vAlign w:val="center"/>
          </w:tcPr>
          <w:p>
            <w:pPr>
              <w:spacing w:line="288" w:lineRule="auto"/>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vMerge w:val="restart"/>
            <w:tcBorders>
              <w:top w:val="nil"/>
              <w:left w:val="single" w:color="auto" w:sz="4" w:space="0"/>
              <w:bottom w:val="single" w:color="auto" w:sz="4" w:space="0"/>
              <w:right w:val="single" w:color="auto" w:sz="4" w:space="0"/>
            </w:tcBorders>
            <w:noWrap w:val="0"/>
            <w:vAlign w:val="top"/>
          </w:tcPr>
          <w:p>
            <w:pPr>
              <w:spacing w:line="288" w:lineRule="auto"/>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noWrap w:val="0"/>
            <w:vAlign w:val="top"/>
          </w:tcPr>
          <w:p>
            <w:pPr>
              <w:rPr>
                <w:rFonts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noWrap w:val="0"/>
            <w:vAlign w:val="top"/>
          </w:tcPr>
          <w:p>
            <w:pPr>
              <w:rPr>
                <w:rFonts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vMerge w:val="restart"/>
            <w:tcBorders>
              <w:top w:val="nil"/>
              <w:left w:val="single" w:color="auto" w:sz="4" w:space="0"/>
              <w:bottom w:val="single" w:color="auto" w:sz="4" w:space="0"/>
              <w:right w:val="single" w:color="auto" w:sz="4" w:space="0"/>
            </w:tcBorders>
            <w:noWrap w:val="0"/>
            <w:vAlign w:val="top"/>
          </w:tcPr>
          <w:p>
            <w:pPr>
              <w:spacing w:line="288" w:lineRule="auto"/>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采购代理机构代表：</w:t>
            </w:r>
          </w:p>
          <w:p>
            <w:pPr>
              <w:snapToGrid w:val="0"/>
              <w:spacing w:line="288" w:lineRule="auto"/>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noWrap w:val="0"/>
            <w:vAlign w:val="top"/>
          </w:tcPr>
          <w:p>
            <w:pPr>
              <w:rPr>
                <w:rFonts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noWrap w:val="0"/>
            <w:vAlign w:val="top"/>
          </w:tcPr>
          <w:p>
            <w:pPr>
              <w:rPr>
                <w:rFonts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vMerge w:val="restart"/>
            <w:tcBorders>
              <w:top w:val="nil"/>
              <w:left w:val="single" w:color="auto" w:sz="4" w:space="0"/>
              <w:bottom w:val="single" w:color="auto" w:sz="4" w:space="0"/>
              <w:right w:val="single" w:color="auto" w:sz="4" w:space="0"/>
            </w:tcBorders>
            <w:noWrap w:val="0"/>
            <w:vAlign w:val="center"/>
          </w:tcPr>
          <w:p>
            <w:pPr>
              <w:snapToGrid w:val="0"/>
              <w:spacing w:line="288" w:lineRule="auto"/>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lang w:bidi="ar"/>
              </w:rPr>
              <w:t>签约时间：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noWrap w:val="0"/>
            <w:vAlign w:val="center"/>
          </w:tcPr>
          <w:p>
            <w:pPr>
              <w:rPr>
                <w:rFonts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noWrap w:val="0"/>
            <w:vAlign w:val="center"/>
          </w:tcPr>
          <w:p>
            <w:pPr>
              <w:rPr>
                <w:rFonts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noWrap w:val="0"/>
            <w:vAlign w:val="center"/>
          </w:tcPr>
          <w:p>
            <w:pPr>
              <w:rPr>
                <w:rFonts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noWrap w:val="0"/>
            <w:vAlign w:val="center"/>
          </w:tcPr>
          <w:p>
            <w:pPr>
              <w:rPr>
                <w:rFonts w:ascii="Times New Roman" w:hAnsi="Times New Roman" w:eastAsia="宋体" w:cs="Times New Roman"/>
                <w:color w:val="auto"/>
                <w:sz w:val="20"/>
                <w:szCs w:val="20"/>
                <w:highlight w:val="none"/>
              </w:rPr>
            </w:pPr>
          </w:p>
        </w:tc>
      </w:tr>
    </w:tbl>
    <w:p>
      <w:pPr>
        <w:widowControl w:val="0"/>
        <w:snapToGrid w:val="0"/>
        <w:spacing w:before="0" w:beforeLines="0" w:beforeAutospacing="0" w:after="0" w:afterLines="0" w:afterAutospacing="0" w:line="360" w:lineRule="auto"/>
        <w:ind w:left="5103" w:hanging="5103" w:hangingChars="243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
        </w:rPr>
        <w:t xml:space="preserve"> </w:t>
      </w:r>
    </w:p>
    <w:p>
      <w:pPr>
        <w:spacing w:line="288" w:lineRule="auto"/>
        <w:ind w:firstLine="420"/>
        <w:rPr>
          <w:rFonts w:ascii="宋体" w:hAnsi="宋体" w:cs="宋体"/>
          <w:color w:val="auto"/>
          <w:sz w:val="21"/>
          <w:szCs w:val="21"/>
          <w:highlight w:val="none"/>
          <w:lang w:val="zh-CN"/>
        </w:rPr>
      </w:pPr>
    </w:p>
    <w:p>
      <w:pPr>
        <w:spacing w:line="288" w:lineRule="auto"/>
        <w:jc w:val="center"/>
        <w:outlineLvl w:val="0"/>
        <w:rPr>
          <w:color w:val="auto"/>
          <w:highlight w:val="none"/>
        </w:rPr>
      </w:pPr>
      <w:r>
        <w:rPr>
          <w:rFonts w:ascii="宋体" w:hAnsi="宋体" w:cs="宋体"/>
          <w:color w:val="auto"/>
          <w:sz w:val="21"/>
          <w:szCs w:val="21"/>
          <w:highlight w:val="none"/>
          <w:lang w:val="zh-CN"/>
        </w:rPr>
        <w:br w:type="page"/>
      </w:r>
      <w:r>
        <w:rPr>
          <w:rFonts w:ascii="宋体" w:hAnsi="宋体"/>
          <w:b/>
          <w:color w:val="auto"/>
          <w:sz w:val="32"/>
          <w:szCs w:val="32"/>
          <w:highlight w:val="none"/>
        </w:rPr>
        <w:t>第六章</w:t>
      </w:r>
      <w:r>
        <w:rPr>
          <w:rFonts w:hint="eastAsia" w:ascii="宋体" w:hAnsi="宋体"/>
          <w:b/>
          <w:color w:val="auto"/>
          <w:sz w:val="32"/>
          <w:szCs w:val="32"/>
          <w:highlight w:val="none"/>
        </w:rPr>
        <w:t xml:space="preserve">  </w:t>
      </w:r>
      <w:r>
        <w:rPr>
          <w:rFonts w:ascii="宋体" w:hAnsi="宋体"/>
          <w:b/>
          <w:color w:val="auto"/>
          <w:sz w:val="32"/>
          <w:szCs w:val="32"/>
          <w:highlight w:val="none"/>
        </w:rPr>
        <w:t>投标文件格式</w:t>
      </w:r>
    </w:p>
    <w:p>
      <w:pPr>
        <w:spacing w:line="360" w:lineRule="auto"/>
        <w:rPr>
          <w:rFonts w:hint="eastAsia" w:ascii="宋体" w:hAnsi="宋体"/>
          <w:b/>
          <w:bCs/>
          <w:color w:val="auto"/>
          <w:spacing w:val="-6"/>
          <w:sz w:val="24"/>
          <w:highlight w:val="none"/>
        </w:rPr>
      </w:pPr>
    </w:p>
    <w:p>
      <w:pPr>
        <w:pStyle w:val="12"/>
        <w:spacing w:before="0" w:beforeLines="0" w:after="0" w:afterLines="0" w:line="360" w:lineRule="auto"/>
        <w:ind w:firstLine="398" w:firstLineChars="200"/>
        <w:jc w:val="center"/>
        <w:rPr>
          <w:rFonts w:hint="eastAsia" w:hAnsi="宋体"/>
          <w:bCs/>
          <w:color w:val="auto"/>
          <w:spacing w:val="-6"/>
          <w:highlight w:val="none"/>
        </w:rPr>
      </w:pPr>
      <w:r>
        <w:rPr>
          <w:rFonts w:hint="eastAsia" w:hAnsi="宋体"/>
          <w:b/>
          <w:bCs/>
          <w:color w:val="auto"/>
          <w:spacing w:val="-6"/>
          <w:sz w:val="21"/>
          <w:szCs w:val="21"/>
          <w:highlight w:val="none"/>
        </w:rPr>
        <w:t>投标文件的编制应按照本项目：“第三章  投标人须知”</w:t>
      </w:r>
      <w:r>
        <w:rPr>
          <w:rFonts w:hAnsi="宋体"/>
          <w:b/>
          <w:color w:val="auto"/>
          <w:spacing w:val="-6"/>
          <w:sz w:val="21"/>
          <w:szCs w:val="21"/>
          <w:highlight w:val="none"/>
        </w:rPr>
        <w:t>三</w:t>
      </w:r>
      <w:r>
        <w:rPr>
          <w:rFonts w:hint="eastAsia" w:hAnsi="宋体"/>
          <w:b/>
          <w:color w:val="auto"/>
          <w:spacing w:val="-6"/>
          <w:sz w:val="21"/>
          <w:szCs w:val="21"/>
          <w:highlight w:val="none"/>
        </w:rPr>
        <w:t>、</w:t>
      </w:r>
      <w:r>
        <w:rPr>
          <w:rFonts w:hAnsi="宋体"/>
          <w:b/>
          <w:color w:val="auto"/>
          <w:spacing w:val="-6"/>
          <w:sz w:val="21"/>
          <w:szCs w:val="21"/>
          <w:highlight w:val="none"/>
        </w:rPr>
        <w:t>投标文件的编制</w:t>
      </w:r>
      <w:r>
        <w:rPr>
          <w:rFonts w:hint="eastAsia" w:hAnsi="宋体"/>
          <w:b/>
          <w:color w:val="auto"/>
          <w:spacing w:val="-6"/>
          <w:sz w:val="21"/>
          <w:szCs w:val="21"/>
          <w:highlight w:val="none"/>
        </w:rPr>
        <w:t>的要求编制。</w:t>
      </w:r>
    </w:p>
    <w:p>
      <w:pPr>
        <w:spacing w:line="360" w:lineRule="auto"/>
        <w:outlineLvl w:val="1"/>
        <w:rPr>
          <w:rFonts w:ascii="宋体" w:hAnsi="宋体"/>
          <w:bCs/>
          <w:color w:val="auto"/>
          <w:spacing w:val="-6"/>
          <w:sz w:val="24"/>
          <w:highlight w:val="none"/>
        </w:rPr>
      </w:pPr>
    </w:p>
    <w:p>
      <w:pPr>
        <w:spacing w:line="360" w:lineRule="auto"/>
        <w:jc w:val="center"/>
        <w:rPr>
          <w:rFonts w:hint="eastAsia" w:ascii="宋体" w:hAnsi="宋体"/>
          <w:b/>
          <w:bCs/>
          <w:color w:val="auto"/>
          <w:spacing w:val="-6"/>
          <w:sz w:val="24"/>
          <w:highlight w:val="none"/>
        </w:rPr>
      </w:pPr>
      <w:r>
        <w:rPr>
          <w:rFonts w:hint="eastAsia" w:ascii="宋体" w:hAnsi="宋体"/>
          <w:b/>
          <w:bCs/>
          <w:color w:val="auto"/>
          <w:spacing w:val="-6"/>
          <w:sz w:val="24"/>
          <w:highlight w:val="none"/>
        </w:rPr>
        <w:t>外层包装（封签）</w:t>
      </w:r>
    </w:p>
    <w:p>
      <w:pPr>
        <w:spacing w:line="360" w:lineRule="auto"/>
        <w:rPr>
          <w:rFonts w:hint="eastAsia" w:ascii="宋体" w:hAnsi="宋体"/>
          <w:color w:val="auto"/>
          <w:spacing w:val="-6"/>
          <w:sz w:val="24"/>
          <w:highlight w:val="none"/>
        </w:rPr>
      </w:pPr>
    </w:p>
    <w:p>
      <w:pPr>
        <w:spacing w:line="360" w:lineRule="auto"/>
        <w:jc w:val="center"/>
        <w:rPr>
          <w:rFonts w:hint="eastAsia" w:ascii="宋体" w:hAnsi="宋体"/>
          <w:bCs/>
          <w:color w:val="auto"/>
          <w:spacing w:val="-6"/>
          <w:sz w:val="24"/>
          <w:highlight w:val="none"/>
        </w:rPr>
      </w:pPr>
      <w:r>
        <w:rPr>
          <w:rFonts w:hint="eastAsia" w:ascii="宋体" w:hAnsi="宋体"/>
          <w:bCs/>
          <w:color w:val="auto"/>
          <w:spacing w:val="-6"/>
          <w:sz w:val="24"/>
          <w:highlight w:val="none"/>
          <w:u w:val="single"/>
        </w:rPr>
        <w:t xml:space="preserve">                    </w:t>
      </w:r>
      <w:r>
        <w:rPr>
          <w:rFonts w:hint="eastAsia" w:ascii="宋体" w:hAnsi="宋体"/>
          <w:bCs/>
          <w:color w:val="auto"/>
          <w:spacing w:val="-6"/>
          <w:sz w:val="24"/>
          <w:highlight w:val="none"/>
        </w:rPr>
        <w:t>（投标人名称）</w:t>
      </w:r>
    </w:p>
    <w:p>
      <w:pPr>
        <w:spacing w:line="360" w:lineRule="auto"/>
        <w:jc w:val="center"/>
        <w:rPr>
          <w:rFonts w:hint="eastAsia" w:ascii="宋体" w:hAnsi="宋体"/>
          <w:b/>
          <w:bCs/>
          <w:color w:val="auto"/>
          <w:spacing w:val="-6"/>
          <w:sz w:val="24"/>
          <w:highlight w:val="none"/>
        </w:rPr>
      </w:pPr>
      <w:r>
        <w:rPr>
          <w:rFonts w:hint="eastAsia" w:ascii="宋体" w:hAnsi="宋体"/>
          <w:b/>
          <w:bCs/>
          <w:color w:val="auto"/>
          <w:spacing w:val="-6"/>
          <w:sz w:val="24"/>
          <w:highlight w:val="none"/>
          <w:lang w:val="en-US" w:eastAsia="zh-CN"/>
        </w:rPr>
        <w:t>备 份</w:t>
      </w:r>
      <w:r>
        <w:rPr>
          <w:rFonts w:hint="eastAsia" w:ascii="宋体" w:hAnsi="宋体"/>
          <w:b/>
          <w:bCs/>
          <w:color w:val="auto"/>
          <w:spacing w:val="-6"/>
          <w:sz w:val="24"/>
          <w:highlight w:val="none"/>
        </w:rPr>
        <w:t xml:space="preserve"> 文 件</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采 购 人：</w:t>
      </w:r>
      <w:r>
        <w:rPr>
          <w:rFonts w:hint="eastAsia" w:ascii="宋体" w:hAnsi="宋体"/>
          <w:bCs/>
          <w:color w:val="auto"/>
          <w:spacing w:val="-6"/>
          <w:sz w:val="24"/>
          <w:highlight w:val="none"/>
          <w:lang w:eastAsia="zh-CN"/>
        </w:rPr>
        <w:t>杭州电子科技大学</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项目名称：</w:t>
      </w:r>
      <w:r>
        <w:rPr>
          <w:rFonts w:hint="eastAsia" w:ascii="宋体" w:hAnsi="宋体"/>
          <w:bCs/>
          <w:color w:val="auto"/>
          <w:spacing w:val="-6"/>
          <w:sz w:val="24"/>
          <w:highlight w:val="none"/>
          <w:lang w:eastAsia="zh-CN"/>
        </w:rPr>
        <w:t>微波暗室测试系统</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项目编号：</w:t>
      </w:r>
      <w:r>
        <w:rPr>
          <w:rFonts w:hint="eastAsia" w:ascii="宋体" w:hAnsi="宋体"/>
          <w:bCs/>
          <w:color w:val="auto"/>
          <w:spacing w:val="-6"/>
          <w:sz w:val="24"/>
          <w:highlight w:val="none"/>
          <w:lang w:eastAsia="zh-CN"/>
        </w:rPr>
        <w:t xml:space="preserve">QSZB-Z(H)-B20095(GK) </w:t>
      </w:r>
    </w:p>
    <w:p>
      <w:pPr>
        <w:spacing w:line="360" w:lineRule="auto"/>
        <w:rPr>
          <w:rFonts w:hint="default" w:ascii="宋体" w:hAnsi="宋体" w:eastAsia="宋体"/>
          <w:bCs/>
          <w:color w:val="auto"/>
          <w:spacing w:val="-6"/>
          <w:sz w:val="24"/>
          <w:highlight w:val="none"/>
          <w:lang w:val="en-US" w:eastAsia="zh-CN"/>
        </w:rPr>
      </w:pPr>
      <w:r>
        <w:rPr>
          <w:rFonts w:hint="eastAsia" w:ascii="宋体" w:hAnsi="宋体"/>
          <w:bCs/>
          <w:color w:val="auto"/>
          <w:spacing w:val="-6"/>
          <w:sz w:val="24"/>
          <w:highlight w:val="none"/>
        </w:rPr>
        <w:t>投标文件名称：</w:t>
      </w: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投标人名称（盖章）：</w:t>
      </w: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投标人地址：</w:t>
      </w: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在  年  月  日  时  分之前不得启封</w:t>
      </w:r>
    </w:p>
    <w:p>
      <w:pPr>
        <w:spacing w:line="360" w:lineRule="auto"/>
        <w:rPr>
          <w:rFonts w:hint="eastAsia" w:ascii="宋体" w:hAnsi="宋体"/>
          <w:bCs/>
          <w:color w:val="auto"/>
          <w:spacing w:val="-6"/>
          <w:sz w:val="24"/>
          <w:highlight w:val="none"/>
        </w:rPr>
      </w:pPr>
    </w:p>
    <w:p>
      <w:pPr>
        <w:spacing w:line="360" w:lineRule="auto"/>
        <w:rPr>
          <w:rFonts w:hint="eastAsia" w:ascii="宋体" w:hAnsi="宋体"/>
          <w:bCs/>
          <w:color w:val="auto"/>
          <w:spacing w:val="-6"/>
          <w:sz w:val="24"/>
          <w:highlight w:val="none"/>
        </w:rPr>
      </w:pPr>
      <w:r>
        <w:rPr>
          <w:rFonts w:hint="eastAsia" w:ascii="宋体" w:hAnsi="宋体"/>
          <w:color w:val="auto"/>
          <w:spacing w:val="-6"/>
          <w:sz w:val="24"/>
          <w:highlight w:val="none"/>
        </w:rPr>
        <w:t>投标人代表签字</w:t>
      </w:r>
      <w:r>
        <w:rPr>
          <w:rFonts w:hint="eastAsia" w:ascii="宋体" w:hAnsi="宋体"/>
          <w:bCs/>
          <w:color w:val="auto"/>
          <w:spacing w:val="-6"/>
          <w:sz w:val="24"/>
          <w:highlight w:val="none"/>
        </w:rPr>
        <w:t>：</w:t>
      </w: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 xml:space="preserve">日期：  </w:t>
      </w:r>
      <w:r>
        <w:rPr>
          <w:rFonts w:ascii="宋体" w:hAnsi="宋体"/>
          <w:bCs/>
          <w:color w:val="auto"/>
          <w:spacing w:val="-6"/>
          <w:sz w:val="24"/>
          <w:highlight w:val="none"/>
        </w:rPr>
        <w:t xml:space="preserve">  </w:t>
      </w:r>
      <w:r>
        <w:rPr>
          <w:rFonts w:hint="eastAsia" w:ascii="宋体" w:hAnsi="宋体"/>
          <w:bCs/>
          <w:color w:val="auto"/>
          <w:spacing w:val="-6"/>
          <w:sz w:val="24"/>
          <w:highlight w:val="none"/>
        </w:rPr>
        <w:t>年  月  日</w:t>
      </w:r>
    </w:p>
    <w:p>
      <w:pPr>
        <w:spacing w:line="360" w:lineRule="auto"/>
        <w:outlineLvl w:val="1"/>
        <w:rPr>
          <w:rFonts w:ascii="宋体" w:hAnsi="宋体"/>
          <w:bCs/>
          <w:color w:val="auto"/>
          <w:spacing w:val="-6"/>
          <w:sz w:val="24"/>
          <w:highlight w:val="none"/>
        </w:rPr>
      </w:pPr>
    </w:p>
    <w:p>
      <w:pPr>
        <w:spacing w:line="360" w:lineRule="auto"/>
        <w:outlineLvl w:val="1"/>
        <w:rPr>
          <w:rFonts w:hint="eastAsia" w:ascii="宋体" w:hAnsi="宋体"/>
          <w:color w:val="auto"/>
          <w:spacing w:val="-6"/>
          <w:sz w:val="24"/>
          <w:highlight w:val="none"/>
        </w:rPr>
      </w:pPr>
      <w:r>
        <w:rPr>
          <w:rFonts w:ascii="宋体" w:hAnsi="宋体"/>
          <w:bCs/>
          <w:color w:val="auto"/>
          <w:spacing w:val="-6"/>
          <w:sz w:val="24"/>
          <w:highlight w:val="none"/>
        </w:rPr>
        <w:br w:type="page"/>
      </w:r>
      <w:r>
        <w:rPr>
          <w:rFonts w:hint="eastAsia" w:ascii="宋体" w:hAnsi="宋体"/>
          <w:bCs/>
          <w:color w:val="auto"/>
          <w:spacing w:val="-6"/>
          <w:sz w:val="24"/>
          <w:highlight w:val="none"/>
        </w:rPr>
        <w:t>资格</w:t>
      </w:r>
      <w:r>
        <w:rPr>
          <w:rFonts w:ascii="宋体" w:hAnsi="宋体"/>
          <w:bCs/>
          <w:color w:val="auto"/>
          <w:spacing w:val="-6"/>
          <w:sz w:val="24"/>
          <w:highlight w:val="none"/>
        </w:rPr>
        <w:t>文件</w:t>
      </w:r>
      <w:r>
        <w:rPr>
          <w:rFonts w:hint="eastAsia" w:ascii="宋体" w:hAnsi="宋体"/>
          <w:color w:val="auto"/>
          <w:spacing w:val="-6"/>
          <w:sz w:val="24"/>
          <w:highlight w:val="none"/>
        </w:rPr>
        <w:t>封面</w:t>
      </w:r>
    </w:p>
    <w:p>
      <w:pPr>
        <w:spacing w:line="360" w:lineRule="auto"/>
        <w:jc w:val="right"/>
        <w:rPr>
          <w:rFonts w:hint="eastAsia" w:ascii="宋体" w:hAnsi="宋体"/>
          <w:color w:val="auto"/>
          <w:spacing w:val="-6"/>
          <w:sz w:val="24"/>
          <w:highlight w:val="none"/>
        </w:rPr>
      </w:pPr>
    </w:p>
    <w:p>
      <w:pPr>
        <w:spacing w:line="360" w:lineRule="auto"/>
        <w:rPr>
          <w:rFonts w:hint="eastAsia" w:ascii="宋体" w:hAnsi="宋体"/>
          <w:color w:val="auto"/>
          <w:spacing w:val="-6"/>
          <w:sz w:val="24"/>
          <w:highlight w:val="none"/>
        </w:rPr>
      </w:pPr>
    </w:p>
    <w:p>
      <w:pPr>
        <w:spacing w:line="360" w:lineRule="auto"/>
        <w:jc w:val="center"/>
        <w:rPr>
          <w:rFonts w:hint="eastAsia" w:ascii="宋体" w:hAnsi="宋体"/>
          <w:bCs/>
          <w:color w:val="auto"/>
          <w:spacing w:val="-6"/>
          <w:sz w:val="24"/>
          <w:highlight w:val="none"/>
        </w:rPr>
      </w:pPr>
      <w:r>
        <w:rPr>
          <w:rFonts w:hint="eastAsia" w:ascii="宋体" w:hAnsi="宋体"/>
          <w:bCs/>
          <w:color w:val="auto"/>
          <w:spacing w:val="-6"/>
          <w:sz w:val="24"/>
          <w:highlight w:val="none"/>
          <w:u w:val="single"/>
        </w:rPr>
        <w:t xml:space="preserve">                    </w:t>
      </w:r>
      <w:r>
        <w:rPr>
          <w:rFonts w:hint="eastAsia" w:ascii="宋体" w:hAnsi="宋体"/>
          <w:bCs/>
          <w:color w:val="auto"/>
          <w:spacing w:val="-6"/>
          <w:sz w:val="24"/>
          <w:highlight w:val="none"/>
        </w:rPr>
        <w:t>（投标人名称）</w:t>
      </w:r>
    </w:p>
    <w:p>
      <w:pPr>
        <w:spacing w:line="360" w:lineRule="auto"/>
        <w:jc w:val="center"/>
        <w:rPr>
          <w:rFonts w:hint="eastAsia" w:ascii="宋体" w:hAnsi="宋体"/>
          <w:b/>
          <w:bCs/>
          <w:color w:val="auto"/>
          <w:spacing w:val="-6"/>
          <w:sz w:val="24"/>
          <w:highlight w:val="none"/>
        </w:rPr>
      </w:pPr>
      <w:r>
        <w:rPr>
          <w:rFonts w:hint="eastAsia" w:ascii="宋体" w:hAnsi="宋体"/>
          <w:b/>
          <w:bCs/>
          <w:color w:val="auto"/>
          <w:spacing w:val="-6"/>
          <w:sz w:val="24"/>
          <w:highlight w:val="none"/>
        </w:rPr>
        <w:t>资格文件</w:t>
      </w:r>
    </w:p>
    <w:p>
      <w:pPr>
        <w:spacing w:line="360" w:lineRule="auto"/>
        <w:rPr>
          <w:rFonts w:hint="eastAsia" w:ascii="宋体" w:hAnsi="宋体"/>
          <w:bCs/>
          <w:color w:val="auto"/>
          <w:spacing w:val="-6"/>
          <w:sz w:val="24"/>
          <w:highlight w:val="none"/>
        </w:rPr>
      </w:pP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采 购 人：</w:t>
      </w:r>
      <w:r>
        <w:rPr>
          <w:rFonts w:hint="eastAsia" w:ascii="宋体" w:hAnsi="宋体"/>
          <w:bCs/>
          <w:color w:val="auto"/>
          <w:spacing w:val="-6"/>
          <w:sz w:val="24"/>
          <w:highlight w:val="none"/>
          <w:lang w:eastAsia="zh-CN"/>
        </w:rPr>
        <w:t>杭州电子科技大学</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项目名称：</w:t>
      </w:r>
      <w:r>
        <w:rPr>
          <w:rFonts w:hint="eastAsia" w:ascii="宋体" w:hAnsi="宋体"/>
          <w:bCs/>
          <w:color w:val="auto"/>
          <w:spacing w:val="-6"/>
          <w:sz w:val="24"/>
          <w:highlight w:val="none"/>
          <w:lang w:eastAsia="zh-CN"/>
        </w:rPr>
        <w:t>微波暗室测试系统</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项目编号：</w:t>
      </w:r>
      <w:r>
        <w:rPr>
          <w:rFonts w:hint="eastAsia" w:ascii="宋体" w:hAnsi="宋体"/>
          <w:bCs/>
          <w:color w:val="auto"/>
          <w:spacing w:val="-6"/>
          <w:sz w:val="24"/>
          <w:highlight w:val="none"/>
          <w:lang w:eastAsia="zh-CN"/>
        </w:rPr>
        <w:t xml:space="preserve">QSZB-Z(H)-B20095(GK) </w:t>
      </w: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投标人名称（盖章）：</w:t>
      </w: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投标人地址：</w:t>
      </w:r>
    </w:p>
    <w:p>
      <w:pPr>
        <w:spacing w:line="360" w:lineRule="auto"/>
        <w:rPr>
          <w:rFonts w:hint="eastAsia" w:ascii="宋体" w:hAnsi="宋体"/>
          <w:bCs/>
          <w:color w:val="auto"/>
          <w:spacing w:val="-6"/>
          <w:sz w:val="24"/>
          <w:highlight w:val="none"/>
        </w:rPr>
      </w:pP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投标人代表签字：</w:t>
      </w:r>
    </w:p>
    <w:p>
      <w:pPr>
        <w:spacing w:line="360" w:lineRule="auto"/>
        <w:rPr>
          <w:rFonts w:ascii="宋体" w:hAnsi="宋体"/>
          <w:color w:val="auto"/>
          <w:spacing w:val="-6"/>
          <w:sz w:val="21"/>
          <w:szCs w:val="21"/>
          <w:highlight w:val="none"/>
        </w:rPr>
      </w:pPr>
      <w:r>
        <w:rPr>
          <w:rFonts w:hint="eastAsia" w:ascii="宋体" w:hAnsi="宋体"/>
          <w:bCs/>
          <w:color w:val="auto"/>
          <w:spacing w:val="-6"/>
          <w:sz w:val="24"/>
          <w:highlight w:val="none"/>
        </w:rPr>
        <w:t>日期：     年   月   日</w:t>
      </w:r>
    </w:p>
    <w:p>
      <w:pPr>
        <w:pStyle w:val="2"/>
        <w:spacing w:line="480" w:lineRule="auto"/>
        <w:ind w:firstLine="0"/>
        <w:jc w:val="center"/>
        <w:rPr>
          <w:rFonts w:hAnsi="宋体"/>
          <w:b/>
          <w:color w:val="auto"/>
          <w:spacing w:val="-6"/>
          <w:sz w:val="24"/>
          <w:highlight w:val="none"/>
        </w:rPr>
      </w:pPr>
      <w:r>
        <w:rPr>
          <w:rFonts w:hAnsi="宋体"/>
          <w:b/>
          <w:color w:val="auto"/>
          <w:spacing w:val="-6"/>
          <w:sz w:val="24"/>
          <w:highlight w:val="none"/>
        </w:rPr>
        <w:br w:type="page"/>
      </w: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360" w:lineRule="auto"/>
        <w:ind w:firstLine="0"/>
        <w:jc w:val="center"/>
        <w:outlineLvl w:val="1"/>
        <w:rPr>
          <w:rFonts w:hAnsi="宋体"/>
          <w:b/>
          <w:color w:val="auto"/>
          <w:spacing w:val="-6"/>
          <w:sz w:val="84"/>
          <w:szCs w:val="84"/>
          <w:highlight w:val="none"/>
        </w:rPr>
      </w:pPr>
      <w:r>
        <w:rPr>
          <w:rFonts w:hint="eastAsia" w:hAnsi="宋体"/>
          <w:b/>
          <w:color w:val="auto"/>
          <w:spacing w:val="-6"/>
          <w:sz w:val="84"/>
          <w:szCs w:val="84"/>
          <w:highlight w:val="none"/>
        </w:rPr>
        <w:t>资格文件</w:t>
      </w:r>
    </w:p>
    <w:p>
      <w:pPr>
        <w:pStyle w:val="2"/>
        <w:spacing w:line="360" w:lineRule="auto"/>
        <w:ind w:firstLine="0"/>
        <w:jc w:val="center"/>
        <w:rPr>
          <w:rFonts w:hint="eastAsia" w:hAnsi="宋体"/>
          <w:b/>
          <w:bCs/>
          <w:color w:val="auto"/>
          <w:spacing w:val="-6"/>
          <w:sz w:val="24"/>
          <w:szCs w:val="24"/>
          <w:highlight w:val="none"/>
        </w:rPr>
      </w:pPr>
      <w:r>
        <w:rPr>
          <w:rFonts w:hint="eastAsia" w:hAnsi="宋体"/>
          <w:b/>
          <w:bCs/>
          <w:color w:val="auto"/>
          <w:spacing w:val="-6"/>
          <w:sz w:val="24"/>
          <w:szCs w:val="24"/>
          <w:highlight w:val="none"/>
        </w:rPr>
        <w:t>资格审查要求的资格证明材料(均需加盖公章)</w:t>
      </w:r>
    </w:p>
    <w:p>
      <w:pPr>
        <w:pStyle w:val="2"/>
        <w:spacing w:line="360" w:lineRule="auto"/>
        <w:ind w:firstLine="0"/>
        <w:jc w:val="center"/>
        <w:outlineLvl w:val="2"/>
        <w:rPr>
          <w:rFonts w:hAnsi="宋体"/>
          <w:b/>
          <w:color w:val="auto"/>
          <w:spacing w:val="-6"/>
          <w:sz w:val="24"/>
          <w:szCs w:val="24"/>
          <w:highlight w:val="none"/>
        </w:rPr>
      </w:pPr>
      <w:r>
        <w:rPr>
          <w:rFonts w:hint="eastAsia" w:hAnsi="宋体"/>
          <w:b/>
          <w:bCs/>
          <w:color w:val="auto"/>
          <w:spacing w:val="-6"/>
          <w:sz w:val="24"/>
          <w:szCs w:val="24"/>
          <w:highlight w:val="none"/>
        </w:rPr>
        <w:br w:type="page"/>
      </w:r>
      <w:r>
        <w:rPr>
          <w:rFonts w:hint="eastAsia" w:hAnsi="宋体"/>
          <w:b/>
          <w:color w:val="auto"/>
          <w:spacing w:val="-6"/>
          <w:sz w:val="24"/>
          <w:szCs w:val="24"/>
          <w:highlight w:val="none"/>
        </w:rPr>
        <w:t>有效的法人或者其他组织的营业执照等证明文件（复印件），自然人的身份证明</w:t>
      </w:r>
    </w:p>
    <w:p>
      <w:pPr>
        <w:pStyle w:val="2"/>
        <w:spacing w:line="360" w:lineRule="auto"/>
        <w:ind w:firstLine="0"/>
        <w:jc w:val="center"/>
        <w:rPr>
          <w:rFonts w:hAnsi="宋体"/>
          <w:b/>
          <w:color w:val="auto"/>
          <w:spacing w:val="-6"/>
          <w:sz w:val="24"/>
          <w:szCs w:val="24"/>
          <w:highlight w:val="none"/>
        </w:rPr>
      </w:pPr>
    </w:p>
    <w:p>
      <w:pPr>
        <w:pStyle w:val="2"/>
        <w:spacing w:line="360" w:lineRule="auto"/>
        <w:ind w:firstLine="0"/>
        <w:jc w:val="center"/>
        <w:rPr>
          <w:rFonts w:hAnsi="宋体"/>
          <w:b/>
          <w:color w:val="auto"/>
          <w:spacing w:val="-6"/>
          <w:sz w:val="24"/>
          <w:szCs w:val="24"/>
          <w:highlight w:val="none"/>
        </w:rPr>
      </w:pPr>
    </w:p>
    <w:p>
      <w:pPr>
        <w:pStyle w:val="2"/>
        <w:spacing w:line="360" w:lineRule="auto"/>
        <w:ind w:firstLine="0"/>
        <w:jc w:val="center"/>
        <w:rPr>
          <w:rFonts w:hint="eastAsia" w:hAnsi="宋体"/>
          <w:b/>
          <w:color w:val="auto"/>
          <w:spacing w:val="-6"/>
          <w:sz w:val="24"/>
          <w:szCs w:val="24"/>
          <w:highlight w:val="none"/>
        </w:rPr>
      </w:pP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说明</w:t>
      </w:r>
      <w:r>
        <w:rPr>
          <w:rFonts w:ascii="宋体" w:hAnsi="宋体"/>
          <w:b/>
          <w:color w:val="auto"/>
          <w:spacing w:val="-6"/>
          <w:sz w:val="21"/>
          <w:szCs w:val="21"/>
          <w:highlight w:val="none"/>
        </w:rPr>
        <w:t>：</w:t>
      </w:r>
    </w:p>
    <w:p>
      <w:pPr>
        <w:pStyle w:val="17"/>
        <w:spacing w:line="360" w:lineRule="auto"/>
        <w:ind w:left="398" w:hanging="398"/>
        <w:rPr>
          <w:rFonts w:ascii="宋体" w:hAnsi="宋体"/>
          <w:b/>
          <w:color w:val="auto"/>
          <w:spacing w:val="-6"/>
          <w:sz w:val="21"/>
          <w:szCs w:val="21"/>
          <w:highlight w:val="none"/>
        </w:rPr>
      </w:pPr>
      <w:r>
        <w:rPr>
          <w:rFonts w:hint="eastAsia" w:ascii="宋体" w:hAnsi="宋体"/>
          <w:b/>
          <w:color w:val="auto"/>
          <w:spacing w:val="-6"/>
          <w:sz w:val="21"/>
          <w:szCs w:val="21"/>
          <w:highlight w:val="none"/>
        </w:rPr>
        <w:t>1</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如投标人是企业（包括合伙企业），提供在工商部门注册的有效“企业法人营业执照”或“营业执照”；</w:t>
      </w:r>
    </w:p>
    <w:p>
      <w:pPr>
        <w:pStyle w:val="17"/>
        <w:spacing w:line="360" w:lineRule="auto"/>
        <w:ind w:left="398" w:hanging="398"/>
        <w:rPr>
          <w:rFonts w:ascii="宋体" w:hAnsi="宋体"/>
          <w:b/>
          <w:color w:val="auto"/>
          <w:spacing w:val="-6"/>
          <w:sz w:val="21"/>
          <w:szCs w:val="21"/>
          <w:highlight w:val="none"/>
        </w:rPr>
      </w:pPr>
      <w:r>
        <w:rPr>
          <w:rFonts w:hint="eastAsia" w:ascii="宋体" w:hAnsi="宋体"/>
          <w:b/>
          <w:color w:val="auto"/>
          <w:spacing w:val="-6"/>
          <w:sz w:val="21"/>
          <w:szCs w:val="21"/>
          <w:highlight w:val="none"/>
        </w:rPr>
        <w:t>2</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如投标人是事业单位，提供有效的“事业单位法人证书”；</w:t>
      </w:r>
    </w:p>
    <w:p>
      <w:pPr>
        <w:pStyle w:val="17"/>
        <w:spacing w:line="360" w:lineRule="auto"/>
        <w:ind w:left="398" w:hanging="398"/>
        <w:rPr>
          <w:rFonts w:ascii="宋体" w:hAnsi="宋体"/>
          <w:b/>
          <w:color w:val="auto"/>
          <w:spacing w:val="-6"/>
          <w:sz w:val="21"/>
          <w:szCs w:val="21"/>
          <w:highlight w:val="none"/>
        </w:rPr>
      </w:pPr>
      <w:r>
        <w:rPr>
          <w:rFonts w:hint="eastAsia" w:ascii="宋体" w:hAnsi="宋体"/>
          <w:b/>
          <w:color w:val="auto"/>
          <w:spacing w:val="-6"/>
          <w:sz w:val="21"/>
          <w:szCs w:val="21"/>
          <w:highlight w:val="none"/>
        </w:rPr>
        <w:t>3</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如投标人是非企业专业服务机构的，提供执业许可证等证明文件；</w:t>
      </w:r>
    </w:p>
    <w:p>
      <w:pPr>
        <w:pStyle w:val="17"/>
        <w:spacing w:line="360" w:lineRule="auto"/>
        <w:ind w:left="398" w:hanging="398"/>
        <w:rPr>
          <w:rFonts w:ascii="宋体" w:hAnsi="宋体"/>
          <w:b/>
          <w:color w:val="auto"/>
          <w:spacing w:val="-6"/>
          <w:sz w:val="21"/>
          <w:szCs w:val="21"/>
          <w:highlight w:val="none"/>
        </w:rPr>
      </w:pPr>
      <w:r>
        <w:rPr>
          <w:rFonts w:hint="eastAsia" w:ascii="宋体" w:hAnsi="宋体"/>
          <w:b/>
          <w:color w:val="auto"/>
          <w:spacing w:val="-6"/>
          <w:sz w:val="21"/>
          <w:szCs w:val="21"/>
          <w:highlight w:val="none"/>
        </w:rPr>
        <w:t>4</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如投标人是个体工商户，提供有效的“个体工商户营业执照”；</w:t>
      </w:r>
    </w:p>
    <w:p>
      <w:pPr>
        <w:pStyle w:val="17"/>
        <w:spacing w:line="360" w:lineRule="auto"/>
        <w:ind w:left="398" w:hanging="398"/>
        <w:rPr>
          <w:rFonts w:ascii="宋体" w:hAnsi="宋体"/>
          <w:b/>
          <w:color w:val="auto"/>
          <w:spacing w:val="-6"/>
          <w:sz w:val="21"/>
          <w:szCs w:val="21"/>
          <w:highlight w:val="none"/>
        </w:rPr>
      </w:pPr>
      <w:r>
        <w:rPr>
          <w:rFonts w:hint="eastAsia" w:ascii="宋体" w:hAnsi="宋体"/>
          <w:b/>
          <w:color w:val="auto"/>
          <w:spacing w:val="-6"/>
          <w:sz w:val="21"/>
          <w:szCs w:val="21"/>
          <w:highlight w:val="none"/>
        </w:rPr>
        <w:t>5</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如投标人是自然人，提供有效的自然人身份证明。</w:t>
      </w:r>
    </w:p>
    <w:p>
      <w:pPr>
        <w:pStyle w:val="17"/>
        <w:spacing w:line="360" w:lineRule="auto"/>
        <w:ind w:left="0" w:firstLine="0" w:firstLineChars="0"/>
        <w:jc w:val="center"/>
        <w:outlineLvl w:val="2"/>
        <w:rPr>
          <w:rFonts w:hint="eastAsia" w:hAnsi="宋体"/>
          <w:bCs/>
          <w:color w:val="auto"/>
          <w:spacing w:val="-6"/>
          <w:sz w:val="24"/>
          <w:highlight w:val="none"/>
        </w:rPr>
      </w:pPr>
      <w:r>
        <w:rPr>
          <w:rFonts w:hAnsi="宋体"/>
          <w:bCs/>
          <w:color w:val="auto"/>
          <w:spacing w:val="-6"/>
          <w:sz w:val="24"/>
          <w:highlight w:val="none"/>
        </w:rPr>
        <w:br w:type="page"/>
      </w:r>
      <w:r>
        <w:rPr>
          <w:rFonts w:hint="eastAsia" w:hAnsi="宋体"/>
          <w:b/>
          <w:color w:val="auto"/>
          <w:spacing w:val="-6"/>
          <w:sz w:val="24"/>
          <w:highlight w:val="none"/>
          <w:lang w:eastAsia="zh-CN"/>
        </w:rPr>
        <w:t>2019年7月至今</w:t>
      </w:r>
      <w:r>
        <w:rPr>
          <w:rFonts w:hint="eastAsia" w:hAnsi="宋体"/>
          <w:b/>
          <w:color w:val="auto"/>
          <w:spacing w:val="-6"/>
          <w:sz w:val="24"/>
          <w:highlight w:val="none"/>
        </w:rPr>
        <w:t>任意一月的财务状况报告（复印件）或开标前三个月内出具的银行资信证明</w:t>
      </w:r>
    </w:p>
    <w:p>
      <w:pPr>
        <w:pStyle w:val="17"/>
        <w:spacing w:line="360" w:lineRule="auto"/>
        <w:ind w:left="0" w:firstLine="0" w:firstLineChars="0"/>
        <w:jc w:val="center"/>
        <w:rPr>
          <w:rFonts w:hint="eastAsia" w:hAnsi="宋体"/>
          <w:bCs/>
          <w:color w:val="auto"/>
          <w:spacing w:val="-6"/>
          <w:sz w:val="24"/>
          <w:highlight w:val="none"/>
        </w:rPr>
      </w:pPr>
    </w:p>
    <w:p>
      <w:pPr>
        <w:pStyle w:val="17"/>
        <w:spacing w:line="360" w:lineRule="auto"/>
        <w:ind w:left="0" w:firstLine="0" w:firstLineChars="0"/>
        <w:jc w:val="center"/>
        <w:rPr>
          <w:rFonts w:hint="eastAsia" w:hAnsi="宋体"/>
          <w:bCs/>
          <w:color w:val="auto"/>
          <w:spacing w:val="-6"/>
          <w:sz w:val="24"/>
          <w:highlight w:val="none"/>
        </w:rPr>
      </w:pPr>
    </w:p>
    <w:p>
      <w:pPr>
        <w:pStyle w:val="17"/>
        <w:spacing w:line="360" w:lineRule="auto"/>
        <w:ind w:left="0" w:firstLine="0" w:firstLineChars="0"/>
        <w:jc w:val="center"/>
        <w:rPr>
          <w:rFonts w:hint="eastAsia" w:hAnsi="宋体"/>
          <w:bCs/>
          <w:color w:val="auto"/>
          <w:spacing w:val="-6"/>
          <w:sz w:val="24"/>
          <w:highlight w:val="none"/>
        </w:rPr>
      </w:pPr>
    </w:p>
    <w:p>
      <w:pPr>
        <w:spacing w:line="360" w:lineRule="auto"/>
        <w:rPr>
          <w:rFonts w:ascii="宋体" w:hAnsi="宋体"/>
          <w:b/>
          <w:bCs/>
          <w:color w:val="auto"/>
          <w:spacing w:val="-6"/>
          <w:sz w:val="21"/>
          <w:szCs w:val="21"/>
          <w:highlight w:val="none"/>
        </w:rPr>
      </w:pPr>
      <w:r>
        <w:rPr>
          <w:rFonts w:hint="eastAsia" w:ascii="宋体" w:hAnsi="宋体"/>
          <w:b/>
          <w:bCs/>
          <w:color w:val="auto"/>
          <w:spacing w:val="-6"/>
          <w:sz w:val="21"/>
          <w:szCs w:val="21"/>
          <w:highlight w:val="none"/>
        </w:rPr>
        <w:t>说明：</w:t>
      </w: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1.投标人是法人的，应提供财务状况报告，包括</w:t>
      </w:r>
      <w:r>
        <w:rPr>
          <w:rFonts w:hint="eastAsia" w:ascii="宋体" w:hAnsi="宋体"/>
          <w:b/>
          <w:bCs/>
          <w:color w:val="auto"/>
          <w:spacing w:val="-6"/>
          <w:sz w:val="21"/>
          <w:szCs w:val="21"/>
          <w:highlight w:val="none"/>
          <w:lang w:eastAsia="zh-CN"/>
        </w:rPr>
        <w:t>2019年7月至今</w:t>
      </w:r>
      <w:r>
        <w:rPr>
          <w:rFonts w:hint="eastAsia" w:ascii="宋体" w:hAnsi="宋体"/>
          <w:b/>
          <w:bCs/>
          <w:color w:val="auto"/>
          <w:spacing w:val="-6"/>
          <w:sz w:val="21"/>
          <w:szCs w:val="21"/>
          <w:highlight w:val="none"/>
        </w:rPr>
        <w:t>任意一月的资产负债表及利润表或开标前三个月内其基本开户银行出具的资信证明</w:t>
      </w:r>
      <w:r>
        <w:rPr>
          <w:rFonts w:hint="eastAsia" w:ascii="宋体" w:hAnsi="宋体"/>
          <w:b/>
          <w:color w:val="auto"/>
          <w:spacing w:val="-6"/>
          <w:sz w:val="21"/>
          <w:szCs w:val="21"/>
          <w:highlight w:val="none"/>
        </w:rPr>
        <w:t>（若资信证明中注明复印无效，需提交正本扫描件）</w:t>
      </w:r>
      <w:r>
        <w:rPr>
          <w:rFonts w:hint="eastAsia" w:ascii="宋体" w:hAnsi="宋体"/>
          <w:b/>
          <w:bCs/>
          <w:color w:val="auto"/>
          <w:spacing w:val="-6"/>
          <w:sz w:val="21"/>
          <w:szCs w:val="21"/>
          <w:highlight w:val="none"/>
        </w:rPr>
        <w:t>，并加盖公章；</w:t>
      </w: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2.部分其他组织和自然人没有财务状况报告的，可以提供银行出具的资信证明</w:t>
      </w:r>
      <w:r>
        <w:rPr>
          <w:rFonts w:hint="eastAsia" w:ascii="宋体" w:hAnsi="宋体"/>
          <w:b/>
          <w:color w:val="auto"/>
          <w:spacing w:val="-6"/>
          <w:sz w:val="21"/>
          <w:szCs w:val="21"/>
          <w:highlight w:val="none"/>
        </w:rPr>
        <w:t>(若资信证明中注明复印无效，需提交正本扫描件)</w:t>
      </w:r>
      <w:r>
        <w:rPr>
          <w:rFonts w:hint="eastAsia" w:ascii="宋体" w:hAnsi="宋体"/>
          <w:b/>
          <w:bCs/>
          <w:color w:val="auto"/>
          <w:spacing w:val="-6"/>
          <w:sz w:val="21"/>
          <w:szCs w:val="21"/>
          <w:highlight w:val="none"/>
        </w:rPr>
        <w:t>,并加盖公章；</w:t>
      </w:r>
    </w:p>
    <w:p>
      <w:pPr>
        <w:spacing w:line="360" w:lineRule="auto"/>
        <w:rPr>
          <w:color w:val="auto"/>
          <w:highlight w:val="none"/>
        </w:rPr>
      </w:pPr>
      <w:r>
        <w:rPr>
          <w:rFonts w:hint="eastAsia" w:ascii="宋体" w:hAnsi="宋体"/>
          <w:b/>
          <w:bCs/>
          <w:color w:val="auto"/>
          <w:spacing w:val="-6"/>
          <w:sz w:val="21"/>
          <w:szCs w:val="21"/>
          <w:highlight w:val="none"/>
        </w:rPr>
        <w:t>3</w:t>
      </w:r>
      <w:r>
        <w:rPr>
          <w:rFonts w:ascii="宋体" w:hAnsi="宋体"/>
          <w:b/>
          <w:bCs/>
          <w:color w:val="auto"/>
          <w:spacing w:val="-6"/>
          <w:sz w:val="21"/>
          <w:szCs w:val="21"/>
          <w:highlight w:val="none"/>
        </w:rPr>
        <w:t>.</w:t>
      </w:r>
      <w:r>
        <w:rPr>
          <w:rFonts w:hint="eastAsia" w:ascii="宋体" w:hAnsi="宋体"/>
          <w:b/>
          <w:bCs/>
          <w:color w:val="auto"/>
          <w:spacing w:val="-6"/>
          <w:sz w:val="21"/>
          <w:szCs w:val="21"/>
          <w:highlight w:val="none"/>
        </w:rPr>
        <w:t>银行资信证明应能说明投标人与银行之间业务往来正常，企业信誉良好等，</w:t>
      </w:r>
      <w:r>
        <w:rPr>
          <w:rFonts w:hint="eastAsia" w:ascii="宋体" w:hAnsi="宋体"/>
          <w:b/>
          <w:color w:val="auto"/>
          <w:spacing w:val="-6"/>
          <w:sz w:val="21"/>
          <w:szCs w:val="21"/>
          <w:highlight w:val="none"/>
        </w:rPr>
        <w:t>银行出具的存款证明不能替代银行资信证明。</w:t>
      </w:r>
    </w:p>
    <w:p>
      <w:pPr>
        <w:spacing w:line="360" w:lineRule="auto"/>
        <w:jc w:val="center"/>
        <w:rPr>
          <w:rFonts w:hint="eastAsia" w:ascii="Calibri" w:hAnsi="Calibri"/>
          <w:b/>
          <w:color w:val="auto"/>
          <w:sz w:val="24"/>
          <w:highlight w:val="none"/>
        </w:rPr>
      </w:pPr>
      <w:r>
        <w:rPr>
          <w:rFonts w:ascii="宋体" w:hAnsi="宋体"/>
          <w:bCs/>
          <w:color w:val="auto"/>
          <w:spacing w:val="-6"/>
          <w:sz w:val="21"/>
          <w:szCs w:val="21"/>
          <w:highlight w:val="none"/>
        </w:rPr>
        <w:br w:type="page"/>
      </w:r>
      <w:r>
        <w:rPr>
          <w:rFonts w:hint="eastAsia" w:ascii="Calibri" w:hAnsi="Calibri"/>
          <w:b/>
          <w:color w:val="auto"/>
          <w:sz w:val="24"/>
          <w:highlight w:val="none"/>
        </w:rPr>
        <w:t>资信证明</w:t>
      </w:r>
    </w:p>
    <w:p>
      <w:pPr>
        <w:wordWrap w:val="0"/>
        <w:spacing w:line="360" w:lineRule="auto"/>
        <w:rPr>
          <w:rFonts w:ascii="Calibri" w:hAnsi="Calibri"/>
          <w:color w:val="auto"/>
          <w:sz w:val="21"/>
          <w:szCs w:val="21"/>
          <w:highlight w:val="none"/>
        </w:rPr>
      </w:pP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w:t>
      </w:r>
    </w:p>
    <w:p>
      <w:pPr>
        <w:wordWrap w:val="0"/>
        <w:spacing w:line="360" w:lineRule="auto"/>
        <w:ind w:firstLine="420" w:firstLineChars="200"/>
        <w:rPr>
          <w:rFonts w:ascii="Calibri" w:hAnsi="Calibri"/>
          <w:color w:val="auto"/>
          <w:sz w:val="21"/>
          <w:szCs w:val="21"/>
          <w:highlight w:val="none"/>
        </w:rPr>
      </w:pPr>
      <w:r>
        <w:rPr>
          <w:rFonts w:hint="eastAsia" w:ascii="Calibri" w:hAnsi="Calibri"/>
          <w:color w:val="auto"/>
          <w:sz w:val="21"/>
          <w:szCs w:val="21"/>
          <w:highlight w:val="none"/>
        </w:rPr>
        <w:t>兹证明，</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（单位名称）在我行辖属网点</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支行开立基本账户，帐号：</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。根据</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（单位名称）委托，我行对</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（单位名称）在我行的结算记录开立本证明书，供</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单位名称）参加</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项目招标采购时使用。经确认，具体情况如下：</w:t>
      </w:r>
    </w:p>
    <w:p>
      <w:pPr>
        <w:wordWrap w:val="0"/>
        <w:spacing w:line="360" w:lineRule="auto"/>
        <w:ind w:firstLine="420" w:firstLineChars="200"/>
        <w:rPr>
          <w:rFonts w:ascii="Calibri" w:hAnsi="Calibri"/>
          <w:color w:val="auto"/>
          <w:sz w:val="21"/>
          <w:szCs w:val="21"/>
          <w:highlight w:val="none"/>
        </w:rPr>
      </w:pPr>
      <w:r>
        <w:rPr>
          <w:rFonts w:hint="eastAsia" w:ascii="Calibri" w:hAnsi="Calibri"/>
          <w:color w:val="auto"/>
          <w:sz w:val="21"/>
          <w:szCs w:val="21"/>
          <w:highlight w:val="none"/>
        </w:rPr>
        <w:t>自</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年</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月</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日至</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年</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月</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日（即该日我行营业终了结账时）止，</w:t>
      </w:r>
      <w:r>
        <w:rPr>
          <w:rFonts w:hint="eastAsia" w:ascii="Calibri" w:hAnsi="Calibri"/>
          <w:color w:val="auto"/>
          <w:sz w:val="24"/>
          <w:highlight w:val="none"/>
          <w:u w:val="single"/>
        </w:rPr>
        <w:t xml:space="preserve">          </w:t>
      </w:r>
      <w:r>
        <w:rPr>
          <w:rFonts w:hint="eastAsia" w:ascii="Calibri" w:hAnsi="Calibri"/>
          <w:color w:val="auto"/>
          <w:sz w:val="21"/>
          <w:szCs w:val="21"/>
          <w:highlight w:val="none"/>
        </w:rPr>
        <w:t>（单位名称）无违反我行结算制度规定的行为。</w:t>
      </w:r>
    </w:p>
    <w:p>
      <w:pPr>
        <w:wordWrap w:val="0"/>
        <w:spacing w:line="360" w:lineRule="auto"/>
        <w:ind w:firstLine="420" w:firstLineChars="200"/>
        <w:rPr>
          <w:rFonts w:ascii="Calibri" w:hAnsi="Calibri"/>
          <w:color w:val="auto"/>
          <w:sz w:val="21"/>
          <w:szCs w:val="21"/>
          <w:highlight w:val="none"/>
        </w:rPr>
      </w:pPr>
      <w:r>
        <w:rPr>
          <w:rFonts w:hint="eastAsia" w:ascii="Calibri" w:hAnsi="Calibri"/>
          <w:color w:val="auto"/>
          <w:sz w:val="21"/>
          <w:szCs w:val="21"/>
          <w:highlight w:val="none"/>
        </w:rPr>
        <w:t>仅此证明，下无正文。</w:t>
      </w:r>
    </w:p>
    <w:p>
      <w:pPr>
        <w:wordWrap w:val="0"/>
        <w:spacing w:line="360" w:lineRule="auto"/>
        <w:ind w:firstLine="420" w:firstLineChars="200"/>
        <w:rPr>
          <w:rFonts w:ascii="Calibri" w:hAnsi="Calibri"/>
          <w:color w:val="auto"/>
          <w:sz w:val="21"/>
          <w:szCs w:val="21"/>
          <w:highlight w:val="none"/>
        </w:rPr>
      </w:pPr>
    </w:p>
    <w:p>
      <w:pPr>
        <w:wordWrap w:val="0"/>
        <w:spacing w:line="360" w:lineRule="auto"/>
        <w:ind w:firstLine="420" w:firstLineChars="200"/>
        <w:rPr>
          <w:rFonts w:ascii="Calibri" w:hAnsi="Calibri"/>
          <w:color w:val="auto"/>
          <w:sz w:val="21"/>
          <w:szCs w:val="21"/>
          <w:highlight w:val="none"/>
        </w:rPr>
      </w:pPr>
    </w:p>
    <w:p>
      <w:pPr>
        <w:wordWrap w:val="0"/>
        <w:spacing w:line="360" w:lineRule="auto"/>
        <w:ind w:firstLine="420" w:firstLineChars="200"/>
        <w:jc w:val="right"/>
        <w:rPr>
          <w:rFonts w:ascii="Calibri" w:hAnsi="Calibri"/>
          <w:color w:val="auto"/>
          <w:sz w:val="21"/>
          <w:szCs w:val="21"/>
          <w:highlight w:val="none"/>
        </w:rPr>
      </w:pPr>
      <w:r>
        <w:rPr>
          <w:rFonts w:hint="eastAsia" w:ascii="Calibri" w:hAnsi="Calibri"/>
          <w:color w:val="auto"/>
          <w:sz w:val="21"/>
          <w:szCs w:val="21"/>
          <w:highlight w:val="none"/>
          <w:u w:val="single"/>
        </w:rPr>
        <w:t xml:space="preserve"> </w:t>
      </w:r>
      <w:r>
        <w:rPr>
          <w:rFonts w:ascii="Calibri" w:hAnsi="Calibri"/>
          <w:color w:val="auto"/>
          <w:sz w:val="21"/>
          <w:szCs w:val="21"/>
          <w:highlight w:val="none"/>
          <w:u w:val="single"/>
        </w:rPr>
        <w:t xml:space="preserve">       </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（银行）</w:t>
      </w:r>
    </w:p>
    <w:p>
      <w:pPr>
        <w:wordWrap w:val="0"/>
        <w:spacing w:line="360" w:lineRule="auto"/>
        <w:ind w:firstLine="420" w:firstLineChars="200"/>
        <w:jc w:val="right"/>
        <w:rPr>
          <w:rFonts w:ascii="Calibri" w:hAnsi="Calibri"/>
          <w:color w:val="auto"/>
          <w:sz w:val="21"/>
          <w:szCs w:val="21"/>
          <w:highlight w:val="none"/>
        </w:rPr>
      </w:pPr>
      <w:r>
        <w:rPr>
          <w:rFonts w:hint="eastAsia" w:ascii="Calibri" w:hAnsi="Calibri"/>
          <w:color w:val="auto"/>
          <w:sz w:val="21"/>
          <w:szCs w:val="21"/>
          <w:highlight w:val="none"/>
          <w:u w:val="single"/>
        </w:rPr>
        <w:t xml:space="preserve"> </w:t>
      </w:r>
      <w:r>
        <w:rPr>
          <w:rFonts w:ascii="Calibri" w:hAnsi="Calibri"/>
          <w:color w:val="auto"/>
          <w:sz w:val="21"/>
          <w:szCs w:val="21"/>
          <w:highlight w:val="none"/>
          <w:u w:val="single"/>
        </w:rPr>
        <w:t xml:space="preserve">  </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年</w:t>
      </w:r>
      <w:r>
        <w:rPr>
          <w:rFonts w:hint="eastAsia" w:ascii="Calibri" w:hAnsi="Calibri"/>
          <w:color w:val="auto"/>
          <w:sz w:val="21"/>
          <w:szCs w:val="21"/>
          <w:highlight w:val="none"/>
          <w:u w:val="single"/>
        </w:rPr>
        <w:t xml:space="preserve"> </w:t>
      </w:r>
      <w:r>
        <w:rPr>
          <w:rFonts w:ascii="Calibri" w:hAnsi="Calibri"/>
          <w:color w:val="auto"/>
          <w:sz w:val="21"/>
          <w:szCs w:val="21"/>
          <w:highlight w:val="none"/>
          <w:u w:val="single"/>
        </w:rPr>
        <w:t xml:space="preserve"> </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月</w:t>
      </w:r>
      <w:r>
        <w:rPr>
          <w:rFonts w:hint="eastAsia" w:ascii="Calibri" w:hAnsi="Calibri"/>
          <w:color w:val="auto"/>
          <w:sz w:val="21"/>
          <w:szCs w:val="21"/>
          <w:highlight w:val="none"/>
          <w:u w:val="single"/>
        </w:rPr>
        <w:t xml:space="preserve"> </w:t>
      </w:r>
      <w:r>
        <w:rPr>
          <w:rFonts w:ascii="Calibri" w:hAnsi="Calibri"/>
          <w:color w:val="auto"/>
          <w:sz w:val="21"/>
          <w:szCs w:val="21"/>
          <w:highlight w:val="none"/>
          <w:u w:val="single"/>
        </w:rPr>
        <w:t xml:space="preserve"> </w:t>
      </w:r>
      <w:r>
        <w:rPr>
          <w:rFonts w:hint="eastAsia" w:ascii="Calibri" w:hAnsi="Calibri"/>
          <w:color w:val="auto"/>
          <w:sz w:val="21"/>
          <w:szCs w:val="21"/>
          <w:highlight w:val="none"/>
          <w:u w:val="single"/>
        </w:rPr>
        <w:t xml:space="preserve"> </w:t>
      </w:r>
      <w:r>
        <w:rPr>
          <w:rFonts w:hint="eastAsia" w:ascii="Calibri" w:hAnsi="Calibri"/>
          <w:color w:val="auto"/>
          <w:sz w:val="21"/>
          <w:szCs w:val="21"/>
          <w:highlight w:val="none"/>
        </w:rPr>
        <w:t>日</w:t>
      </w:r>
    </w:p>
    <w:p>
      <w:pPr>
        <w:spacing w:line="360" w:lineRule="auto"/>
        <w:jc w:val="left"/>
        <w:rPr>
          <w:rFonts w:hint="eastAsia" w:ascii="Calibri" w:hAnsi="Calibri"/>
          <w:color w:val="auto"/>
          <w:sz w:val="21"/>
          <w:szCs w:val="21"/>
          <w:highlight w:val="none"/>
        </w:rPr>
      </w:pPr>
    </w:p>
    <w:p>
      <w:pPr>
        <w:spacing w:line="360" w:lineRule="auto"/>
        <w:jc w:val="left"/>
        <w:rPr>
          <w:rFonts w:ascii="Calibri" w:hAnsi="Calibri"/>
          <w:color w:val="auto"/>
          <w:sz w:val="21"/>
          <w:szCs w:val="21"/>
          <w:highlight w:val="none"/>
        </w:rPr>
      </w:pPr>
    </w:p>
    <w:p>
      <w:pPr>
        <w:spacing w:line="360" w:lineRule="auto"/>
        <w:jc w:val="left"/>
        <w:rPr>
          <w:rFonts w:ascii="Calibri" w:hAnsi="Calibri"/>
          <w:color w:val="auto"/>
          <w:sz w:val="21"/>
          <w:szCs w:val="21"/>
          <w:highlight w:val="none"/>
        </w:rPr>
      </w:pP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说明：本“资信证明”内容与格式仅供参考，各银行可根据自身制度进行修改，但应满足本招标文件中对“资信证明”的要求。</w:t>
      </w:r>
    </w:p>
    <w:p>
      <w:pPr>
        <w:pStyle w:val="17"/>
        <w:spacing w:line="360" w:lineRule="auto"/>
        <w:ind w:left="0" w:firstLine="0" w:firstLineChars="0"/>
        <w:jc w:val="center"/>
        <w:outlineLvl w:val="2"/>
        <w:rPr>
          <w:rFonts w:hint="eastAsia" w:ascii="宋体" w:hAnsi="宋体"/>
          <w:b/>
          <w:color w:val="auto"/>
          <w:spacing w:val="-6"/>
          <w:sz w:val="24"/>
          <w:highlight w:val="none"/>
        </w:rPr>
      </w:pPr>
      <w:r>
        <w:rPr>
          <w:rFonts w:ascii="宋体" w:hAnsi="宋体"/>
          <w:bCs/>
          <w:color w:val="auto"/>
          <w:spacing w:val="-6"/>
          <w:sz w:val="24"/>
          <w:highlight w:val="none"/>
        </w:rPr>
        <w:br w:type="page"/>
      </w:r>
      <w:r>
        <w:rPr>
          <w:rFonts w:hint="eastAsia" w:ascii="宋体" w:hAnsi="宋体"/>
          <w:b/>
          <w:color w:val="auto"/>
          <w:spacing w:val="-6"/>
          <w:sz w:val="24"/>
          <w:highlight w:val="none"/>
          <w:lang w:eastAsia="zh-CN"/>
        </w:rPr>
        <w:t>2019年7月至今</w:t>
      </w:r>
      <w:r>
        <w:rPr>
          <w:rFonts w:hint="eastAsia" w:ascii="宋体" w:hAnsi="宋体"/>
          <w:b/>
          <w:color w:val="auto"/>
          <w:spacing w:val="-6"/>
          <w:sz w:val="24"/>
          <w:highlight w:val="none"/>
        </w:rPr>
        <w:t>任意一月依法缴纳税收的证明材料</w:t>
      </w:r>
    </w:p>
    <w:p>
      <w:pPr>
        <w:pStyle w:val="17"/>
        <w:spacing w:line="360" w:lineRule="auto"/>
        <w:ind w:left="0" w:firstLine="0" w:firstLineChars="0"/>
        <w:jc w:val="center"/>
        <w:rPr>
          <w:rFonts w:hint="eastAsia" w:hAnsi="宋体"/>
          <w:color w:val="auto"/>
          <w:spacing w:val="-6"/>
          <w:sz w:val="24"/>
          <w:highlight w:val="none"/>
        </w:rPr>
      </w:pPr>
      <w:r>
        <w:rPr>
          <w:rFonts w:hint="eastAsia" w:ascii="宋体" w:hAnsi="宋体"/>
          <w:b/>
          <w:color w:val="auto"/>
          <w:spacing w:val="-6"/>
          <w:sz w:val="21"/>
          <w:szCs w:val="21"/>
          <w:highlight w:val="none"/>
        </w:rPr>
        <w:t>（依法免税的投标人应提供相应文件证明其依法免税）</w:t>
      </w:r>
    </w:p>
    <w:p>
      <w:pPr>
        <w:pStyle w:val="17"/>
        <w:spacing w:line="360" w:lineRule="auto"/>
        <w:ind w:left="0" w:firstLine="0" w:firstLineChars="0"/>
        <w:jc w:val="center"/>
        <w:rPr>
          <w:rFonts w:hAnsi="宋体"/>
          <w:color w:val="auto"/>
          <w:spacing w:val="-6"/>
          <w:sz w:val="24"/>
          <w:highlight w:val="none"/>
        </w:rPr>
      </w:pPr>
    </w:p>
    <w:p>
      <w:pPr>
        <w:pStyle w:val="17"/>
        <w:spacing w:line="360" w:lineRule="auto"/>
        <w:ind w:left="0" w:firstLine="0" w:firstLineChars="0"/>
        <w:jc w:val="center"/>
        <w:rPr>
          <w:rFonts w:hAnsi="宋体"/>
          <w:color w:val="auto"/>
          <w:spacing w:val="-6"/>
          <w:sz w:val="24"/>
          <w:highlight w:val="none"/>
        </w:rPr>
      </w:pPr>
    </w:p>
    <w:p>
      <w:pPr>
        <w:pStyle w:val="17"/>
        <w:spacing w:line="360" w:lineRule="auto"/>
        <w:ind w:left="0" w:firstLine="0" w:firstLineChars="0"/>
        <w:jc w:val="center"/>
        <w:rPr>
          <w:rFonts w:hint="eastAsia" w:hAnsi="宋体"/>
          <w:color w:val="auto"/>
          <w:spacing w:val="-6"/>
          <w:sz w:val="24"/>
          <w:highlight w:val="none"/>
        </w:rPr>
      </w:pPr>
    </w:p>
    <w:p>
      <w:pPr>
        <w:pStyle w:val="17"/>
        <w:spacing w:line="360" w:lineRule="auto"/>
        <w:ind w:left="398" w:hanging="398"/>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说明：</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1</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依法缴纳税收的证明材料指依法缴纳税收的凭据（完税证明或</w:t>
      </w:r>
      <w:r>
        <w:rPr>
          <w:rFonts w:ascii="宋体" w:hAnsi="宋体"/>
          <w:b/>
          <w:color w:val="auto"/>
          <w:spacing w:val="-6"/>
          <w:sz w:val="21"/>
          <w:szCs w:val="21"/>
          <w:highlight w:val="none"/>
        </w:rPr>
        <w:t>纳税证明</w:t>
      </w:r>
      <w:r>
        <w:rPr>
          <w:rFonts w:hint="eastAsia" w:ascii="宋体" w:hAnsi="宋体"/>
          <w:b/>
          <w:color w:val="auto"/>
          <w:spacing w:val="-6"/>
          <w:sz w:val="21"/>
          <w:szCs w:val="21"/>
          <w:highlight w:val="none"/>
        </w:rPr>
        <w:t>或银行电子缴税付款凭证等）；</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2</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依法免税的投标人，应提供相应文件证明其依法免税；</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3</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投标人因新注册成立等原因无法提供相关材料的，应在投标文件中提交如实的情况说明。</w:t>
      </w:r>
    </w:p>
    <w:p>
      <w:pPr>
        <w:pStyle w:val="2"/>
        <w:spacing w:line="360" w:lineRule="auto"/>
        <w:ind w:firstLine="0"/>
        <w:jc w:val="center"/>
        <w:outlineLvl w:val="2"/>
        <w:rPr>
          <w:rFonts w:hint="eastAsia" w:hAnsi="宋体"/>
          <w:b/>
          <w:color w:val="auto"/>
          <w:spacing w:val="-6"/>
          <w:sz w:val="24"/>
          <w:highlight w:val="none"/>
        </w:rPr>
      </w:pPr>
      <w:r>
        <w:rPr>
          <w:rFonts w:hAnsi="宋体"/>
          <w:bCs/>
          <w:color w:val="auto"/>
          <w:spacing w:val="-6"/>
          <w:sz w:val="24"/>
          <w:highlight w:val="none"/>
        </w:rPr>
        <w:br w:type="page"/>
      </w:r>
      <w:r>
        <w:rPr>
          <w:rFonts w:hint="eastAsia" w:hAnsi="宋体"/>
          <w:b/>
          <w:color w:val="auto"/>
          <w:spacing w:val="-6"/>
          <w:sz w:val="24"/>
          <w:highlight w:val="none"/>
          <w:lang w:eastAsia="zh-CN"/>
        </w:rPr>
        <w:t>2019年7月至今</w:t>
      </w:r>
      <w:r>
        <w:rPr>
          <w:rFonts w:hint="eastAsia" w:hAnsi="宋体"/>
          <w:b/>
          <w:color w:val="auto"/>
          <w:spacing w:val="-6"/>
          <w:sz w:val="24"/>
          <w:highlight w:val="none"/>
        </w:rPr>
        <w:t>任意一月依法缴纳社会保障资金的证明材料</w:t>
      </w:r>
    </w:p>
    <w:p>
      <w:pPr>
        <w:pStyle w:val="2"/>
        <w:spacing w:line="360" w:lineRule="auto"/>
        <w:ind w:firstLine="0"/>
        <w:jc w:val="center"/>
        <w:rPr>
          <w:rFonts w:hint="eastAsia" w:hAnsi="宋体"/>
          <w:color w:val="auto"/>
          <w:spacing w:val="-6"/>
          <w:sz w:val="24"/>
          <w:szCs w:val="24"/>
          <w:highlight w:val="none"/>
        </w:rPr>
      </w:pPr>
      <w:r>
        <w:rPr>
          <w:rFonts w:hint="eastAsia" w:hAnsi="宋体"/>
          <w:b/>
          <w:color w:val="auto"/>
          <w:spacing w:val="-6"/>
          <w:sz w:val="21"/>
          <w:szCs w:val="21"/>
          <w:highlight w:val="none"/>
        </w:rPr>
        <w:t>（依法不需要缴纳社会保障资金的投标人应提供相应文件证明其依法不需要缴纳社会保障资金）</w:t>
      </w:r>
    </w:p>
    <w:p>
      <w:pPr>
        <w:pStyle w:val="2"/>
        <w:spacing w:line="360" w:lineRule="auto"/>
        <w:ind w:firstLine="0"/>
        <w:jc w:val="center"/>
        <w:rPr>
          <w:rFonts w:hAnsi="宋体"/>
          <w:color w:val="auto"/>
          <w:spacing w:val="-6"/>
          <w:sz w:val="24"/>
          <w:szCs w:val="24"/>
          <w:highlight w:val="none"/>
        </w:rPr>
      </w:pPr>
    </w:p>
    <w:p>
      <w:pPr>
        <w:pStyle w:val="2"/>
        <w:spacing w:line="360" w:lineRule="auto"/>
        <w:ind w:firstLine="0"/>
        <w:jc w:val="center"/>
        <w:rPr>
          <w:rFonts w:hAnsi="宋体"/>
          <w:color w:val="auto"/>
          <w:spacing w:val="-6"/>
          <w:sz w:val="24"/>
          <w:szCs w:val="24"/>
          <w:highlight w:val="none"/>
        </w:rPr>
      </w:pPr>
    </w:p>
    <w:p>
      <w:pPr>
        <w:pStyle w:val="2"/>
        <w:spacing w:line="360" w:lineRule="auto"/>
        <w:ind w:firstLine="0"/>
        <w:jc w:val="center"/>
        <w:rPr>
          <w:rFonts w:hint="eastAsia" w:hAnsi="宋体"/>
          <w:color w:val="auto"/>
          <w:spacing w:val="-6"/>
          <w:sz w:val="24"/>
          <w:szCs w:val="24"/>
          <w:highlight w:val="none"/>
        </w:rPr>
      </w:pPr>
    </w:p>
    <w:p>
      <w:pPr>
        <w:pStyle w:val="17"/>
        <w:spacing w:line="360" w:lineRule="auto"/>
        <w:ind w:left="398" w:hanging="398"/>
        <w:rPr>
          <w:rFonts w:ascii="宋体" w:hAnsi="宋体"/>
          <w:b/>
          <w:color w:val="auto"/>
          <w:spacing w:val="-6"/>
          <w:sz w:val="21"/>
          <w:szCs w:val="21"/>
          <w:highlight w:val="none"/>
        </w:rPr>
      </w:pPr>
      <w:r>
        <w:rPr>
          <w:rFonts w:hint="eastAsia" w:ascii="宋体" w:hAnsi="宋体"/>
          <w:b/>
          <w:color w:val="auto"/>
          <w:spacing w:val="-6"/>
          <w:sz w:val="21"/>
          <w:szCs w:val="21"/>
          <w:highlight w:val="none"/>
        </w:rPr>
        <w:t>说明：</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1</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依法缴纳社会保障资金的证明材料指依法缴纳社会保险的凭据（社保缴费专用收据或银行电子缴税付款凭证或社会保险缴纳清单等）；</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2</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依法不需要缴纳社会保障资金的投标人，应提供相应文件证明其依法不需要缴纳社会保障资金；</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3</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投标人因新注册成立等原因无法提供相关材料的，应在投标文件中提交如实的情况说明。</w:t>
      </w:r>
    </w:p>
    <w:p>
      <w:pPr>
        <w:pStyle w:val="17"/>
        <w:spacing w:line="360" w:lineRule="auto"/>
        <w:ind w:left="0" w:firstLine="0" w:firstLineChars="0"/>
        <w:jc w:val="center"/>
        <w:outlineLvl w:val="2"/>
        <w:rPr>
          <w:rFonts w:ascii="宋体" w:hAnsi="宋体"/>
          <w:b/>
          <w:color w:val="auto"/>
          <w:spacing w:val="-6"/>
          <w:sz w:val="24"/>
          <w:highlight w:val="none"/>
        </w:rPr>
      </w:pPr>
      <w:r>
        <w:rPr>
          <w:rFonts w:ascii="宋体" w:hAnsi="宋体"/>
          <w:bCs/>
          <w:color w:val="auto"/>
          <w:spacing w:val="-6"/>
          <w:sz w:val="24"/>
          <w:highlight w:val="none"/>
        </w:rPr>
        <w:br w:type="page"/>
      </w:r>
      <w:r>
        <w:rPr>
          <w:rFonts w:hint="eastAsia" w:ascii="宋体" w:hAnsi="宋体"/>
          <w:b/>
          <w:color w:val="auto"/>
          <w:spacing w:val="-6"/>
          <w:sz w:val="24"/>
          <w:highlight w:val="none"/>
        </w:rPr>
        <w:t>具有履行合同所必需的设备和专业技术能力的承诺函（</w:t>
      </w:r>
      <w:r>
        <w:rPr>
          <w:rFonts w:ascii="宋体" w:hAnsi="宋体"/>
          <w:b/>
          <w:color w:val="auto"/>
          <w:spacing w:val="-6"/>
          <w:sz w:val="24"/>
          <w:highlight w:val="none"/>
        </w:rPr>
        <w:t>格式自拟）</w:t>
      </w:r>
    </w:p>
    <w:p>
      <w:pPr>
        <w:pStyle w:val="17"/>
        <w:spacing w:line="360" w:lineRule="auto"/>
        <w:ind w:left="0" w:firstLine="0" w:firstLineChars="0"/>
        <w:jc w:val="center"/>
        <w:rPr>
          <w:rFonts w:ascii="宋体" w:hAnsi="宋体"/>
          <w:b/>
          <w:color w:val="auto"/>
          <w:spacing w:val="-6"/>
          <w:sz w:val="24"/>
          <w:highlight w:val="none"/>
        </w:rPr>
      </w:pPr>
    </w:p>
    <w:p>
      <w:pPr>
        <w:pStyle w:val="17"/>
        <w:spacing w:line="360" w:lineRule="auto"/>
        <w:ind w:left="0" w:firstLine="0" w:firstLineChars="0"/>
        <w:jc w:val="center"/>
        <w:rPr>
          <w:rFonts w:ascii="宋体" w:hAnsi="宋体"/>
          <w:b/>
          <w:color w:val="auto"/>
          <w:spacing w:val="-6"/>
          <w:sz w:val="24"/>
          <w:highlight w:val="none"/>
        </w:rPr>
      </w:pPr>
    </w:p>
    <w:p>
      <w:pPr>
        <w:pStyle w:val="17"/>
        <w:spacing w:line="360" w:lineRule="auto"/>
        <w:ind w:left="0" w:firstLine="0" w:firstLineChars="0"/>
        <w:jc w:val="center"/>
        <w:rPr>
          <w:rFonts w:hint="eastAsia" w:ascii="宋体" w:hAnsi="宋体"/>
          <w:b/>
          <w:color w:val="auto"/>
          <w:spacing w:val="-6"/>
          <w:sz w:val="24"/>
          <w:highlight w:val="none"/>
        </w:rPr>
      </w:pP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投标人代表签字：</w:t>
      </w:r>
    </w:p>
    <w:p>
      <w:pPr>
        <w:pStyle w:val="17"/>
        <w:spacing w:line="360" w:lineRule="auto"/>
        <w:ind w:left="169" w:hanging="168" w:hangingChars="74"/>
        <w:rPr>
          <w:rFonts w:hint="eastAsia" w:ascii="宋体" w:hAnsi="宋体"/>
          <w:color w:val="auto"/>
          <w:spacing w:val="-6"/>
          <w:sz w:val="24"/>
          <w:highlight w:val="none"/>
        </w:rPr>
      </w:pPr>
      <w:r>
        <w:rPr>
          <w:rFonts w:hint="eastAsia" w:ascii="宋体" w:hAnsi="宋体"/>
          <w:color w:val="auto"/>
          <w:spacing w:val="-6"/>
          <w:sz w:val="24"/>
          <w:highlight w:val="none"/>
        </w:rPr>
        <w:t>日期：     年   月   日</w:t>
      </w:r>
    </w:p>
    <w:p>
      <w:pPr>
        <w:pStyle w:val="17"/>
        <w:spacing w:line="360" w:lineRule="auto"/>
        <w:ind w:left="0" w:firstLine="0" w:firstLineChars="0"/>
        <w:jc w:val="center"/>
        <w:outlineLvl w:val="2"/>
        <w:rPr>
          <w:rFonts w:ascii="宋体" w:hAnsi="宋体"/>
          <w:b/>
          <w:color w:val="auto"/>
          <w:spacing w:val="-6"/>
          <w:sz w:val="24"/>
          <w:highlight w:val="none"/>
        </w:rPr>
      </w:pPr>
      <w:r>
        <w:rPr>
          <w:rFonts w:ascii="宋体" w:hAnsi="宋体"/>
          <w:bCs/>
          <w:color w:val="auto"/>
          <w:spacing w:val="-6"/>
          <w:sz w:val="24"/>
          <w:highlight w:val="none"/>
        </w:rPr>
        <w:br w:type="page"/>
      </w:r>
      <w:r>
        <w:rPr>
          <w:rFonts w:hint="eastAsia" w:ascii="宋体" w:hAnsi="宋体"/>
          <w:b/>
          <w:color w:val="auto"/>
          <w:spacing w:val="-6"/>
          <w:sz w:val="24"/>
          <w:highlight w:val="none"/>
        </w:rPr>
        <w:t>参加政府采购活动前3年内在经营活动中没有重大违法记录的书面声明</w:t>
      </w:r>
    </w:p>
    <w:p>
      <w:pPr>
        <w:pStyle w:val="17"/>
        <w:spacing w:line="360" w:lineRule="auto"/>
        <w:ind w:left="169" w:hanging="169" w:hangingChars="74"/>
        <w:jc w:val="center"/>
        <w:rPr>
          <w:rFonts w:ascii="宋体" w:hAnsi="宋体"/>
          <w:b/>
          <w:color w:val="auto"/>
          <w:spacing w:val="-6"/>
          <w:sz w:val="24"/>
          <w:highlight w:val="none"/>
        </w:rPr>
      </w:pPr>
      <w:r>
        <w:rPr>
          <w:rFonts w:hint="eastAsia" w:ascii="宋体" w:hAnsi="宋体"/>
          <w:b/>
          <w:color w:val="auto"/>
          <w:spacing w:val="-6"/>
          <w:sz w:val="24"/>
          <w:highlight w:val="none"/>
        </w:rPr>
        <w:t>声明函</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致：</w:t>
      </w:r>
      <w:r>
        <w:rPr>
          <w:rFonts w:hint="eastAsia" w:ascii="宋体" w:hAnsi="宋体"/>
          <w:color w:val="auto"/>
          <w:spacing w:val="-6"/>
          <w:sz w:val="24"/>
          <w:highlight w:val="none"/>
          <w:lang w:eastAsia="zh-CN"/>
        </w:rPr>
        <w:t>杭州电子科技大学</w:t>
      </w:r>
      <w:r>
        <w:rPr>
          <w:rFonts w:hint="eastAsia" w:ascii="宋体" w:hAnsi="宋体"/>
          <w:color w:val="auto"/>
          <w:spacing w:val="-6"/>
          <w:sz w:val="24"/>
          <w:highlight w:val="none"/>
        </w:rPr>
        <w:t>、浙江求是招标代理有限公司</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我公司郑重承诺在参加本项目政府采购活动前三年内，在经营活动中</w:t>
      </w:r>
      <w:r>
        <w:rPr>
          <w:rFonts w:hint="eastAsia" w:ascii="宋体" w:hAnsi="宋体"/>
          <w:b/>
          <w:color w:val="auto"/>
          <w:spacing w:val="-6"/>
          <w:sz w:val="24"/>
          <w:highlight w:val="none"/>
          <w:u w:val="single"/>
        </w:rPr>
        <w:t xml:space="preserve">     </w:t>
      </w:r>
      <w:r>
        <w:rPr>
          <w:rFonts w:hint="eastAsia" w:ascii="宋体" w:hAnsi="宋体"/>
          <w:b/>
          <w:color w:val="auto"/>
          <w:spacing w:val="-6"/>
          <w:sz w:val="24"/>
          <w:highlight w:val="none"/>
        </w:rPr>
        <w:t>（填写“有”或“没有”，如实填写，如不填写视同未提供本声明函）</w:t>
      </w:r>
      <w:r>
        <w:rPr>
          <w:rFonts w:hint="eastAsia" w:ascii="宋体" w:hAnsi="宋体"/>
          <w:color w:val="auto"/>
          <w:spacing w:val="-6"/>
          <w:sz w:val="24"/>
          <w:highlight w:val="none"/>
        </w:rPr>
        <w:t>重大违法记录，重大违法记录是指投标人因违法经营受到刑事处罚或者责令停产停业、吊销许可证或者执照、较大数额罚款等行政处罚。</w:t>
      </w:r>
    </w:p>
    <w:p>
      <w:pPr>
        <w:spacing w:line="360" w:lineRule="auto"/>
        <w:ind w:firstLine="456" w:firstLineChars="200"/>
        <w:rPr>
          <w:rFonts w:ascii="宋体" w:hAnsi="宋体"/>
          <w:color w:val="auto"/>
          <w:spacing w:val="-6"/>
          <w:sz w:val="24"/>
          <w:highlight w:val="none"/>
        </w:rPr>
      </w:pPr>
      <w:r>
        <w:rPr>
          <w:rFonts w:hAnsi="宋体"/>
          <w:color w:val="auto"/>
          <w:spacing w:val="-6"/>
          <w:sz w:val="24"/>
          <w:highlight w:val="none"/>
        </w:rPr>
        <w:t>以上事项如有虚假或隐瞒，我方愿意承担一切后果和责任。</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特此声明。</w:t>
      </w:r>
    </w:p>
    <w:p>
      <w:pPr>
        <w:spacing w:line="360" w:lineRule="auto"/>
        <w:rPr>
          <w:rFonts w:ascii="宋体" w:hAnsi="宋体"/>
          <w:color w:val="auto"/>
          <w:spacing w:val="-6"/>
          <w:sz w:val="24"/>
          <w:highlight w:val="none"/>
        </w:rPr>
      </w:pPr>
    </w:p>
    <w:p>
      <w:pPr>
        <w:spacing w:line="360" w:lineRule="auto"/>
        <w:rPr>
          <w:rFonts w:ascii="宋体" w:hAnsi="宋体"/>
          <w:color w:val="auto"/>
          <w:spacing w:val="-6"/>
          <w:sz w:val="24"/>
          <w:highlight w:val="none"/>
        </w:rPr>
      </w:pPr>
    </w:p>
    <w:p>
      <w:pPr>
        <w:spacing w:line="360" w:lineRule="auto"/>
        <w:rPr>
          <w:rFonts w:hint="eastAsia" w:ascii="宋体" w:hAnsi="宋体"/>
          <w:color w:val="auto"/>
          <w:spacing w:val="-6"/>
          <w:sz w:val="24"/>
          <w:highlight w:val="none"/>
        </w:rPr>
      </w:pP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投标人代表签字：</w:t>
      </w:r>
    </w:p>
    <w:p>
      <w:pPr>
        <w:pStyle w:val="17"/>
        <w:spacing w:line="360" w:lineRule="auto"/>
        <w:ind w:left="0" w:firstLine="0" w:firstLineChars="0"/>
        <w:rPr>
          <w:rFonts w:hint="eastAsia" w:ascii="宋体" w:hAnsi="宋体"/>
          <w:color w:val="auto"/>
          <w:sz w:val="21"/>
          <w:szCs w:val="21"/>
          <w:highlight w:val="none"/>
        </w:rPr>
      </w:pPr>
      <w:r>
        <w:rPr>
          <w:rFonts w:hint="eastAsia" w:ascii="宋体" w:hAnsi="宋体"/>
          <w:color w:val="auto"/>
          <w:spacing w:val="-6"/>
          <w:sz w:val="24"/>
          <w:highlight w:val="none"/>
        </w:rPr>
        <w:t>日期：     年   月   日</w:t>
      </w:r>
    </w:p>
    <w:p>
      <w:pPr>
        <w:spacing w:line="360" w:lineRule="auto"/>
        <w:outlineLvl w:val="1"/>
        <w:rPr>
          <w:rFonts w:hint="eastAsia" w:ascii="宋体" w:hAnsi="宋体"/>
          <w:bCs/>
          <w:color w:val="auto"/>
          <w:spacing w:val="-6"/>
          <w:sz w:val="24"/>
          <w:highlight w:val="none"/>
        </w:rPr>
      </w:pPr>
      <w:r>
        <w:rPr>
          <w:rFonts w:ascii="宋体" w:hAnsi="宋体"/>
          <w:b/>
          <w:color w:val="auto"/>
          <w:spacing w:val="-6"/>
          <w:sz w:val="52"/>
          <w:szCs w:val="52"/>
          <w:highlight w:val="none"/>
        </w:rPr>
        <w:br w:type="page"/>
      </w:r>
      <w:r>
        <w:rPr>
          <w:rFonts w:hint="eastAsia" w:ascii="宋体" w:hAnsi="宋体"/>
          <w:bCs/>
          <w:color w:val="auto"/>
          <w:spacing w:val="-6"/>
          <w:sz w:val="24"/>
          <w:highlight w:val="none"/>
        </w:rPr>
        <w:t>报价</w:t>
      </w:r>
      <w:r>
        <w:rPr>
          <w:rFonts w:ascii="宋体" w:hAnsi="宋体"/>
          <w:bCs/>
          <w:color w:val="auto"/>
          <w:spacing w:val="-6"/>
          <w:sz w:val="24"/>
          <w:highlight w:val="none"/>
        </w:rPr>
        <w:t>文件</w:t>
      </w:r>
      <w:r>
        <w:rPr>
          <w:rFonts w:hint="eastAsia" w:ascii="宋体" w:hAnsi="宋体"/>
          <w:bCs/>
          <w:color w:val="auto"/>
          <w:spacing w:val="-6"/>
          <w:sz w:val="24"/>
          <w:highlight w:val="none"/>
        </w:rPr>
        <w:t>封面</w:t>
      </w:r>
    </w:p>
    <w:p>
      <w:pPr>
        <w:spacing w:line="360" w:lineRule="auto"/>
        <w:jc w:val="right"/>
        <w:rPr>
          <w:rFonts w:hint="eastAsia" w:ascii="宋体" w:hAnsi="宋体"/>
          <w:color w:val="auto"/>
          <w:spacing w:val="-6"/>
          <w:sz w:val="24"/>
          <w:highlight w:val="none"/>
        </w:rPr>
      </w:pPr>
    </w:p>
    <w:p>
      <w:pPr>
        <w:spacing w:line="360" w:lineRule="auto"/>
        <w:rPr>
          <w:rFonts w:hint="eastAsia" w:ascii="宋体" w:hAnsi="宋体"/>
          <w:color w:val="auto"/>
          <w:spacing w:val="-6"/>
          <w:sz w:val="24"/>
          <w:highlight w:val="none"/>
        </w:rPr>
      </w:pPr>
    </w:p>
    <w:p>
      <w:pPr>
        <w:spacing w:line="360" w:lineRule="auto"/>
        <w:jc w:val="center"/>
        <w:rPr>
          <w:rFonts w:hint="eastAsia" w:ascii="宋体" w:hAnsi="宋体"/>
          <w:bCs/>
          <w:color w:val="auto"/>
          <w:spacing w:val="-6"/>
          <w:sz w:val="24"/>
          <w:highlight w:val="none"/>
        </w:rPr>
      </w:pPr>
      <w:r>
        <w:rPr>
          <w:rFonts w:hint="eastAsia" w:ascii="宋体" w:hAnsi="宋体"/>
          <w:bCs/>
          <w:color w:val="auto"/>
          <w:spacing w:val="-6"/>
          <w:sz w:val="24"/>
          <w:highlight w:val="none"/>
          <w:u w:val="single"/>
        </w:rPr>
        <w:t xml:space="preserve">                    </w:t>
      </w:r>
      <w:r>
        <w:rPr>
          <w:rFonts w:hint="eastAsia" w:ascii="宋体" w:hAnsi="宋体"/>
          <w:bCs/>
          <w:color w:val="auto"/>
          <w:spacing w:val="-6"/>
          <w:sz w:val="24"/>
          <w:highlight w:val="none"/>
        </w:rPr>
        <w:t>（投标人名称）</w:t>
      </w:r>
    </w:p>
    <w:p>
      <w:pPr>
        <w:spacing w:line="360" w:lineRule="auto"/>
        <w:jc w:val="center"/>
        <w:rPr>
          <w:rFonts w:hint="eastAsia" w:ascii="宋体" w:hAnsi="宋体"/>
          <w:b/>
          <w:bCs/>
          <w:color w:val="auto"/>
          <w:spacing w:val="-6"/>
          <w:sz w:val="24"/>
          <w:highlight w:val="none"/>
        </w:rPr>
      </w:pPr>
      <w:r>
        <w:rPr>
          <w:rFonts w:hint="eastAsia" w:ascii="宋体" w:hAnsi="宋体"/>
          <w:b/>
          <w:bCs/>
          <w:color w:val="auto"/>
          <w:spacing w:val="-6"/>
          <w:sz w:val="24"/>
          <w:highlight w:val="none"/>
        </w:rPr>
        <w:t>报价文件</w:t>
      </w:r>
    </w:p>
    <w:p>
      <w:pPr>
        <w:spacing w:line="360" w:lineRule="auto"/>
        <w:rPr>
          <w:rFonts w:hint="eastAsia" w:ascii="宋体" w:hAnsi="宋体"/>
          <w:bCs/>
          <w:color w:val="auto"/>
          <w:spacing w:val="-6"/>
          <w:sz w:val="24"/>
          <w:highlight w:val="none"/>
        </w:rPr>
      </w:pP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采 购 人：</w:t>
      </w:r>
      <w:r>
        <w:rPr>
          <w:rFonts w:hint="eastAsia" w:ascii="宋体" w:hAnsi="宋体"/>
          <w:bCs/>
          <w:color w:val="auto"/>
          <w:spacing w:val="-6"/>
          <w:sz w:val="24"/>
          <w:highlight w:val="none"/>
          <w:lang w:eastAsia="zh-CN"/>
        </w:rPr>
        <w:t>杭州电子科技大学</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项目名称：</w:t>
      </w:r>
      <w:r>
        <w:rPr>
          <w:rFonts w:hint="eastAsia" w:ascii="宋体" w:hAnsi="宋体"/>
          <w:bCs/>
          <w:color w:val="auto"/>
          <w:spacing w:val="-6"/>
          <w:sz w:val="24"/>
          <w:highlight w:val="none"/>
          <w:lang w:eastAsia="zh-CN"/>
        </w:rPr>
        <w:t>微波暗室测试系统</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项目编号：</w:t>
      </w:r>
      <w:r>
        <w:rPr>
          <w:rFonts w:hint="eastAsia" w:ascii="宋体" w:hAnsi="宋体"/>
          <w:bCs/>
          <w:color w:val="auto"/>
          <w:spacing w:val="-6"/>
          <w:sz w:val="24"/>
          <w:highlight w:val="none"/>
          <w:lang w:eastAsia="zh-CN"/>
        </w:rPr>
        <w:t xml:space="preserve">QSZB-Z(H)-B20095(GK) </w:t>
      </w: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投标人名称（盖章）：</w:t>
      </w: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投标人地址：</w:t>
      </w:r>
    </w:p>
    <w:p>
      <w:pPr>
        <w:spacing w:line="360" w:lineRule="auto"/>
        <w:rPr>
          <w:rFonts w:hint="eastAsia" w:ascii="宋体" w:hAnsi="宋体"/>
          <w:bCs/>
          <w:color w:val="auto"/>
          <w:spacing w:val="-6"/>
          <w:sz w:val="24"/>
          <w:highlight w:val="none"/>
        </w:rPr>
      </w:pP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投标人代表签字：</w:t>
      </w:r>
    </w:p>
    <w:p>
      <w:pPr>
        <w:spacing w:line="360" w:lineRule="auto"/>
        <w:rPr>
          <w:rFonts w:ascii="宋体" w:hAnsi="宋体"/>
          <w:color w:val="auto"/>
          <w:spacing w:val="-6"/>
          <w:sz w:val="21"/>
          <w:szCs w:val="21"/>
          <w:highlight w:val="none"/>
        </w:rPr>
      </w:pPr>
      <w:r>
        <w:rPr>
          <w:rFonts w:hint="eastAsia" w:ascii="宋体" w:hAnsi="宋体"/>
          <w:bCs/>
          <w:color w:val="auto"/>
          <w:spacing w:val="-6"/>
          <w:sz w:val="24"/>
          <w:highlight w:val="none"/>
        </w:rPr>
        <w:t>日期：     年   月   日</w:t>
      </w:r>
    </w:p>
    <w:p>
      <w:pPr>
        <w:pStyle w:val="2"/>
        <w:spacing w:line="480" w:lineRule="auto"/>
        <w:ind w:firstLine="0"/>
        <w:jc w:val="center"/>
        <w:rPr>
          <w:rFonts w:hAnsi="宋体"/>
          <w:b/>
          <w:color w:val="auto"/>
          <w:spacing w:val="-6"/>
          <w:sz w:val="24"/>
          <w:highlight w:val="none"/>
        </w:rPr>
      </w:pPr>
      <w:r>
        <w:rPr>
          <w:rFonts w:hAnsi="宋体"/>
          <w:b/>
          <w:color w:val="auto"/>
          <w:spacing w:val="-6"/>
          <w:sz w:val="52"/>
          <w:szCs w:val="52"/>
          <w:highlight w:val="none"/>
        </w:rPr>
        <w:br w:type="page"/>
      </w: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7"/>
        <w:overflowPunct w:val="0"/>
        <w:spacing w:line="360" w:lineRule="auto"/>
        <w:ind w:firstLine="0"/>
        <w:jc w:val="center"/>
        <w:outlineLvl w:val="1"/>
        <w:rPr>
          <w:rFonts w:hint="eastAsia" w:ascii="宋体" w:hAnsi="宋体"/>
          <w:b/>
          <w:color w:val="auto"/>
          <w:spacing w:val="-6"/>
          <w:sz w:val="84"/>
          <w:szCs w:val="84"/>
          <w:highlight w:val="none"/>
        </w:rPr>
      </w:pPr>
      <w:r>
        <w:rPr>
          <w:rFonts w:hint="eastAsia" w:ascii="宋体" w:hAnsi="宋体"/>
          <w:b/>
          <w:color w:val="auto"/>
          <w:spacing w:val="-6"/>
          <w:sz w:val="84"/>
          <w:szCs w:val="84"/>
          <w:highlight w:val="none"/>
        </w:rPr>
        <w:t>报价文件</w:t>
      </w:r>
    </w:p>
    <w:p>
      <w:pPr>
        <w:spacing w:line="360" w:lineRule="auto"/>
        <w:jc w:val="center"/>
        <w:outlineLvl w:val="2"/>
        <w:rPr>
          <w:rFonts w:hint="eastAsia" w:ascii="宋体" w:hAnsi="宋体"/>
          <w:b/>
          <w:color w:val="auto"/>
          <w:spacing w:val="-6"/>
          <w:sz w:val="24"/>
          <w:highlight w:val="none"/>
        </w:rPr>
      </w:pPr>
      <w:r>
        <w:rPr>
          <w:rFonts w:ascii="宋体" w:hAnsi="宋体"/>
          <w:b/>
          <w:color w:val="auto"/>
          <w:spacing w:val="-6"/>
          <w:sz w:val="52"/>
          <w:szCs w:val="52"/>
          <w:highlight w:val="none"/>
        </w:rPr>
        <w:br w:type="page"/>
      </w:r>
      <w:r>
        <w:rPr>
          <w:rFonts w:hint="eastAsia" w:ascii="宋体" w:hAnsi="宋体"/>
          <w:b/>
          <w:color w:val="auto"/>
          <w:spacing w:val="-6"/>
          <w:sz w:val="24"/>
          <w:highlight w:val="none"/>
        </w:rPr>
        <w:t>开标一览表</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采 购 人：</w:t>
      </w:r>
      <w:r>
        <w:rPr>
          <w:rFonts w:hint="eastAsia" w:ascii="宋体" w:hAnsi="宋体"/>
          <w:bCs/>
          <w:color w:val="auto"/>
          <w:spacing w:val="-6"/>
          <w:sz w:val="24"/>
          <w:highlight w:val="none"/>
          <w:lang w:eastAsia="zh-CN"/>
        </w:rPr>
        <w:t>杭州电子科技大学</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项目名称：</w:t>
      </w:r>
      <w:r>
        <w:rPr>
          <w:rFonts w:hint="eastAsia" w:ascii="宋体" w:hAnsi="宋体"/>
          <w:bCs/>
          <w:color w:val="auto"/>
          <w:spacing w:val="-6"/>
          <w:sz w:val="24"/>
          <w:highlight w:val="none"/>
          <w:lang w:eastAsia="zh-CN"/>
        </w:rPr>
        <w:t>微波暗室测试系统</w:t>
      </w:r>
    </w:p>
    <w:p>
      <w:pPr>
        <w:spacing w:line="360" w:lineRule="auto"/>
        <w:rPr>
          <w:rFonts w:hint="eastAsia" w:ascii="宋体" w:hAnsi="宋体"/>
          <w:bCs/>
          <w:color w:val="auto"/>
          <w:spacing w:val="-6"/>
          <w:sz w:val="24"/>
          <w:highlight w:val="none"/>
          <w:lang w:eastAsia="zh-CN"/>
        </w:rPr>
      </w:pPr>
      <w:r>
        <w:rPr>
          <w:rFonts w:hint="eastAsia" w:ascii="宋体" w:hAnsi="宋体"/>
          <w:bCs/>
          <w:color w:val="auto"/>
          <w:spacing w:val="-6"/>
          <w:sz w:val="24"/>
          <w:highlight w:val="none"/>
        </w:rPr>
        <w:t>项目编号：</w:t>
      </w:r>
      <w:r>
        <w:rPr>
          <w:rFonts w:hint="eastAsia" w:ascii="宋体" w:hAnsi="宋体"/>
          <w:bCs/>
          <w:color w:val="auto"/>
          <w:spacing w:val="-6"/>
          <w:sz w:val="24"/>
          <w:highlight w:val="none"/>
          <w:lang w:eastAsia="zh-CN"/>
        </w:rPr>
        <w:t xml:space="preserve">QSZB-Z(H)-B20095(GK) </w:t>
      </w:r>
    </w:p>
    <w:tbl>
      <w:tblPr>
        <w:tblStyle w:val="22"/>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jc w:val="center"/>
        </w:trPr>
        <w:tc>
          <w:tcPr>
            <w:tcW w:w="962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color w:val="auto"/>
                <w:sz w:val="24"/>
                <w:highlight w:val="none"/>
              </w:rPr>
            </w:pPr>
            <w:r>
              <w:rPr>
                <w:rFonts w:hint="eastAsia" w:ascii="宋体" w:hAnsi="宋体" w:cs="宋体"/>
                <w:b/>
                <w:bCs/>
                <w:color w:val="auto"/>
                <w:sz w:val="24"/>
                <w:highlight w:val="none"/>
              </w:rPr>
              <w:t>投标报价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jc w:val="center"/>
        </w:trPr>
        <w:tc>
          <w:tcPr>
            <w:tcW w:w="9628"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4"/>
                <w:highlight w:val="none"/>
              </w:rPr>
            </w:pPr>
          </w:p>
          <w:p>
            <w:pPr>
              <w:rPr>
                <w:rFonts w:hint="eastAsia" w:ascii="宋体" w:hAnsi="宋体" w:cs="宋体"/>
                <w:b/>
                <w:bCs/>
                <w:color w:val="auto"/>
                <w:sz w:val="24"/>
                <w:highlight w:val="none"/>
              </w:rPr>
            </w:pPr>
            <w:r>
              <w:rPr>
                <w:rFonts w:hint="eastAsia" w:ascii="宋体" w:hAnsi="宋体" w:cs="宋体"/>
                <w:b/>
                <w:bCs/>
                <w:color w:val="auto"/>
                <w:sz w:val="24"/>
                <w:highlight w:val="none"/>
              </w:rPr>
              <w:t>金额大写：_________________________小写：_________________________</w:t>
            </w:r>
          </w:p>
          <w:p>
            <w:pPr>
              <w:rPr>
                <w:rFonts w:hint="eastAsia" w:ascii="宋体" w:hAnsi="宋体" w:cs="宋体"/>
                <w:b/>
                <w:bCs/>
                <w:color w:val="auto"/>
                <w:sz w:val="24"/>
                <w:highlight w:val="none"/>
              </w:rPr>
            </w:pPr>
          </w:p>
          <w:p>
            <w:pPr>
              <w:rPr>
                <w:rFonts w:hint="eastAsia" w:ascii="宋体" w:hAnsi="宋体" w:cs="宋体"/>
                <w:b/>
                <w:bCs/>
                <w:color w:val="auto"/>
                <w:sz w:val="24"/>
                <w:highlight w:val="none"/>
              </w:rPr>
            </w:pPr>
            <w:r>
              <w:rPr>
                <w:rFonts w:hint="eastAsia" w:ascii="宋体" w:hAnsi="宋体" w:cs="宋体"/>
                <w:b/>
                <w:bCs/>
                <w:color w:val="auto"/>
                <w:sz w:val="24"/>
                <w:highlight w:val="none"/>
              </w:rPr>
              <w:t>单位：人民币元</w:t>
            </w:r>
          </w:p>
          <w:p>
            <w:pPr>
              <w:pStyle w:val="2"/>
              <w:ind w:firstLine="0"/>
              <w:rPr>
                <w:rFonts w:hint="eastAsia"/>
                <w:color w:val="auto"/>
                <w:sz w:val="24"/>
                <w:szCs w:val="24"/>
                <w:highlight w:val="none"/>
              </w:rPr>
            </w:pPr>
          </w:p>
        </w:tc>
      </w:tr>
    </w:tbl>
    <w:p>
      <w:pPr>
        <w:spacing w:line="360" w:lineRule="auto"/>
        <w:rPr>
          <w:rFonts w:hint="eastAsia" w:ascii="宋体" w:hAnsi="宋体"/>
          <w:color w:val="auto"/>
          <w:spacing w:val="-6"/>
          <w:sz w:val="24"/>
          <w:highlight w:val="none"/>
        </w:rPr>
      </w:pPr>
    </w:p>
    <w:p>
      <w:pPr>
        <w:pStyle w:val="2"/>
        <w:spacing w:line="360" w:lineRule="auto"/>
        <w:ind w:firstLine="0"/>
        <w:rPr>
          <w:rFonts w:hint="eastAsia"/>
          <w:b/>
          <w:bCs/>
          <w:color w:val="auto"/>
          <w:sz w:val="21"/>
          <w:szCs w:val="21"/>
          <w:highlight w:val="none"/>
        </w:rPr>
      </w:pPr>
      <w:r>
        <w:rPr>
          <w:rFonts w:hint="eastAsia" w:hAnsi="宋体"/>
          <w:b/>
          <w:bCs/>
          <w:color w:val="auto"/>
          <w:spacing w:val="-6"/>
          <w:sz w:val="21"/>
          <w:szCs w:val="21"/>
          <w:highlight w:val="none"/>
        </w:rPr>
        <w:t>说明：投标报价是履行合同的最终价格，应包括完成所有产品供货及履行所有规定服务所产生的全部税、费。</w:t>
      </w:r>
    </w:p>
    <w:p>
      <w:pPr>
        <w:spacing w:line="360" w:lineRule="auto"/>
        <w:rPr>
          <w:rFonts w:hint="eastAsia" w:ascii="宋体" w:hAnsi="宋体"/>
          <w:color w:val="auto"/>
          <w:spacing w:val="-6"/>
          <w:sz w:val="24"/>
          <w:highlight w:val="none"/>
        </w:rPr>
      </w:pPr>
    </w:p>
    <w:p>
      <w:pPr>
        <w:pStyle w:val="2"/>
        <w:spacing w:line="360" w:lineRule="auto"/>
        <w:ind w:firstLine="0"/>
        <w:rPr>
          <w:rFonts w:hint="eastAsia"/>
          <w:color w:val="auto"/>
          <w:highlight w:val="none"/>
        </w:rPr>
      </w:pPr>
    </w:p>
    <w:p>
      <w:pPr>
        <w:spacing w:line="360" w:lineRule="auto"/>
        <w:rPr>
          <w:rFonts w:hint="eastAsia"/>
          <w:color w:val="auto"/>
          <w:highlight w:val="none"/>
        </w:rPr>
      </w:pP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投标人代表签字：</w:t>
      </w:r>
    </w:p>
    <w:p>
      <w:pPr>
        <w:pStyle w:val="12"/>
        <w:spacing w:before="0" w:beforeLines="0" w:after="0" w:afterLines="0" w:line="360" w:lineRule="auto"/>
        <w:rPr>
          <w:rFonts w:hint="eastAsia" w:hAnsi="宋体"/>
          <w:bCs/>
          <w:color w:val="auto"/>
          <w:spacing w:val="-6"/>
          <w:highlight w:val="none"/>
        </w:rPr>
      </w:pPr>
      <w:r>
        <w:rPr>
          <w:rFonts w:hint="eastAsia" w:hAnsi="宋体"/>
          <w:bCs/>
          <w:color w:val="auto"/>
          <w:spacing w:val="-6"/>
          <w:highlight w:val="none"/>
        </w:rPr>
        <w:t>日期：     年   月   日</w:t>
      </w:r>
    </w:p>
    <w:p>
      <w:pPr>
        <w:pStyle w:val="12"/>
        <w:spacing w:before="0" w:beforeLines="0" w:after="0" w:afterLines="0" w:line="360" w:lineRule="auto"/>
        <w:jc w:val="center"/>
        <w:outlineLvl w:val="2"/>
        <w:rPr>
          <w:rFonts w:hint="eastAsia" w:hAnsi="宋体"/>
          <w:b/>
          <w:color w:val="auto"/>
          <w:spacing w:val="-6"/>
          <w:highlight w:val="none"/>
        </w:rPr>
      </w:pPr>
      <w:r>
        <w:rPr>
          <w:rFonts w:hint="eastAsia" w:hAnsi="宋体"/>
          <w:bCs/>
          <w:color w:val="auto"/>
          <w:spacing w:val="-6"/>
          <w:highlight w:val="none"/>
        </w:rPr>
        <w:br w:type="page"/>
      </w:r>
      <w:r>
        <w:rPr>
          <w:rFonts w:hAnsi="宋体"/>
          <w:b/>
          <w:color w:val="auto"/>
          <w:spacing w:val="-6"/>
          <w:highlight w:val="none"/>
        </w:rPr>
        <w:t>投标报价明细表</w:t>
      </w:r>
    </w:p>
    <w:p>
      <w:pPr>
        <w:pStyle w:val="12"/>
        <w:spacing w:before="0" w:beforeLines="0" w:after="0" w:afterLines="0" w:line="360" w:lineRule="auto"/>
        <w:ind w:right="342" w:firstLine="596" w:firstLineChars="300"/>
        <w:jc w:val="left"/>
        <w:rPr>
          <w:rFonts w:hint="eastAsia" w:hAnsi="宋体"/>
          <w:b/>
          <w:bCs/>
          <w:color w:val="auto"/>
          <w:spacing w:val="-6"/>
          <w:sz w:val="21"/>
          <w:szCs w:val="21"/>
          <w:highlight w:val="none"/>
        </w:rPr>
      </w:pPr>
      <w:r>
        <w:rPr>
          <w:rFonts w:hint="eastAsia" w:hAnsi="宋体"/>
          <w:b/>
          <w:bCs/>
          <w:color w:val="auto"/>
          <w:spacing w:val="-6"/>
          <w:sz w:val="21"/>
          <w:szCs w:val="21"/>
          <w:highlight w:val="none"/>
          <w:lang w:val="en-US" w:eastAsia="zh-CN"/>
        </w:rPr>
        <w:t xml:space="preserve">                                                                        </w:t>
      </w:r>
      <w:r>
        <w:rPr>
          <w:rFonts w:hAnsi="宋体"/>
          <w:b/>
          <w:bCs/>
          <w:color w:val="auto"/>
          <w:spacing w:val="-6"/>
          <w:sz w:val="21"/>
          <w:szCs w:val="21"/>
          <w:highlight w:val="none"/>
        </w:rPr>
        <w:t>金额单位：</w:t>
      </w:r>
      <w:r>
        <w:rPr>
          <w:rFonts w:hint="eastAsia" w:hAnsi="宋体"/>
          <w:b/>
          <w:bCs/>
          <w:color w:val="auto"/>
          <w:spacing w:val="-6"/>
          <w:sz w:val="21"/>
          <w:szCs w:val="21"/>
          <w:highlight w:val="none"/>
        </w:rPr>
        <w:t>人民币元</w:t>
      </w:r>
    </w:p>
    <w:tbl>
      <w:tblPr>
        <w:tblStyle w:val="22"/>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1010"/>
        <w:gridCol w:w="1266"/>
        <w:gridCol w:w="756"/>
        <w:gridCol w:w="1011"/>
        <w:gridCol w:w="1010"/>
        <w:gridCol w:w="101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货物名称</w:t>
            </w: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厂家</w:t>
            </w: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品牌</w:t>
            </w: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规格型号</w:t>
            </w: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数量</w:t>
            </w:r>
          </w:p>
        </w:tc>
        <w:tc>
          <w:tcPr>
            <w:tcW w:w="101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单价</w:t>
            </w:r>
          </w:p>
        </w:tc>
        <w:tc>
          <w:tcPr>
            <w:tcW w:w="10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金额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628" w:type="dxa"/>
            <w:gridSpan w:val="9"/>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投标总价：</w:t>
            </w:r>
          </w:p>
        </w:tc>
      </w:tr>
    </w:tbl>
    <w:p>
      <w:pPr>
        <w:pStyle w:val="12"/>
        <w:spacing w:before="0" w:beforeLines="0" w:after="0" w:afterLines="0" w:line="360" w:lineRule="auto"/>
        <w:rPr>
          <w:rFonts w:hint="eastAsia" w:hAnsi="宋体"/>
          <w:color w:val="auto"/>
          <w:spacing w:val="-6"/>
          <w:highlight w:val="none"/>
          <w:u w:val="single"/>
        </w:rPr>
      </w:pPr>
    </w:p>
    <w:p>
      <w:pPr>
        <w:pStyle w:val="12"/>
        <w:spacing w:before="0" w:beforeLines="0" w:after="0" w:afterLines="0" w:line="360" w:lineRule="auto"/>
        <w:rPr>
          <w:rFonts w:hint="eastAsia" w:hAnsi="宋体"/>
          <w:color w:val="auto"/>
          <w:spacing w:val="-6"/>
          <w:highlight w:val="none"/>
          <w:u w:val="single"/>
        </w:rPr>
      </w:pPr>
    </w:p>
    <w:p>
      <w:pPr>
        <w:pStyle w:val="12"/>
        <w:spacing w:before="0" w:beforeLines="0" w:after="0" w:afterLines="0" w:line="360" w:lineRule="auto"/>
        <w:rPr>
          <w:rFonts w:hint="eastAsia" w:hAnsi="宋体"/>
          <w:color w:val="auto"/>
          <w:spacing w:val="-6"/>
          <w:highlight w:val="none"/>
          <w:u w:val="single"/>
        </w:rPr>
      </w:pP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投标人代表签字：</w:t>
      </w:r>
    </w:p>
    <w:p>
      <w:pPr>
        <w:spacing w:line="360" w:lineRule="auto"/>
        <w:rPr>
          <w:rFonts w:hint="eastAsia" w:ascii="宋体" w:hAnsi="宋体"/>
          <w:bCs/>
          <w:color w:val="auto"/>
          <w:spacing w:val="-6"/>
          <w:sz w:val="21"/>
          <w:szCs w:val="21"/>
          <w:highlight w:val="none"/>
        </w:rPr>
      </w:pPr>
      <w:r>
        <w:rPr>
          <w:rFonts w:hint="eastAsia" w:ascii="宋体" w:hAnsi="宋体"/>
          <w:bCs/>
          <w:color w:val="auto"/>
          <w:spacing w:val="-6"/>
          <w:sz w:val="24"/>
          <w:highlight w:val="none"/>
        </w:rPr>
        <w:t>日期：     年   月   日</w:t>
      </w:r>
    </w:p>
    <w:p>
      <w:pPr>
        <w:spacing w:line="360" w:lineRule="auto"/>
        <w:jc w:val="center"/>
        <w:outlineLvl w:val="2"/>
        <w:rPr>
          <w:rFonts w:ascii="宋体" w:hAnsi="宋体"/>
          <w:color w:val="auto"/>
          <w:spacing w:val="-6"/>
          <w:sz w:val="24"/>
          <w:highlight w:val="none"/>
        </w:rPr>
      </w:pPr>
      <w:r>
        <w:rPr>
          <w:rFonts w:ascii="宋体" w:hAnsi="宋体"/>
          <w:b/>
          <w:color w:val="auto"/>
          <w:spacing w:val="-6"/>
          <w:sz w:val="24"/>
          <w:highlight w:val="none"/>
        </w:rPr>
        <w:br w:type="page"/>
      </w:r>
      <w:r>
        <w:rPr>
          <w:rFonts w:hint="eastAsia" w:ascii="宋体" w:hAnsi="宋体"/>
          <w:b/>
          <w:bCs/>
          <w:color w:val="auto"/>
          <w:sz w:val="24"/>
          <w:highlight w:val="none"/>
        </w:rPr>
        <w:t>投标人企业类型声明函</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本公司郑重声明，根据《政府采购促进中小企业发展暂行办法》（财库</w:t>
      </w:r>
      <w:r>
        <w:rPr>
          <w:rFonts w:ascii="宋体" w:hAnsi="宋体"/>
          <w:color w:val="auto"/>
          <w:sz w:val="24"/>
          <w:highlight w:val="none"/>
        </w:rPr>
        <w:t>[</w:t>
      </w:r>
      <w:r>
        <w:rPr>
          <w:rFonts w:hint="eastAsia" w:ascii="宋体" w:hAnsi="宋体"/>
          <w:color w:val="auto"/>
          <w:sz w:val="24"/>
          <w:highlight w:val="none"/>
        </w:rPr>
        <w:t>2011</w:t>
      </w:r>
      <w:r>
        <w:rPr>
          <w:rFonts w:ascii="宋体" w:hAnsi="宋体"/>
          <w:color w:val="auto"/>
          <w:sz w:val="24"/>
          <w:highlight w:val="none"/>
        </w:rPr>
        <w:t>]</w:t>
      </w:r>
      <w:r>
        <w:rPr>
          <w:rFonts w:hint="eastAsia" w:ascii="宋体" w:hAnsi="宋体"/>
          <w:color w:val="auto"/>
          <w:sz w:val="24"/>
          <w:highlight w:val="none"/>
        </w:rPr>
        <w:t>181号）的规定，本公司为______（请填写：大型、中型、小型、微型）企业。即，本公司同时满足以下条件：</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根据《工业和信息化部、国家统计局、国家发展和改革委员会、财政部关于印发中小企业划型标准规定的通知》（工信部联企业[2011]300号）规定的划分标准，本公司为______（请填写：大型、中型、小型、微型）企业。</w:t>
      </w:r>
    </w:p>
    <w:p>
      <w:pPr>
        <w:spacing w:line="360" w:lineRule="auto"/>
        <w:ind w:firstLine="480" w:firstLineChars="20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本公司参加</w:t>
      </w:r>
      <w:r>
        <w:rPr>
          <w:rFonts w:hint="eastAsia" w:ascii="宋体" w:hAnsi="宋体"/>
          <w:bCs/>
          <w:color w:val="auto"/>
          <w:spacing w:val="-6"/>
          <w:sz w:val="24"/>
          <w:highlight w:val="none"/>
          <w:lang w:eastAsia="zh-CN"/>
        </w:rPr>
        <w:t>杭州电子科技大学</w:t>
      </w:r>
      <w:r>
        <w:rPr>
          <w:rFonts w:hint="eastAsia" w:ascii="宋体" w:hAnsi="宋体"/>
          <w:color w:val="auto"/>
          <w:sz w:val="24"/>
          <w:highlight w:val="none"/>
          <w:lang w:eastAsia="zh-CN"/>
        </w:rPr>
        <w:t>微波暗室测试系统</w:t>
      </w:r>
      <w:r>
        <w:rPr>
          <w:rFonts w:hint="eastAsia" w:ascii="宋体" w:hAnsi="宋体"/>
          <w:color w:val="auto"/>
          <w:sz w:val="24"/>
          <w:highlight w:val="none"/>
        </w:rPr>
        <w:t>采购活动（按投标形式选择填写）：</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（1）□本公司为直接投标人提供本企业制造的货物。</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（2）□本公司为代理商，提供其他______（请填写：中型、小型、微型）企业制造的货物。本条所称货物不包括使用大型企业注册商标的货物。</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本公司对上述声明的真实性负责。如有虚假，将依法承担相应责任。</w:t>
      </w:r>
    </w:p>
    <w:p>
      <w:pPr>
        <w:spacing w:line="360" w:lineRule="auto"/>
        <w:rPr>
          <w:rFonts w:ascii="宋体" w:hAnsi="宋体"/>
          <w:color w:val="auto"/>
          <w:sz w:val="24"/>
          <w:highlight w:val="none"/>
        </w:rPr>
      </w:pPr>
    </w:p>
    <w:p>
      <w:pPr>
        <w:spacing w:line="360" w:lineRule="auto"/>
        <w:rPr>
          <w:rFonts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投标人代表签字：</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日期：     年   月   日</w:t>
      </w:r>
    </w:p>
    <w:p>
      <w:pPr>
        <w:spacing w:line="360" w:lineRule="auto"/>
        <w:jc w:val="center"/>
        <w:outlineLvl w:val="2"/>
        <w:rPr>
          <w:rFonts w:hint="eastAsia" w:ascii="宋体" w:hAnsi="宋体"/>
          <w:color w:val="auto"/>
          <w:sz w:val="24"/>
          <w:highlight w:val="none"/>
        </w:rPr>
      </w:pPr>
      <w:r>
        <w:rPr>
          <w:rFonts w:ascii="宋体" w:hAnsi="宋体"/>
          <w:color w:val="auto"/>
          <w:sz w:val="24"/>
          <w:highlight w:val="none"/>
        </w:rPr>
        <w:br w:type="page"/>
      </w:r>
      <w:r>
        <w:rPr>
          <w:rFonts w:hint="eastAsia" w:ascii="宋体" w:hAnsi="宋体"/>
          <w:b/>
          <w:bCs/>
          <w:color w:val="auto"/>
          <w:sz w:val="24"/>
          <w:highlight w:val="none"/>
        </w:rPr>
        <w:t>小微企业资格证明材料</w:t>
      </w:r>
    </w:p>
    <w:p>
      <w:pPr>
        <w:spacing w:line="360" w:lineRule="auto"/>
        <w:jc w:val="center"/>
        <w:rPr>
          <w:rFonts w:ascii="宋体" w:hAnsi="宋体"/>
          <w:color w:val="auto"/>
          <w:sz w:val="21"/>
          <w:szCs w:val="21"/>
          <w:highlight w:val="none"/>
        </w:rPr>
      </w:pPr>
    </w:p>
    <w:p>
      <w:pPr>
        <w:spacing w:line="360" w:lineRule="auto"/>
        <w:jc w:val="center"/>
        <w:rPr>
          <w:rFonts w:ascii="宋体" w:hAnsi="宋体"/>
          <w:color w:val="auto"/>
          <w:sz w:val="21"/>
          <w:szCs w:val="21"/>
          <w:highlight w:val="none"/>
        </w:rPr>
      </w:pPr>
    </w:p>
    <w:p>
      <w:pPr>
        <w:spacing w:line="360" w:lineRule="auto"/>
        <w:jc w:val="center"/>
        <w:rPr>
          <w:rFonts w:hint="eastAsia" w:ascii="宋体" w:hAnsi="宋体"/>
          <w:color w:val="auto"/>
          <w:sz w:val="21"/>
          <w:szCs w:val="21"/>
          <w:highlight w:val="none"/>
        </w:rPr>
      </w:pPr>
    </w:p>
    <w:p>
      <w:pPr>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t>说明</w:t>
      </w:r>
      <w:r>
        <w:rPr>
          <w:rFonts w:ascii="宋体" w:hAnsi="宋体"/>
          <w:b/>
          <w:bCs/>
          <w:color w:val="auto"/>
          <w:sz w:val="21"/>
          <w:szCs w:val="21"/>
          <w:highlight w:val="none"/>
        </w:rPr>
        <w:t>：</w:t>
      </w:r>
    </w:p>
    <w:p>
      <w:pPr>
        <w:spacing w:line="360" w:lineRule="auto"/>
        <w:jc w:val="left"/>
        <w:rPr>
          <w:rFonts w:ascii="宋体" w:hAnsi="宋体"/>
          <w:b/>
          <w:bCs/>
          <w:color w:val="auto"/>
          <w:sz w:val="21"/>
          <w:szCs w:val="21"/>
          <w:highlight w:val="none"/>
        </w:rPr>
      </w:pPr>
      <w:r>
        <w:rPr>
          <w:rFonts w:hint="eastAsia" w:ascii="宋体" w:hAnsi="宋体"/>
          <w:b/>
          <w:bCs/>
          <w:color w:val="auto"/>
          <w:sz w:val="21"/>
          <w:szCs w:val="21"/>
          <w:highlight w:val="none"/>
        </w:rPr>
        <w:t>1.评标委员会将依据“投标人企业类型声明函”及小微企业资格证明材料评定投标人的企业类型；</w:t>
      </w:r>
    </w:p>
    <w:p>
      <w:pPr>
        <w:spacing w:line="360" w:lineRule="auto"/>
        <w:jc w:val="left"/>
        <w:rPr>
          <w:rFonts w:hint="eastAsia" w:ascii="宋体" w:hAnsi="宋体"/>
          <w:b/>
          <w:bCs/>
          <w:color w:val="auto"/>
          <w:sz w:val="21"/>
          <w:szCs w:val="21"/>
          <w:highlight w:val="none"/>
        </w:rPr>
      </w:pPr>
      <w:r>
        <w:rPr>
          <w:rFonts w:hint="eastAsia" w:ascii="宋体" w:hAnsi="宋体"/>
          <w:b/>
          <w:bCs/>
          <w:color w:val="auto"/>
          <w:sz w:val="21"/>
          <w:szCs w:val="21"/>
          <w:highlight w:val="none"/>
        </w:rPr>
        <w:t>2.小微企业资格证明材料（加盖公章）：投标人在“国家企业信用信息公示系统-小微企业名录”中的网页查询截图或当地中小企业行政主管部门的确认意见；</w:t>
      </w:r>
    </w:p>
    <w:p>
      <w:pPr>
        <w:spacing w:line="360" w:lineRule="auto"/>
        <w:jc w:val="left"/>
        <w:rPr>
          <w:rFonts w:hint="eastAsia" w:ascii="宋体" w:hAnsi="宋体"/>
          <w:b/>
          <w:bCs/>
          <w:color w:val="auto"/>
          <w:sz w:val="21"/>
          <w:szCs w:val="21"/>
          <w:highlight w:val="none"/>
        </w:rPr>
      </w:pPr>
      <w:r>
        <w:rPr>
          <w:rFonts w:hint="eastAsia" w:ascii="宋体" w:hAnsi="宋体"/>
          <w:b/>
          <w:bCs/>
          <w:color w:val="auto"/>
          <w:sz w:val="21"/>
          <w:szCs w:val="21"/>
          <w:highlight w:val="none"/>
        </w:rPr>
        <w:t>3</w:t>
      </w:r>
      <w:r>
        <w:rPr>
          <w:rFonts w:ascii="宋体" w:hAnsi="宋体"/>
          <w:b/>
          <w:bCs/>
          <w:color w:val="auto"/>
          <w:sz w:val="21"/>
          <w:szCs w:val="21"/>
          <w:highlight w:val="none"/>
        </w:rPr>
        <w:t>.如投标人为代理商</w:t>
      </w:r>
      <w:r>
        <w:rPr>
          <w:rFonts w:hint="eastAsia" w:ascii="宋体" w:hAnsi="宋体"/>
          <w:b/>
          <w:bCs/>
          <w:color w:val="auto"/>
          <w:sz w:val="21"/>
          <w:szCs w:val="21"/>
          <w:highlight w:val="none"/>
        </w:rPr>
        <w:t>，提供其它小微企业</w:t>
      </w:r>
      <w:r>
        <w:rPr>
          <w:rFonts w:ascii="宋体" w:hAnsi="宋体"/>
          <w:b/>
          <w:bCs/>
          <w:color w:val="auto"/>
          <w:sz w:val="21"/>
          <w:szCs w:val="21"/>
          <w:highlight w:val="none"/>
        </w:rPr>
        <w:t>制造的货物的，</w:t>
      </w:r>
      <w:r>
        <w:rPr>
          <w:rFonts w:hint="eastAsia" w:ascii="宋体" w:hAnsi="宋体"/>
          <w:b/>
          <w:bCs/>
          <w:color w:val="auto"/>
          <w:sz w:val="21"/>
          <w:szCs w:val="21"/>
          <w:highlight w:val="none"/>
        </w:rPr>
        <w:t>所</w:t>
      </w:r>
      <w:r>
        <w:rPr>
          <w:rFonts w:ascii="宋体" w:hAnsi="宋体"/>
          <w:b/>
          <w:bCs/>
          <w:color w:val="auto"/>
          <w:sz w:val="21"/>
          <w:szCs w:val="21"/>
          <w:highlight w:val="none"/>
        </w:rPr>
        <w:t>代理品牌</w:t>
      </w:r>
      <w:r>
        <w:rPr>
          <w:rFonts w:hint="eastAsia" w:ascii="宋体" w:hAnsi="宋体"/>
          <w:b/>
          <w:bCs/>
          <w:color w:val="auto"/>
          <w:sz w:val="21"/>
          <w:szCs w:val="21"/>
          <w:highlight w:val="none"/>
        </w:rPr>
        <w:t>制造</w:t>
      </w:r>
      <w:r>
        <w:rPr>
          <w:rFonts w:ascii="宋体" w:hAnsi="宋体"/>
          <w:b/>
          <w:bCs/>
          <w:color w:val="auto"/>
          <w:sz w:val="21"/>
          <w:szCs w:val="21"/>
          <w:highlight w:val="none"/>
        </w:rPr>
        <w:t>商</w:t>
      </w:r>
      <w:r>
        <w:rPr>
          <w:rFonts w:hint="eastAsia" w:ascii="宋体" w:hAnsi="宋体"/>
          <w:b/>
          <w:bCs/>
          <w:color w:val="auto"/>
          <w:sz w:val="21"/>
          <w:szCs w:val="21"/>
          <w:highlight w:val="none"/>
        </w:rPr>
        <w:t>的小微企业资格证明材料也需同时提供；</w:t>
      </w:r>
    </w:p>
    <w:p>
      <w:pPr>
        <w:spacing w:line="360" w:lineRule="auto"/>
        <w:jc w:val="left"/>
        <w:rPr>
          <w:rFonts w:ascii="宋体" w:hAnsi="宋体"/>
          <w:b/>
          <w:bCs/>
          <w:color w:val="auto"/>
          <w:sz w:val="21"/>
          <w:szCs w:val="21"/>
          <w:highlight w:val="none"/>
        </w:rPr>
      </w:pPr>
      <w:r>
        <w:rPr>
          <w:rFonts w:hint="eastAsia" w:ascii="宋体" w:hAnsi="宋体"/>
          <w:b/>
          <w:bCs/>
          <w:color w:val="auto"/>
          <w:sz w:val="21"/>
          <w:szCs w:val="21"/>
          <w:highlight w:val="none"/>
        </w:rPr>
        <w:t>4.小微企业资格证明材料中认定情形为“中小企业”等无法界定投标人或其代理品牌制造商具体企业类型的均为无效证明材料。</w:t>
      </w:r>
    </w:p>
    <w:p>
      <w:pPr>
        <w:spacing w:line="360" w:lineRule="auto"/>
        <w:jc w:val="center"/>
        <w:outlineLvl w:val="2"/>
        <w:rPr>
          <w:rFonts w:ascii="宋体" w:hAnsi="宋体"/>
          <w:b/>
          <w:bCs/>
          <w:color w:val="auto"/>
          <w:sz w:val="24"/>
          <w:highlight w:val="none"/>
        </w:rPr>
      </w:pPr>
      <w:r>
        <w:rPr>
          <w:rFonts w:ascii="宋体" w:hAnsi="宋体"/>
          <w:b/>
          <w:bCs/>
          <w:color w:val="auto"/>
          <w:sz w:val="24"/>
          <w:highlight w:val="none"/>
        </w:rPr>
        <w:br w:type="page"/>
      </w:r>
      <w:r>
        <w:rPr>
          <w:rFonts w:hint="eastAsia" w:ascii="宋体" w:hAnsi="宋体"/>
          <w:b/>
          <w:bCs/>
          <w:color w:val="auto"/>
          <w:sz w:val="24"/>
          <w:highlight w:val="none"/>
        </w:rPr>
        <w:t>监狱企业资格证明材料</w:t>
      </w:r>
    </w:p>
    <w:p>
      <w:pPr>
        <w:spacing w:line="360" w:lineRule="auto"/>
        <w:jc w:val="center"/>
        <w:rPr>
          <w:rFonts w:ascii="宋体" w:hAnsi="宋体"/>
          <w:b/>
          <w:bCs/>
          <w:color w:val="auto"/>
          <w:sz w:val="21"/>
          <w:szCs w:val="21"/>
          <w:highlight w:val="none"/>
        </w:rPr>
      </w:pPr>
      <w:r>
        <w:rPr>
          <w:rFonts w:hint="eastAsia" w:ascii="宋体" w:hAnsi="宋体"/>
          <w:b/>
          <w:bCs/>
          <w:color w:val="auto"/>
          <w:sz w:val="21"/>
          <w:szCs w:val="21"/>
          <w:highlight w:val="none"/>
        </w:rPr>
        <w:t>【省级以上监狱管理局、戒毒管理局（含新疆生产建设兵团）出具的属于监狱企业的证明文件】</w:t>
      </w:r>
    </w:p>
    <w:p>
      <w:pPr>
        <w:spacing w:line="360" w:lineRule="auto"/>
        <w:ind w:firstLine="536" w:firstLineChars="200"/>
        <w:jc w:val="center"/>
        <w:rPr>
          <w:rFonts w:hint="eastAsia" w:hAnsi="宋体"/>
          <w:b/>
          <w:color w:val="auto"/>
          <w:spacing w:val="6"/>
          <w:sz w:val="24"/>
          <w:highlight w:val="none"/>
        </w:rPr>
      </w:pPr>
      <w:r>
        <w:rPr>
          <w:rFonts w:hAnsi="宋体"/>
          <w:color w:val="auto"/>
          <w:spacing w:val="-6"/>
          <w:highlight w:val="none"/>
        </w:rPr>
        <w:br w:type="page"/>
      </w:r>
      <w:r>
        <w:rPr>
          <w:rFonts w:hint="eastAsia" w:hAnsi="宋体"/>
          <w:b/>
          <w:color w:val="auto"/>
          <w:spacing w:val="6"/>
          <w:sz w:val="24"/>
          <w:highlight w:val="none"/>
        </w:rPr>
        <w:t>残疾人福利性单位声明函</w:t>
      </w:r>
    </w:p>
    <w:p>
      <w:pPr>
        <w:spacing w:line="360" w:lineRule="auto"/>
        <w:ind w:firstLine="504" w:firstLineChars="200"/>
        <w:rPr>
          <w:rFonts w:ascii="宋体" w:hAnsi="宋体"/>
          <w:color w:val="auto"/>
          <w:spacing w:val="6"/>
          <w:sz w:val="24"/>
          <w:highlight w:val="none"/>
        </w:rPr>
      </w:pPr>
      <w:r>
        <w:rPr>
          <w:rFonts w:hint="eastAsia" w:ascii="宋体" w:hAnsi="宋体"/>
          <w:color w:val="auto"/>
          <w:spacing w:val="6"/>
          <w:sz w:val="24"/>
          <w:highlight w:val="none"/>
        </w:rPr>
        <w:t>本单位郑重声明，根据《财政部 民政部 中国残疾人联合会关于促进残疾人就业政府采购政策的通知》（财库</w:t>
      </w:r>
      <w:r>
        <w:rPr>
          <w:rFonts w:hint="eastAsia" w:ascii="宋体" w:hAnsi="宋体"/>
          <w:color w:val="auto"/>
          <w:sz w:val="24"/>
          <w:highlight w:val="none"/>
        </w:rPr>
        <w:t>[2017]141</w:t>
      </w:r>
      <w:r>
        <w:rPr>
          <w:rFonts w:hint="eastAsia" w:ascii="宋体" w:hAnsi="宋体"/>
          <w:color w:val="auto"/>
          <w:spacing w:val="6"/>
          <w:sz w:val="24"/>
          <w:highlight w:val="none"/>
        </w:rPr>
        <w:t>号）的规定，本单位为符合条件的残疾人福利性单位，且本单位参加</w:t>
      </w:r>
      <w:r>
        <w:rPr>
          <w:rFonts w:hint="eastAsia" w:ascii="宋体" w:hAnsi="宋体"/>
          <w:color w:val="auto"/>
          <w:sz w:val="24"/>
          <w:highlight w:val="none"/>
          <w:lang w:eastAsia="zh-CN"/>
        </w:rPr>
        <w:t>杭州电子科技大学</w:t>
      </w:r>
      <w:r>
        <w:rPr>
          <w:rFonts w:hint="eastAsia" w:ascii="宋体" w:hAnsi="宋体"/>
          <w:color w:val="auto"/>
          <w:spacing w:val="6"/>
          <w:sz w:val="24"/>
          <w:highlight w:val="none"/>
        </w:rPr>
        <w:t>的</w:t>
      </w:r>
      <w:r>
        <w:rPr>
          <w:rFonts w:hint="eastAsia" w:ascii="宋体" w:hAnsi="宋体"/>
          <w:color w:val="auto"/>
          <w:spacing w:val="6"/>
          <w:sz w:val="24"/>
          <w:highlight w:val="none"/>
          <w:lang w:eastAsia="zh-CN"/>
        </w:rPr>
        <w:t>微波暗室测试系统</w:t>
      </w:r>
      <w:r>
        <w:rPr>
          <w:rFonts w:hint="eastAsia" w:ascii="宋体" w:hAnsi="宋体"/>
          <w:color w:val="auto"/>
          <w:spacing w:val="6"/>
          <w:sz w:val="24"/>
          <w:highlight w:val="none"/>
        </w:rPr>
        <w:t>采购活动提供本单位制造的货物，或者提供其他残疾人福利性单位制造的货物（不包括使用非残疾人福利性单位注册商标的货物）。</w:t>
      </w:r>
    </w:p>
    <w:p>
      <w:pPr>
        <w:spacing w:line="360" w:lineRule="auto"/>
        <w:ind w:firstLine="504" w:firstLineChars="200"/>
        <w:rPr>
          <w:rFonts w:ascii="宋体" w:hAnsi="宋体"/>
          <w:color w:val="auto"/>
          <w:spacing w:val="6"/>
          <w:sz w:val="24"/>
          <w:highlight w:val="none"/>
        </w:rPr>
      </w:pPr>
      <w:r>
        <w:rPr>
          <w:rFonts w:hint="eastAsia" w:ascii="宋体" w:hAnsi="宋体"/>
          <w:color w:val="auto"/>
          <w:spacing w:val="6"/>
          <w:sz w:val="24"/>
          <w:highlight w:val="none"/>
        </w:rPr>
        <w:t>本单位对上述声明的真实性负责。如有虚假，将依法承担相应责任。</w:t>
      </w:r>
    </w:p>
    <w:p>
      <w:pPr>
        <w:spacing w:line="360" w:lineRule="auto"/>
        <w:rPr>
          <w:rFonts w:hint="eastAsia" w:hAnsi="宋体"/>
          <w:color w:val="auto"/>
          <w:spacing w:val="-6"/>
          <w:sz w:val="24"/>
          <w:highlight w:val="none"/>
        </w:rPr>
      </w:pP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投标人代表签字：</w:t>
      </w:r>
    </w:p>
    <w:p>
      <w:pPr>
        <w:spacing w:line="360" w:lineRule="auto"/>
        <w:jc w:val="left"/>
        <w:rPr>
          <w:rFonts w:hint="eastAsia" w:ascii="宋体" w:hAnsi="宋体"/>
          <w:b/>
          <w:bCs/>
          <w:color w:val="auto"/>
          <w:sz w:val="21"/>
          <w:szCs w:val="21"/>
          <w:highlight w:val="none"/>
        </w:rPr>
      </w:pPr>
      <w:r>
        <w:rPr>
          <w:rFonts w:hint="eastAsia" w:ascii="宋体" w:hAnsi="宋体"/>
          <w:color w:val="auto"/>
          <w:spacing w:val="-6"/>
          <w:sz w:val="24"/>
          <w:highlight w:val="none"/>
        </w:rPr>
        <w:t>日期：     年   月   日</w:t>
      </w:r>
    </w:p>
    <w:p>
      <w:pPr>
        <w:spacing w:line="360" w:lineRule="auto"/>
        <w:rPr>
          <w:rFonts w:hint="eastAsia" w:ascii="宋体" w:hAnsi="宋体"/>
          <w:b/>
          <w:bCs/>
          <w:color w:val="auto"/>
          <w:sz w:val="21"/>
          <w:szCs w:val="21"/>
          <w:highlight w:val="none"/>
        </w:rPr>
      </w:pPr>
    </w:p>
    <w:p>
      <w:pPr>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说明</w:t>
      </w:r>
      <w:r>
        <w:rPr>
          <w:rFonts w:ascii="宋体" w:hAnsi="宋体"/>
          <w:b/>
          <w:bCs/>
          <w:color w:val="auto"/>
          <w:sz w:val="21"/>
          <w:szCs w:val="21"/>
          <w:highlight w:val="none"/>
        </w:rPr>
        <w:t>：</w:t>
      </w:r>
    </w:p>
    <w:p>
      <w:pPr>
        <w:spacing w:line="360" w:lineRule="auto"/>
        <w:ind w:firstLine="420" w:firstLineChars="200"/>
        <w:jc w:val="left"/>
        <w:rPr>
          <w:rFonts w:hint="eastAsia" w:ascii="宋体" w:hAnsi="宋体"/>
          <w:color w:val="auto"/>
          <w:spacing w:val="6"/>
          <w:sz w:val="21"/>
          <w:szCs w:val="21"/>
          <w:highlight w:val="none"/>
        </w:rPr>
      </w:pPr>
      <w:r>
        <w:rPr>
          <w:rFonts w:hint="eastAsia" w:ascii="宋体" w:hAnsi="宋体"/>
          <w:bCs/>
          <w:color w:val="auto"/>
          <w:sz w:val="21"/>
          <w:szCs w:val="21"/>
          <w:highlight w:val="none"/>
        </w:rPr>
        <w:t>1</w:t>
      </w:r>
      <w:r>
        <w:rPr>
          <w:rFonts w:ascii="宋体" w:hAnsi="宋体"/>
          <w:bCs/>
          <w:color w:val="auto"/>
          <w:sz w:val="21"/>
          <w:szCs w:val="21"/>
          <w:highlight w:val="none"/>
        </w:rPr>
        <w:t>.</w:t>
      </w:r>
      <w:r>
        <w:rPr>
          <w:rFonts w:hint="eastAsia" w:ascii="宋体" w:hAnsi="宋体"/>
          <w:color w:val="auto"/>
          <w:spacing w:val="6"/>
          <w:sz w:val="21"/>
          <w:szCs w:val="21"/>
          <w:highlight w:val="none"/>
        </w:rPr>
        <w:t>若投标人同时满足以下条件，则属于依法享受政府采购支持政策的残疾人福利性单位，可提供《残疾人福利性单位声明函》，并对声明的真实性负责：</w:t>
      </w:r>
    </w:p>
    <w:p>
      <w:pPr>
        <w:widowControl/>
        <w:shd w:val="clear" w:color="auto" w:fill="FFFFFF"/>
        <w:spacing w:line="360" w:lineRule="auto"/>
        <w:ind w:firstLine="444"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（一）安置的残疾人占本单位在职职工人数的比例不低于25%（含25%），并且安置的残疾人人数不少于10人（含10人）；</w:t>
      </w:r>
    </w:p>
    <w:p>
      <w:pPr>
        <w:widowControl/>
        <w:shd w:val="clear" w:color="auto" w:fill="FFFFFF"/>
        <w:spacing w:line="360" w:lineRule="auto"/>
        <w:ind w:firstLine="444"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（二）依法与安置的每位残疾人签订了一年以上（含一年）的劳动合同或服务协议；</w:t>
      </w:r>
    </w:p>
    <w:p>
      <w:pPr>
        <w:widowControl/>
        <w:shd w:val="clear" w:color="auto" w:fill="FFFFFF"/>
        <w:spacing w:line="360" w:lineRule="auto"/>
        <w:ind w:firstLine="444"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（三）为安置的每位残疾人按月足额缴纳了基本养老保险、基本医疗保险、失业保险、工伤保险和生育保险等社会保险费；</w:t>
      </w:r>
    </w:p>
    <w:p>
      <w:pPr>
        <w:widowControl/>
        <w:shd w:val="clear" w:color="auto" w:fill="FFFFFF"/>
        <w:spacing w:line="360" w:lineRule="auto"/>
        <w:ind w:firstLine="444"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（四）通过银行等金融机构向安置的每位残疾人，按月支付了不低于单位所在区县适用的经省级人民政府批准的月最低工资标准的工资；</w:t>
      </w:r>
    </w:p>
    <w:p>
      <w:pPr>
        <w:widowControl/>
        <w:shd w:val="clear" w:color="auto" w:fill="FFFFFF"/>
        <w:spacing w:line="360" w:lineRule="auto"/>
        <w:ind w:firstLine="444"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rPr>
        <w:t>（五）提供本单位制造的货物、承担的工程或者服务（以下简称产品），或者提供其他残疾人福利性单位制造的货物（不包括使用非残疾人福利性单位注册商标的货物）。</w:t>
      </w:r>
    </w:p>
    <w:p>
      <w:pPr>
        <w:widowControl/>
        <w:shd w:val="clear" w:color="auto" w:fill="FFFFFF"/>
        <w:spacing w:line="360" w:lineRule="auto"/>
        <w:ind w:firstLine="444" w:firstLineChars="200"/>
        <w:jc w:val="left"/>
        <w:rPr>
          <w:rFonts w:hint="eastAsia" w:ascii="宋体" w:hAnsi="宋体"/>
          <w:color w:val="auto"/>
          <w:spacing w:val="6"/>
          <w:sz w:val="21"/>
          <w:szCs w:val="21"/>
          <w:highlight w:val="none"/>
        </w:rPr>
      </w:pPr>
      <w:r>
        <w:rPr>
          <w:rFonts w:hint="eastAsia" w:ascii="宋体" w:hAnsi="宋体"/>
          <w:color w:val="auto"/>
          <w:spacing w:val="6"/>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360" w:lineRule="auto"/>
        <w:ind w:firstLine="420" w:firstLineChars="200"/>
        <w:jc w:val="left"/>
        <w:rPr>
          <w:rFonts w:hint="eastAsia" w:ascii="宋体" w:hAnsi="宋体"/>
          <w:bCs/>
          <w:color w:val="auto"/>
          <w:sz w:val="21"/>
          <w:szCs w:val="21"/>
          <w:highlight w:val="none"/>
        </w:rPr>
      </w:pPr>
      <w:r>
        <w:rPr>
          <w:rFonts w:hint="eastAsia" w:ascii="宋体" w:hAnsi="宋体"/>
          <w:bCs/>
          <w:color w:val="auto"/>
          <w:sz w:val="21"/>
          <w:szCs w:val="21"/>
          <w:highlight w:val="none"/>
        </w:rPr>
        <w:t>2.中标人为残疾人福利性单位的，《残疾人福利性单位声明函》随中标结果同时公告，接受社会监督。</w:t>
      </w:r>
    </w:p>
    <w:p>
      <w:pPr>
        <w:pStyle w:val="7"/>
        <w:overflowPunct w:val="0"/>
        <w:spacing w:line="360" w:lineRule="auto"/>
        <w:ind w:firstLine="0"/>
        <w:jc w:val="center"/>
        <w:rPr>
          <w:rFonts w:hint="eastAsia" w:ascii="宋体" w:hAnsi="宋体"/>
          <w:bCs/>
          <w:color w:val="auto"/>
          <w:szCs w:val="21"/>
          <w:highlight w:val="none"/>
        </w:rPr>
      </w:pPr>
      <w:r>
        <w:rPr>
          <w:rFonts w:hint="eastAsia" w:ascii="宋体" w:hAnsi="宋体"/>
          <w:b/>
          <w:color w:val="auto"/>
          <w:spacing w:val="6"/>
          <w:szCs w:val="21"/>
          <w:highlight w:val="none"/>
        </w:rPr>
        <w:t>投标人不属于残疾人福利性单位的，无需提供此声明函，如提供所引起的后果由投标人承担。</w:t>
      </w:r>
    </w:p>
    <w:p>
      <w:pPr>
        <w:spacing w:line="360" w:lineRule="auto"/>
        <w:outlineLvl w:val="1"/>
        <w:rPr>
          <w:rFonts w:hint="eastAsia" w:ascii="宋体" w:hAnsi="宋体"/>
          <w:bCs/>
          <w:color w:val="auto"/>
          <w:spacing w:val="-6"/>
          <w:sz w:val="24"/>
          <w:highlight w:val="none"/>
        </w:rPr>
      </w:pPr>
      <w:r>
        <w:rPr>
          <w:rFonts w:ascii="宋体" w:hAnsi="宋体"/>
          <w:b/>
          <w:color w:val="auto"/>
          <w:spacing w:val="-6"/>
          <w:sz w:val="52"/>
          <w:szCs w:val="52"/>
          <w:highlight w:val="none"/>
        </w:rPr>
        <w:br w:type="page"/>
      </w:r>
      <w:r>
        <w:rPr>
          <w:rFonts w:hint="eastAsia" w:ascii="宋体" w:hAnsi="宋体"/>
          <w:bCs/>
          <w:color w:val="auto"/>
          <w:spacing w:val="-6"/>
          <w:sz w:val="24"/>
          <w:highlight w:val="none"/>
        </w:rPr>
        <w:t>商务技术文件封面</w:t>
      </w:r>
    </w:p>
    <w:p>
      <w:pPr>
        <w:spacing w:line="360" w:lineRule="auto"/>
        <w:jc w:val="right"/>
        <w:rPr>
          <w:rFonts w:hint="eastAsia" w:ascii="宋体" w:hAnsi="宋体"/>
          <w:color w:val="auto"/>
          <w:spacing w:val="-6"/>
          <w:sz w:val="24"/>
          <w:highlight w:val="none"/>
        </w:rPr>
      </w:pPr>
    </w:p>
    <w:p>
      <w:pPr>
        <w:spacing w:line="360" w:lineRule="auto"/>
        <w:rPr>
          <w:rFonts w:hint="eastAsia" w:ascii="宋体" w:hAnsi="宋体"/>
          <w:color w:val="auto"/>
          <w:spacing w:val="-6"/>
          <w:sz w:val="24"/>
          <w:highlight w:val="none"/>
        </w:rPr>
      </w:pPr>
    </w:p>
    <w:p>
      <w:pPr>
        <w:spacing w:line="360" w:lineRule="auto"/>
        <w:jc w:val="center"/>
        <w:rPr>
          <w:rFonts w:hint="eastAsia" w:ascii="宋体" w:hAnsi="宋体"/>
          <w:bCs/>
          <w:color w:val="auto"/>
          <w:spacing w:val="-6"/>
          <w:sz w:val="24"/>
          <w:highlight w:val="none"/>
        </w:rPr>
      </w:pPr>
      <w:r>
        <w:rPr>
          <w:rFonts w:hint="eastAsia" w:ascii="宋体" w:hAnsi="宋体"/>
          <w:bCs/>
          <w:color w:val="auto"/>
          <w:spacing w:val="-6"/>
          <w:sz w:val="24"/>
          <w:highlight w:val="none"/>
          <w:u w:val="single"/>
        </w:rPr>
        <w:t xml:space="preserve">                    </w:t>
      </w:r>
      <w:r>
        <w:rPr>
          <w:rFonts w:hint="eastAsia" w:ascii="宋体" w:hAnsi="宋体"/>
          <w:bCs/>
          <w:color w:val="auto"/>
          <w:spacing w:val="-6"/>
          <w:sz w:val="24"/>
          <w:highlight w:val="none"/>
        </w:rPr>
        <w:t>（投标人名称）</w:t>
      </w:r>
    </w:p>
    <w:p>
      <w:pPr>
        <w:spacing w:line="360" w:lineRule="auto"/>
        <w:jc w:val="center"/>
        <w:rPr>
          <w:rFonts w:hint="eastAsia" w:ascii="宋体" w:hAnsi="宋体"/>
          <w:b/>
          <w:bCs/>
          <w:color w:val="auto"/>
          <w:spacing w:val="-6"/>
          <w:sz w:val="24"/>
          <w:highlight w:val="none"/>
        </w:rPr>
      </w:pPr>
      <w:r>
        <w:rPr>
          <w:rFonts w:hint="eastAsia" w:ascii="宋体" w:hAnsi="宋体"/>
          <w:b/>
          <w:bCs/>
          <w:color w:val="auto"/>
          <w:spacing w:val="-6"/>
          <w:sz w:val="24"/>
          <w:highlight w:val="none"/>
        </w:rPr>
        <w:t>商务技术文件</w:t>
      </w:r>
    </w:p>
    <w:p>
      <w:pPr>
        <w:spacing w:line="360" w:lineRule="auto"/>
        <w:rPr>
          <w:rFonts w:hint="eastAsia" w:ascii="宋体" w:hAnsi="宋体"/>
          <w:bCs/>
          <w:color w:val="auto"/>
          <w:spacing w:val="-6"/>
          <w:sz w:val="24"/>
          <w:highlight w:val="none"/>
        </w:rPr>
      </w:pP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采 购 人：</w:t>
      </w:r>
      <w:r>
        <w:rPr>
          <w:rFonts w:hint="eastAsia" w:ascii="宋体" w:hAnsi="宋体"/>
          <w:bCs/>
          <w:color w:val="auto"/>
          <w:spacing w:val="-6"/>
          <w:sz w:val="24"/>
          <w:highlight w:val="none"/>
          <w:lang w:eastAsia="zh-CN"/>
        </w:rPr>
        <w:t>杭州电子科技大学</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项目名称：</w:t>
      </w:r>
      <w:r>
        <w:rPr>
          <w:rFonts w:hint="eastAsia" w:ascii="宋体" w:hAnsi="宋体"/>
          <w:bCs/>
          <w:color w:val="auto"/>
          <w:spacing w:val="-6"/>
          <w:sz w:val="24"/>
          <w:highlight w:val="none"/>
          <w:lang w:eastAsia="zh-CN"/>
        </w:rPr>
        <w:t>微波暗室测试系统</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项目编号：</w:t>
      </w:r>
      <w:r>
        <w:rPr>
          <w:rFonts w:hint="eastAsia" w:ascii="宋体" w:hAnsi="宋体"/>
          <w:bCs/>
          <w:color w:val="auto"/>
          <w:spacing w:val="-6"/>
          <w:sz w:val="24"/>
          <w:highlight w:val="none"/>
          <w:lang w:eastAsia="zh-CN"/>
        </w:rPr>
        <w:t xml:space="preserve">QSZB-Z(H)-B20095(GK) </w:t>
      </w: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投标人名称（盖章）：</w:t>
      </w: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投标人地址：</w:t>
      </w:r>
    </w:p>
    <w:p>
      <w:pPr>
        <w:spacing w:line="360" w:lineRule="auto"/>
        <w:rPr>
          <w:rFonts w:hint="eastAsia" w:ascii="宋体" w:hAnsi="宋体"/>
          <w:bCs/>
          <w:color w:val="auto"/>
          <w:spacing w:val="-6"/>
          <w:sz w:val="24"/>
          <w:highlight w:val="none"/>
        </w:rPr>
      </w:pP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投标人代表签字：</w:t>
      </w:r>
    </w:p>
    <w:p>
      <w:pPr>
        <w:pStyle w:val="2"/>
        <w:spacing w:line="480" w:lineRule="auto"/>
        <w:ind w:firstLine="0"/>
        <w:rPr>
          <w:rFonts w:hint="eastAsia" w:hAnsi="宋体"/>
          <w:bCs/>
          <w:color w:val="auto"/>
          <w:spacing w:val="-6"/>
          <w:sz w:val="24"/>
          <w:highlight w:val="none"/>
        </w:rPr>
      </w:pPr>
      <w:r>
        <w:rPr>
          <w:rFonts w:hint="eastAsia" w:hAnsi="宋体"/>
          <w:bCs/>
          <w:color w:val="auto"/>
          <w:spacing w:val="-6"/>
          <w:sz w:val="24"/>
          <w:highlight w:val="none"/>
        </w:rPr>
        <w:t>日期：     年   月   日</w:t>
      </w:r>
    </w:p>
    <w:p>
      <w:pPr>
        <w:pStyle w:val="2"/>
        <w:spacing w:line="480" w:lineRule="auto"/>
        <w:ind w:firstLine="0"/>
        <w:rPr>
          <w:rFonts w:hAnsi="宋体"/>
          <w:b/>
          <w:color w:val="auto"/>
          <w:spacing w:val="-6"/>
          <w:sz w:val="24"/>
          <w:highlight w:val="none"/>
        </w:rPr>
      </w:pPr>
      <w:r>
        <w:rPr>
          <w:rFonts w:hAnsi="宋体"/>
          <w:b/>
          <w:color w:val="auto"/>
          <w:spacing w:val="-6"/>
          <w:sz w:val="52"/>
          <w:szCs w:val="52"/>
          <w:highlight w:val="none"/>
        </w:rPr>
        <w:br w:type="page"/>
      </w: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2"/>
        <w:spacing w:line="480" w:lineRule="auto"/>
        <w:ind w:firstLine="0"/>
        <w:jc w:val="center"/>
        <w:rPr>
          <w:rFonts w:hAnsi="宋体"/>
          <w:b/>
          <w:color w:val="auto"/>
          <w:spacing w:val="-6"/>
          <w:sz w:val="24"/>
          <w:highlight w:val="none"/>
        </w:rPr>
      </w:pPr>
    </w:p>
    <w:p>
      <w:pPr>
        <w:pStyle w:val="7"/>
        <w:overflowPunct w:val="0"/>
        <w:spacing w:line="360" w:lineRule="auto"/>
        <w:ind w:firstLine="0"/>
        <w:jc w:val="center"/>
        <w:outlineLvl w:val="1"/>
        <w:rPr>
          <w:rFonts w:hint="eastAsia" w:ascii="宋体" w:hAnsi="宋体"/>
          <w:bCs/>
          <w:color w:val="auto"/>
          <w:spacing w:val="-6"/>
          <w:sz w:val="24"/>
          <w:highlight w:val="none"/>
        </w:rPr>
      </w:pPr>
      <w:r>
        <w:rPr>
          <w:rFonts w:hint="eastAsia" w:ascii="宋体" w:hAnsi="宋体"/>
          <w:b/>
          <w:color w:val="auto"/>
          <w:spacing w:val="-6"/>
          <w:sz w:val="84"/>
          <w:szCs w:val="84"/>
          <w:highlight w:val="none"/>
        </w:rPr>
        <w:t>商务技术文件</w:t>
      </w:r>
    </w:p>
    <w:p>
      <w:pPr>
        <w:spacing w:line="360" w:lineRule="auto"/>
        <w:jc w:val="center"/>
        <w:outlineLvl w:val="2"/>
        <w:rPr>
          <w:rFonts w:hint="eastAsia" w:ascii="宋体" w:hAnsi="宋体"/>
          <w:b/>
          <w:color w:val="auto"/>
          <w:spacing w:val="-6"/>
          <w:sz w:val="24"/>
          <w:highlight w:val="none"/>
        </w:rPr>
      </w:pPr>
      <w:r>
        <w:rPr>
          <w:rFonts w:hint="eastAsia" w:ascii="宋体" w:hAnsi="宋体"/>
          <w:b/>
          <w:color w:val="auto"/>
          <w:spacing w:val="-6"/>
          <w:sz w:val="24"/>
          <w:highlight w:val="none"/>
        </w:rPr>
        <w:br w:type="page"/>
      </w:r>
      <w:r>
        <w:rPr>
          <w:rFonts w:hint="eastAsia" w:ascii="宋体" w:hAnsi="宋体"/>
          <w:b/>
          <w:color w:val="auto"/>
          <w:spacing w:val="-6"/>
          <w:sz w:val="52"/>
          <w:szCs w:val="52"/>
          <w:highlight w:val="none"/>
        </w:rPr>
        <w:t>商务文件</w:t>
      </w:r>
    </w:p>
    <w:p>
      <w:pPr>
        <w:spacing w:line="360" w:lineRule="auto"/>
        <w:jc w:val="center"/>
        <w:outlineLvl w:val="3"/>
        <w:rPr>
          <w:rFonts w:hint="eastAsia" w:ascii="宋体" w:hAnsi="宋体"/>
          <w:b/>
          <w:color w:val="auto"/>
          <w:spacing w:val="-6"/>
          <w:sz w:val="24"/>
          <w:highlight w:val="none"/>
        </w:rPr>
      </w:pPr>
      <w:r>
        <w:rPr>
          <w:rFonts w:hint="eastAsia" w:ascii="宋体" w:hAnsi="宋体"/>
          <w:b/>
          <w:color w:val="auto"/>
          <w:spacing w:val="-6"/>
          <w:sz w:val="24"/>
          <w:highlight w:val="none"/>
        </w:rPr>
        <w:t>投 标 函</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致：浙江求是招标代理有限公司</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根据贵方为</w:t>
      </w:r>
      <w:r>
        <w:rPr>
          <w:rFonts w:hint="eastAsia" w:ascii="宋体" w:hAnsi="宋体"/>
          <w:bCs/>
          <w:color w:val="auto"/>
          <w:spacing w:val="-6"/>
          <w:sz w:val="24"/>
          <w:highlight w:val="none"/>
          <w:lang w:eastAsia="zh-CN"/>
        </w:rPr>
        <w:t>杭州电子科技大学微波暗室测试系统</w:t>
      </w:r>
      <w:r>
        <w:rPr>
          <w:rFonts w:hint="eastAsia" w:ascii="宋体" w:hAnsi="宋体"/>
          <w:color w:val="auto"/>
          <w:spacing w:val="-6"/>
          <w:sz w:val="24"/>
          <w:highlight w:val="none"/>
        </w:rPr>
        <w:t>的投标邀请【项目编号</w:t>
      </w:r>
      <w:r>
        <w:rPr>
          <w:rFonts w:hint="eastAsia" w:ascii="宋体" w:hAnsi="宋体"/>
          <w:bCs/>
          <w:color w:val="auto"/>
          <w:spacing w:val="-6"/>
          <w:sz w:val="24"/>
          <w:highlight w:val="none"/>
        </w:rPr>
        <w:t>：</w:t>
      </w:r>
      <w:r>
        <w:rPr>
          <w:rFonts w:hint="eastAsia" w:ascii="宋体" w:hAnsi="宋体"/>
          <w:bCs/>
          <w:color w:val="auto"/>
          <w:spacing w:val="-6"/>
          <w:sz w:val="24"/>
          <w:highlight w:val="none"/>
          <w:lang w:eastAsia="zh-CN"/>
        </w:rPr>
        <w:t xml:space="preserve">QSZB-Z(H)-B20095(GK) </w:t>
      </w:r>
      <w:r>
        <w:rPr>
          <w:rFonts w:hint="eastAsia" w:ascii="宋体" w:hAnsi="宋体"/>
          <w:bCs/>
          <w:color w:val="auto"/>
          <w:spacing w:val="-6"/>
          <w:sz w:val="24"/>
          <w:highlight w:val="none"/>
        </w:rPr>
        <w:t>】</w:t>
      </w:r>
      <w:r>
        <w:rPr>
          <w:rFonts w:hint="eastAsia" w:ascii="宋体" w:hAnsi="宋体"/>
          <w:color w:val="auto"/>
          <w:spacing w:val="-6"/>
          <w:sz w:val="24"/>
          <w:highlight w:val="none"/>
        </w:rPr>
        <w:t>，签字代表</w:t>
      </w:r>
      <w:r>
        <w:rPr>
          <w:rFonts w:hint="eastAsia" w:ascii="宋体" w:hAnsi="宋体"/>
          <w:bCs/>
          <w:color w:val="auto"/>
          <w:spacing w:val="-6"/>
          <w:sz w:val="24"/>
          <w:highlight w:val="none"/>
        </w:rPr>
        <w:t>____________（</w:t>
      </w:r>
      <w:r>
        <w:rPr>
          <w:rFonts w:hint="eastAsia" w:ascii="宋体" w:hAnsi="宋体"/>
          <w:color w:val="auto"/>
          <w:spacing w:val="-6"/>
          <w:sz w:val="24"/>
          <w:highlight w:val="none"/>
        </w:rPr>
        <w:t>全名）经正式授权并代表投标人</w:t>
      </w:r>
      <w:r>
        <w:rPr>
          <w:rFonts w:hint="eastAsia" w:ascii="宋体" w:hAnsi="宋体"/>
          <w:bCs/>
          <w:color w:val="auto"/>
          <w:spacing w:val="-6"/>
          <w:sz w:val="24"/>
          <w:highlight w:val="none"/>
        </w:rPr>
        <w:t>__________________________（</w:t>
      </w:r>
      <w:r>
        <w:rPr>
          <w:rFonts w:hint="eastAsia" w:ascii="宋体" w:hAnsi="宋体"/>
          <w:color w:val="auto"/>
          <w:spacing w:val="-6"/>
          <w:sz w:val="24"/>
          <w:highlight w:val="none"/>
        </w:rPr>
        <w:t>投标人名称）提交电子加密投标文件一份、以介质（U盘）存储的数据电文形式的备份投标文件___份。</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据此函，签字代表宣布同意如下：</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1</w:t>
      </w:r>
      <w:r>
        <w:rPr>
          <w:rFonts w:ascii="宋体" w:hAnsi="宋体"/>
          <w:color w:val="auto"/>
          <w:spacing w:val="-6"/>
          <w:sz w:val="24"/>
          <w:highlight w:val="none"/>
        </w:rPr>
        <w:t>.</w:t>
      </w:r>
      <w:r>
        <w:rPr>
          <w:rFonts w:hint="eastAsia" w:ascii="宋体" w:hAnsi="宋体"/>
          <w:color w:val="auto"/>
          <w:spacing w:val="-6"/>
          <w:sz w:val="24"/>
          <w:highlight w:val="none"/>
        </w:rPr>
        <w:t>我方已详细审查全部“招标文件”，包括修改文件（如有）以及全部参考资料和有关附件，已经了解我方对于招标文件、招标过程、中标结果有依法进行询问、质疑、投诉的权利及相关渠道和要求。</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2</w:t>
      </w:r>
      <w:r>
        <w:rPr>
          <w:rFonts w:ascii="宋体" w:hAnsi="宋体"/>
          <w:color w:val="auto"/>
          <w:spacing w:val="-6"/>
          <w:sz w:val="24"/>
          <w:highlight w:val="none"/>
        </w:rPr>
        <w:t>.</w:t>
      </w:r>
      <w:r>
        <w:rPr>
          <w:rFonts w:hint="eastAsia" w:ascii="宋体" w:hAnsi="宋体"/>
          <w:color w:val="auto"/>
          <w:spacing w:val="-6"/>
          <w:sz w:val="24"/>
          <w:highlight w:val="none"/>
        </w:rPr>
        <w:t>我方在投标之前已经与贵方进行了充分的沟通，完全理解并接受招标文件的各项规定和要求，对招标文件的合理性、合法性不再有异议。</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3</w:t>
      </w:r>
      <w:r>
        <w:rPr>
          <w:rFonts w:ascii="宋体" w:hAnsi="宋体"/>
          <w:color w:val="auto"/>
          <w:spacing w:val="-6"/>
          <w:sz w:val="24"/>
          <w:highlight w:val="none"/>
        </w:rPr>
        <w:t>.</w:t>
      </w:r>
      <w:r>
        <w:rPr>
          <w:rFonts w:hint="eastAsia" w:ascii="宋体" w:hAnsi="宋体"/>
          <w:color w:val="auto"/>
          <w:spacing w:val="-6"/>
          <w:sz w:val="24"/>
          <w:highlight w:val="none"/>
        </w:rPr>
        <w:t>投标有效期自提交投标文件的截止之日起</w:t>
      </w:r>
      <w:r>
        <w:rPr>
          <w:rFonts w:hint="eastAsia" w:ascii="宋体" w:hAnsi="宋体"/>
          <w:bCs/>
          <w:color w:val="auto"/>
          <w:spacing w:val="-6"/>
          <w:sz w:val="24"/>
          <w:highlight w:val="none"/>
          <w:u w:val="single"/>
        </w:rPr>
        <w:t xml:space="preserve"> 90</w:t>
      </w:r>
      <w:r>
        <w:rPr>
          <w:rFonts w:ascii="宋体" w:hAnsi="宋体"/>
          <w:bCs/>
          <w:color w:val="auto"/>
          <w:spacing w:val="-6"/>
          <w:sz w:val="24"/>
          <w:highlight w:val="none"/>
          <w:u w:val="single"/>
        </w:rPr>
        <w:t xml:space="preserve"> </w:t>
      </w:r>
      <w:r>
        <w:rPr>
          <w:rFonts w:hint="eastAsia" w:ascii="宋体" w:hAnsi="宋体"/>
          <w:color w:val="auto"/>
          <w:spacing w:val="-6"/>
          <w:sz w:val="24"/>
          <w:highlight w:val="none"/>
        </w:rPr>
        <w:t>天。</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4</w:t>
      </w:r>
      <w:r>
        <w:rPr>
          <w:rFonts w:ascii="宋体" w:hAnsi="宋体"/>
          <w:color w:val="auto"/>
          <w:spacing w:val="-6"/>
          <w:sz w:val="24"/>
          <w:highlight w:val="none"/>
        </w:rPr>
        <w:t>.</w:t>
      </w:r>
      <w:r>
        <w:rPr>
          <w:rFonts w:hint="eastAsia" w:ascii="宋体" w:hAnsi="宋体"/>
          <w:color w:val="auto"/>
          <w:spacing w:val="-6"/>
          <w:sz w:val="24"/>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5</w:t>
      </w:r>
      <w:r>
        <w:rPr>
          <w:rFonts w:ascii="宋体" w:hAnsi="宋体"/>
          <w:color w:val="auto"/>
          <w:spacing w:val="-6"/>
          <w:sz w:val="24"/>
          <w:highlight w:val="none"/>
        </w:rPr>
        <w:t>.</w:t>
      </w:r>
      <w:r>
        <w:rPr>
          <w:rFonts w:hint="eastAsia" w:ascii="宋体" w:hAnsi="宋体"/>
          <w:color w:val="auto"/>
          <w:spacing w:val="-6"/>
          <w:sz w:val="24"/>
          <w:highlight w:val="none"/>
        </w:rPr>
        <w:t>我方同意按照贵方要求提供与投标有关的一切数据或资料。</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6</w:t>
      </w:r>
      <w:r>
        <w:rPr>
          <w:rFonts w:ascii="宋体" w:hAnsi="宋体"/>
          <w:color w:val="auto"/>
          <w:spacing w:val="-6"/>
          <w:sz w:val="24"/>
          <w:highlight w:val="none"/>
        </w:rPr>
        <w:t>.</w:t>
      </w:r>
      <w:r>
        <w:rPr>
          <w:rFonts w:hint="eastAsia" w:ascii="宋体" w:hAnsi="宋体"/>
          <w:color w:val="auto"/>
          <w:spacing w:val="-6"/>
          <w:sz w:val="24"/>
          <w:highlight w:val="none"/>
        </w:rPr>
        <w:t>与本投标有关的一切正式往来信函请寄：</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 xml:space="preserve">地址：                         </w:t>
      </w:r>
      <w:r>
        <w:rPr>
          <w:rFonts w:ascii="宋体" w:hAnsi="宋体"/>
          <w:color w:val="auto"/>
          <w:spacing w:val="-6"/>
          <w:sz w:val="24"/>
          <w:highlight w:val="none"/>
        </w:rPr>
        <w:t xml:space="preserve">     </w:t>
      </w:r>
      <w:r>
        <w:rPr>
          <w:rFonts w:hint="eastAsia" w:ascii="宋体" w:hAnsi="宋体"/>
          <w:color w:val="auto"/>
          <w:spacing w:val="-6"/>
          <w:sz w:val="24"/>
          <w:highlight w:val="none"/>
        </w:rPr>
        <w:t>邮编：</w:t>
      </w:r>
      <w:r>
        <w:rPr>
          <w:rFonts w:hint="eastAsia" w:ascii="宋体" w:hAnsi="宋体"/>
          <w:color w:val="auto"/>
          <w:spacing w:val="-6"/>
          <w:sz w:val="24"/>
          <w:highlight w:val="none"/>
          <w:u w:val="single"/>
        </w:rPr>
        <w:t xml:space="preserve">                         </w:t>
      </w:r>
    </w:p>
    <w:p>
      <w:pPr>
        <w:spacing w:line="360" w:lineRule="auto"/>
        <w:ind w:firstLine="456" w:firstLineChars="200"/>
        <w:rPr>
          <w:rFonts w:hint="eastAsia" w:ascii="宋体" w:hAnsi="宋体"/>
          <w:color w:val="auto"/>
          <w:spacing w:val="-6"/>
          <w:sz w:val="24"/>
          <w:highlight w:val="none"/>
          <w:u w:val="single"/>
        </w:rPr>
      </w:pPr>
      <w:r>
        <w:rPr>
          <w:rFonts w:hint="eastAsia" w:ascii="宋体" w:hAnsi="宋体"/>
          <w:color w:val="auto"/>
          <w:spacing w:val="-6"/>
          <w:sz w:val="24"/>
          <w:highlight w:val="none"/>
        </w:rPr>
        <w:t xml:space="preserve">电话：                         </w:t>
      </w:r>
      <w:r>
        <w:rPr>
          <w:rFonts w:ascii="宋体" w:hAnsi="宋体"/>
          <w:color w:val="auto"/>
          <w:spacing w:val="-6"/>
          <w:sz w:val="24"/>
          <w:highlight w:val="none"/>
        </w:rPr>
        <w:t xml:space="preserve">     </w:t>
      </w:r>
      <w:r>
        <w:rPr>
          <w:rFonts w:hint="eastAsia" w:ascii="宋体" w:hAnsi="宋体"/>
          <w:color w:val="auto"/>
          <w:spacing w:val="-6"/>
          <w:sz w:val="24"/>
          <w:highlight w:val="none"/>
        </w:rPr>
        <w:t xml:space="preserve">传真：                         </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 xml:space="preserve">投标人代表姓名：               </w:t>
      </w:r>
      <w:r>
        <w:rPr>
          <w:rFonts w:ascii="宋体" w:hAnsi="宋体"/>
          <w:color w:val="auto"/>
          <w:spacing w:val="-6"/>
          <w:sz w:val="24"/>
          <w:highlight w:val="none"/>
        </w:rPr>
        <w:t xml:space="preserve">     </w:t>
      </w:r>
      <w:r>
        <w:rPr>
          <w:rFonts w:hint="eastAsia" w:ascii="宋体" w:hAnsi="宋体"/>
          <w:color w:val="auto"/>
          <w:spacing w:val="-6"/>
          <w:sz w:val="24"/>
          <w:highlight w:val="none"/>
        </w:rPr>
        <w:t xml:space="preserve">职务：                        </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开户银行：</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银行账号：</w:t>
      </w:r>
    </w:p>
    <w:p>
      <w:pPr>
        <w:spacing w:line="360" w:lineRule="auto"/>
        <w:rPr>
          <w:rFonts w:hint="eastAsia" w:ascii="宋体" w:hAnsi="宋体"/>
          <w:color w:val="auto"/>
          <w:spacing w:val="-6"/>
          <w:sz w:val="24"/>
          <w:highlight w:val="none"/>
        </w:rPr>
      </w:pP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投标人代表签字</w:t>
      </w:r>
      <w:r>
        <w:rPr>
          <w:rFonts w:hint="eastAsia" w:ascii="宋体" w:hAnsi="宋体"/>
          <w:bCs/>
          <w:color w:val="auto"/>
          <w:spacing w:val="-6"/>
          <w:sz w:val="24"/>
          <w:highlight w:val="none"/>
        </w:rPr>
        <w:t>：</w:t>
      </w:r>
    </w:p>
    <w:p>
      <w:pPr>
        <w:spacing w:line="360" w:lineRule="auto"/>
        <w:rPr>
          <w:rFonts w:hint="eastAsia" w:ascii="宋体" w:hAnsi="宋体"/>
          <w:color w:val="auto"/>
          <w:spacing w:val="-6"/>
          <w:sz w:val="24"/>
          <w:highlight w:val="none"/>
        </w:rPr>
      </w:pPr>
      <w:r>
        <w:rPr>
          <w:rFonts w:hint="eastAsia" w:ascii="宋体" w:hAnsi="宋体"/>
          <w:bCs/>
          <w:color w:val="auto"/>
          <w:spacing w:val="-6"/>
          <w:sz w:val="24"/>
          <w:highlight w:val="none"/>
        </w:rPr>
        <w:t>日期：     年   月   日</w:t>
      </w:r>
    </w:p>
    <w:p>
      <w:pPr>
        <w:spacing w:line="360" w:lineRule="auto"/>
        <w:jc w:val="center"/>
        <w:outlineLvl w:val="3"/>
        <w:rPr>
          <w:rFonts w:hint="eastAsia" w:ascii="宋体" w:hAnsi="宋体"/>
          <w:b/>
          <w:color w:val="auto"/>
          <w:spacing w:val="-6"/>
          <w:sz w:val="24"/>
          <w:highlight w:val="none"/>
        </w:rPr>
      </w:pPr>
      <w:r>
        <w:rPr>
          <w:rFonts w:ascii="宋体" w:hAnsi="宋体"/>
          <w:b/>
          <w:color w:val="auto"/>
          <w:spacing w:val="-6"/>
          <w:sz w:val="24"/>
          <w:highlight w:val="none"/>
        </w:rPr>
        <w:br w:type="page"/>
      </w:r>
      <w:r>
        <w:rPr>
          <w:rFonts w:hint="eastAsia" w:ascii="宋体" w:hAnsi="宋体"/>
          <w:b/>
          <w:color w:val="auto"/>
          <w:spacing w:val="-6"/>
          <w:sz w:val="24"/>
          <w:highlight w:val="none"/>
        </w:rPr>
        <w:t>法定代表人资格证明书</w:t>
      </w:r>
    </w:p>
    <w:p>
      <w:pPr>
        <w:spacing w:line="360" w:lineRule="auto"/>
        <w:rPr>
          <w:rFonts w:hint="eastAsia" w:ascii="宋体" w:hAnsi="宋体"/>
          <w:bCs/>
          <w:color w:val="auto"/>
          <w:spacing w:val="-6"/>
          <w:sz w:val="24"/>
          <w:highlight w:val="none"/>
        </w:rPr>
      </w:pPr>
      <w:r>
        <w:rPr>
          <w:rFonts w:hint="eastAsia" w:ascii="宋体" w:hAnsi="宋体"/>
          <w:bCs/>
          <w:color w:val="auto"/>
          <w:spacing w:val="-6"/>
          <w:sz w:val="24"/>
          <w:highlight w:val="none"/>
        </w:rPr>
        <w:t>致：</w:t>
      </w:r>
      <w:r>
        <w:rPr>
          <w:rFonts w:hint="eastAsia" w:ascii="宋体" w:hAnsi="宋体"/>
          <w:bCs/>
          <w:color w:val="auto"/>
          <w:spacing w:val="-6"/>
          <w:sz w:val="24"/>
          <w:highlight w:val="none"/>
          <w:lang w:eastAsia="zh-CN"/>
        </w:rPr>
        <w:t>杭州电子科技大学</w:t>
      </w:r>
      <w:r>
        <w:rPr>
          <w:rFonts w:hint="eastAsia" w:ascii="宋体" w:hAnsi="宋体"/>
          <w:bCs/>
          <w:color w:val="auto"/>
          <w:spacing w:val="-6"/>
          <w:sz w:val="24"/>
          <w:highlight w:val="none"/>
        </w:rPr>
        <w:t>、浙江求是招标代理有限公司</w:t>
      </w:r>
    </w:p>
    <w:p>
      <w:pPr>
        <w:spacing w:line="360" w:lineRule="auto"/>
        <w:ind w:firstLine="456" w:firstLineChars="200"/>
        <w:rPr>
          <w:rFonts w:hint="eastAsia" w:ascii="宋体" w:hAnsi="宋体"/>
          <w:bCs/>
          <w:color w:val="auto"/>
          <w:spacing w:val="-6"/>
          <w:sz w:val="24"/>
          <w:highlight w:val="none"/>
        </w:rPr>
      </w:pPr>
      <w:r>
        <w:rPr>
          <w:rFonts w:hint="eastAsia" w:ascii="宋体" w:hAnsi="宋体"/>
          <w:bCs/>
          <w:color w:val="auto"/>
          <w:spacing w:val="-6"/>
          <w:sz w:val="24"/>
          <w:highlight w:val="none"/>
        </w:rPr>
        <w:t>我</w:t>
      </w:r>
      <w:r>
        <w:rPr>
          <w:rFonts w:ascii="宋体" w:hAnsi="宋体"/>
          <w:color w:val="auto"/>
          <w:spacing w:val="-6"/>
          <w:sz w:val="24"/>
          <w:highlight w:val="none"/>
        </w:rPr>
        <w:t>________________</w:t>
      </w:r>
      <w:r>
        <w:rPr>
          <w:rFonts w:hint="eastAsia" w:ascii="宋体" w:hAnsi="宋体"/>
          <w:color w:val="auto"/>
          <w:spacing w:val="-6"/>
          <w:sz w:val="24"/>
          <w:highlight w:val="none"/>
        </w:rPr>
        <w:t>（</w:t>
      </w:r>
      <w:r>
        <w:rPr>
          <w:rFonts w:ascii="宋体" w:hAnsi="宋体"/>
          <w:bCs/>
          <w:color w:val="auto"/>
          <w:spacing w:val="-6"/>
          <w:sz w:val="24"/>
          <w:highlight w:val="none"/>
        </w:rPr>
        <w:t>姓名</w:t>
      </w:r>
      <w:r>
        <w:rPr>
          <w:rFonts w:hint="eastAsia" w:ascii="宋体" w:hAnsi="宋体"/>
          <w:bCs/>
          <w:color w:val="auto"/>
          <w:spacing w:val="-6"/>
          <w:sz w:val="24"/>
          <w:highlight w:val="none"/>
        </w:rPr>
        <w:t>）</w:t>
      </w:r>
      <w:r>
        <w:rPr>
          <w:rFonts w:ascii="宋体" w:hAnsi="宋体"/>
          <w:bCs/>
          <w:color w:val="auto"/>
          <w:spacing w:val="-6"/>
          <w:sz w:val="24"/>
          <w:highlight w:val="none"/>
        </w:rPr>
        <w:t>系</w:t>
      </w:r>
      <w:r>
        <w:rPr>
          <w:rFonts w:hint="eastAsia" w:ascii="宋体" w:hAnsi="宋体"/>
          <w:bCs/>
          <w:color w:val="auto"/>
          <w:spacing w:val="-6"/>
          <w:sz w:val="24"/>
          <w:highlight w:val="none"/>
        </w:rPr>
        <w:t>_________________________（投标人名称）</w:t>
      </w:r>
      <w:r>
        <w:rPr>
          <w:rFonts w:ascii="宋体" w:hAnsi="宋体"/>
          <w:bCs/>
          <w:color w:val="auto"/>
          <w:spacing w:val="-6"/>
          <w:sz w:val="24"/>
          <w:highlight w:val="none"/>
        </w:rPr>
        <w:t>的法定代表人，身份证</w:t>
      </w:r>
      <w:r>
        <w:rPr>
          <w:rFonts w:hint="eastAsia" w:ascii="宋体" w:hAnsi="宋体"/>
          <w:bCs/>
          <w:color w:val="auto"/>
          <w:spacing w:val="-6"/>
          <w:sz w:val="24"/>
          <w:highlight w:val="none"/>
        </w:rPr>
        <w:t>号码：_________________________________。</w:t>
      </w:r>
    </w:p>
    <w:p>
      <w:pPr>
        <w:spacing w:line="360" w:lineRule="auto"/>
        <w:ind w:firstLine="456" w:firstLineChars="200"/>
        <w:rPr>
          <w:rFonts w:hint="eastAsia" w:ascii="宋体" w:hAnsi="宋体"/>
          <w:bCs/>
          <w:color w:val="auto"/>
          <w:spacing w:val="-6"/>
          <w:sz w:val="24"/>
          <w:highlight w:val="none"/>
        </w:rPr>
      </w:pPr>
      <w:r>
        <w:rPr>
          <w:rFonts w:ascii="宋体" w:hAnsi="宋体"/>
          <w:bCs/>
          <w:color w:val="auto"/>
          <w:spacing w:val="-6"/>
          <w:sz w:val="24"/>
          <w:highlight w:val="none"/>
        </w:rPr>
        <w:t>特此证明。</w:t>
      </w:r>
    </w:p>
    <w:p>
      <w:pPr>
        <w:spacing w:line="360" w:lineRule="auto"/>
        <w:rPr>
          <w:rFonts w:hint="eastAsia" w:ascii="宋体" w:hAnsi="宋体"/>
          <w:bCs/>
          <w:color w:val="auto"/>
          <w:spacing w:val="-6"/>
          <w:sz w:val="24"/>
          <w:highlight w:val="none"/>
        </w:rPr>
      </w:pPr>
    </w:p>
    <w:tbl>
      <w:tblPr>
        <w:tblStyle w:val="22"/>
        <w:tblW w:w="949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2" w:hRule="atLeast"/>
          <w:jc w:val="center"/>
        </w:trPr>
        <w:tc>
          <w:tcPr>
            <w:tcW w:w="9498" w:type="dxa"/>
            <w:noWrap w:val="0"/>
            <w:vAlign w:val="top"/>
          </w:tcPr>
          <w:p>
            <w:pPr>
              <w:spacing w:line="360" w:lineRule="auto"/>
              <w:rPr>
                <w:rFonts w:hint="eastAsia" w:ascii="宋体" w:hAnsi="宋体"/>
                <w:color w:val="auto"/>
                <w:sz w:val="24"/>
                <w:highlight w:val="none"/>
              </w:rPr>
            </w:pPr>
            <w:r>
              <w:rPr>
                <w:rFonts w:hint="eastAsia" w:ascii="新宋体" w:hAnsi="新宋体" w:eastAsia="新宋体"/>
                <w:color w:val="auto"/>
                <w:sz w:val="24"/>
                <w:highlight w:val="none"/>
              </w:rPr>
              <w:t>法定代表人</w:t>
            </w:r>
            <w:r>
              <w:rPr>
                <w:rFonts w:hint="eastAsia" w:ascii="宋体" w:hAnsi="宋体"/>
                <w:color w:val="auto"/>
                <w:sz w:val="24"/>
                <w:highlight w:val="none"/>
              </w:rPr>
              <w:t>身份证：</w:t>
            </w: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hint="eastAsia" w:ascii="宋体" w:hAnsi="宋体"/>
                <w:bCs/>
                <w:color w:val="auto"/>
                <w:spacing w:val="-6"/>
                <w:sz w:val="24"/>
                <w:highlight w:val="none"/>
              </w:rPr>
            </w:pPr>
            <w:r>
              <w:rPr>
                <w:rFonts w:hint="eastAsia" w:ascii="宋体" w:hAnsi="宋体"/>
                <w:color w:val="auto"/>
                <w:sz w:val="24"/>
                <w:highlight w:val="none"/>
              </w:rPr>
              <w:t>复印件粘贴处</w:t>
            </w:r>
          </w:p>
        </w:tc>
      </w:tr>
    </w:tbl>
    <w:p>
      <w:pPr>
        <w:spacing w:line="360" w:lineRule="auto"/>
        <w:rPr>
          <w:rFonts w:hint="eastAsia" w:ascii="宋体" w:hAnsi="宋体"/>
          <w:bCs/>
          <w:color w:val="auto"/>
          <w:spacing w:val="-6"/>
          <w:sz w:val="24"/>
          <w:highlight w:val="none"/>
        </w:rPr>
      </w:pPr>
    </w:p>
    <w:p>
      <w:pPr>
        <w:spacing w:line="360" w:lineRule="auto"/>
        <w:rPr>
          <w:rFonts w:ascii="宋体" w:hAnsi="宋体"/>
          <w:b/>
          <w:bCs/>
          <w:color w:val="auto"/>
          <w:spacing w:val="-6"/>
          <w:sz w:val="24"/>
          <w:highlight w:val="none"/>
        </w:rPr>
      </w:pPr>
    </w:p>
    <w:p>
      <w:pPr>
        <w:spacing w:line="360" w:lineRule="auto"/>
        <w:rPr>
          <w:rFonts w:ascii="宋体" w:hAnsi="宋体"/>
          <w:b/>
          <w:bCs/>
          <w:color w:val="auto"/>
          <w:spacing w:val="-6"/>
          <w:sz w:val="24"/>
          <w:highlight w:val="none"/>
        </w:rPr>
      </w:pP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hint="eastAsia" w:ascii="宋体" w:hAnsi="宋体"/>
          <w:color w:val="auto"/>
          <w:spacing w:val="-6"/>
          <w:sz w:val="24"/>
          <w:highlight w:val="none"/>
        </w:rPr>
      </w:pPr>
      <w:r>
        <w:rPr>
          <w:rFonts w:hint="eastAsia" w:ascii="宋体" w:hAnsi="宋体"/>
          <w:bCs/>
          <w:color w:val="auto"/>
          <w:spacing w:val="-6"/>
          <w:sz w:val="24"/>
          <w:highlight w:val="none"/>
        </w:rPr>
        <w:t>日期：     年   月   日</w:t>
      </w:r>
    </w:p>
    <w:p>
      <w:pPr>
        <w:spacing w:line="360" w:lineRule="auto"/>
        <w:jc w:val="center"/>
        <w:outlineLvl w:val="3"/>
        <w:rPr>
          <w:rFonts w:hint="eastAsia" w:ascii="宋体" w:hAnsi="宋体"/>
          <w:b/>
          <w:color w:val="auto"/>
          <w:spacing w:val="-6"/>
          <w:sz w:val="24"/>
          <w:highlight w:val="none"/>
        </w:rPr>
      </w:pPr>
      <w:r>
        <w:rPr>
          <w:rFonts w:ascii="宋体" w:hAnsi="宋体"/>
          <w:b/>
          <w:color w:val="auto"/>
          <w:spacing w:val="-6"/>
          <w:sz w:val="24"/>
          <w:highlight w:val="none"/>
        </w:rPr>
        <w:br w:type="page"/>
      </w:r>
      <w:r>
        <w:rPr>
          <w:rFonts w:hint="eastAsia" w:ascii="宋体" w:hAnsi="宋体"/>
          <w:b/>
          <w:color w:val="auto"/>
          <w:spacing w:val="-6"/>
          <w:sz w:val="24"/>
          <w:highlight w:val="none"/>
        </w:rPr>
        <w:t>法定代表人授权委托书</w:t>
      </w:r>
    </w:p>
    <w:p>
      <w:pPr>
        <w:spacing w:line="360" w:lineRule="auto"/>
        <w:rPr>
          <w:rFonts w:hint="eastAsia" w:ascii="宋体" w:hAnsi="宋体"/>
          <w:b/>
          <w:bCs/>
          <w:color w:val="auto"/>
          <w:spacing w:val="-6"/>
          <w:sz w:val="24"/>
          <w:highlight w:val="none"/>
        </w:rPr>
      </w:pPr>
      <w:r>
        <w:rPr>
          <w:rFonts w:hint="eastAsia" w:ascii="宋体" w:hAnsi="宋体"/>
          <w:bCs/>
          <w:color w:val="auto"/>
          <w:spacing w:val="-6"/>
          <w:sz w:val="24"/>
          <w:highlight w:val="none"/>
        </w:rPr>
        <w:t>致：</w:t>
      </w:r>
      <w:r>
        <w:rPr>
          <w:rFonts w:hint="eastAsia" w:ascii="宋体" w:hAnsi="宋体"/>
          <w:bCs/>
          <w:color w:val="auto"/>
          <w:spacing w:val="-6"/>
          <w:sz w:val="24"/>
          <w:highlight w:val="none"/>
          <w:lang w:eastAsia="zh-CN"/>
        </w:rPr>
        <w:t>杭州电子科技大学</w:t>
      </w:r>
      <w:r>
        <w:rPr>
          <w:rFonts w:hint="eastAsia" w:ascii="宋体" w:hAnsi="宋体"/>
          <w:bCs/>
          <w:color w:val="auto"/>
          <w:spacing w:val="-6"/>
          <w:sz w:val="24"/>
          <w:highlight w:val="none"/>
        </w:rPr>
        <w:t>、浙江求是招标代理有限公司</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我____________（姓名）系</w:t>
      </w:r>
      <w:r>
        <w:rPr>
          <w:rFonts w:ascii="宋体" w:hAnsi="宋体"/>
          <w:color w:val="auto"/>
          <w:spacing w:val="-6"/>
          <w:sz w:val="24"/>
          <w:highlight w:val="none"/>
        </w:rPr>
        <w:t>__________________________</w:t>
      </w:r>
      <w:r>
        <w:rPr>
          <w:rFonts w:hint="eastAsia" w:ascii="宋体" w:hAnsi="宋体"/>
          <w:color w:val="auto"/>
          <w:spacing w:val="-6"/>
          <w:sz w:val="24"/>
          <w:highlight w:val="none"/>
        </w:rPr>
        <w:t>（投标人名称）的法定代表人，现授权委托本单位在职职工：</w:t>
      </w:r>
      <w:r>
        <w:rPr>
          <w:rFonts w:ascii="宋体" w:hAnsi="宋体"/>
          <w:color w:val="auto"/>
          <w:spacing w:val="-6"/>
          <w:sz w:val="24"/>
          <w:highlight w:val="none"/>
        </w:rPr>
        <w:t>_________</w:t>
      </w:r>
      <w:r>
        <w:rPr>
          <w:rFonts w:hint="eastAsia" w:ascii="宋体" w:hAnsi="宋体"/>
          <w:color w:val="auto"/>
          <w:spacing w:val="-6"/>
          <w:sz w:val="24"/>
          <w:highlight w:val="none"/>
        </w:rPr>
        <w:t>（姓名），身份证号码：</w:t>
      </w:r>
      <w:r>
        <w:rPr>
          <w:rFonts w:ascii="宋体" w:hAnsi="宋体"/>
          <w:color w:val="auto"/>
          <w:spacing w:val="-6"/>
          <w:sz w:val="24"/>
          <w:highlight w:val="none"/>
        </w:rPr>
        <w:t>_________________________</w:t>
      </w:r>
      <w:r>
        <w:rPr>
          <w:rFonts w:hint="eastAsia" w:ascii="宋体" w:hAnsi="宋体"/>
          <w:color w:val="auto"/>
          <w:spacing w:val="-6"/>
          <w:sz w:val="24"/>
          <w:highlight w:val="none"/>
        </w:rPr>
        <w:t>以我方的名义参加</w:t>
      </w:r>
      <w:r>
        <w:rPr>
          <w:rFonts w:hint="eastAsia" w:ascii="宋体" w:hAnsi="宋体"/>
          <w:bCs/>
          <w:color w:val="auto"/>
          <w:spacing w:val="-6"/>
          <w:sz w:val="24"/>
          <w:highlight w:val="none"/>
          <w:lang w:eastAsia="zh-CN"/>
        </w:rPr>
        <w:t>杭州电子科技大学微波暗室测试系统</w:t>
      </w:r>
      <w:r>
        <w:rPr>
          <w:rFonts w:hint="eastAsia" w:ascii="宋体" w:hAnsi="宋体"/>
          <w:color w:val="auto"/>
          <w:spacing w:val="-6"/>
          <w:sz w:val="24"/>
          <w:highlight w:val="none"/>
        </w:rPr>
        <w:t>的投标活动，并代表我方全权办理针对上述项目的投标、开标、评标、签约等具体事务和签署相关文件。</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我方对被授权人的签名负全部责任。</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在撤销授权的书面通知以前，本授权书一直有效。被授权人在授权书有效期内签署的所有文件不因授权的撤销而失效。</w:t>
      </w:r>
    </w:p>
    <w:p>
      <w:pPr>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被授权人无转委托权，特此委托。</w:t>
      </w:r>
    </w:p>
    <w:p>
      <w:pPr>
        <w:spacing w:line="360" w:lineRule="auto"/>
        <w:ind w:firstLine="424" w:firstLineChars="186"/>
        <w:rPr>
          <w:rFonts w:hint="eastAsia" w:ascii="宋体" w:hAnsi="宋体"/>
          <w:color w:val="auto"/>
          <w:spacing w:val="-6"/>
          <w:sz w:val="24"/>
          <w:highlight w:val="none"/>
        </w:rPr>
      </w:pPr>
    </w:p>
    <w:p>
      <w:pPr>
        <w:spacing w:line="360" w:lineRule="auto"/>
        <w:ind w:firstLine="424" w:firstLineChars="186"/>
        <w:rPr>
          <w:rFonts w:hint="eastAsia" w:ascii="宋体" w:hAnsi="宋体"/>
          <w:color w:val="auto"/>
          <w:spacing w:val="-6"/>
          <w:sz w:val="24"/>
          <w:highlight w:val="none"/>
          <w:u w:val="single"/>
        </w:rPr>
      </w:pPr>
      <w:r>
        <w:rPr>
          <w:rFonts w:hint="eastAsia" w:ascii="宋体" w:hAnsi="宋体"/>
          <w:color w:val="auto"/>
          <w:spacing w:val="-6"/>
          <w:sz w:val="24"/>
          <w:highlight w:val="none"/>
        </w:rPr>
        <w:t>法定代表人（签字或盖章）：</w:t>
      </w:r>
    </w:p>
    <w:p>
      <w:pPr>
        <w:spacing w:line="360" w:lineRule="auto"/>
        <w:ind w:firstLine="424" w:firstLineChars="186"/>
        <w:rPr>
          <w:rFonts w:hint="eastAsia" w:ascii="宋体" w:hAnsi="宋体"/>
          <w:color w:val="auto"/>
          <w:spacing w:val="-6"/>
          <w:sz w:val="24"/>
          <w:highlight w:val="none"/>
        </w:rPr>
      </w:pP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hint="eastAsia" w:ascii="宋体" w:hAnsi="宋体"/>
          <w:color w:val="auto"/>
          <w:spacing w:val="-6"/>
          <w:sz w:val="24"/>
          <w:highlight w:val="none"/>
        </w:rPr>
      </w:pPr>
      <w:r>
        <w:rPr>
          <w:rFonts w:hint="eastAsia" w:ascii="宋体" w:hAnsi="宋体"/>
          <w:bCs/>
          <w:color w:val="auto"/>
          <w:spacing w:val="-6"/>
          <w:sz w:val="24"/>
          <w:highlight w:val="none"/>
        </w:rPr>
        <w:t>日期：     年   月   日</w:t>
      </w:r>
    </w:p>
    <w:tbl>
      <w:tblPr>
        <w:tblStyle w:val="22"/>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2" w:hRule="atLeast"/>
        </w:trPr>
        <w:tc>
          <w:tcPr>
            <w:tcW w:w="9639" w:type="dxa"/>
            <w:noWrap w:val="0"/>
            <w:vAlign w:val="top"/>
          </w:tcPr>
          <w:p>
            <w:pPr>
              <w:spacing w:line="360" w:lineRule="auto"/>
              <w:rPr>
                <w:rFonts w:hint="eastAsia" w:ascii="宋体" w:hAnsi="宋体"/>
                <w:color w:val="auto"/>
                <w:sz w:val="24"/>
                <w:highlight w:val="none"/>
              </w:rPr>
            </w:pPr>
            <w:r>
              <w:rPr>
                <w:rFonts w:hint="eastAsia" w:ascii="新宋体" w:hAnsi="新宋体" w:eastAsia="新宋体"/>
                <w:color w:val="auto"/>
                <w:sz w:val="24"/>
                <w:highlight w:val="none"/>
              </w:rPr>
              <w:t>授权代表</w:t>
            </w:r>
            <w:r>
              <w:rPr>
                <w:rFonts w:hint="eastAsia" w:ascii="宋体" w:hAnsi="宋体"/>
                <w:color w:val="auto"/>
                <w:sz w:val="24"/>
                <w:highlight w:val="none"/>
              </w:rPr>
              <w:t>身份证：</w:t>
            </w: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r>
              <w:rPr>
                <w:rFonts w:hint="eastAsia" w:ascii="宋体" w:hAnsi="宋体"/>
                <w:color w:val="auto"/>
                <w:sz w:val="24"/>
                <w:highlight w:val="none"/>
              </w:rPr>
              <w:t>复印件粘贴处</w:t>
            </w:r>
          </w:p>
        </w:tc>
      </w:tr>
    </w:tbl>
    <w:p>
      <w:pPr>
        <w:pStyle w:val="12"/>
        <w:spacing w:before="0" w:beforeLines="0" w:after="0" w:afterLines="0" w:line="360" w:lineRule="auto"/>
        <w:rPr>
          <w:rFonts w:hint="eastAsia" w:hAnsi="宋体"/>
          <w:b/>
          <w:color w:val="auto"/>
          <w:spacing w:val="-6"/>
          <w:highlight w:val="none"/>
        </w:rPr>
      </w:pP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说明：</w:t>
      </w: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1</w:t>
      </w:r>
      <w:r>
        <w:rPr>
          <w:rFonts w:ascii="宋体" w:hAnsi="宋体"/>
          <w:b/>
          <w:bCs/>
          <w:color w:val="auto"/>
          <w:spacing w:val="-6"/>
          <w:sz w:val="21"/>
          <w:szCs w:val="21"/>
          <w:highlight w:val="none"/>
        </w:rPr>
        <w:t>.</w:t>
      </w:r>
      <w:r>
        <w:rPr>
          <w:rFonts w:hint="eastAsia" w:ascii="宋体" w:hAnsi="宋体"/>
          <w:b/>
          <w:bCs/>
          <w:color w:val="auto"/>
          <w:spacing w:val="-6"/>
          <w:sz w:val="21"/>
          <w:szCs w:val="21"/>
          <w:highlight w:val="none"/>
        </w:rPr>
        <w:t>投标人的</w:t>
      </w:r>
      <w:r>
        <w:rPr>
          <w:rFonts w:ascii="宋体" w:hAnsi="宋体"/>
          <w:b/>
          <w:bCs/>
          <w:color w:val="auto"/>
          <w:spacing w:val="-6"/>
          <w:sz w:val="21"/>
          <w:szCs w:val="21"/>
          <w:highlight w:val="none"/>
        </w:rPr>
        <w:t>法定代表人参加投标，须在投标文件中提供</w:t>
      </w:r>
      <w:r>
        <w:rPr>
          <w:rFonts w:hint="eastAsia" w:ascii="宋体" w:hAnsi="宋体"/>
          <w:b/>
          <w:bCs/>
          <w:color w:val="auto"/>
          <w:spacing w:val="-6"/>
          <w:sz w:val="21"/>
          <w:szCs w:val="21"/>
          <w:highlight w:val="none"/>
        </w:rPr>
        <w:t>：</w:t>
      </w:r>
      <w:r>
        <w:rPr>
          <w:rFonts w:ascii="宋体" w:hAnsi="宋体"/>
          <w:b/>
          <w:bCs/>
          <w:color w:val="auto"/>
          <w:spacing w:val="-6"/>
          <w:sz w:val="21"/>
          <w:szCs w:val="21"/>
          <w:highlight w:val="none"/>
        </w:rPr>
        <w:t>法定代表人资格证明</w:t>
      </w:r>
      <w:r>
        <w:rPr>
          <w:rFonts w:hint="eastAsia" w:ascii="宋体" w:hAnsi="宋体"/>
          <w:b/>
          <w:bCs/>
          <w:color w:val="auto"/>
          <w:spacing w:val="-6"/>
          <w:sz w:val="21"/>
          <w:szCs w:val="21"/>
          <w:highlight w:val="none"/>
        </w:rPr>
        <w:t>书；</w:t>
      </w: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2</w:t>
      </w:r>
      <w:r>
        <w:rPr>
          <w:rFonts w:ascii="宋体" w:hAnsi="宋体"/>
          <w:b/>
          <w:bCs/>
          <w:color w:val="auto"/>
          <w:spacing w:val="-6"/>
          <w:sz w:val="21"/>
          <w:szCs w:val="21"/>
          <w:highlight w:val="none"/>
        </w:rPr>
        <w:t>.</w:t>
      </w:r>
      <w:r>
        <w:rPr>
          <w:rFonts w:hint="eastAsia" w:ascii="宋体" w:hAnsi="宋体"/>
          <w:b/>
          <w:bCs/>
          <w:color w:val="auto"/>
          <w:spacing w:val="-6"/>
          <w:sz w:val="21"/>
          <w:szCs w:val="21"/>
          <w:highlight w:val="none"/>
        </w:rPr>
        <w:t>投标人的法定代表人委托授权代表</w:t>
      </w:r>
      <w:r>
        <w:rPr>
          <w:rFonts w:ascii="宋体" w:hAnsi="宋体"/>
          <w:b/>
          <w:bCs/>
          <w:color w:val="auto"/>
          <w:spacing w:val="-6"/>
          <w:sz w:val="21"/>
          <w:szCs w:val="21"/>
          <w:highlight w:val="none"/>
        </w:rPr>
        <w:t>参加投标，须在投标文件中提供</w:t>
      </w:r>
      <w:r>
        <w:rPr>
          <w:rFonts w:hint="eastAsia" w:ascii="宋体" w:hAnsi="宋体"/>
          <w:b/>
          <w:bCs/>
          <w:color w:val="auto"/>
          <w:spacing w:val="-6"/>
          <w:sz w:val="21"/>
          <w:szCs w:val="21"/>
          <w:highlight w:val="none"/>
        </w:rPr>
        <w:t>：</w:t>
      </w:r>
      <w:r>
        <w:rPr>
          <w:rFonts w:ascii="宋体" w:hAnsi="宋体"/>
          <w:b/>
          <w:bCs/>
          <w:color w:val="auto"/>
          <w:spacing w:val="-6"/>
          <w:sz w:val="21"/>
          <w:szCs w:val="21"/>
          <w:highlight w:val="none"/>
        </w:rPr>
        <w:t>法定代表人资格证明</w:t>
      </w:r>
      <w:r>
        <w:rPr>
          <w:rFonts w:hint="eastAsia" w:ascii="宋体" w:hAnsi="宋体"/>
          <w:b/>
          <w:bCs/>
          <w:color w:val="auto"/>
          <w:spacing w:val="-6"/>
          <w:sz w:val="21"/>
          <w:szCs w:val="21"/>
          <w:highlight w:val="none"/>
        </w:rPr>
        <w:t>书和</w:t>
      </w:r>
      <w:r>
        <w:rPr>
          <w:rFonts w:ascii="宋体" w:hAnsi="宋体"/>
          <w:b/>
          <w:bCs/>
          <w:color w:val="auto"/>
          <w:spacing w:val="-6"/>
          <w:sz w:val="21"/>
          <w:szCs w:val="21"/>
          <w:highlight w:val="none"/>
        </w:rPr>
        <w:t>法定代表人授权</w:t>
      </w:r>
      <w:r>
        <w:rPr>
          <w:rFonts w:hint="eastAsia" w:ascii="宋体" w:hAnsi="宋体"/>
          <w:b/>
          <w:bCs/>
          <w:color w:val="auto"/>
          <w:spacing w:val="-6"/>
          <w:sz w:val="21"/>
          <w:szCs w:val="21"/>
          <w:highlight w:val="none"/>
        </w:rPr>
        <w:t>委托</w:t>
      </w:r>
      <w:r>
        <w:rPr>
          <w:rFonts w:ascii="宋体" w:hAnsi="宋体"/>
          <w:b/>
          <w:bCs/>
          <w:color w:val="auto"/>
          <w:spacing w:val="-6"/>
          <w:sz w:val="21"/>
          <w:szCs w:val="21"/>
          <w:highlight w:val="none"/>
        </w:rPr>
        <w:t>书</w:t>
      </w:r>
      <w:r>
        <w:rPr>
          <w:rFonts w:hint="eastAsia" w:ascii="宋体" w:hAnsi="宋体"/>
          <w:b/>
          <w:bCs/>
          <w:color w:val="auto"/>
          <w:spacing w:val="-6"/>
          <w:sz w:val="21"/>
          <w:szCs w:val="21"/>
          <w:highlight w:val="none"/>
        </w:rPr>
        <w:t>。</w:t>
      </w:r>
    </w:p>
    <w:p>
      <w:pPr>
        <w:spacing w:line="360" w:lineRule="auto"/>
        <w:jc w:val="center"/>
        <w:outlineLvl w:val="3"/>
        <w:rPr>
          <w:rFonts w:hint="eastAsia" w:ascii="宋体" w:hAnsi="宋体"/>
          <w:b/>
          <w:color w:val="auto"/>
          <w:spacing w:val="-6"/>
          <w:sz w:val="24"/>
          <w:szCs w:val="20"/>
          <w:highlight w:val="none"/>
        </w:rPr>
      </w:pPr>
      <w:r>
        <w:rPr>
          <w:rFonts w:ascii="宋体" w:hAnsi="宋体"/>
          <w:b/>
          <w:color w:val="auto"/>
          <w:spacing w:val="-6"/>
          <w:sz w:val="24"/>
          <w:highlight w:val="none"/>
        </w:rPr>
        <w:br w:type="page"/>
      </w:r>
      <w:r>
        <w:rPr>
          <w:rFonts w:hint="eastAsia" w:ascii="宋体" w:hAnsi="宋体"/>
          <w:b/>
          <w:color w:val="auto"/>
          <w:spacing w:val="-6"/>
          <w:sz w:val="24"/>
          <w:highlight w:val="none"/>
          <w:lang w:eastAsia="zh-CN"/>
        </w:rPr>
        <w:t>2019年7月至今</w:t>
      </w:r>
      <w:r>
        <w:rPr>
          <w:rFonts w:hint="eastAsia" w:ascii="宋体" w:hAnsi="宋体"/>
          <w:b/>
          <w:color w:val="auto"/>
          <w:spacing w:val="-6"/>
          <w:sz w:val="24"/>
          <w:highlight w:val="none"/>
        </w:rPr>
        <w:t>任意一月的</w:t>
      </w:r>
      <w:r>
        <w:rPr>
          <w:rFonts w:hint="eastAsia" w:ascii="宋体" w:hAnsi="宋体"/>
          <w:b/>
          <w:color w:val="auto"/>
          <w:spacing w:val="-6"/>
          <w:sz w:val="24"/>
          <w:szCs w:val="20"/>
          <w:highlight w:val="none"/>
        </w:rPr>
        <w:t>投标授权代表社保缴纳证明</w:t>
      </w:r>
    </w:p>
    <w:p>
      <w:pPr>
        <w:pStyle w:val="21"/>
        <w:jc w:val="center"/>
        <w:rPr>
          <w:b/>
          <w:color w:val="auto"/>
          <w:highlight w:val="none"/>
        </w:rPr>
      </w:pPr>
      <w:r>
        <w:rPr>
          <w:rFonts w:hint="eastAsia" w:hAnsi="宋体"/>
          <w:b/>
          <w:color w:val="auto"/>
          <w:spacing w:val="-6"/>
          <w:sz w:val="21"/>
          <w:szCs w:val="21"/>
          <w:highlight w:val="none"/>
        </w:rPr>
        <w:t>（授权代表为法定代表人可不提供）</w:t>
      </w:r>
    </w:p>
    <w:p>
      <w:pPr>
        <w:spacing w:line="360" w:lineRule="auto"/>
        <w:jc w:val="center"/>
        <w:outlineLvl w:val="3"/>
        <w:rPr>
          <w:rFonts w:hint="eastAsia" w:ascii="宋体" w:hAnsi="宋体"/>
          <w:b/>
          <w:color w:val="auto"/>
          <w:spacing w:val="-6"/>
          <w:sz w:val="24"/>
          <w:highlight w:val="none"/>
        </w:rPr>
      </w:pPr>
      <w:r>
        <w:rPr>
          <w:rFonts w:ascii="宋体" w:hAnsi="宋体"/>
          <w:b/>
          <w:color w:val="auto"/>
          <w:spacing w:val="-6"/>
          <w:sz w:val="24"/>
          <w:highlight w:val="none"/>
        </w:rPr>
        <w:br w:type="page"/>
      </w:r>
      <w:r>
        <w:rPr>
          <w:rFonts w:hint="eastAsia" w:ascii="宋体" w:hAnsi="宋体"/>
          <w:b/>
          <w:color w:val="auto"/>
          <w:spacing w:val="-6"/>
          <w:sz w:val="24"/>
          <w:highlight w:val="none"/>
        </w:rPr>
        <w:t>投标声明书</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致：浙江求是招标代理有限公司</w:t>
      </w:r>
    </w:p>
    <w:p>
      <w:pPr>
        <w:spacing w:line="360" w:lineRule="auto"/>
        <w:ind w:firstLine="456" w:firstLineChars="200"/>
        <w:rPr>
          <w:rFonts w:hint="eastAsia" w:ascii="宋体" w:hAnsi="宋体"/>
          <w:color w:val="auto"/>
          <w:spacing w:val="-6"/>
          <w:sz w:val="24"/>
          <w:highlight w:val="none"/>
        </w:rPr>
      </w:pPr>
      <w:r>
        <w:rPr>
          <w:rFonts w:ascii="宋体" w:hAnsi="宋体"/>
          <w:color w:val="auto"/>
          <w:spacing w:val="-6"/>
          <w:sz w:val="24"/>
          <w:highlight w:val="none"/>
        </w:rPr>
        <w:t>___________________________________</w:t>
      </w:r>
      <w:r>
        <w:rPr>
          <w:rFonts w:hint="eastAsia" w:ascii="宋体" w:hAnsi="宋体"/>
          <w:color w:val="auto"/>
          <w:spacing w:val="-6"/>
          <w:sz w:val="24"/>
          <w:highlight w:val="none"/>
        </w:rPr>
        <w:t>（投标人名称）系中华人民共和国合法企业，经营地址</w:t>
      </w:r>
      <w:r>
        <w:rPr>
          <w:rFonts w:ascii="宋体" w:hAnsi="宋体"/>
          <w:color w:val="auto"/>
          <w:spacing w:val="-6"/>
          <w:sz w:val="24"/>
          <w:highlight w:val="none"/>
        </w:rPr>
        <w:t>___________________________________</w:t>
      </w:r>
      <w:r>
        <w:rPr>
          <w:rFonts w:hint="eastAsia" w:ascii="宋体" w:hAnsi="宋体"/>
          <w:color w:val="auto"/>
          <w:spacing w:val="-6"/>
          <w:sz w:val="24"/>
          <w:highlight w:val="none"/>
        </w:rPr>
        <w:t>。</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我方愿意参加贵方组织的</w:t>
      </w:r>
      <w:r>
        <w:rPr>
          <w:rFonts w:hint="eastAsia" w:ascii="宋体" w:hAnsi="宋体"/>
          <w:color w:val="auto"/>
          <w:spacing w:val="-6"/>
          <w:sz w:val="24"/>
          <w:highlight w:val="none"/>
          <w:lang w:eastAsia="zh-CN"/>
        </w:rPr>
        <w:t>杭州电子科技大学微波暗室测试系统</w:t>
      </w:r>
      <w:r>
        <w:rPr>
          <w:rFonts w:hint="eastAsia" w:ascii="宋体" w:hAnsi="宋体"/>
          <w:color w:val="auto"/>
          <w:spacing w:val="-6"/>
          <w:sz w:val="24"/>
          <w:highlight w:val="none"/>
        </w:rPr>
        <w:t>的投标，为便于贵方公正、择优地确定中标人及其产品和服务，我方就本次投标有关事项郑重声明如下：</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1</w:t>
      </w:r>
      <w:r>
        <w:rPr>
          <w:rFonts w:ascii="宋体" w:hAnsi="宋体"/>
          <w:color w:val="auto"/>
          <w:spacing w:val="-6"/>
          <w:sz w:val="24"/>
          <w:highlight w:val="none"/>
        </w:rPr>
        <w:t>.</w:t>
      </w:r>
      <w:r>
        <w:rPr>
          <w:rFonts w:hint="eastAsia" w:ascii="宋体" w:hAnsi="宋体"/>
          <w:color w:val="auto"/>
          <w:spacing w:val="-6"/>
          <w:sz w:val="24"/>
          <w:highlight w:val="none"/>
        </w:rPr>
        <w:t>我方向贵方提交的所有投标文件、资料都是准确的和真实的；</w:t>
      </w:r>
    </w:p>
    <w:p>
      <w:pPr>
        <w:spacing w:line="360" w:lineRule="auto"/>
        <w:ind w:firstLine="456" w:firstLineChars="200"/>
        <w:rPr>
          <w:rFonts w:ascii="宋体" w:hAnsi="宋体"/>
          <w:color w:val="auto"/>
          <w:spacing w:val="-6"/>
          <w:sz w:val="24"/>
          <w:highlight w:val="none"/>
        </w:rPr>
      </w:pPr>
      <w:r>
        <w:rPr>
          <w:rFonts w:hint="eastAsia" w:ascii="宋体" w:hAnsi="宋体"/>
          <w:color w:val="auto"/>
          <w:spacing w:val="-6"/>
          <w:sz w:val="24"/>
          <w:highlight w:val="none"/>
        </w:rPr>
        <w:t>2</w:t>
      </w:r>
      <w:r>
        <w:rPr>
          <w:rFonts w:ascii="宋体" w:hAnsi="宋体"/>
          <w:color w:val="auto"/>
          <w:spacing w:val="-6"/>
          <w:sz w:val="24"/>
          <w:highlight w:val="none"/>
        </w:rPr>
        <w:t>.</w:t>
      </w:r>
      <w:r>
        <w:rPr>
          <w:rFonts w:hint="eastAsia" w:ascii="宋体" w:hAnsi="宋体"/>
          <w:color w:val="auto"/>
          <w:spacing w:val="-6"/>
          <w:sz w:val="24"/>
          <w:highlight w:val="none"/>
        </w:rPr>
        <w:t>我方不是采购人的附属机构；在获知本项目采购信息后，与采购人聘请的为此项目提供咨询服务的公司及其附属机构没有任何联系。</w:t>
      </w:r>
    </w:p>
    <w:p>
      <w:pPr>
        <w:pStyle w:val="2"/>
        <w:spacing w:line="360" w:lineRule="auto"/>
        <w:ind w:firstLine="456" w:firstLineChars="200"/>
        <w:rPr>
          <w:rFonts w:hint="eastAsia" w:hAnsi="宋体"/>
          <w:color w:val="auto"/>
          <w:spacing w:val="-6"/>
          <w:sz w:val="24"/>
          <w:szCs w:val="24"/>
          <w:highlight w:val="none"/>
        </w:rPr>
      </w:pPr>
      <w:r>
        <w:rPr>
          <w:rFonts w:hAnsi="宋体"/>
          <w:color w:val="auto"/>
          <w:spacing w:val="-6"/>
          <w:sz w:val="24"/>
          <w:szCs w:val="24"/>
          <w:highlight w:val="none"/>
        </w:rPr>
        <w:t>3.我方</w:t>
      </w:r>
      <w:r>
        <w:rPr>
          <w:rFonts w:hint="eastAsia" w:hAnsi="宋体"/>
          <w:color w:val="auto"/>
          <w:spacing w:val="-6"/>
          <w:sz w:val="24"/>
          <w:szCs w:val="24"/>
          <w:highlight w:val="none"/>
        </w:rPr>
        <w:t>在参加政府采购活动前3年内：</w:t>
      </w:r>
      <w:r>
        <w:rPr>
          <w:rFonts w:hint="eastAsia" w:hAnsi="宋体"/>
          <w:b/>
          <w:color w:val="auto"/>
          <w:spacing w:val="-6"/>
          <w:sz w:val="24"/>
          <w:szCs w:val="24"/>
          <w:highlight w:val="none"/>
          <w:u w:val="single"/>
        </w:rPr>
        <w:t xml:space="preserve">     </w:t>
      </w:r>
      <w:r>
        <w:rPr>
          <w:rFonts w:hint="eastAsia" w:hAnsi="宋体"/>
          <w:b/>
          <w:color w:val="auto"/>
          <w:spacing w:val="-6"/>
          <w:sz w:val="24"/>
          <w:szCs w:val="24"/>
          <w:highlight w:val="none"/>
        </w:rPr>
        <w:t>（填写“有”或“没有”，如实填写，如不填写视同未按要求填写）</w:t>
      </w:r>
      <w:r>
        <w:rPr>
          <w:rFonts w:hint="eastAsia" w:hAnsi="宋体"/>
          <w:color w:val="auto"/>
          <w:spacing w:val="-6"/>
          <w:sz w:val="24"/>
          <w:szCs w:val="24"/>
          <w:highlight w:val="none"/>
        </w:rPr>
        <w:t>因违法经营被禁止在一定期限内参加政府采购活动,且期限未满的情形。</w:t>
      </w:r>
    </w:p>
    <w:p>
      <w:pPr>
        <w:pStyle w:val="2"/>
        <w:spacing w:line="360" w:lineRule="auto"/>
        <w:ind w:firstLine="456" w:firstLineChars="200"/>
        <w:rPr>
          <w:rFonts w:hAnsi="宋体"/>
          <w:color w:val="auto"/>
          <w:spacing w:val="-6"/>
          <w:sz w:val="24"/>
          <w:szCs w:val="24"/>
          <w:highlight w:val="none"/>
        </w:rPr>
      </w:pPr>
      <w:r>
        <w:rPr>
          <w:rFonts w:hAnsi="宋体"/>
          <w:color w:val="auto"/>
          <w:spacing w:val="-6"/>
          <w:sz w:val="24"/>
          <w:szCs w:val="24"/>
          <w:highlight w:val="none"/>
        </w:rPr>
        <w:t>4.以上事项如有虚假或隐瞒，我方愿意承担一切后果和责任。</w:t>
      </w:r>
    </w:p>
    <w:p>
      <w:pPr>
        <w:pStyle w:val="44"/>
        <w:spacing w:line="360" w:lineRule="auto"/>
        <w:rPr>
          <w:rFonts w:ascii="宋体" w:hAnsi="宋体"/>
          <w:color w:val="auto"/>
          <w:spacing w:val="-6"/>
          <w:szCs w:val="24"/>
          <w:highlight w:val="none"/>
        </w:rPr>
      </w:pPr>
    </w:p>
    <w:p>
      <w:pPr>
        <w:pStyle w:val="44"/>
        <w:spacing w:line="360" w:lineRule="auto"/>
        <w:rPr>
          <w:rFonts w:ascii="宋体" w:hAnsi="宋体"/>
          <w:color w:val="auto"/>
          <w:spacing w:val="-6"/>
          <w:szCs w:val="24"/>
          <w:highlight w:val="none"/>
        </w:rPr>
      </w:pPr>
    </w:p>
    <w:p>
      <w:pPr>
        <w:pStyle w:val="44"/>
        <w:spacing w:line="360" w:lineRule="auto"/>
        <w:rPr>
          <w:rFonts w:hint="eastAsia" w:ascii="宋体" w:hAnsi="宋体"/>
          <w:color w:val="auto"/>
          <w:spacing w:val="-6"/>
          <w:szCs w:val="24"/>
          <w:highlight w:val="none"/>
        </w:rPr>
      </w:pP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投标人代表签字：</w:t>
      </w:r>
    </w:p>
    <w:p>
      <w:pPr>
        <w:spacing w:line="360" w:lineRule="auto"/>
        <w:rPr>
          <w:rFonts w:hint="eastAsia" w:ascii="宋体" w:hAnsi="宋体"/>
          <w:color w:val="auto"/>
          <w:spacing w:val="-6"/>
          <w:sz w:val="24"/>
          <w:highlight w:val="none"/>
        </w:rPr>
      </w:pPr>
      <w:r>
        <w:rPr>
          <w:rFonts w:hint="eastAsia" w:ascii="宋体" w:hAnsi="宋体"/>
          <w:bCs/>
          <w:color w:val="auto"/>
          <w:spacing w:val="-6"/>
          <w:sz w:val="24"/>
          <w:highlight w:val="none"/>
        </w:rPr>
        <w:t>日期：     年   月   日</w:t>
      </w:r>
    </w:p>
    <w:p>
      <w:pPr>
        <w:spacing w:line="360" w:lineRule="auto"/>
        <w:jc w:val="center"/>
        <w:outlineLvl w:val="3"/>
        <w:rPr>
          <w:rFonts w:hint="eastAsia" w:ascii="宋体" w:hAnsi="宋体"/>
          <w:b/>
          <w:color w:val="auto"/>
          <w:spacing w:val="-6"/>
          <w:sz w:val="24"/>
          <w:highlight w:val="none"/>
        </w:rPr>
      </w:pPr>
      <w:r>
        <w:rPr>
          <w:rFonts w:ascii="宋体" w:hAnsi="宋体"/>
          <w:b/>
          <w:color w:val="auto"/>
          <w:spacing w:val="-6"/>
          <w:sz w:val="24"/>
          <w:highlight w:val="none"/>
        </w:rPr>
        <w:br w:type="page"/>
      </w:r>
      <w:r>
        <w:rPr>
          <w:rFonts w:hint="eastAsia" w:ascii="宋体" w:hAnsi="宋体"/>
          <w:b/>
          <w:color w:val="auto"/>
          <w:spacing w:val="-6"/>
          <w:sz w:val="24"/>
          <w:highlight w:val="none"/>
        </w:rPr>
        <w:t>投标人一般情况</w:t>
      </w:r>
    </w:p>
    <w:tbl>
      <w:tblPr>
        <w:tblStyle w:val="22"/>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1</w:t>
            </w:r>
          </w:p>
        </w:tc>
        <w:tc>
          <w:tcPr>
            <w:tcW w:w="8868" w:type="dxa"/>
            <w:gridSpan w:val="3"/>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2</w:t>
            </w:r>
          </w:p>
        </w:tc>
        <w:tc>
          <w:tcPr>
            <w:tcW w:w="8868" w:type="dxa"/>
            <w:gridSpan w:val="3"/>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总部地址：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3</w:t>
            </w:r>
          </w:p>
        </w:tc>
        <w:tc>
          <w:tcPr>
            <w:tcW w:w="8868" w:type="dxa"/>
            <w:gridSpan w:val="3"/>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当地代表处地址：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340" w:hRule="atLeast"/>
        </w:trPr>
        <w:tc>
          <w:tcPr>
            <w:tcW w:w="735" w:type="dxa"/>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4</w:t>
            </w:r>
          </w:p>
        </w:tc>
        <w:tc>
          <w:tcPr>
            <w:tcW w:w="4305" w:type="dxa"/>
            <w:gridSpan w:val="2"/>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电话：</w:t>
            </w:r>
          </w:p>
        </w:tc>
        <w:tc>
          <w:tcPr>
            <w:tcW w:w="4563" w:type="dxa"/>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5</w:t>
            </w:r>
          </w:p>
        </w:tc>
        <w:tc>
          <w:tcPr>
            <w:tcW w:w="4305" w:type="dxa"/>
            <w:gridSpan w:val="2"/>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传真：</w:t>
            </w:r>
          </w:p>
        </w:tc>
        <w:tc>
          <w:tcPr>
            <w:tcW w:w="4563" w:type="dxa"/>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电子信箱：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6</w:t>
            </w:r>
          </w:p>
        </w:tc>
        <w:tc>
          <w:tcPr>
            <w:tcW w:w="4305" w:type="dxa"/>
            <w:gridSpan w:val="2"/>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注册地：</w:t>
            </w:r>
          </w:p>
        </w:tc>
        <w:tc>
          <w:tcPr>
            <w:tcW w:w="4563" w:type="dxa"/>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注册年份：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7</w:t>
            </w:r>
          </w:p>
        </w:tc>
        <w:tc>
          <w:tcPr>
            <w:tcW w:w="8868" w:type="dxa"/>
            <w:gridSpan w:val="3"/>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公司的资质等级（请附上有关证书的复印件）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8</w:t>
            </w:r>
          </w:p>
        </w:tc>
        <w:tc>
          <w:tcPr>
            <w:tcW w:w="8868" w:type="dxa"/>
            <w:gridSpan w:val="3"/>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公司（是否通过，何种）质量保证体系认证（如通过请附相关证书复印件，提供认证机构年审监督报告）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9</w:t>
            </w:r>
          </w:p>
        </w:tc>
        <w:tc>
          <w:tcPr>
            <w:tcW w:w="2520" w:type="dxa"/>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作为中标人经历年数</w:t>
            </w:r>
          </w:p>
        </w:tc>
        <w:tc>
          <w:tcPr>
            <w:tcW w:w="6348" w:type="dxa"/>
            <w:gridSpan w:val="2"/>
            <w:noWrap w:val="0"/>
            <w:vAlign w:val="center"/>
          </w:tcPr>
          <w:p>
            <w:pP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10</w:t>
            </w:r>
          </w:p>
        </w:tc>
        <w:tc>
          <w:tcPr>
            <w:tcW w:w="2520" w:type="dxa"/>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其他需要说明的情况</w:t>
            </w:r>
          </w:p>
        </w:tc>
        <w:tc>
          <w:tcPr>
            <w:tcW w:w="6348" w:type="dxa"/>
            <w:gridSpan w:val="2"/>
            <w:noWrap w:val="0"/>
            <w:vAlign w:val="center"/>
          </w:tcPr>
          <w:p>
            <w:pPr>
              <w:rPr>
                <w:rFonts w:hint="eastAsia" w:ascii="宋体" w:hAnsi="宋体" w:cs="宋体"/>
                <w:color w:val="auto"/>
                <w:sz w:val="21"/>
                <w:szCs w:val="21"/>
                <w:highlight w:val="none"/>
              </w:rPr>
            </w:pPr>
          </w:p>
        </w:tc>
      </w:tr>
    </w:tbl>
    <w:p>
      <w:pPr>
        <w:spacing w:line="360" w:lineRule="auto"/>
        <w:rPr>
          <w:rFonts w:hint="eastAsia" w:ascii="宋体" w:hAnsi="宋体"/>
          <w:color w:val="auto"/>
          <w:spacing w:val="-6"/>
          <w:sz w:val="21"/>
          <w:szCs w:val="21"/>
          <w:highlight w:val="none"/>
        </w:rPr>
      </w:pPr>
    </w:p>
    <w:p>
      <w:pPr>
        <w:spacing w:line="360" w:lineRule="auto"/>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说明：所有投标人都须填写此表。</w:t>
      </w:r>
    </w:p>
    <w:p>
      <w:pPr>
        <w:spacing w:line="360" w:lineRule="auto"/>
        <w:rPr>
          <w:rFonts w:hint="eastAsia" w:ascii="宋体" w:hAnsi="宋体"/>
          <w:color w:val="auto"/>
          <w:spacing w:val="-6"/>
          <w:sz w:val="24"/>
          <w:highlight w:val="none"/>
        </w:rPr>
      </w:pPr>
    </w:p>
    <w:p>
      <w:pPr>
        <w:spacing w:line="360" w:lineRule="auto"/>
        <w:rPr>
          <w:rFonts w:ascii="宋体" w:hAnsi="宋体"/>
          <w:color w:val="auto"/>
          <w:spacing w:val="-6"/>
          <w:sz w:val="24"/>
          <w:highlight w:val="none"/>
        </w:rPr>
      </w:pPr>
    </w:p>
    <w:p>
      <w:pPr>
        <w:spacing w:line="360" w:lineRule="auto"/>
        <w:rPr>
          <w:rFonts w:hint="eastAsia" w:ascii="宋体" w:hAnsi="宋体"/>
          <w:color w:val="auto"/>
          <w:spacing w:val="-6"/>
          <w:sz w:val="24"/>
          <w:highlight w:val="none"/>
        </w:rPr>
      </w:pP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投标人代表签字：</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日期：     年   月   日</w:t>
      </w:r>
    </w:p>
    <w:p>
      <w:pPr>
        <w:spacing w:line="360" w:lineRule="auto"/>
        <w:jc w:val="center"/>
        <w:outlineLvl w:val="3"/>
        <w:rPr>
          <w:rFonts w:hint="eastAsia" w:ascii="宋体" w:hAnsi="宋体"/>
          <w:b/>
          <w:bCs/>
          <w:iCs/>
          <w:color w:val="auto"/>
          <w:spacing w:val="-6"/>
          <w:sz w:val="24"/>
          <w:highlight w:val="none"/>
        </w:rPr>
      </w:pPr>
      <w:r>
        <w:rPr>
          <w:rFonts w:hint="eastAsia" w:ascii="宋体" w:hAnsi="宋体"/>
          <w:color w:val="auto"/>
          <w:spacing w:val="-6"/>
          <w:sz w:val="24"/>
          <w:highlight w:val="none"/>
        </w:rPr>
        <w:br w:type="page"/>
      </w:r>
      <w:r>
        <w:rPr>
          <w:rFonts w:hint="eastAsia" w:ascii="宋体" w:hAnsi="宋体"/>
          <w:b/>
          <w:bCs/>
          <w:iCs/>
          <w:color w:val="auto"/>
          <w:spacing w:val="-6"/>
          <w:sz w:val="24"/>
          <w:highlight w:val="none"/>
        </w:rPr>
        <w:t>商务偏离表</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采 购 人：</w:t>
      </w:r>
      <w:r>
        <w:rPr>
          <w:rFonts w:hint="eastAsia" w:ascii="宋体" w:hAnsi="宋体"/>
          <w:bCs/>
          <w:color w:val="auto"/>
          <w:spacing w:val="-6"/>
          <w:sz w:val="24"/>
          <w:highlight w:val="none"/>
          <w:lang w:eastAsia="zh-CN"/>
        </w:rPr>
        <w:t>杭州电子科技大学</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项目名称：</w:t>
      </w:r>
      <w:r>
        <w:rPr>
          <w:rFonts w:hint="eastAsia" w:ascii="宋体" w:hAnsi="宋体"/>
          <w:bCs/>
          <w:color w:val="auto"/>
          <w:spacing w:val="-6"/>
          <w:sz w:val="24"/>
          <w:highlight w:val="none"/>
          <w:lang w:eastAsia="zh-CN"/>
        </w:rPr>
        <w:t>微波暗室测试系统</w:t>
      </w:r>
    </w:p>
    <w:p>
      <w:pPr>
        <w:spacing w:line="360" w:lineRule="auto"/>
        <w:rPr>
          <w:rFonts w:hint="eastAsia" w:ascii="宋体" w:hAnsi="宋体"/>
          <w:bCs/>
          <w:color w:val="auto"/>
          <w:spacing w:val="-6"/>
          <w:sz w:val="24"/>
          <w:highlight w:val="none"/>
          <w:lang w:eastAsia="zh-CN"/>
        </w:rPr>
      </w:pPr>
      <w:r>
        <w:rPr>
          <w:rFonts w:hint="eastAsia" w:ascii="宋体" w:hAnsi="宋体"/>
          <w:bCs/>
          <w:color w:val="auto"/>
          <w:spacing w:val="-6"/>
          <w:sz w:val="24"/>
          <w:highlight w:val="none"/>
        </w:rPr>
        <w:t>项目编号：</w:t>
      </w:r>
      <w:r>
        <w:rPr>
          <w:rFonts w:hint="eastAsia" w:ascii="宋体" w:hAnsi="宋体"/>
          <w:bCs/>
          <w:color w:val="auto"/>
          <w:spacing w:val="-6"/>
          <w:sz w:val="24"/>
          <w:highlight w:val="none"/>
          <w:lang w:eastAsia="zh-CN"/>
        </w:rPr>
        <w:t xml:space="preserve">QSZB-Z(H)-B20095(GK) </w:t>
      </w:r>
    </w:p>
    <w:tbl>
      <w:tblPr>
        <w:tblStyle w:val="22"/>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序号</w:t>
            </w:r>
          </w:p>
        </w:tc>
        <w:tc>
          <w:tcPr>
            <w:tcW w:w="4254" w:type="dxa"/>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招标文件要求</w:t>
            </w:r>
          </w:p>
        </w:tc>
        <w:tc>
          <w:tcPr>
            <w:tcW w:w="2574" w:type="dxa"/>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响应规格</w:t>
            </w:r>
          </w:p>
        </w:tc>
        <w:tc>
          <w:tcPr>
            <w:tcW w:w="2124" w:type="dxa"/>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noWrap w:val="0"/>
            <w:vAlign w:val="center"/>
          </w:tcPr>
          <w:p>
            <w:pPr>
              <w:rPr>
                <w:rFonts w:hint="eastAsia" w:ascii="宋体" w:hAnsi="宋体" w:cs="宋体"/>
                <w:color w:val="auto"/>
                <w:sz w:val="21"/>
                <w:szCs w:val="21"/>
                <w:highlight w:val="none"/>
              </w:rPr>
            </w:pPr>
            <w:r>
              <w:rPr>
                <w:rFonts w:hint="eastAsia" w:ascii="宋体" w:hAnsi="宋体" w:cs="宋体"/>
                <w:b/>
                <w:bCs/>
                <w:color w:val="auto"/>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w:t>
            </w:r>
          </w:p>
        </w:tc>
        <w:tc>
          <w:tcPr>
            <w:tcW w:w="4254" w:type="dxa"/>
            <w:noWrap w:val="0"/>
            <w:vAlign w:val="center"/>
          </w:tcPr>
          <w:p>
            <w:pPr>
              <w:spacing w:line="288" w:lineRule="auto"/>
              <w:jc w:val="center"/>
              <w:rPr>
                <w:rFonts w:hint="eastAsia" w:ascii="宋体" w:hAnsi="宋体" w:eastAsia="宋体"/>
                <w:b/>
                <w:color w:val="auto"/>
                <w:spacing w:val="-6"/>
                <w:kern w:val="2"/>
                <w:sz w:val="21"/>
                <w:szCs w:val="21"/>
                <w:highlight w:val="none"/>
                <w:lang w:val="en-US" w:eastAsia="zh-CN" w:bidi="ar-SA"/>
              </w:rPr>
            </w:pPr>
          </w:p>
        </w:tc>
        <w:tc>
          <w:tcPr>
            <w:tcW w:w="2574" w:type="dxa"/>
            <w:noWrap w:val="0"/>
            <w:vAlign w:val="center"/>
          </w:tcPr>
          <w:p>
            <w:pPr>
              <w:rPr>
                <w:rFonts w:hint="eastAsia" w:ascii="宋体" w:hAnsi="宋体" w:cs="宋体"/>
                <w:color w:val="auto"/>
                <w:sz w:val="21"/>
                <w:szCs w:val="21"/>
                <w:highlight w:val="none"/>
              </w:rPr>
            </w:pPr>
          </w:p>
        </w:tc>
        <w:tc>
          <w:tcPr>
            <w:tcW w:w="2124" w:type="dxa"/>
            <w:noWrap w:val="0"/>
            <w:vAlign w:val="center"/>
          </w:tcPr>
          <w:p>
            <w:pP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2</w:t>
            </w:r>
          </w:p>
        </w:tc>
        <w:tc>
          <w:tcPr>
            <w:tcW w:w="4254" w:type="dxa"/>
            <w:noWrap w:val="0"/>
            <w:vAlign w:val="center"/>
          </w:tcPr>
          <w:p>
            <w:pPr>
              <w:spacing w:line="288" w:lineRule="auto"/>
              <w:jc w:val="center"/>
              <w:rPr>
                <w:rFonts w:hint="eastAsia" w:ascii="宋体" w:hAnsi="宋体"/>
                <w:b/>
                <w:color w:val="auto"/>
                <w:spacing w:val="-6"/>
                <w:kern w:val="2"/>
                <w:sz w:val="21"/>
                <w:szCs w:val="21"/>
                <w:highlight w:val="none"/>
                <w:lang w:val="en-US" w:eastAsia="zh-CN" w:bidi="ar-SA"/>
              </w:rPr>
            </w:pPr>
          </w:p>
        </w:tc>
        <w:tc>
          <w:tcPr>
            <w:tcW w:w="2574" w:type="dxa"/>
            <w:noWrap w:val="0"/>
            <w:vAlign w:val="center"/>
          </w:tcPr>
          <w:p>
            <w:pPr>
              <w:rPr>
                <w:rFonts w:hint="eastAsia" w:ascii="宋体" w:hAnsi="宋体" w:cs="宋体"/>
                <w:color w:val="auto"/>
                <w:sz w:val="21"/>
                <w:szCs w:val="21"/>
                <w:highlight w:val="none"/>
              </w:rPr>
            </w:pPr>
          </w:p>
        </w:tc>
        <w:tc>
          <w:tcPr>
            <w:tcW w:w="2124" w:type="dxa"/>
            <w:noWrap w:val="0"/>
            <w:vAlign w:val="center"/>
          </w:tcPr>
          <w:p>
            <w:pP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w:t>
            </w:r>
          </w:p>
        </w:tc>
        <w:tc>
          <w:tcPr>
            <w:tcW w:w="4254" w:type="dxa"/>
            <w:noWrap w:val="0"/>
            <w:vAlign w:val="center"/>
          </w:tcPr>
          <w:p>
            <w:pPr>
              <w:rPr>
                <w:rFonts w:hint="eastAsia" w:ascii="宋体" w:hAnsi="宋体" w:cs="宋体"/>
                <w:color w:val="auto"/>
                <w:sz w:val="21"/>
                <w:szCs w:val="21"/>
                <w:highlight w:val="none"/>
              </w:rPr>
            </w:pPr>
          </w:p>
        </w:tc>
        <w:tc>
          <w:tcPr>
            <w:tcW w:w="2574" w:type="dxa"/>
            <w:noWrap w:val="0"/>
            <w:vAlign w:val="center"/>
          </w:tcPr>
          <w:p>
            <w:pPr>
              <w:rPr>
                <w:rFonts w:hint="eastAsia" w:ascii="宋体" w:hAnsi="宋体" w:cs="宋体"/>
                <w:color w:val="auto"/>
                <w:sz w:val="21"/>
                <w:szCs w:val="21"/>
                <w:highlight w:val="none"/>
              </w:rPr>
            </w:pPr>
          </w:p>
        </w:tc>
        <w:tc>
          <w:tcPr>
            <w:tcW w:w="2124" w:type="dxa"/>
            <w:noWrap w:val="0"/>
            <w:vAlign w:val="center"/>
          </w:tcPr>
          <w:p>
            <w:pP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noWrap w:val="0"/>
            <w:vAlign w:val="center"/>
          </w:tcPr>
          <w:p>
            <w:pPr>
              <w:rPr>
                <w:rFonts w:hint="eastAsia" w:ascii="宋体" w:hAnsi="宋体" w:cs="宋体"/>
                <w:color w:val="auto"/>
                <w:sz w:val="21"/>
                <w:szCs w:val="21"/>
                <w:highlight w:val="none"/>
              </w:rPr>
            </w:pPr>
            <w:r>
              <w:rPr>
                <w:rFonts w:hint="eastAsia" w:ascii="宋体" w:hAnsi="宋体" w:cs="宋体"/>
                <w:b/>
                <w:bCs/>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w:t>
            </w:r>
          </w:p>
        </w:tc>
        <w:tc>
          <w:tcPr>
            <w:tcW w:w="4254" w:type="dxa"/>
            <w:noWrap w:val="0"/>
            <w:vAlign w:val="center"/>
          </w:tcPr>
          <w:p>
            <w:pPr>
              <w:jc w:val="center"/>
              <w:rPr>
                <w:rFonts w:hint="eastAsia" w:ascii="宋体" w:hAnsi="宋体" w:cs="宋体"/>
                <w:color w:val="auto"/>
                <w:sz w:val="21"/>
                <w:szCs w:val="21"/>
                <w:highlight w:val="none"/>
              </w:rPr>
            </w:pPr>
          </w:p>
        </w:tc>
        <w:tc>
          <w:tcPr>
            <w:tcW w:w="2574" w:type="dxa"/>
            <w:noWrap w:val="0"/>
            <w:vAlign w:val="center"/>
          </w:tcPr>
          <w:p>
            <w:pPr>
              <w:jc w:val="center"/>
              <w:rPr>
                <w:rFonts w:hint="eastAsia" w:ascii="宋体" w:hAnsi="宋体" w:cs="宋体"/>
                <w:color w:val="auto"/>
                <w:sz w:val="21"/>
                <w:szCs w:val="21"/>
                <w:highlight w:val="none"/>
              </w:rPr>
            </w:pPr>
          </w:p>
        </w:tc>
        <w:tc>
          <w:tcPr>
            <w:tcW w:w="2124" w:type="dxa"/>
            <w:noWrap w:val="0"/>
            <w:vAlign w:val="center"/>
          </w:tcPr>
          <w:p>
            <w:pPr>
              <w:jc w:val="cente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2</w:t>
            </w:r>
          </w:p>
        </w:tc>
        <w:tc>
          <w:tcPr>
            <w:tcW w:w="4254" w:type="dxa"/>
            <w:noWrap w:val="0"/>
            <w:vAlign w:val="center"/>
          </w:tcPr>
          <w:p>
            <w:pPr>
              <w:jc w:val="center"/>
              <w:rPr>
                <w:rFonts w:hint="eastAsia" w:ascii="宋体" w:hAnsi="宋体" w:cs="宋体"/>
                <w:color w:val="auto"/>
                <w:sz w:val="21"/>
                <w:szCs w:val="21"/>
                <w:highlight w:val="none"/>
              </w:rPr>
            </w:pPr>
          </w:p>
        </w:tc>
        <w:tc>
          <w:tcPr>
            <w:tcW w:w="2574" w:type="dxa"/>
            <w:noWrap w:val="0"/>
            <w:vAlign w:val="center"/>
          </w:tcPr>
          <w:p>
            <w:pPr>
              <w:jc w:val="center"/>
              <w:rPr>
                <w:rFonts w:hint="eastAsia" w:ascii="宋体" w:hAnsi="宋体" w:cs="宋体"/>
                <w:color w:val="auto"/>
                <w:sz w:val="21"/>
                <w:szCs w:val="21"/>
                <w:highlight w:val="none"/>
              </w:rPr>
            </w:pPr>
          </w:p>
        </w:tc>
        <w:tc>
          <w:tcPr>
            <w:tcW w:w="2124" w:type="dxa"/>
            <w:noWrap w:val="0"/>
            <w:vAlign w:val="center"/>
          </w:tcPr>
          <w:p>
            <w:pPr>
              <w:jc w:val="cente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3</w:t>
            </w:r>
          </w:p>
        </w:tc>
        <w:tc>
          <w:tcPr>
            <w:tcW w:w="4254" w:type="dxa"/>
            <w:noWrap w:val="0"/>
            <w:vAlign w:val="center"/>
          </w:tcPr>
          <w:p>
            <w:pPr>
              <w:jc w:val="center"/>
              <w:rPr>
                <w:rFonts w:hint="eastAsia" w:ascii="宋体" w:hAnsi="宋体" w:cs="宋体"/>
                <w:color w:val="auto"/>
                <w:sz w:val="21"/>
                <w:szCs w:val="21"/>
                <w:highlight w:val="none"/>
              </w:rPr>
            </w:pPr>
          </w:p>
        </w:tc>
        <w:tc>
          <w:tcPr>
            <w:tcW w:w="2574" w:type="dxa"/>
            <w:noWrap w:val="0"/>
            <w:vAlign w:val="center"/>
          </w:tcPr>
          <w:p>
            <w:pPr>
              <w:jc w:val="center"/>
              <w:rPr>
                <w:rFonts w:hint="eastAsia" w:ascii="宋体" w:hAnsi="宋体" w:cs="宋体"/>
                <w:color w:val="auto"/>
                <w:sz w:val="21"/>
                <w:szCs w:val="21"/>
                <w:highlight w:val="none"/>
              </w:rPr>
            </w:pPr>
          </w:p>
        </w:tc>
        <w:tc>
          <w:tcPr>
            <w:tcW w:w="2124" w:type="dxa"/>
            <w:noWrap w:val="0"/>
            <w:vAlign w:val="center"/>
          </w:tcPr>
          <w:p>
            <w:pPr>
              <w:jc w:val="cente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4</w:t>
            </w:r>
          </w:p>
        </w:tc>
        <w:tc>
          <w:tcPr>
            <w:tcW w:w="4254" w:type="dxa"/>
            <w:noWrap w:val="0"/>
            <w:vAlign w:val="center"/>
          </w:tcPr>
          <w:p>
            <w:pPr>
              <w:jc w:val="center"/>
              <w:rPr>
                <w:rFonts w:hint="eastAsia" w:ascii="宋体" w:hAnsi="宋体" w:cs="宋体"/>
                <w:color w:val="auto"/>
                <w:sz w:val="21"/>
                <w:szCs w:val="21"/>
                <w:highlight w:val="none"/>
              </w:rPr>
            </w:pPr>
          </w:p>
        </w:tc>
        <w:tc>
          <w:tcPr>
            <w:tcW w:w="2574" w:type="dxa"/>
            <w:noWrap w:val="0"/>
            <w:vAlign w:val="center"/>
          </w:tcPr>
          <w:p>
            <w:pPr>
              <w:jc w:val="center"/>
              <w:rPr>
                <w:rFonts w:hint="eastAsia" w:ascii="宋体" w:hAnsi="宋体" w:cs="宋体"/>
                <w:color w:val="auto"/>
                <w:sz w:val="21"/>
                <w:szCs w:val="21"/>
                <w:highlight w:val="none"/>
              </w:rPr>
            </w:pPr>
          </w:p>
        </w:tc>
        <w:tc>
          <w:tcPr>
            <w:tcW w:w="2124" w:type="dxa"/>
            <w:noWrap w:val="0"/>
            <w:vAlign w:val="center"/>
          </w:tcPr>
          <w:p>
            <w:pPr>
              <w:jc w:val="cente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5</w:t>
            </w:r>
          </w:p>
        </w:tc>
        <w:tc>
          <w:tcPr>
            <w:tcW w:w="4254" w:type="dxa"/>
            <w:noWrap w:val="0"/>
            <w:vAlign w:val="center"/>
          </w:tcPr>
          <w:p>
            <w:pPr>
              <w:jc w:val="center"/>
              <w:rPr>
                <w:rFonts w:hint="eastAsia" w:ascii="宋体" w:hAnsi="宋体" w:cs="宋体"/>
                <w:color w:val="auto"/>
                <w:sz w:val="21"/>
                <w:szCs w:val="21"/>
                <w:highlight w:val="none"/>
              </w:rPr>
            </w:pPr>
          </w:p>
        </w:tc>
        <w:tc>
          <w:tcPr>
            <w:tcW w:w="2574" w:type="dxa"/>
            <w:noWrap w:val="0"/>
            <w:vAlign w:val="center"/>
          </w:tcPr>
          <w:p>
            <w:pPr>
              <w:jc w:val="center"/>
              <w:rPr>
                <w:rFonts w:hint="eastAsia" w:ascii="宋体" w:hAnsi="宋体" w:cs="宋体"/>
                <w:color w:val="auto"/>
                <w:sz w:val="21"/>
                <w:szCs w:val="21"/>
                <w:highlight w:val="none"/>
              </w:rPr>
            </w:pPr>
          </w:p>
        </w:tc>
        <w:tc>
          <w:tcPr>
            <w:tcW w:w="2124" w:type="dxa"/>
            <w:noWrap w:val="0"/>
            <w:vAlign w:val="center"/>
          </w:tcPr>
          <w:p>
            <w:pPr>
              <w:jc w:val="cente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6</w:t>
            </w:r>
          </w:p>
        </w:tc>
        <w:tc>
          <w:tcPr>
            <w:tcW w:w="4254" w:type="dxa"/>
            <w:noWrap w:val="0"/>
            <w:vAlign w:val="center"/>
          </w:tcPr>
          <w:p>
            <w:pPr>
              <w:jc w:val="center"/>
              <w:rPr>
                <w:rFonts w:hint="eastAsia" w:ascii="宋体" w:hAnsi="宋体" w:cs="宋体"/>
                <w:color w:val="auto"/>
                <w:sz w:val="21"/>
                <w:szCs w:val="21"/>
                <w:highlight w:val="none"/>
              </w:rPr>
            </w:pPr>
          </w:p>
        </w:tc>
        <w:tc>
          <w:tcPr>
            <w:tcW w:w="2574" w:type="dxa"/>
            <w:noWrap w:val="0"/>
            <w:vAlign w:val="center"/>
          </w:tcPr>
          <w:p>
            <w:pPr>
              <w:jc w:val="center"/>
              <w:rPr>
                <w:rFonts w:hint="eastAsia" w:ascii="宋体" w:hAnsi="宋体" w:cs="宋体"/>
                <w:color w:val="auto"/>
                <w:sz w:val="21"/>
                <w:szCs w:val="21"/>
                <w:highlight w:val="none"/>
              </w:rPr>
            </w:pPr>
          </w:p>
        </w:tc>
        <w:tc>
          <w:tcPr>
            <w:tcW w:w="2124" w:type="dxa"/>
            <w:noWrap w:val="0"/>
            <w:vAlign w:val="center"/>
          </w:tcPr>
          <w:p>
            <w:pPr>
              <w:jc w:val="cente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jc w:val="center"/>
              <w:rPr>
                <w:rFonts w:hint="eastAsia" w:ascii="宋体" w:hAnsi="宋体" w:cs="宋体"/>
                <w:color w:val="auto"/>
                <w:kern w:val="2"/>
                <w:sz w:val="21"/>
                <w:szCs w:val="21"/>
                <w:highlight w:val="none"/>
                <w:lang w:val="en-US" w:eastAsia="zh-CN" w:bidi="ar-SA"/>
              </w:rPr>
            </w:pPr>
            <w:r>
              <w:rPr>
                <w:rFonts w:hint="eastAsia" w:ascii="宋体" w:hAnsi="宋体" w:cs="宋体"/>
                <w:color w:val="auto"/>
                <w:sz w:val="21"/>
                <w:szCs w:val="21"/>
                <w:highlight w:val="none"/>
              </w:rPr>
              <w:t>……</w:t>
            </w:r>
          </w:p>
        </w:tc>
        <w:tc>
          <w:tcPr>
            <w:tcW w:w="4254" w:type="dxa"/>
            <w:noWrap w:val="0"/>
            <w:vAlign w:val="center"/>
          </w:tcPr>
          <w:p>
            <w:pPr>
              <w:rPr>
                <w:rFonts w:hint="eastAsia" w:ascii="宋体" w:hAnsi="宋体" w:cs="宋体"/>
                <w:color w:val="auto"/>
                <w:kern w:val="2"/>
                <w:sz w:val="21"/>
                <w:szCs w:val="21"/>
                <w:highlight w:val="none"/>
                <w:lang w:val="en-US" w:eastAsia="zh-CN" w:bidi="ar-SA"/>
              </w:rPr>
            </w:pPr>
          </w:p>
        </w:tc>
        <w:tc>
          <w:tcPr>
            <w:tcW w:w="2574" w:type="dxa"/>
            <w:noWrap w:val="0"/>
            <w:vAlign w:val="center"/>
          </w:tcPr>
          <w:p>
            <w:pPr>
              <w:jc w:val="center"/>
              <w:rPr>
                <w:rFonts w:hint="eastAsia" w:ascii="宋体" w:hAnsi="宋体" w:cs="宋体"/>
                <w:color w:val="auto"/>
                <w:sz w:val="21"/>
                <w:szCs w:val="21"/>
                <w:highlight w:val="none"/>
              </w:rPr>
            </w:pPr>
          </w:p>
        </w:tc>
        <w:tc>
          <w:tcPr>
            <w:tcW w:w="2124" w:type="dxa"/>
            <w:noWrap w:val="0"/>
            <w:vAlign w:val="center"/>
          </w:tcPr>
          <w:p>
            <w:pPr>
              <w:jc w:val="center"/>
              <w:rPr>
                <w:rFonts w:hint="eastAsia" w:ascii="宋体" w:hAnsi="宋体" w:cs="宋体"/>
                <w:color w:val="auto"/>
                <w:sz w:val="21"/>
                <w:szCs w:val="21"/>
                <w:highlight w:val="none"/>
              </w:rPr>
            </w:pPr>
          </w:p>
        </w:tc>
      </w:tr>
    </w:tbl>
    <w:p>
      <w:pPr>
        <w:spacing w:line="360" w:lineRule="auto"/>
        <w:rPr>
          <w:rFonts w:hint="eastAsia" w:ascii="宋体" w:hAnsi="宋体"/>
          <w:b/>
          <w:bCs/>
          <w:color w:val="auto"/>
          <w:spacing w:val="-6"/>
          <w:sz w:val="24"/>
          <w:highlight w:val="none"/>
        </w:rPr>
      </w:pP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说明：</w:t>
      </w: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1</w:t>
      </w:r>
      <w:r>
        <w:rPr>
          <w:rFonts w:ascii="宋体" w:hAnsi="宋体"/>
          <w:b/>
          <w:bCs/>
          <w:color w:val="auto"/>
          <w:spacing w:val="-6"/>
          <w:sz w:val="21"/>
          <w:szCs w:val="21"/>
          <w:highlight w:val="none"/>
        </w:rPr>
        <w:t>.</w:t>
      </w:r>
      <w:r>
        <w:rPr>
          <w:rFonts w:hint="eastAsia" w:ascii="宋体" w:hAnsi="宋体"/>
          <w:b/>
          <w:bCs/>
          <w:color w:val="auto"/>
          <w:spacing w:val="-6"/>
          <w:sz w:val="21"/>
          <w:szCs w:val="21"/>
          <w:highlight w:val="none"/>
        </w:rPr>
        <w:t>逐项按照招标文件要求填写响应规格；</w:t>
      </w: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2</w:t>
      </w:r>
      <w:r>
        <w:rPr>
          <w:rFonts w:ascii="宋体" w:hAnsi="宋体"/>
          <w:b/>
          <w:bCs/>
          <w:color w:val="auto"/>
          <w:spacing w:val="-6"/>
          <w:sz w:val="21"/>
          <w:szCs w:val="21"/>
          <w:highlight w:val="none"/>
        </w:rPr>
        <w:t>.</w:t>
      </w:r>
      <w:r>
        <w:rPr>
          <w:rFonts w:hint="eastAsia" w:ascii="宋体" w:hAnsi="宋体"/>
          <w:b/>
          <w:bCs/>
          <w:color w:val="auto"/>
          <w:spacing w:val="-6"/>
          <w:sz w:val="21"/>
          <w:szCs w:val="21"/>
          <w:highlight w:val="none"/>
        </w:rPr>
        <w:t>偏离说明是指对招标文件要求存在不同之处的解释说明。偏离系指：正偏离（高于采购需求）、负偏离（低于采购需求）、无偏离（满足采购需求）；</w:t>
      </w:r>
    </w:p>
    <w:p>
      <w:pPr>
        <w:spacing w:line="360" w:lineRule="auto"/>
        <w:rPr>
          <w:rFonts w:hint="eastAsia" w:ascii="宋体" w:hAnsi="宋体"/>
          <w:b/>
          <w:color w:val="auto"/>
          <w:spacing w:val="-6"/>
          <w:sz w:val="21"/>
          <w:szCs w:val="21"/>
          <w:highlight w:val="none"/>
        </w:rPr>
      </w:pPr>
      <w:r>
        <w:rPr>
          <w:rFonts w:hint="eastAsia" w:ascii="宋体" w:hAnsi="宋体"/>
          <w:b/>
          <w:bCs/>
          <w:color w:val="auto"/>
          <w:spacing w:val="-6"/>
          <w:sz w:val="21"/>
          <w:szCs w:val="21"/>
          <w:highlight w:val="none"/>
        </w:rPr>
        <w:t>3</w:t>
      </w:r>
      <w:r>
        <w:rPr>
          <w:rFonts w:ascii="宋体" w:hAnsi="宋体"/>
          <w:b/>
          <w:bCs/>
          <w:color w:val="auto"/>
          <w:spacing w:val="-6"/>
          <w:sz w:val="21"/>
          <w:szCs w:val="21"/>
          <w:highlight w:val="none"/>
        </w:rPr>
        <w:t>.</w:t>
      </w:r>
      <w:r>
        <w:rPr>
          <w:rFonts w:hint="eastAsia" w:ascii="宋体" w:hAnsi="宋体"/>
          <w:b/>
          <w:bCs/>
          <w:color w:val="auto"/>
          <w:spacing w:val="-6"/>
          <w:sz w:val="21"/>
          <w:szCs w:val="21"/>
          <w:highlight w:val="none"/>
        </w:rPr>
        <w:t>如不填写或未如实填写</w:t>
      </w:r>
      <w:r>
        <w:rPr>
          <w:rFonts w:hint="eastAsia" w:ascii="宋体" w:hAnsi="宋体"/>
          <w:b/>
          <w:color w:val="auto"/>
          <w:spacing w:val="-6"/>
          <w:sz w:val="21"/>
          <w:szCs w:val="21"/>
          <w:highlight w:val="none"/>
        </w:rPr>
        <w:t>，自行承担投标风险。</w:t>
      </w:r>
    </w:p>
    <w:p>
      <w:pPr>
        <w:pStyle w:val="21"/>
        <w:spacing w:line="360" w:lineRule="auto"/>
        <w:ind w:firstLine="0"/>
        <w:rPr>
          <w:rFonts w:hint="eastAsia" w:hAnsi="宋体"/>
          <w:color w:val="auto"/>
          <w:spacing w:val="-6"/>
          <w:sz w:val="24"/>
          <w:highlight w:val="none"/>
        </w:rPr>
      </w:pPr>
    </w:p>
    <w:p>
      <w:pPr>
        <w:pStyle w:val="21"/>
        <w:spacing w:line="360" w:lineRule="auto"/>
        <w:ind w:firstLine="0"/>
        <w:rPr>
          <w:rFonts w:hint="eastAsia" w:hAnsi="宋体"/>
          <w:color w:val="auto"/>
          <w:spacing w:val="-6"/>
          <w:sz w:val="24"/>
          <w:highlight w:val="none"/>
        </w:rPr>
      </w:pPr>
    </w:p>
    <w:p>
      <w:pPr>
        <w:pStyle w:val="21"/>
        <w:spacing w:line="360" w:lineRule="auto"/>
        <w:ind w:firstLine="0"/>
        <w:rPr>
          <w:rFonts w:hint="eastAsia" w:hAnsi="宋体"/>
          <w:color w:val="auto"/>
          <w:spacing w:val="-6"/>
          <w:sz w:val="24"/>
          <w:highlight w:val="none"/>
        </w:rPr>
      </w:pP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投标人代表签字：</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日期：     年   月   日</w:t>
      </w:r>
    </w:p>
    <w:p>
      <w:pPr>
        <w:pStyle w:val="17"/>
        <w:spacing w:line="360" w:lineRule="auto"/>
        <w:ind w:left="0" w:firstLine="0" w:firstLineChars="0"/>
        <w:jc w:val="center"/>
        <w:outlineLvl w:val="3"/>
        <w:rPr>
          <w:rFonts w:hint="eastAsia" w:ascii="宋体" w:hAnsi="宋体"/>
          <w:b/>
          <w:color w:val="auto"/>
          <w:spacing w:val="-6"/>
          <w:sz w:val="24"/>
          <w:highlight w:val="none"/>
        </w:rPr>
      </w:pPr>
      <w:r>
        <w:rPr>
          <w:rFonts w:ascii="宋体" w:hAnsi="宋体"/>
          <w:b/>
          <w:color w:val="auto"/>
          <w:spacing w:val="-6"/>
          <w:sz w:val="24"/>
          <w:highlight w:val="none"/>
        </w:rPr>
        <w:br w:type="page"/>
      </w:r>
      <w:r>
        <w:rPr>
          <w:rFonts w:hint="eastAsia" w:ascii="宋体" w:hAnsi="宋体"/>
          <w:b/>
          <w:color w:val="auto"/>
          <w:spacing w:val="-6"/>
          <w:sz w:val="24"/>
          <w:highlight w:val="none"/>
        </w:rPr>
        <w:t>投标人同类项目实施情况一览表</w:t>
      </w:r>
    </w:p>
    <w:tbl>
      <w:tblPr>
        <w:tblStyle w:val="22"/>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合同金额</w:t>
            </w:r>
          </w:p>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（万元）</w:t>
            </w:r>
          </w:p>
        </w:tc>
        <w:tc>
          <w:tcPr>
            <w:tcW w:w="82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采购人联系人</w:t>
            </w:r>
          </w:p>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1133"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1441"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683"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829"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1556"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1983"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1133"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1441"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683"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829"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1556"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1983"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1133"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1441"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683"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829"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1556"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1983"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1133"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1441"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683"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829"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1556"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1983"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1133"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1441"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683"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829"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1556"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b/>
                <w:bCs/>
                <w:color w:val="auto"/>
                <w:sz w:val="21"/>
                <w:szCs w:val="21"/>
                <w:highlight w:val="none"/>
              </w:rPr>
            </w:pPr>
          </w:p>
        </w:tc>
        <w:tc>
          <w:tcPr>
            <w:tcW w:w="1983" w:type="dxa"/>
            <w:tcBorders>
              <w:top w:val="single" w:color="auto" w:sz="4" w:space="0"/>
              <w:left w:val="single" w:color="auto" w:sz="4" w:space="0"/>
              <w:bottom w:val="single" w:color="auto" w:sz="4" w:space="0"/>
              <w:right w:val="single" w:color="auto" w:sz="4" w:space="0"/>
            </w:tcBorders>
            <w:noWrap w:val="0"/>
            <w:vAlign w:val="top"/>
          </w:tcPr>
          <w:p>
            <w:pPr>
              <w:rPr>
                <w:rFonts w:hint="eastAsia" w:ascii="宋体" w:hAnsi="宋体" w:cs="宋体"/>
                <w:b/>
                <w:bCs/>
                <w:color w:val="auto"/>
                <w:sz w:val="21"/>
                <w:szCs w:val="21"/>
                <w:highlight w:val="none"/>
              </w:rPr>
            </w:pPr>
          </w:p>
        </w:tc>
      </w:tr>
    </w:tbl>
    <w:p>
      <w:pPr>
        <w:pStyle w:val="17"/>
        <w:spacing w:line="360" w:lineRule="auto"/>
        <w:ind w:left="0" w:firstLine="0" w:firstLineChars="0"/>
        <w:rPr>
          <w:rFonts w:ascii="宋体" w:hAnsi="宋体"/>
          <w:color w:val="auto"/>
          <w:sz w:val="24"/>
          <w:highlight w:val="none"/>
        </w:rPr>
      </w:pPr>
    </w:p>
    <w:p>
      <w:pPr>
        <w:spacing w:line="360" w:lineRule="auto"/>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说明：</w:t>
      </w:r>
    </w:p>
    <w:p>
      <w:pPr>
        <w:spacing w:line="360" w:lineRule="auto"/>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1</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投标人须提供上述业绩合同复印件；</w:t>
      </w:r>
    </w:p>
    <w:p>
      <w:pPr>
        <w:spacing w:line="360" w:lineRule="auto"/>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2</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所有合同复印件应清晰，应能体现合同签订时间、双方签字盖章等内容；</w:t>
      </w:r>
    </w:p>
    <w:p>
      <w:pPr>
        <w:spacing w:line="360" w:lineRule="auto"/>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3</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投标人应在不涉及商业秘密的前提下尽可能提供详细的合同复印件内容。</w:t>
      </w:r>
    </w:p>
    <w:p>
      <w:pPr>
        <w:spacing w:line="360" w:lineRule="auto"/>
        <w:rPr>
          <w:rFonts w:hint="eastAsia" w:ascii="宋体" w:hAnsi="宋体"/>
          <w:color w:val="auto"/>
          <w:spacing w:val="-6"/>
          <w:sz w:val="24"/>
          <w:highlight w:val="none"/>
        </w:rPr>
      </w:pPr>
    </w:p>
    <w:p>
      <w:pPr>
        <w:pStyle w:val="21"/>
        <w:spacing w:line="360" w:lineRule="auto"/>
        <w:ind w:firstLine="0"/>
        <w:rPr>
          <w:rFonts w:hint="eastAsia" w:hAnsi="宋体"/>
          <w:color w:val="auto"/>
          <w:spacing w:val="-6"/>
          <w:sz w:val="24"/>
          <w:highlight w:val="none"/>
        </w:rPr>
      </w:pPr>
    </w:p>
    <w:p>
      <w:pPr>
        <w:pStyle w:val="21"/>
        <w:spacing w:line="360" w:lineRule="auto"/>
        <w:ind w:firstLine="0"/>
        <w:rPr>
          <w:rFonts w:hint="eastAsia" w:hAnsi="宋体"/>
          <w:color w:val="auto"/>
          <w:spacing w:val="-6"/>
          <w:sz w:val="24"/>
          <w:highlight w:val="none"/>
        </w:rPr>
      </w:pP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投标人代表签字：</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日期：     年   月   日</w:t>
      </w:r>
    </w:p>
    <w:p>
      <w:pPr>
        <w:pStyle w:val="2"/>
        <w:rPr>
          <w:rFonts w:hint="eastAsia" w:ascii="宋体" w:hAnsi="宋体"/>
          <w:color w:val="auto"/>
          <w:spacing w:val="-6"/>
          <w:sz w:val="24"/>
          <w:highlight w:val="none"/>
        </w:rPr>
      </w:pPr>
    </w:p>
    <w:p>
      <w:pPr>
        <w:pStyle w:val="2"/>
        <w:rPr>
          <w:rFonts w:hint="eastAsia" w:ascii="宋体" w:hAnsi="宋体"/>
          <w:color w:val="auto"/>
          <w:spacing w:val="-6"/>
          <w:sz w:val="24"/>
          <w:highlight w:val="none"/>
        </w:rPr>
      </w:pPr>
    </w:p>
    <w:p>
      <w:pPr>
        <w:rPr>
          <w:rFonts w:hint="eastAsia" w:ascii="宋体" w:hAnsi="宋体"/>
          <w:color w:val="auto"/>
          <w:spacing w:val="-6"/>
          <w:sz w:val="24"/>
          <w:highlight w:val="none"/>
        </w:rPr>
      </w:pPr>
      <w:r>
        <w:rPr>
          <w:rFonts w:hint="eastAsia" w:ascii="宋体" w:hAnsi="宋体"/>
          <w:color w:val="auto"/>
          <w:spacing w:val="-6"/>
          <w:sz w:val="24"/>
          <w:highlight w:val="none"/>
        </w:rPr>
        <w:br w:type="page"/>
      </w:r>
    </w:p>
    <w:p>
      <w:pPr>
        <w:spacing w:line="360" w:lineRule="auto"/>
        <w:jc w:val="center"/>
        <w:rPr>
          <w:rFonts w:ascii="宋体" w:hAnsi="宋体"/>
          <w:b/>
          <w:color w:val="auto"/>
          <w:sz w:val="24"/>
          <w:highlight w:val="none"/>
        </w:rPr>
      </w:pPr>
      <w:r>
        <w:rPr>
          <w:rFonts w:hint="eastAsia" w:ascii="宋体" w:hAnsi="宋体"/>
          <w:b/>
          <w:color w:val="auto"/>
          <w:sz w:val="24"/>
          <w:highlight w:val="none"/>
        </w:rPr>
        <w:t>节能环保产品证明材料</w:t>
      </w:r>
    </w:p>
    <w:p>
      <w:pPr>
        <w:spacing w:line="360" w:lineRule="auto"/>
        <w:rPr>
          <w:rFonts w:hint="eastAsia" w:ascii="宋体" w:hAnsi="宋体"/>
          <w:bCs/>
          <w:color w:val="auto"/>
          <w:sz w:val="24"/>
          <w:highlight w:val="none"/>
        </w:rPr>
      </w:pPr>
    </w:p>
    <w:p>
      <w:pPr>
        <w:spacing w:line="288" w:lineRule="auto"/>
        <w:rPr>
          <w:rFonts w:hint="eastAsia" w:ascii="宋体" w:hAnsi="宋体"/>
          <w:b/>
          <w:color w:val="auto"/>
          <w:sz w:val="21"/>
          <w:szCs w:val="21"/>
          <w:highlight w:val="none"/>
        </w:rPr>
      </w:pPr>
      <w:r>
        <w:rPr>
          <w:rFonts w:hint="eastAsia" w:ascii="宋体" w:hAnsi="宋体"/>
          <w:b/>
          <w:color w:val="auto"/>
          <w:sz w:val="21"/>
          <w:szCs w:val="21"/>
          <w:highlight w:val="none"/>
        </w:rPr>
        <w:t>说明：</w:t>
      </w:r>
    </w:p>
    <w:p>
      <w:pPr>
        <w:spacing w:line="288" w:lineRule="auto"/>
        <w:rPr>
          <w:rFonts w:ascii="宋体" w:hAnsi="宋体"/>
          <w:b/>
          <w:color w:val="auto"/>
          <w:sz w:val="21"/>
          <w:szCs w:val="21"/>
          <w:highlight w:val="none"/>
        </w:rPr>
      </w:pPr>
    </w:p>
    <w:p>
      <w:pPr>
        <w:spacing w:line="288" w:lineRule="auto"/>
        <w:ind w:firstLine="422" w:firstLineChars="200"/>
        <w:rPr>
          <w:b/>
          <w:color w:val="auto"/>
          <w:sz w:val="21"/>
          <w:szCs w:val="21"/>
          <w:highlight w:val="none"/>
        </w:rPr>
      </w:pPr>
      <w:r>
        <w:rPr>
          <w:rFonts w:hint="eastAsia"/>
          <w:b/>
          <w:color w:val="auto"/>
          <w:sz w:val="21"/>
          <w:szCs w:val="21"/>
          <w:highlight w:val="none"/>
        </w:rPr>
        <w:t>所投产品属于品目清单范围，且提供国家确定的认证机构出具的处于有效期之内的节能产品、环境标志产品认证证书（复印件加盖公章）。</w:t>
      </w:r>
    </w:p>
    <w:p>
      <w:pPr>
        <w:pStyle w:val="2"/>
        <w:rPr>
          <w:rFonts w:hint="eastAsia" w:ascii="宋体" w:hAnsi="宋体"/>
          <w:color w:val="auto"/>
          <w:spacing w:val="-6"/>
          <w:sz w:val="24"/>
          <w:highlight w:val="none"/>
        </w:rPr>
      </w:pPr>
    </w:p>
    <w:p>
      <w:pPr>
        <w:pStyle w:val="2"/>
        <w:spacing w:line="288" w:lineRule="auto"/>
        <w:ind w:firstLine="456" w:firstLineChars="200"/>
        <w:jc w:val="center"/>
        <w:outlineLvl w:val="3"/>
        <w:rPr>
          <w:rFonts w:hint="eastAsia" w:hAnsi="宋体"/>
          <w:color w:val="auto"/>
          <w:spacing w:val="-6"/>
          <w:sz w:val="21"/>
          <w:szCs w:val="21"/>
          <w:highlight w:val="none"/>
        </w:rPr>
      </w:pPr>
      <w:r>
        <w:rPr>
          <w:rFonts w:hint="eastAsia" w:hAnsi="宋体"/>
          <w:color w:val="auto"/>
          <w:spacing w:val="-6"/>
          <w:sz w:val="24"/>
          <w:highlight w:val="none"/>
        </w:rPr>
        <w:br w:type="page"/>
      </w:r>
      <w:r>
        <w:rPr>
          <w:rFonts w:hint="eastAsia" w:hAnsi="宋体"/>
          <w:b/>
          <w:bCs/>
          <w:color w:val="auto"/>
          <w:spacing w:val="-6"/>
          <w:sz w:val="24"/>
          <w:szCs w:val="24"/>
          <w:highlight w:val="none"/>
        </w:rPr>
        <w:t>投标人需要说明的其他文件和材料</w:t>
      </w:r>
    </w:p>
    <w:p>
      <w:pPr>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t>说明：投标人可根据自身情况提供。</w:t>
      </w:r>
    </w:p>
    <w:p>
      <w:pPr>
        <w:spacing w:line="360" w:lineRule="auto"/>
        <w:jc w:val="center"/>
        <w:outlineLvl w:val="2"/>
        <w:rPr>
          <w:rFonts w:hint="eastAsia" w:ascii="宋体" w:hAnsi="宋体"/>
          <w:b/>
          <w:color w:val="auto"/>
          <w:sz w:val="52"/>
          <w:szCs w:val="52"/>
          <w:highlight w:val="none"/>
        </w:rPr>
      </w:pPr>
      <w:r>
        <w:rPr>
          <w:rFonts w:ascii="宋体" w:hAnsi="宋体"/>
          <w:b/>
          <w:color w:val="auto"/>
          <w:sz w:val="52"/>
          <w:szCs w:val="52"/>
          <w:highlight w:val="none"/>
        </w:rPr>
        <w:br w:type="page"/>
      </w:r>
      <w:r>
        <w:rPr>
          <w:rFonts w:hint="eastAsia" w:ascii="宋体" w:hAnsi="宋体"/>
          <w:b/>
          <w:color w:val="auto"/>
          <w:sz w:val="52"/>
          <w:szCs w:val="52"/>
          <w:highlight w:val="none"/>
        </w:rPr>
        <w:t>技术文件</w:t>
      </w:r>
    </w:p>
    <w:p>
      <w:pPr>
        <w:spacing w:line="360" w:lineRule="auto"/>
        <w:jc w:val="center"/>
        <w:outlineLvl w:val="3"/>
        <w:rPr>
          <w:rFonts w:hint="eastAsia" w:ascii="宋体" w:hAnsi="宋体"/>
          <w:b/>
          <w:bCs/>
          <w:iCs/>
          <w:color w:val="auto"/>
          <w:spacing w:val="-6"/>
          <w:sz w:val="24"/>
          <w:highlight w:val="none"/>
        </w:rPr>
      </w:pPr>
      <w:r>
        <w:rPr>
          <w:rFonts w:hint="eastAsia" w:ascii="宋体" w:hAnsi="宋体"/>
          <w:b/>
          <w:bCs/>
          <w:iCs/>
          <w:color w:val="auto"/>
          <w:spacing w:val="-6"/>
          <w:sz w:val="24"/>
          <w:highlight w:val="none"/>
        </w:rPr>
        <w:t>技术偏离表</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采 购 人：</w:t>
      </w:r>
      <w:r>
        <w:rPr>
          <w:rFonts w:hint="eastAsia" w:ascii="宋体" w:hAnsi="宋体"/>
          <w:bCs/>
          <w:color w:val="auto"/>
          <w:spacing w:val="-6"/>
          <w:sz w:val="24"/>
          <w:highlight w:val="none"/>
          <w:lang w:eastAsia="zh-CN"/>
        </w:rPr>
        <w:t>杭州电子科技大学</w:t>
      </w:r>
    </w:p>
    <w:p>
      <w:pPr>
        <w:spacing w:line="360" w:lineRule="auto"/>
        <w:rPr>
          <w:rFonts w:hint="eastAsia" w:ascii="宋体" w:hAnsi="宋体" w:eastAsia="宋体"/>
          <w:bCs/>
          <w:color w:val="auto"/>
          <w:spacing w:val="-6"/>
          <w:sz w:val="24"/>
          <w:highlight w:val="none"/>
          <w:lang w:eastAsia="zh-CN"/>
        </w:rPr>
      </w:pPr>
      <w:r>
        <w:rPr>
          <w:rFonts w:hint="eastAsia" w:ascii="宋体" w:hAnsi="宋体"/>
          <w:bCs/>
          <w:color w:val="auto"/>
          <w:spacing w:val="-6"/>
          <w:sz w:val="24"/>
          <w:highlight w:val="none"/>
        </w:rPr>
        <w:t>项目名称：</w:t>
      </w:r>
      <w:r>
        <w:rPr>
          <w:rFonts w:hint="eastAsia" w:ascii="宋体" w:hAnsi="宋体"/>
          <w:bCs/>
          <w:color w:val="auto"/>
          <w:spacing w:val="-6"/>
          <w:sz w:val="24"/>
          <w:highlight w:val="none"/>
          <w:lang w:eastAsia="zh-CN"/>
        </w:rPr>
        <w:t>微波暗室测试系统</w:t>
      </w:r>
    </w:p>
    <w:p>
      <w:pPr>
        <w:spacing w:line="360" w:lineRule="auto"/>
        <w:rPr>
          <w:rFonts w:hint="eastAsia" w:ascii="宋体" w:hAnsi="宋体"/>
          <w:bCs/>
          <w:color w:val="auto"/>
          <w:spacing w:val="-6"/>
          <w:sz w:val="24"/>
          <w:highlight w:val="none"/>
          <w:lang w:eastAsia="zh-CN"/>
        </w:rPr>
      </w:pPr>
      <w:r>
        <w:rPr>
          <w:rFonts w:hint="eastAsia" w:ascii="宋体" w:hAnsi="宋体"/>
          <w:bCs/>
          <w:color w:val="auto"/>
          <w:spacing w:val="-6"/>
          <w:sz w:val="24"/>
          <w:highlight w:val="none"/>
        </w:rPr>
        <w:t>项目编号：</w:t>
      </w:r>
      <w:r>
        <w:rPr>
          <w:rFonts w:hint="eastAsia" w:ascii="宋体" w:hAnsi="宋体"/>
          <w:bCs/>
          <w:color w:val="auto"/>
          <w:spacing w:val="-6"/>
          <w:sz w:val="24"/>
          <w:highlight w:val="none"/>
          <w:lang w:eastAsia="zh-CN"/>
        </w:rPr>
        <w:t xml:space="preserve">QSZB-Z(H)-B20095(GK) </w:t>
      </w:r>
    </w:p>
    <w:tbl>
      <w:tblPr>
        <w:tblStyle w:val="22"/>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序号</w:t>
            </w:r>
          </w:p>
        </w:tc>
        <w:tc>
          <w:tcPr>
            <w:tcW w:w="4254" w:type="dxa"/>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招标文件要求</w:t>
            </w:r>
          </w:p>
        </w:tc>
        <w:tc>
          <w:tcPr>
            <w:tcW w:w="2574" w:type="dxa"/>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响应规格</w:t>
            </w:r>
          </w:p>
        </w:tc>
        <w:tc>
          <w:tcPr>
            <w:tcW w:w="2124" w:type="dxa"/>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noWrap w:val="0"/>
            <w:vAlign w:val="center"/>
          </w:tcPr>
          <w:p>
            <w:pPr>
              <w:rPr>
                <w:rFonts w:hint="eastAsia" w:ascii="宋体" w:hAnsi="宋体" w:eastAsia="宋体" w:cs="宋体"/>
                <w:color w:val="auto"/>
                <w:sz w:val="21"/>
                <w:szCs w:val="21"/>
                <w:highlight w:val="none"/>
                <w:lang w:eastAsia="zh-CN"/>
              </w:rPr>
            </w:pPr>
            <w:r>
              <w:rPr>
                <w:rFonts w:hint="eastAsia" w:ascii="宋体" w:hAnsi="宋体"/>
                <w:b/>
                <w:bCs/>
                <w:color w:val="auto"/>
                <w:sz w:val="21"/>
                <w:szCs w:val="21"/>
                <w:highlight w:val="none"/>
                <w:lang w:val="en-US" w:eastAsia="zh-CN"/>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w:t>
            </w:r>
          </w:p>
        </w:tc>
        <w:tc>
          <w:tcPr>
            <w:tcW w:w="4254" w:type="dxa"/>
            <w:noWrap w:val="0"/>
            <w:vAlign w:val="center"/>
          </w:tcPr>
          <w:p>
            <w:pPr>
              <w:rPr>
                <w:rFonts w:hint="eastAsia" w:ascii="宋体" w:hAnsi="宋体" w:cs="宋体"/>
                <w:color w:val="auto"/>
                <w:sz w:val="21"/>
                <w:szCs w:val="21"/>
                <w:highlight w:val="none"/>
              </w:rPr>
            </w:pPr>
          </w:p>
        </w:tc>
        <w:tc>
          <w:tcPr>
            <w:tcW w:w="2574" w:type="dxa"/>
            <w:noWrap w:val="0"/>
            <w:vAlign w:val="center"/>
          </w:tcPr>
          <w:p>
            <w:pPr>
              <w:rPr>
                <w:rFonts w:hint="eastAsia" w:ascii="宋体" w:hAnsi="宋体" w:cs="宋体"/>
                <w:color w:val="auto"/>
                <w:sz w:val="21"/>
                <w:szCs w:val="21"/>
                <w:highlight w:val="none"/>
              </w:rPr>
            </w:pPr>
          </w:p>
        </w:tc>
        <w:tc>
          <w:tcPr>
            <w:tcW w:w="2124" w:type="dxa"/>
            <w:noWrap w:val="0"/>
            <w:vAlign w:val="center"/>
          </w:tcPr>
          <w:p>
            <w:pP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2</w:t>
            </w:r>
          </w:p>
        </w:tc>
        <w:tc>
          <w:tcPr>
            <w:tcW w:w="4254" w:type="dxa"/>
            <w:noWrap w:val="0"/>
            <w:vAlign w:val="center"/>
          </w:tcPr>
          <w:p>
            <w:pPr>
              <w:rPr>
                <w:rFonts w:hint="eastAsia" w:ascii="宋体" w:hAnsi="宋体" w:cs="宋体"/>
                <w:color w:val="auto"/>
                <w:sz w:val="21"/>
                <w:szCs w:val="21"/>
                <w:highlight w:val="none"/>
              </w:rPr>
            </w:pPr>
          </w:p>
        </w:tc>
        <w:tc>
          <w:tcPr>
            <w:tcW w:w="2574" w:type="dxa"/>
            <w:noWrap w:val="0"/>
            <w:vAlign w:val="center"/>
          </w:tcPr>
          <w:p>
            <w:pPr>
              <w:rPr>
                <w:rFonts w:hint="eastAsia" w:ascii="宋体" w:hAnsi="宋体" w:cs="宋体"/>
                <w:color w:val="auto"/>
                <w:sz w:val="21"/>
                <w:szCs w:val="21"/>
                <w:highlight w:val="none"/>
              </w:rPr>
            </w:pPr>
          </w:p>
        </w:tc>
        <w:tc>
          <w:tcPr>
            <w:tcW w:w="2124" w:type="dxa"/>
            <w:noWrap w:val="0"/>
            <w:vAlign w:val="center"/>
          </w:tcPr>
          <w:p>
            <w:pP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jc w:val="center"/>
              <w:rPr>
                <w:rFonts w:hint="eastAsia" w:ascii="宋体" w:hAnsi="宋体" w:cs="宋体"/>
                <w:color w:val="auto"/>
                <w:sz w:val="21"/>
                <w:szCs w:val="21"/>
                <w:highlight w:val="none"/>
              </w:rPr>
            </w:pPr>
          </w:p>
        </w:tc>
        <w:tc>
          <w:tcPr>
            <w:tcW w:w="4254" w:type="dxa"/>
            <w:noWrap w:val="0"/>
            <w:vAlign w:val="center"/>
          </w:tcPr>
          <w:p>
            <w:pPr>
              <w:rPr>
                <w:rFonts w:hint="eastAsia" w:ascii="宋体" w:hAnsi="宋体" w:cs="宋体"/>
                <w:color w:val="auto"/>
                <w:sz w:val="21"/>
                <w:szCs w:val="21"/>
                <w:highlight w:val="none"/>
              </w:rPr>
            </w:pPr>
          </w:p>
        </w:tc>
        <w:tc>
          <w:tcPr>
            <w:tcW w:w="2574" w:type="dxa"/>
            <w:noWrap w:val="0"/>
            <w:vAlign w:val="center"/>
          </w:tcPr>
          <w:p>
            <w:pPr>
              <w:rPr>
                <w:rFonts w:hint="eastAsia" w:ascii="宋体" w:hAnsi="宋体" w:cs="宋体"/>
                <w:color w:val="auto"/>
                <w:sz w:val="21"/>
                <w:szCs w:val="21"/>
                <w:highlight w:val="none"/>
              </w:rPr>
            </w:pPr>
          </w:p>
        </w:tc>
        <w:tc>
          <w:tcPr>
            <w:tcW w:w="2124" w:type="dxa"/>
            <w:noWrap w:val="0"/>
            <w:vAlign w:val="center"/>
          </w:tcPr>
          <w:p>
            <w:pP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jc w:val="center"/>
              <w:rPr>
                <w:rFonts w:hint="eastAsia" w:ascii="宋体" w:hAnsi="宋体" w:cs="宋体"/>
                <w:color w:val="auto"/>
                <w:sz w:val="21"/>
                <w:szCs w:val="21"/>
                <w:highlight w:val="none"/>
              </w:rPr>
            </w:pPr>
          </w:p>
        </w:tc>
        <w:tc>
          <w:tcPr>
            <w:tcW w:w="4254" w:type="dxa"/>
            <w:noWrap w:val="0"/>
            <w:vAlign w:val="center"/>
          </w:tcPr>
          <w:p>
            <w:pPr>
              <w:rPr>
                <w:rFonts w:hint="eastAsia" w:ascii="宋体" w:hAnsi="宋体" w:cs="宋体"/>
                <w:color w:val="auto"/>
                <w:sz w:val="21"/>
                <w:szCs w:val="21"/>
                <w:highlight w:val="none"/>
              </w:rPr>
            </w:pPr>
          </w:p>
        </w:tc>
        <w:tc>
          <w:tcPr>
            <w:tcW w:w="2574" w:type="dxa"/>
            <w:noWrap w:val="0"/>
            <w:vAlign w:val="center"/>
          </w:tcPr>
          <w:p>
            <w:pPr>
              <w:rPr>
                <w:rFonts w:hint="eastAsia" w:ascii="宋体" w:hAnsi="宋体" w:cs="宋体"/>
                <w:color w:val="auto"/>
                <w:sz w:val="21"/>
                <w:szCs w:val="21"/>
                <w:highlight w:val="none"/>
              </w:rPr>
            </w:pPr>
          </w:p>
        </w:tc>
        <w:tc>
          <w:tcPr>
            <w:tcW w:w="2124" w:type="dxa"/>
            <w:noWrap w:val="0"/>
            <w:vAlign w:val="center"/>
          </w:tcPr>
          <w:p>
            <w:pP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jc w:val="center"/>
              <w:rPr>
                <w:rFonts w:hint="eastAsia" w:ascii="宋体" w:hAnsi="宋体" w:cs="宋体"/>
                <w:color w:val="auto"/>
                <w:sz w:val="21"/>
                <w:szCs w:val="21"/>
                <w:highlight w:val="none"/>
              </w:rPr>
            </w:pPr>
          </w:p>
        </w:tc>
        <w:tc>
          <w:tcPr>
            <w:tcW w:w="4254" w:type="dxa"/>
            <w:noWrap w:val="0"/>
            <w:vAlign w:val="center"/>
          </w:tcPr>
          <w:p>
            <w:pPr>
              <w:rPr>
                <w:rFonts w:hint="eastAsia" w:ascii="宋体" w:hAnsi="宋体" w:cs="宋体"/>
                <w:color w:val="auto"/>
                <w:sz w:val="21"/>
                <w:szCs w:val="21"/>
                <w:highlight w:val="none"/>
              </w:rPr>
            </w:pPr>
          </w:p>
        </w:tc>
        <w:tc>
          <w:tcPr>
            <w:tcW w:w="2574" w:type="dxa"/>
            <w:noWrap w:val="0"/>
            <w:vAlign w:val="center"/>
          </w:tcPr>
          <w:p>
            <w:pPr>
              <w:rPr>
                <w:rFonts w:hint="eastAsia" w:ascii="宋体" w:hAnsi="宋体" w:cs="宋体"/>
                <w:color w:val="auto"/>
                <w:sz w:val="21"/>
                <w:szCs w:val="21"/>
                <w:highlight w:val="none"/>
              </w:rPr>
            </w:pPr>
          </w:p>
        </w:tc>
        <w:tc>
          <w:tcPr>
            <w:tcW w:w="2124" w:type="dxa"/>
            <w:noWrap w:val="0"/>
            <w:vAlign w:val="center"/>
          </w:tcPr>
          <w:p>
            <w:pP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jc w:val="center"/>
              <w:rPr>
                <w:rFonts w:hint="eastAsia" w:ascii="宋体" w:hAnsi="宋体" w:cs="宋体"/>
                <w:color w:val="auto"/>
                <w:sz w:val="21"/>
                <w:szCs w:val="21"/>
                <w:highlight w:val="none"/>
              </w:rPr>
            </w:pPr>
          </w:p>
        </w:tc>
        <w:tc>
          <w:tcPr>
            <w:tcW w:w="4254" w:type="dxa"/>
            <w:noWrap w:val="0"/>
            <w:vAlign w:val="center"/>
          </w:tcPr>
          <w:p>
            <w:pPr>
              <w:rPr>
                <w:rFonts w:hint="eastAsia" w:ascii="宋体" w:hAnsi="宋体" w:cs="宋体"/>
                <w:color w:val="auto"/>
                <w:sz w:val="21"/>
                <w:szCs w:val="21"/>
                <w:highlight w:val="none"/>
              </w:rPr>
            </w:pPr>
          </w:p>
        </w:tc>
        <w:tc>
          <w:tcPr>
            <w:tcW w:w="2574" w:type="dxa"/>
            <w:noWrap w:val="0"/>
            <w:vAlign w:val="center"/>
          </w:tcPr>
          <w:p>
            <w:pPr>
              <w:rPr>
                <w:rFonts w:hint="eastAsia" w:ascii="宋体" w:hAnsi="宋体" w:cs="宋体"/>
                <w:color w:val="auto"/>
                <w:sz w:val="21"/>
                <w:szCs w:val="21"/>
                <w:highlight w:val="none"/>
              </w:rPr>
            </w:pPr>
          </w:p>
        </w:tc>
        <w:tc>
          <w:tcPr>
            <w:tcW w:w="2124" w:type="dxa"/>
            <w:noWrap w:val="0"/>
            <w:vAlign w:val="center"/>
          </w:tcPr>
          <w:p>
            <w:pP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noWrap w:val="0"/>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w:t>
            </w:r>
          </w:p>
        </w:tc>
        <w:tc>
          <w:tcPr>
            <w:tcW w:w="4254" w:type="dxa"/>
            <w:noWrap w:val="0"/>
            <w:vAlign w:val="center"/>
          </w:tcPr>
          <w:p>
            <w:pPr>
              <w:rPr>
                <w:rFonts w:hint="eastAsia" w:ascii="宋体" w:hAnsi="宋体" w:cs="宋体"/>
                <w:color w:val="auto"/>
                <w:sz w:val="21"/>
                <w:szCs w:val="21"/>
                <w:highlight w:val="none"/>
              </w:rPr>
            </w:pPr>
          </w:p>
        </w:tc>
        <w:tc>
          <w:tcPr>
            <w:tcW w:w="2574" w:type="dxa"/>
            <w:noWrap w:val="0"/>
            <w:vAlign w:val="center"/>
          </w:tcPr>
          <w:p>
            <w:pPr>
              <w:rPr>
                <w:rFonts w:hint="eastAsia" w:ascii="宋体" w:hAnsi="宋体" w:cs="宋体"/>
                <w:color w:val="auto"/>
                <w:sz w:val="21"/>
                <w:szCs w:val="21"/>
                <w:highlight w:val="none"/>
              </w:rPr>
            </w:pPr>
          </w:p>
        </w:tc>
        <w:tc>
          <w:tcPr>
            <w:tcW w:w="2124" w:type="dxa"/>
            <w:noWrap w:val="0"/>
            <w:vAlign w:val="center"/>
          </w:tcPr>
          <w:p>
            <w:pPr>
              <w:rPr>
                <w:rFonts w:hint="eastAsia" w:ascii="宋体" w:hAnsi="宋体" w:cs="宋体"/>
                <w:color w:val="auto"/>
                <w:sz w:val="21"/>
                <w:szCs w:val="21"/>
                <w:highlight w:val="none"/>
              </w:rPr>
            </w:pPr>
          </w:p>
        </w:tc>
      </w:tr>
    </w:tbl>
    <w:p>
      <w:pPr>
        <w:spacing w:line="360" w:lineRule="auto"/>
        <w:rPr>
          <w:rFonts w:hint="eastAsia" w:ascii="宋体" w:hAnsi="宋体"/>
          <w:b/>
          <w:bCs/>
          <w:color w:val="auto"/>
          <w:spacing w:val="-6"/>
          <w:sz w:val="24"/>
          <w:highlight w:val="none"/>
        </w:rPr>
      </w:pP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说明：</w:t>
      </w: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1</w:t>
      </w:r>
      <w:r>
        <w:rPr>
          <w:rFonts w:ascii="宋体" w:hAnsi="宋体"/>
          <w:b/>
          <w:bCs/>
          <w:color w:val="auto"/>
          <w:spacing w:val="-6"/>
          <w:sz w:val="21"/>
          <w:szCs w:val="21"/>
          <w:highlight w:val="none"/>
        </w:rPr>
        <w:t>.</w:t>
      </w:r>
      <w:r>
        <w:rPr>
          <w:rFonts w:hint="eastAsia" w:ascii="宋体" w:hAnsi="宋体"/>
          <w:b/>
          <w:bCs/>
          <w:color w:val="auto"/>
          <w:spacing w:val="-6"/>
          <w:sz w:val="21"/>
          <w:szCs w:val="21"/>
          <w:highlight w:val="none"/>
        </w:rPr>
        <w:t>逐项按照招标文件要求填写响应规格；</w:t>
      </w:r>
    </w:p>
    <w:p>
      <w:pPr>
        <w:spacing w:line="360" w:lineRule="auto"/>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2</w:t>
      </w:r>
      <w:r>
        <w:rPr>
          <w:rFonts w:ascii="宋体" w:hAnsi="宋体"/>
          <w:b/>
          <w:bCs/>
          <w:color w:val="auto"/>
          <w:spacing w:val="-6"/>
          <w:sz w:val="21"/>
          <w:szCs w:val="21"/>
          <w:highlight w:val="none"/>
        </w:rPr>
        <w:t>.</w:t>
      </w:r>
      <w:r>
        <w:rPr>
          <w:rFonts w:hint="eastAsia" w:ascii="宋体" w:hAnsi="宋体"/>
          <w:b/>
          <w:bCs/>
          <w:color w:val="auto"/>
          <w:spacing w:val="-6"/>
          <w:sz w:val="21"/>
          <w:szCs w:val="21"/>
          <w:highlight w:val="none"/>
        </w:rPr>
        <w:t>偏离说明是指对招标文件要求存在不同之处的解释说明。偏离系指：正偏离（高于采购需求）、负偏离（低于采购需求）、无偏离（满足采购需求）；</w:t>
      </w:r>
    </w:p>
    <w:p>
      <w:pPr>
        <w:spacing w:line="360" w:lineRule="auto"/>
        <w:rPr>
          <w:rFonts w:hint="eastAsia" w:ascii="宋体" w:hAnsi="宋体"/>
          <w:b/>
          <w:color w:val="auto"/>
          <w:spacing w:val="-6"/>
          <w:sz w:val="21"/>
          <w:szCs w:val="21"/>
          <w:highlight w:val="none"/>
        </w:rPr>
      </w:pPr>
      <w:r>
        <w:rPr>
          <w:rFonts w:hint="eastAsia" w:ascii="宋体" w:hAnsi="宋体"/>
          <w:b/>
          <w:bCs/>
          <w:color w:val="auto"/>
          <w:spacing w:val="-6"/>
          <w:sz w:val="21"/>
          <w:szCs w:val="21"/>
          <w:highlight w:val="none"/>
        </w:rPr>
        <w:t>3</w:t>
      </w:r>
      <w:r>
        <w:rPr>
          <w:rFonts w:ascii="宋体" w:hAnsi="宋体"/>
          <w:b/>
          <w:bCs/>
          <w:color w:val="auto"/>
          <w:spacing w:val="-6"/>
          <w:sz w:val="21"/>
          <w:szCs w:val="21"/>
          <w:highlight w:val="none"/>
        </w:rPr>
        <w:t>.</w:t>
      </w:r>
      <w:r>
        <w:rPr>
          <w:rFonts w:hint="eastAsia" w:ascii="宋体" w:hAnsi="宋体"/>
          <w:b/>
          <w:bCs/>
          <w:color w:val="auto"/>
          <w:spacing w:val="-6"/>
          <w:sz w:val="21"/>
          <w:szCs w:val="21"/>
          <w:highlight w:val="none"/>
        </w:rPr>
        <w:t>如不填写或未如实填写</w:t>
      </w:r>
      <w:r>
        <w:rPr>
          <w:rFonts w:hint="eastAsia" w:ascii="宋体" w:hAnsi="宋体"/>
          <w:b/>
          <w:color w:val="auto"/>
          <w:spacing w:val="-6"/>
          <w:sz w:val="21"/>
          <w:szCs w:val="21"/>
          <w:highlight w:val="none"/>
        </w:rPr>
        <w:t>，自行承担投标风险。</w:t>
      </w:r>
    </w:p>
    <w:p>
      <w:pPr>
        <w:pStyle w:val="21"/>
        <w:spacing w:line="360" w:lineRule="auto"/>
        <w:ind w:firstLine="0"/>
        <w:rPr>
          <w:rFonts w:hint="eastAsia" w:hAnsi="宋体"/>
          <w:color w:val="auto"/>
          <w:spacing w:val="-6"/>
          <w:sz w:val="24"/>
          <w:highlight w:val="none"/>
        </w:rPr>
      </w:pPr>
    </w:p>
    <w:p>
      <w:pPr>
        <w:pStyle w:val="21"/>
        <w:spacing w:line="360" w:lineRule="auto"/>
        <w:ind w:firstLine="0"/>
        <w:rPr>
          <w:rFonts w:hint="eastAsia" w:hAnsi="宋体"/>
          <w:color w:val="auto"/>
          <w:spacing w:val="-6"/>
          <w:sz w:val="24"/>
          <w:highlight w:val="none"/>
        </w:rPr>
      </w:pPr>
    </w:p>
    <w:p>
      <w:pPr>
        <w:pStyle w:val="21"/>
        <w:spacing w:line="360" w:lineRule="auto"/>
        <w:ind w:firstLine="0"/>
        <w:rPr>
          <w:rFonts w:hint="eastAsia" w:hAnsi="宋体"/>
          <w:color w:val="auto"/>
          <w:spacing w:val="-6"/>
          <w:sz w:val="24"/>
          <w:highlight w:val="none"/>
        </w:rPr>
      </w:pP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投标人代表签字：</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日期：     年   月   日</w:t>
      </w:r>
    </w:p>
    <w:p>
      <w:pPr>
        <w:snapToGrid w:val="0"/>
        <w:spacing w:before="50" w:after="120" w:afterLines="50" w:line="288" w:lineRule="auto"/>
        <w:jc w:val="center"/>
        <w:outlineLvl w:val="3"/>
        <w:rPr>
          <w:rFonts w:ascii="宋体" w:hAnsi="宋体"/>
          <w:b/>
          <w:color w:val="auto"/>
          <w:spacing w:val="-6"/>
          <w:sz w:val="24"/>
          <w:highlight w:val="none"/>
        </w:rPr>
      </w:pPr>
      <w:r>
        <w:rPr>
          <w:rFonts w:hint="eastAsia" w:ascii="宋体" w:hAnsi="宋体"/>
          <w:color w:val="auto"/>
          <w:spacing w:val="-6"/>
          <w:sz w:val="24"/>
          <w:highlight w:val="none"/>
        </w:rPr>
        <w:br w:type="page"/>
      </w:r>
      <w:r>
        <w:rPr>
          <w:rFonts w:hint="eastAsia" w:ascii="宋体" w:hAnsi="宋体"/>
          <w:b/>
          <w:color w:val="auto"/>
          <w:spacing w:val="-6"/>
          <w:sz w:val="24"/>
          <w:highlight w:val="none"/>
        </w:rPr>
        <w:t>货物配置清单、原厂出厂配置表</w:t>
      </w:r>
    </w:p>
    <w:p>
      <w:pPr>
        <w:snapToGrid w:val="0"/>
        <w:spacing w:before="50" w:after="120" w:afterLines="50" w:line="288" w:lineRule="auto"/>
        <w:rPr>
          <w:rFonts w:ascii="宋体" w:hAnsi="宋体"/>
          <w:color w:val="auto"/>
          <w:spacing w:val="-6"/>
          <w:sz w:val="21"/>
          <w:szCs w:val="21"/>
          <w:highlight w:val="none"/>
        </w:rPr>
      </w:pPr>
      <w:r>
        <w:rPr>
          <w:rFonts w:hint="eastAsia" w:ascii="宋体" w:hAnsi="宋体"/>
          <w:b/>
          <w:color w:val="auto"/>
          <w:spacing w:val="-6"/>
          <w:sz w:val="21"/>
          <w:szCs w:val="21"/>
          <w:highlight w:val="none"/>
        </w:rPr>
        <w:t>货物配置清单</w:t>
      </w:r>
      <w:r>
        <w:rPr>
          <w:rFonts w:hint="eastAsia" w:ascii="宋体" w:hAnsi="宋体"/>
          <w:color w:val="auto"/>
          <w:spacing w:val="-6"/>
          <w:sz w:val="21"/>
          <w:szCs w:val="21"/>
          <w:highlight w:val="none"/>
        </w:rPr>
        <w:t>（不含报价）</w:t>
      </w:r>
    </w:p>
    <w:tbl>
      <w:tblPr>
        <w:tblStyle w:val="22"/>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1010"/>
        <w:gridCol w:w="1266"/>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货物名称</w:t>
            </w: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厂家</w:t>
            </w: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品牌</w:t>
            </w: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规格型号</w:t>
            </w: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数量</w:t>
            </w:r>
          </w:p>
        </w:tc>
        <w:tc>
          <w:tcPr>
            <w:tcW w:w="202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宋体"/>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bCs/>
                <w:color w:val="auto"/>
                <w:sz w:val="21"/>
                <w:szCs w:val="21"/>
                <w:highlight w:val="none"/>
              </w:rPr>
            </w:pPr>
          </w:p>
        </w:tc>
      </w:tr>
    </w:tbl>
    <w:p>
      <w:pPr>
        <w:spacing w:line="360" w:lineRule="auto"/>
        <w:rPr>
          <w:rFonts w:ascii="宋体" w:hAnsi="宋体"/>
          <w:color w:val="auto"/>
          <w:spacing w:val="-6"/>
          <w:sz w:val="24"/>
          <w:highlight w:val="none"/>
        </w:rPr>
      </w:pPr>
    </w:p>
    <w:p>
      <w:pPr>
        <w:spacing w:line="360" w:lineRule="auto"/>
        <w:rPr>
          <w:color w:val="auto"/>
          <w:highlight w:val="none"/>
        </w:rPr>
      </w:pPr>
    </w:p>
    <w:p>
      <w:pPr>
        <w:spacing w:line="360" w:lineRule="auto"/>
        <w:rPr>
          <w:rFonts w:hint="eastAsia" w:ascii="宋体" w:hAnsi="宋体"/>
          <w:color w:val="auto"/>
          <w:spacing w:val="-6"/>
          <w:sz w:val="24"/>
          <w:highlight w:val="none"/>
        </w:rPr>
      </w:pP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投标人代表签字：</w:t>
      </w:r>
    </w:p>
    <w:p>
      <w:pPr>
        <w:spacing w:line="360" w:lineRule="auto"/>
        <w:rPr>
          <w:rFonts w:hint="eastAsia" w:ascii="宋体" w:hAnsi="宋体"/>
          <w:color w:val="auto"/>
          <w:spacing w:val="-6"/>
          <w:sz w:val="24"/>
          <w:highlight w:val="none"/>
        </w:rPr>
      </w:pPr>
      <w:r>
        <w:rPr>
          <w:rFonts w:hint="eastAsia" w:ascii="宋体" w:hAnsi="宋体"/>
          <w:color w:val="auto"/>
          <w:spacing w:val="-6"/>
          <w:sz w:val="24"/>
          <w:highlight w:val="none"/>
        </w:rPr>
        <w:t>日期：     年   月   日</w:t>
      </w:r>
    </w:p>
    <w:p>
      <w:pPr>
        <w:pStyle w:val="36"/>
        <w:spacing w:line="360" w:lineRule="auto"/>
        <w:rPr>
          <w:rFonts w:hint="eastAsia" w:ascii="宋体" w:hAnsi="宋体"/>
          <w:color w:val="auto"/>
          <w:spacing w:val="-6"/>
          <w:highlight w:val="none"/>
        </w:rPr>
      </w:pPr>
    </w:p>
    <w:p>
      <w:pPr>
        <w:pStyle w:val="37"/>
        <w:spacing w:line="360" w:lineRule="auto"/>
        <w:ind w:left="0"/>
        <w:rPr>
          <w:rFonts w:hint="eastAsia" w:ascii="宋体" w:hAnsi="宋体"/>
          <w:color w:val="auto"/>
          <w:spacing w:val="-6"/>
          <w:sz w:val="24"/>
          <w:highlight w:val="none"/>
        </w:rPr>
      </w:pPr>
    </w:p>
    <w:p>
      <w:pPr>
        <w:spacing w:line="360" w:lineRule="auto"/>
        <w:rPr>
          <w:rFonts w:hint="eastAsia"/>
          <w:color w:val="auto"/>
          <w:highlight w:val="none"/>
        </w:rPr>
      </w:pPr>
    </w:p>
    <w:p>
      <w:pPr>
        <w:spacing w:line="360" w:lineRule="auto"/>
        <w:rPr>
          <w:rFonts w:hint="eastAsia"/>
          <w:color w:val="auto"/>
          <w:highlight w:val="none"/>
        </w:rPr>
      </w:pPr>
      <w:r>
        <w:rPr>
          <w:rFonts w:hint="eastAsia" w:ascii="宋体" w:hAnsi="宋体"/>
          <w:b/>
          <w:color w:val="auto"/>
          <w:spacing w:val="-6"/>
          <w:sz w:val="21"/>
          <w:szCs w:val="21"/>
          <w:highlight w:val="none"/>
        </w:rPr>
        <w:t>原厂出厂配置表</w:t>
      </w:r>
    </w:p>
    <w:p>
      <w:pPr>
        <w:pStyle w:val="2"/>
        <w:spacing w:line="360" w:lineRule="auto"/>
        <w:ind w:firstLine="0"/>
        <w:jc w:val="center"/>
        <w:outlineLvl w:val="3"/>
        <w:rPr>
          <w:rFonts w:hAnsi="宋体"/>
          <w:b/>
          <w:color w:val="auto"/>
          <w:spacing w:val="-6"/>
          <w:sz w:val="24"/>
          <w:szCs w:val="24"/>
          <w:highlight w:val="none"/>
        </w:rPr>
      </w:pPr>
      <w:r>
        <w:rPr>
          <w:rFonts w:hint="eastAsia" w:hAnsi="宋体"/>
          <w:b/>
          <w:color w:val="auto"/>
          <w:spacing w:val="-6"/>
          <w:sz w:val="24"/>
          <w:highlight w:val="none"/>
        </w:rPr>
        <w:br w:type="page"/>
      </w:r>
      <w:r>
        <w:rPr>
          <w:rFonts w:hint="eastAsia" w:hAnsi="宋体"/>
          <w:b/>
          <w:color w:val="auto"/>
          <w:spacing w:val="-6"/>
          <w:sz w:val="24"/>
          <w:szCs w:val="24"/>
          <w:highlight w:val="none"/>
        </w:rPr>
        <w:t>技术支持资料</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说明：</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1</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投标人提供技术支持资料以证明其对技术指标的应答；</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2</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技术支持资料应是制造商公开发布的印刷资料（官网材料、彩页、Datasheet）或由有关政府部门或检测机构合法出具的文件或报告；</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3</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不符合上述要求的资料，可被视为是无效的技术支持资料；</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4</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如上述资料之间存在不一致的，以有关政府部门或检测机构合法出具的文件或报告为准；</w:t>
      </w:r>
    </w:p>
    <w:p>
      <w:pPr>
        <w:spacing w:line="360" w:lineRule="auto"/>
        <w:rPr>
          <w:rFonts w:ascii="宋体" w:hAnsi="宋体"/>
          <w:b/>
          <w:color w:val="auto"/>
          <w:spacing w:val="-6"/>
          <w:sz w:val="21"/>
          <w:szCs w:val="21"/>
          <w:highlight w:val="none"/>
        </w:rPr>
      </w:pPr>
      <w:r>
        <w:rPr>
          <w:rFonts w:hint="eastAsia" w:ascii="宋体" w:hAnsi="宋体"/>
          <w:b/>
          <w:color w:val="auto"/>
          <w:spacing w:val="-6"/>
          <w:sz w:val="21"/>
          <w:szCs w:val="21"/>
          <w:highlight w:val="none"/>
        </w:rPr>
        <w:t>5</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若对技术指标的应答无技术支持资料证明，评标委员会可不予承认，并可认为该应答不符合招标文件要求，</w:t>
      </w:r>
      <w:r>
        <w:rPr>
          <w:rFonts w:hint="eastAsia" w:ascii="宋体" w:hAnsi="宋体"/>
          <w:b/>
          <w:bCs/>
          <w:color w:val="auto"/>
          <w:spacing w:val="-6"/>
          <w:sz w:val="21"/>
          <w:szCs w:val="21"/>
          <w:highlight w:val="none"/>
        </w:rPr>
        <w:t>将作出不利于投标人的技术评审，其后果将由投标人自行承担</w:t>
      </w:r>
      <w:r>
        <w:rPr>
          <w:rFonts w:hint="eastAsia" w:ascii="宋体" w:hAnsi="宋体"/>
          <w:b/>
          <w:color w:val="auto"/>
          <w:spacing w:val="-6"/>
          <w:sz w:val="21"/>
          <w:szCs w:val="21"/>
          <w:highlight w:val="none"/>
        </w:rPr>
        <w:t>；</w:t>
      </w:r>
    </w:p>
    <w:p>
      <w:pPr>
        <w:spacing w:line="360" w:lineRule="auto"/>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6</w:t>
      </w:r>
      <w:r>
        <w:rPr>
          <w:rFonts w:ascii="宋体" w:hAnsi="宋体"/>
          <w:b/>
          <w:color w:val="auto"/>
          <w:spacing w:val="-6"/>
          <w:sz w:val="21"/>
          <w:szCs w:val="21"/>
          <w:highlight w:val="none"/>
        </w:rPr>
        <w:t>.</w:t>
      </w:r>
      <w:r>
        <w:rPr>
          <w:rFonts w:hint="eastAsia" w:ascii="宋体" w:hAnsi="宋体"/>
          <w:b/>
          <w:color w:val="auto"/>
          <w:spacing w:val="-6"/>
          <w:sz w:val="21"/>
          <w:szCs w:val="21"/>
          <w:highlight w:val="none"/>
        </w:rPr>
        <w:t>投标人可提供同等于或优于招标文件要求的货物和服务。</w:t>
      </w:r>
    </w:p>
    <w:p>
      <w:pPr>
        <w:spacing w:line="360" w:lineRule="auto"/>
        <w:jc w:val="center"/>
        <w:outlineLvl w:val="3"/>
        <w:rPr>
          <w:rFonts w:hint="eastAsia" w:ascii="宋体" w:hAnsi="宋体"/>
          <w:b/>
          <w:color w:val="auto"/>
          <w:spacing w:val="-6"/>
          <w:sz w:val="24"/>
          <w:highlight w:val="none"/>
        </w:rPr>
      </w:pPr>
      <w:r>
        <w:rPr>
          <w:rFonts w:hint="eastAsia" w:ascii="宋体" w:hAnsi="宋体"/>
          <w:b/>
          <w:color w:val="auto"/>
          <w:spacing w:val="-6"/>
          <w:sz w:val="21"/>
          <w:szCs w:val="21"/>
          <w:highlight w:val="none"/>
        </w:rPr>
        <w:br w:type="page"/>
      </w:r>
      <w:r>
        <w:rPr>
          <w:rFonts w:hint="eastAsia" w:ascii="宋体" w:hAnsi="宋体"/>
          <w:b/>
          <w:color w:val="auto"/>
          <w:spacing w:val="-6"/>
          <w:sz w:val="24"/>
          <w:highlight w:val="none"/>
        </w:rPr>
        <w:t>技术方案</w:t>
      </w:r>
    </w:p>
    <w:p>
      <w:pPr>
        <w:spacing w:line="360" w:lineRule="auto"/>
        <w:rPr>
          <w:color w:val="auto"/>
          <w:highlight w:val="none"/>
        </w:rPr>
      </w:pPr>
      <w:r>
        <w:rPr>
          <w:rFonts w:hint="eastAsia" w:ascii="宋体" w:hAnsi="宋体"/>
          <w:b/>
          <w:color w:val="auto"/>
          <w:spacing w:val="-6"/>
          <w:sz w:val="21"/>
          <w:szCs w:val="21"/>
          <w:highlight w:val="none"/>
        </w:rPr>
        <w:t>说明：根据评分细则提供和编写格式自拟，包括但不仅限于：</w:t>
      </w:r>
    </w:p>
    <w:p>
      <w:pPr>
        <w:spacing w:line="360" w:lineRule="auto"/>
        <w:outlineLvl w:val="3"/>
        <w:rPr>
          <w:rFonts w:hint="eastAsia" w:ascii="宋体" w:hAnsi="宋体"/>
          <w:b/>
          <w:color w:val="auto"/>
          <w:spacing w:val="-6"/>
          <w:sz w:val="24"/>
          <w:highlight w:val="none"/>
        </w:rPr>
      </w:pPr>
      <w:r>
        <w:rPr>
          <w:rFonts w:hint="eastAsia" w:ascii="宋体" w:hAnsi="宋体"/>
          <w:b/>
          <w:color w:val="auto"/>
          <w:spacing w:val="-6"/>
          <w:sz w:val="24"/>
          <w:highlight w:val="none"/>
        </w:rPr>
        <w:br w:type="page"/>
      </w:r>
      <w:r>
        <w:rPr>
          <w:rFonts w:hint="eastAsia" w:ascii="宋体" w:hAnsi="宋体"/>
          <w:b/>
          <w:color w:val="auto"/>
          <w:spacing w:val="-6"/>
          <w:sz w:val="24"/>
          <w:highlight w:val="none"/>
        </w:rPr>
        <w:t>合同履约</w:t>
      </w:r>
    </w:p>
    <w:p>
      <w:pPr>
        <w:spacing w:line="360" w:lineRule="auto"/>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说明：根据评分细则提供</w:t>
      </w:r>
    </w:p>
    <w:p>
      <w:pPr>
        <w:spacing w:line="360" w:lineRule="auto"/>
        <w:rPr>
          <w:rFonts w:hint="eastAsia" w:ascii="宋体" w:hAnsi="宋体"/>
          <w:b/>
          <w:color w:val="auto"/>
          <w:spacing w:val="-6"/>
          <w:sz w:val="24"/>
          <w:highlight w:val="none"/>
        </w:rPr>
      </w:pPr>
    </w:p>
    <w:p>
      <w:pPr>
        <w:spacing w:line="360" w:lineRule="auto"/>
        <w:rPr>
          <w:rFonts w:hint="eastAsia" w:ascii="宋体" w:hAnsi="宋体"/>
          <w:b/>
          <w:color w:val="auto"/>
          <w:spacing w:val="-6"/>
          <w:sz w:val="24"/>
          <w:highlight w:val="none"/>
        </w:rPr>
      </w:pPr>
    </w:p>
    <w:p>
      <w:pPr>
        <w:spacing w:line="360" w:lineRule="auto"/>
        <w:rPr>
          <w:rFonts w:hint="eastAsia" w:ascii="宋体" w:hAnsi="宋体"/>
          <w:b/>
          <w:color w:val="auto"/>
          <w:spacing w:val="-6"/>
          <w:sz w:val="24"/>
          <w:highlight w:val="none"/>
        </w:rPr>
      </w:pPr>
    </w:p>
    <w:p>
      <w:pPr>
        <w:spacing w:line="360" w:lineRule="auto"/>
        <w:outlineLvl w:val="3"/>
        <w:rPr>
          <w:rFonts w:hint="eastAsia" w:ascii="宋体" w:hAnsi="宋体"/>
          <w:b/>
          <w:color w:val="auto"/>
          <w:spacing w:val="-6"/>
          <w:sz w:val="24"/>
          <w:highlight w:val="none"/>
        </w:rPr>
      </w:pPr>
      <w:r>
        <w:rPr>
          <w:rFonts w:hint="eastAsia" w:ascii="宋体" w:hAnsi="宋体"/>
          <w:b/>
          <w:color w:val="auto"/>
          <w:spacing w:val="-6"/>
          <w:sz w:val="24"/>
          <w:highlight w:val="none"/>
        </w:rPr>
        <w:t>售后服务方案</w:t>
      </w:r>
    </w:p>
    <w:p>
      <w:pPr>
        <w:spacing w:line="360" w:lineRule="auto"/>
        <w:rPr>
          <w:rFonts w:ascii="宋体" w:hAnsi="宋体"/>
          <w:b/>
          <w:color w:val="auto"/>
          <w:spacing w:val="-6"/>
          <w:sz w:val="24"/>
          <w:highlight w:val="none"/>
        </w:rPr>
      </w:pPr>
      <w:r>
        <w:rPr>
          <w:rFonts w:hint="eastAsia" w:ascii="宋体" w:hAnsi="宋体"/>
          <w:b/>
          <w:color w:val="auto"/>
          <w:spacing w:val="-6"/>
          <w:sz w:val="21"/>
          <w:szCs w:val="21"/>
          <w:highlight w:val="none"/>
        </w:rPr>
        <w:t>说明：根据评分细则提供和编写格式自拟</w:t>
      </w:r>
    </w:p>
    <w:p>
      <w:pPr>
        <w:spacing w:line="360" w:lineRule="auto"/>
        <w:rPr>
          <w:rFonts w:hint="eastAsia" w:ascii="宋体" w:hAnsi="宋体"/>
          <w:b/>
          <w:color w:val="auto"/>
          <w:spacing w:val="-6"/>
          <w:sz w:val="24"/>
          <w:highlight w:val="none"/>
        </w:rPr>
      </w:pPr>
    </w:p>
    <w:p>
      <w:pPr>
        <w:spacing w:line="360" w:lineRule="auto"/>
        <w:rPr>
          <w:rFonts w:hint="eastAsia" w:ascii="宋体" w:hAnsi="宋体"/>
          <w:b/>
          <w:color w:val="auto"/>
          <w:spacing w:val="-6"/>
          <w:sz w:val="24"/>
          <w:highlight w:val="none"/>
        </w:rPr>
      </w:pPr>
    </w:p>
    <w:p>
      <w:pPr>
        <w:spacing w:line="360" w:lineRule="auto"/>
        <w:rPr>
          <w:rFonts w:hint="eastAsia" w:ascii="宋体" w:hAnsi="宋体"/>
          <w:b/>
          <w:color w:val="auto"/>
          <w:spacing w:val="-6"/>
          <w:sz w:val="24"/>
          <w:highlight w:val="none"/>
        </w:rPr>
      </w:pPr>
    </w:p>
    <w:p>
      <w:pPr>
        <w:spacing w:line="360" w:lineRule="auto"/>
        <w:outlineLvl w:val="3"/>
        <w:rPr>
          <w:rFonts w:ascii="宋体" w:hAnsi="宋体"/>
          <w:b/>
          <w:color w:val="auto"/>
          <w:spacing w:val="-6"/>
          <w:sz w:val="24"/>
          <w:highlight w:val="none"/>
        </w:rPr>
      </w:pPr>
      <w:r>
        <w:rPr>
          <w:rFonts w:hint="eastAsia" w:ascii="宋体" w:hAnsi="宋体"/>
          <w:b/>
          <w:color w:val="auto"/>
          <w:spacing w:val="-6"/>
          <w:sz w:val="24"/>
          <w:highlight w:val="none"/>
        </w:rPr>
        <w:t>技术服务、技术培训的内容和措施</w:t>
      </w:r>
    </w:p>
    <w:p>
      <w:pPr>
        <w:spacing w:line="360" w:lineRule="auto"/>
        <w:rPr>
          <w:rFonts w:hint="eastAsia" w:ascii="宋体" w:hAnsi="宋体"/>
          <w:b/>
          <w:color w:val="auto"/>
          <w:spacing w:val="-6"/>
          <w:sz w:val="21"/>
          <w:szCs w:val="21"/>
          <w:highlight w:val="none"/>
        </w:rPr>
      </w:pPr>
      <w:r>
        <w:rPr>
          <w:rFonts w:hint="eastAsia" w:ascii="宋体" w:hAnsi="宋体"/>
          <w:b/>
          <w:color w:val="auto"/>
          <w:spacing w:val="-6"/>
          <w:sz w:val="21"/>
          <w:szCs w:val="21"/>
          <w:highlight w:val="none"/>
        </w:rPr>
        <w:t>说明：根据</w:t>
      </w:r>
      <w:r>
        <w:rPr>
          <w:rFonts w:ascii="宋体" w:hAnsi="宋体"/>
          <w:b/>
          <w:color w:val="auto"/>
          <w:spacing w:val="-6"/>
          <w:sz w:val="21"/>
          <w:szCs w:val="21"/>
          <w:highlight w:val="none"/>
        </w:rPr>
        <w:t>评分细则提供和编写格式自拟</w:t>
      </w:r>
    </w:p>
    <w:p>
      <w:pPr>
        <w:spacing w:line="360" w:lineRule="auto"/>
        <w:jc w:val="center"/>
        <w:outlineLvl w:val="3"/>
        <w:rPr>
          <w:rFonts w:ascii="宋体" w:hAnsi="宋体"/>
          <w:b/>
          <w:bCs/>
          <w:color w:val="auto"/>
          <w:spacing w:val="-6"/>
          <w:sz w:val="24"/>
          <w:highlight w:val="none"/>
        </w:rPr>
      </w:pPr>
      <w:r>
        <w:rPr>
          <w:rFonts w:hint="eastAsia" w:ascii="宋体" w:hAnsi="宋体"/>
          <w:b/>
          <w:color w:val="auto"/>
          <w:spacing w:val="-6"/>
          <w:sz w:val="21"/>
          <w:szCs w:val="21"/>
          <w:highlight w:val="none"/>
        </w:rPr>
        <w:br w:type="page"/>
      </w:r>
      <w:r>
        <w:rPr>
          <w:rFonts w:hint="eastAsia" w:ascii="宋体" w:hAnsi="宋体"/>
          <w:b/>
          <w:bCs/>
          <w:color w:val="auto"/>
          <w:spacing w:val="-6"/>
          <w:sz w:val="24"/>
          <w:highlight w:val="none"/>
        </w:rPr>
        <w:t>配件、专用耗材和售后服务优惠表</w:t>
      </w:r>
    </w:p>
    <w:p>
      <w:pPr>
        <w:spacing w:line="360" w:lineRule="auto"/>
        <w:jc w:val="center"/>
        <w:rPr>
          <w:rFonts w:ascii="宋体" w:hAnsi="宋体"/>
          <w:b/>
          <w:bCs/>
          <w:color w:val="auto"/>
          <w:spacing w:val="-6"/>
          <w:sz w:val="21"/>
          <w:szCs w:val="21"/>
          <w:highlight w:val="none"/>
        </w:rPr>
      </w:pPr>
      <w:r>
        <w:rPr>
          <w:rFonts w:hint="eastAsia" w:ascii="宋体" w:hAnsi="宋体"/>
          <w:b/>
          <w:bCs/>
          <w:color w:val="auto"/>
          <w:spacing w:val="-6"/>
          <w:sz w:val="21"/>
          <w:szCs w:val="21"/>
          <w:highlight w:val="none"/>
        </w:rPr>
        <w:t>（价格保持三年以上）</w:t>
      </w:r>
    </w:p>
    <w:tbl>
      <w:tblPr>
        <w:tblStyle w:val="22"/>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3862"/>
        <w:gridCol w:w="1686"/>
        <w:gridCol w:w="1483"/>
        <w:gridCol w:w="188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序号</w:t>
            </w:r>
          </w:p>
        </w:tc>
        <w:tc>
          <w:tcPr>
            <w:tcW w:w="386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ascii="宋体" w:hAnsi="宋体" w:cs="宋体"/>
                <w:b/>
                <w:bCs/>
                <w:color w:val="auto"/>
                <w:sz w:val="21"/>
                <w:szCs w:val="21"/>
                <w:highlight w:val="none"/>
              </w:rPr>
            </w:pPr>
            <w:r>
              <w:rPr>
                <w:rFonts w:hint="eastAsia" w:ascii="宋体" w:hAnsi="宋体"/>
                <w:b/>
                <w:bCs/>
                <w:color w:val="auto"/>
                <w:spacing w:val="-6"/>
                <w:sz w:val="21"/>
                <w:szCs w:val="21"/>
                <w:highlight w:val="none"/>
              </w:rPr>
              <w:t>配件、专用耗材和售后服务内容</w:t>
            </w:r>
          </w:p>
        </w:tc>
        <w:tc>
          <w:tcPr>
            <w:tcW w:w="168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适用货物</w:t>
            </w:r>
          </w:p>
        </w:tc>
        <w:tc>
          <w:tcPr>
            <w:tcW w:w="148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单价（元）</w:t>
            </w:r>
          </w:p>
        </w:tc>
        <w:tc>
          <w:tcPr>
            <w:tcW w:w="188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比报价优惠率（%）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ascii="宋体" w:hAnsi="宋体" w:cs="宋体"/>
                <w:b/>
                <w:bCs/>
                <w:color w:val="auto"/>
                <w:sz w:val="21"/>
                <w:szCs w:val="21"/>
                <w:highlight w:val="none"/>
              </w:rPr>
            </w:pPr>
          </w:p>
        </w:tc>
        <w:tc>
          <w:tcPr>
            <w:tcW w:w="386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ascii="宋体" w:hAnsi="宋体" w:cs="宋体"/>
                <w:b/>
                <w:bCs/>
                <w:color w:val="auto"/>
                <w:sz w:val="21"/>
                <w:szCs w:val="21"/>
                <w:highlight w:val="none"/>
              </w:rPr>
            </w:pPr>
          </w:p>
        </w:tc>
        <w:tc>
          <w:tcPr>
            <w:tcW w:w="168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p>
        </w:tc>
        <w:tc>
          <w:tcPr>
            <w:tcW w:w="148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p>
        </w:tc>
        <w:tc>
          <w:tcPr>
            <w:tcW w:w="188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ascii="宋体" w:hAnsi="宋体" w:cs="宋体"/>
                <w:b/>
                <w:bCs/>
                <w:color w:val="auto"/>
                <w:sz w:val="21"/>
                <w:szCs w:val="21"/>
                <w:highlight w:val="none"/>
              </w:rPr>
            </w:pPr>
          </w:p>
        </w:tc>
        <w:tc>
          <w:tcPr>
            <w:tcW w:w="386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ascii="宋体" w:hAnsi="宋体" w:cs="宋体"/>
                <w:b/>
                <w:bCs/>
                <w:color w:val="auto"/>
                <w:sz w:val="21"/>
                <w:szCs w:val="21"/>
                <w:highlight w:val="none"/>
              </w:rPr>
            </w:pPr>
          </w:p>
        </w:tc>
        <w:tc>
          <w:tcPr>
            <w:tcW w:w="168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p>
        </w:tc>
        <w:tc>
          <w:tcPr>
            <w:tcW w:w="148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p>
        </w:tc>
        <w:tc>
          <w:tcPr>
            <w:tcW w:w="188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ascii="宋体" w:hAnsi="宋体" w:cs="宋体"/>
                <w:b/>
                <w:bCs/>
                <w:color w:val="auto"/>
                <w:sz w:val="21"/>
                <w:szCs w:val="21"/>
                <w:highlight w:val="none"/>
              </w:rPr>
            </w:pPr>
          </w:p>
        </w:tc>
        <w:tc>
          <w:tcPr>
            <w:tcW w:w="386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ascii="宋体" w:hAnsi="宋体" w:cs="宋体"/>
                <w:b/>
                <w:bCs/>
                <w:color w:val="auto"/>
                <w:sz w:val="21"/>
                <w:szCs w:val="21"/>
                <w:highlight w:val="none"/>
              </w:rPr>
            </w:pPr>
          </w:p>
        </w:tc>
        <w:tc>
          <w:tcPr>
            <w:tcW w:w="168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p>
        </w:tc>
        <w:tc>
          <w:tcPr>
            <w:tcW w:w="148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p>
        </w:tc>
        <w:tc>
          <w:tcPr>
            <w:tcW w:w="188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ascii="宋体" w:hAnsi="宋体" w:cs="宋体"/>
                <w:b/>
                <w:bCs/>
                <w:color w:val="auto"/>
                <w:sz w:val="21"/>
                <w:szCs w:val="21"/>
                <w:highlight w:val="none"/>
              </w:rPr>
            </w:pPr>
          </w:p>
        </w:tc>
        <w:tc>
          <w:tcPr>
            <w:tcW w:w="386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ascii="宋体" w:hAnsi="宋体" w:cs="宋体"/>
                <w:b/>
                <w:bCs/>
                <w:color w:val="auto"/>
                <w:sz w:val="21"/>
                <w:szCs w:val="21"/>
                <w:highlight w:val="none"/>
              </w:rPr>
            </w:pPr>
          </w:p>
        </w:tc>
        <w:tc>
          <w:tcPr>
            <w:tcW w:w="168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p>
        </w:tc>
        <w:tc>
          <w:tcPr>
            <w:tcW w:w="148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p>
        </w:tc>
        <w:tc>
          <w:tcPr>
            <w:tcW w:w="188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ascii="宋体" w:hAnsi="宋体" w:cs="宋体"/>
                <w:b/>
                <w:bCs/>
                <w:color w:val="auto"/>
                <w:sz w:val="21"/>
                <w:szCs w:val="21"/>
                <w:highlight w:val="none"/>
              </w:rPr>
            </w:pPr>
          </w:p>
        </w:tc>
        <w:tc>
          <w:tcPr>
            <w:tcW w:w="386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ascii="宋体" w:hAnsi="宋体" w:cs="宋体"/>
                <w:b/>
                <w:bCs/>
                <w:color w:val="auto"/>
                <w:sz w:val="21"/>
                <w:szCs w:val="21"/>
                <w:highlight w:val="none"/>
              </w:rPr>
            </w:pPr>
          </w:p>
        </w:tc>
        <w:tc>
          <w:tcPr>
            <w:tcW w:w="168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p>
        </w:tc>
        <w:tc>
          <w:tcPr>
            <w:tcW w:w="148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p>
        </w:tc>
        <w:tc>
          <w:tcPr>
            <w:tcW w:w="188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ascii="宋体" w:hAnsi="宋体" w:cs="宋体"/>
                <w:b/>
                <w:bCs/>
                <w:color w:val="auto"/>
                <w:sz w:val="21"/>
                <w:szCs w:val="21"/>
                <w:highlight w:val="none"/>
              </w:rPr>
            </w:pPr>
          </w:p>
        </w:tc>
        <w:tc>
          <w:tcPr>
            <w:tcW w:w="386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ascii="宋体" w:hAnsi="宋体" w:cs="宋体"/>
                <w:b/>
                <w:bCs/>
                <w:color w:val="auto"/>
                <w:sz w:val="21"/>
                <w:szCs w:val="21"/>
                <w:highlight w:val="none"/>
              </w:rPr>
            </w:pPr>
          </w:p>
        </w:tc>
        <w:tc>
          <w:tcPr>
            <w:tcW w:w="168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p>
        </w:tc>
        <w:tc>
          <w:tcPr>
            <w:tcW w:w="148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p>
        </w:tc>
        <w:tc>
          <w:tcPr>
            <w:tcW w:w="188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ascii="宋体" w:hAnsi="宋体" w:cs="宋体"/>
                <w:b/>
                <w:bCs/>
                <w:color w:val="auto"/>
                <w:sz w:val="21"/>
                <w:szCs w:val="21"/>
                <w:highlight w:val="none"/>
              </w:rPr>
            </w:pPr>
          </w:p>
        </w:tc>
        <w:tc>
          <w:tcPr>
            <w:tcW w:w="386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ascii="宋体" w:hAnsi="宋体" w:cs="宋体"/>
                <w:b/>
                <w:bCs/>
                <w:color w:val="auto"/>
                <w:sz w:val="21"/>
                <w:szCs w:val="21"/>
                <w:highlight w:val="none"/>
              </w:rPr>
            </w:pPr>
          </w:p>
        </w:tc>
        <w:tc>
          <w:tcPr>
            <w:tcW w:w="168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p>
        </w:tc>
        <w:tc>
          <w:tcPr>
            <w:tcW w:w="148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p>
        </w:tc>
        <w:tc>
          <w:tcPr>
            <w:tcW w:w="188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ascii="宋体" w:hAnsi="宋体" w:cs="宋体"/>
                <w:b/>
                <w:bCs/>
                <w:color w:val="auto"/>
                <w:sz w:val="21"/>
                <w:szCs w:val="21"/>
                <w:highlight w:val="none"/>
              </w:rPr>
            </w:pPr>
          </w:p>
        </w:tc>
        <w:tc>
          <w:tcPr>
            <w:tcW w:w="386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ascii="宋体" w:hAnsi="宋体" w:cs="宋体"/>
                <w:b/>
                <w:bCs/>
                <w:color w:val="auto"/>
                <w:sz w:val="21"/>
                <w:szCs w:val="21"/>
                <w:highlight w:val="none"/>
              </w:rPr>
            </w:pPr>
          </w:p>
        </w:tc>
        <w:tc>
          <w:tcPr>
            <w:tcW w:w="168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p>
        </w:tc>
        <w:tc>
          <w:tcPr>
            <w:tcW w:w="148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p>
        </w:tc>
        <w:tc>
          <w:tcPr>
            <w:tcW w:w="188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ascii="宋体" w:hAnsi="宋体" w:cs="宋体"/>
                <w:b/>
                <w:bCs/>
                <w:color w:val="auto"/>
                <w:sz w:val="21"/>
                <w:szCs w:val="21"/>
                <w:highlight w:val="none"/>
              </w:rPr>
            </w:pPr>
          </w:p>
        </w:tc>
        <w:tc>
          <w:tcPr>
            <w:tcW w:w="386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ascii="宋体" w:hAnsi="宋体" w:cs="宋体"/>
                <w:b/>
                <w:bCs/>
                <w:color w:val="auto"/>
                <w:sz w:val="21"/>
                <w:szCs w:val="21"/>
                <w:highlight w:val="none"/>
              </w:rPr>
            </w:pPr>
          </w:p>
        </w:tc>
        <w:tc>
          <w:tcPr>
            <w:tcW w:w="168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p>
        </w:tc>
        <w:tc>
          <w:tcPr>
            <w:tcW w:w="148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p>
        </w:tc>
        <w:tc>
          <w:tcPr>
            <w:tcW w:w="188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ascii="宋体" w:hAnsi="宋体" w:cs="宋体"/>
                <w:b/>
                <w:bCs/>
                <w:color w:val="auto"/>
                <w:sz w:val="21"/>
                <w:szCs w:val="21"/>
                <w:highlight w:val="none"/>
              </w:rPr>
            </w:pPr>
          </w:p>
        </w:tc>
        <w:tc>
          <w:tcPr>
            <w:tcW w:w="386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ascii="宋体" w:hAnsi="宋体" w:cs="宋体"/>
                <w:b/>
                <w:bCs/>
                <w:color w:val="auto"/>
                <w:sz w:val="21"/>
                <w:szCs w:val="21"/>
                <w:highlight w:val="none"/>
              </w:rPr>
            </w:pPr>
          </w:p>
        </w:tc>
        <w:tc>
          <w:tcPr>
            <w:tcW w:w="168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p>
        </w:tc>
        <w:tc>
          <w:tcPr>
            <w:tcW w:w="148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p>
        </w:tc>
        <w:tc>
          <w:tcPr>
            <w:tcW w:w="188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宋体"/>
                <w:b/>
                <w:bCs/>
                <w:color w:val="auto"/>
                <w:sz w:val="21"/>
                <w:szCs w:val="21"/>
                <w:highlight w:val="none"/>
              </w:rPr>
            </w:pPr>
          </w:p>
        </w:tc>
      </w:tr>
    </w:tbl>
    <w:p>
      <w:pPr>
        <w:spacing w:line="360" w:lineRule="auto"/>
        <w:rPr>
          <w:rFonts w:hint="eastAsia"/>
          <w:color w:val="auto"/>
          <w:highlight w:val="none"/>
        </w:rPr>
      </w:pPr>
    </w:p>
    <w:p>
      <w:pPr>
        <w:spacing w:line="360" w:lineRule="auto"/>
        <w:rPr>
          <w:rFonts w:hint="eastAsia"/>
          <w:color w:val="auto"/>
          <w:highlight w:val="none"/>
        </w:rPr>
      </w:pPr>
    </w:p>
    <w:p>
      <w:pPr>
        <w:spacing w:line="360" w:lineRule="auto"/>
        <w:rPr>
          <w:rFonts w:hint="eastAsia"/>
          <w:color w:val="auto"/>
          <w:highlight w:val="none"/>
        </w:rPr>
      </w:pP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投标人名称（盖章）：</w:t>
      </w:r>
    </w:p>
    <w:p>
      <w:pPr>
        <w:spacing w:line="360" w:lineRule="auto"/>
        <w:rPr>
          <w:rFonts w:ascii="宋体" w:hAnsi="宋体"/>
          <w:color w:val="auto"/>
          <w:spacing w:val="-6"/>
          <w:sz w:val="24"/>
          <w:highlight w:val="none"/>
        </w:rPr>
      </w:pPr>
      <w:r>
        <w:rPr>
          <w:rFonts w:hint="eastAsia" w:ascii="宋体" w:hAnsi="宋体"/>
          <w:color w:val="auto"/>
          <w:spacing w:val="-6"/>
          <w:sz w:val="24"/>
          <w:highlight w:val="none"/>
        </w:rPr>
        <w:t>投标人代表签字：</w:t>
      </w:r>
    </w:p>
    <w:p>
      <w:pPr>
        <w:spacing w:line="360" w:lineRule="auto"/>
        <w:rPr>
          <w:rFonts w:hint="eastAsia" w:ascii="宋体" w:hAnsi="宋体" w:cs="宋体"/>
          <w:color w:val="auto"/>
          <w:sz w:val="21"/>
          <w:szCs w:val="21"/>
          <w:highlight w:val="none"/>
        </w:rPr>
      </w:pPr>
      <w:r>
        <w:rPr>
          <w:rFonts w:hint="eastAsia" w:ascii="宋体" w:hAnsi="宋体"/>
          <w:color w:val="auto"/>
          <w:spacing w:val="-6"/>
          <w:sz w:val="24"/>
          <w:highlight w:val="none"/>
        </w:rPr>
        <w:t>日期：     年   月   日</w:t>
      </w:r>
    </w:p>
    <w:sectPr>
      <w:footerReference r:id="rId4" w:type="default"/>
      <w:pgSz w:w="11906" w:h="16838"/>
      <w:pgMar w:top="1440" w:right="1247" w:bottom="1440" w:left="1247" w:header="283" w:footer="850" w:gutter="0"/>
      <w:pgBorders>
        <w:top w:val="none" w:sz="0" w:space="0"/>
        <w:left w:val="none" w:sz="0" w:space="0"/>
        <w:bottom w:val="none" w:sz="0" w:space="0"/>
        <w:right w:val="none" w:sz="0" w:space="0"/>
      </w:pgBorders>
      <w:pgNumType w:fmt="decimal" w:start="2"/>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Segoe Print"/>
    <w:panose1 w:val="00000000000000000000"/>
    <w:charset w:val="00"/>
    <w:family w:val="auto"/>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仿宋_GB2312">
    <w:panose1 w:val="02010609030101010101"/>
    <w:charset w:val="86"/>
    <w:family w:val="modern"/>
    <w:pitch w:val="default"/>
    <w:sig w:usb0="00000001" w:usb1="080E0000" w:usb2="00000000" w:usb3="00000000" w:csb0="00040000" w:csb1="00000000"/>
  </w:font>
  <w:font w:name="Helvetica Neue Light">
    <w:altName w:val="Courier New"/>
    <w:panose1 w:val="02000403000000020004"/>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Segoe Print">
    <w:panose1 w:val="02000600000000000000"/>
    <w:charset w:val="00"/>
    <w:family w:val="auto"/>
    <w:pitch w:val="default"/>
    <w:sig w:usb0="0000028F" w:usb1="00000000" w:usb2="00000000" w:usb3="00000000" w:csb0="2000009F" w:csb1="4701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15"/>
                            <w:rPr>
                              <w:rFonts w:hint="eastAsia" w:eastAsia="宋体"/>
                              <w:lang w:eastAsia="zh-CN"/>
                            </w:rPr>
                          </w:pPr>
                          <w:r>
                            <w:rPr>
                              <w:rFonts w:hint="eastAsia"/>
                              <w:lang w:eastAsia="zh-CN"/>
                            </w:rPr>
                            <w:t xml:space="preserve">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w:t>
                          </w:r>
                          <w:r>
                            <w:rPr>
                              <w:rFonts w:hint="eastAsia"/>
                              <w:lang w:val="en-US" w:eastAsia="zh-CN"/>
                            </w:rPr>
                            <w:t>/</w:t>
                          </w:r>
                          <w:r>
                            <w:rPr>
                              <w:rFonts w:hint="eastAsia"/>
                              <w:lang w:eastAsia="zh-CN"/>
                            </w:rPr>
                            <w:t xml:space="preserve">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56</w:t>
                          </w:r>
                          <w:r>
                            <w:rPr>
                              <w:rFonts w:hint="eastAsia"/>
                              <w:lang w:eastAsia="zh-CN"/>
                            </w:rPr>
                            <w:fldChar w:fldCharType="end"/>
                          </w:r>
                          <w:r>
                            <w:rPr>
                              <w:rFonts w:hint="eastAsia"/>
                              <w:lang w:eastAsia="zh-CN"/>
                            </w:rPr>
                            <w:t xml:space="preserve"> </w:t>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BoaYJL0wAAAAUBAAAPAAAAAAAAAAEAIAAAACIAAABkcnMvZG93bnJldi54bWxQSwECFAAUAAAA&#10;CACHTuJAMi/pj7oBAABYAwAADgAAAAAAAAABACAAAAAiAQAAZHJzL2Uyb0RvYy54bWxQSwUGAAAA&#10;AAYABgBZAQAATgUAAAAA&#10;">
              <v:fill on="f" focussize="0,0"/>
              <v:stroke on="f" weight="1.25pt"/>
              <v:imagedata o:title=""/>
              <o:lock v:ext="edit" aspectratio="f"/>
              <v:textbox inset="0mm,0mm,0mm,0mm" style="mso-fit-shape-to-text:t;">
                <w:txbxContent>
                  <w:p>
                    <w:pPr>
                      <w:pStyle w:val="15"/>
                      <w:rPr>
                        <w:rFonts w:hint="eastAsia" w:eastAsia="宋体"/>
                        <w:lang w:eastAsia="zh-CN"/>
                      </w:rPr>
                    </w:pPr>
                    <w:r>
                      <w:rPr>
                        <w:rFonts w:hint="eastAsia"/>
                        <w:lang w:eastAsia="zh-CN"/>
                      </w:rPr>
                      <w:t xml:space="preserve">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w:t>
                    </w:r>
                    <w:r>
                      <w:rPr>
                        <w:rFonts w:hint="eastAsia"/>
                        <w:lang w:val="en-US" w:eastAsia="zh-CN"/>
                      </w:rPr>
                      <w:t>/</w:t>
                    </w:r>
                    <w:r>
                      <w:rPr>
                        <w:rFonts w:hint="eastAsia"/>
                        <w:lang w:eastAsia="zh-CN"/>
                      </w:rPr>
                      <w:t xml:space="preserve">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56</w:t>
                    </w:r>
                    <w:r>
                      <w:rPr>
                        <w:rFonts w:hint="eastAsia"/>
                        <w:lang w:eastAsia="zh-CN"/>
                      </w:rPr>
                      <w:fldChar w:fldCharType="end"/>
                    </w:r>
                    <w:r>
                      <w:rPr>
                        <w:rFonts w:hint="eastAsia"/>
                        <w:lang w:eastAsia="zh-CN"/>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drawing>
        <wp:anchor distT="0" distB="0" distL="114300" distR="114300" simplePos="0" relativeHeight="251658240" behindDoc="0" locked="0" layoutInCell="1" allowOverlap="1">
          <wp:simplePos x="0" y="0"/>
          <wp:positionH relativeFrom="column">
            <wp:posOffset>45720</wp:posOffset>
          </wp:positionH>
          <wp:positionV relativeFrom="paragraph">
            <wp:posOffset>42545</wp:posOffset>
          </wp:positionV>
          <wp:extent cx="5872480" cy="633730"/>
          <wp:effectExtent l="0" t="0" r="7620" b="1270"/>
          <wp:wrapSquare wrapText="bothSides"/>
          <wp:docPr id="1" name="图片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51"/>
                  <pic:cNvPicPr>
                    <a:picLocks noChangeAspect="1"/>
                  </pic:cNvPicPr>
                </pic:nvPicPr>
                <pic:blipFill>
                  <a:blip r:embed="rId1"/>
                  <a:stretch>
                    <a:fillRect/>
                  </a:stretch>
                </pic:blipFill>
                <pic:spPr>
                  <a:xfrm>
                    <a:off x="0" y="0"/>
                    <a:ext cx="5872480" cy="63373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tentative="0">
      <w:start w:val="1"/>
      <w:numFmt w:val="decimal"/>
      <w:pStyle w:val="6"/>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18127411"/>
    <w:multiLevelType w:val="singleLevel"/>
    <w:tmpl w:val="18127411"/>
    <w:lvl w:ilvl="0" w:tentative="0">
      <w:start w:val="1"/>
      <w:numFmt w:val="decimal"/>
      <w:suff w:val="nothing"/>
      <w:lvlText w:val="%1）"/>
      <w:lvlJc w:val="left"/>
    </w:lvl>
  </w:abstractNum>
  <w:abstractNum w:abstractNumId="2">
    <w:nsid w:val="2CDC45D6"/>
    <w:multiLevelType w:val="multilevel"/>
    <w:tmpl w:val="2CDC45D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42B7AC5E"/>
    <w:multiLevelType w:val="multilevel"/>
    <w:tmpl w:val="42B7AC5E"/>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4B1D6676"/>
    <w:multiLevelType w:val="multilevel"/>
    <w:tmpl w:val="4B1D667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64F49EF1"/>
    <w:multiLevelType w:val="singleLevel"/>
    <w:tmpl w:val="64F49EF1"/>
    <w:lvl w:ilvl="0" w:tentative="0">
      <w:start w:val="2"/>
      <w:numFmt w:val="chineseCounting"/>
      <w:suff w:val="nothing"/>
      <w:lvlText w:val="%1、"/>
      <w:lvlJc w:val="left"/>
      <w:rPr>
        <w:rFonts w:hint="eastAsia"/>
      </w:rPr>
    </w:lvl>
  </w:abstractNum>
  <w:num w:numId="1">
    <w:abstractNumId w:val="0"/>
  </w:num>
  <w:num w:numId="2">
    <w:abstractNumId w:val="1"/>
  </w:num>
  <w:num w:numId="3">
    <w:abstractNumId w:val="5"/>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40"/>
  <w:drawingGridVerticalSpacing w:val="156"/>
  <w:displayHorizontalDrawingGridEvery w:val="0"/>
  <w:displayVerticalDrawingGridEvery w:val="2"/>
  <w:characterSpacingControl w:val="compressPunctuation"/>
  <w:doNotValidateAgainstSchema/>
  <w:doNotDemarcateInvalidXml/>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3BD7"/>
    <w:rsid w:val="0000407F"/>
    <w:rsid w:val="00006479"/>
    <w:rsid w:val="00007370"/>
    <w:rsid w:val="0001073A"/>
    <w:rsid w:val="00010B5C"/>
    <w:rsid w:val="000114CE"/>
    <w:rsid w:val="000114CF"/>
    <w:rsid w:val="00012579"/>
    <w:rsid w:val="00012EBC"/>
    <w:rsid w:val="00012FC3"/>
    <w:rsid w:val="0001334A"/>
    <w:rsid w:val="00014602"/>
    <w:rsid w:val="0001520A"/>
    <w:rsid w:val="00015891"/>
    <w:rsid w:val="000169F9"/>
    <w:rsid w:val="0001775B"/>
    <w:rsid w:val="00017BEE"/>
    <w:rsid w:val="00020676"/>
    <w:rsid w:val="00020801"/>
    <w:rsid w:val="00020F9E"/>
    <w:rsid w:val="00021D4E"/>
    <w:rsid w:val="00022F14"/>
    <w:rsid w:val="00023178"/>
    <w:rsid w:val="00024130"/>
    <w:rsid w:val="00025E6A"/>
    <w:rsid w:val="00026877"/>
    <w:rsid w:val="00027A3C"/>
    <w:rsid w:val="00027CFF"/>
    <w:rsid w:val="00030DB5"/>
    <w:rsid w:val="00030E81"/>
    <w:rsid w:val="000310FE"/>
    <w:rsid w:val="00031193"/>
    <w:rsid w:val="00031E2B"/>
    <w:rsid w:val="00032280"/>
    <w:rsid w:val="000325E1"/>
    <w:rsid w:val="00033E2F"/>
    <w:rsid w:val="00034B6F"/>
    <w:rsid w:val="00035A6C"/>
    <w:rsid w:val="00036996"/>
    <w:rsid w:val="0003700E"/>
    <w:rsid w:val="0003797E"/>
    <w:rsid w:val="00040041"/>
    <w:rsid w:val="00041D0F"/>
    <w:rsid w:val="00041FA3"/>
    <w:rsid w:val="000438E1"/>
    <w:rsid w:val="00043E78"/>
    <w:rsid w:val="00044274"/>
    <w:rsid w:val="000459B5"/>
    <w:rsid w:val="00045C96"/>
    <w:rsid w:val="00045EE2"/>
    <w:rsid w:val="00047DF2"/>
    <w:rsid w:val="00050CC8"/>
    <w:rsid w:val="0005166C"/>
    <w:rsid w:val="00051736"/>
    <w:rsid w:val="00051774"/>
    <w:rsid w:val="00052C43"/>
    <w:rsid w:val="00053AD2"/>
    <w:rsid w:val="00054211"/>
    <w:rsid w:val="00055269"/>
    <w:rsid w:val="00055708"/>
    <w:rsid w:val="000558AF"/>
    <w:rsid w:val="0005629D"/>
    <w:rsid w:val="000572E5"/>
    <w:rsid w:val="000574BB"/>
    <w:rsid w:val="00057B3C"/>
    <w:rsid w:val="00057C6A"/>
    <w:rsid w:val="0006044C"/>
    <w:rsid w:val="00060AAB"/>
    <w:rsid w:val="00061877"/>
    <w:rsid w:val="00062C77"/>
    <w:rsid w:val="00062D39"/>
    <w:rsid w:val="00064453"/>
    <w:rsid w:val="00064F1A"/>
    <w:rsid w:val="00065066"/>
    <w:rsid w:val="00065362"/>
    <w:rsid w:val="00065A82"/>
    <w:rsid w:val="00066072"/>
    <w:rsid w:val="0006785D"/>
    <w:rsid w:val="00067B67"/>
    <w:rsid w:val="00071135"/>
    <w:rsid w:val="0007182D"/>
    <w:rsid w:val="00071C2A"/>
    <w:rsid w:val="00072425"/>
    <w:rsid w:val="00073FF7"/>
    <w:rsid w:val="00074378"/>
    <w:rsid w:val="00074D7B"/>
    <w:rsid w:val="00076570"/>
    <w:rsid w:val="000765AF"/>
    <w:rsid w:val="00077067"/>
    <w:rsid w:val="000804A7"/>
    <w:rsid w:val="00080A03"/>
    <w:rsid w:val="00084D5F"/>
    <w:rsid w:val="00085880"/>
    <w:rsid w:val="00085EC0"/>
    <w:rsid w:val="00090ABA"/>
    <w:rsid w:val="00092E35"/>
    <w:rsid w:val="00093340"/>
    <w:rsid w:val="000941F1"/>
    <w:rsid w:val="00094C73"/>
    <w:rsid w:val="000957CD"/>
    <w:rsid w:val="00096127"/>
    <w:rsid w:val="000965C7"/>
    <w:rsid w:val="0009732C"/>
    <w:rsid w:val="00097651"/>
    <w:rsid w:val="000A2678"/>
    <w:rsid w:val="000A29BE"/>
    <w:rsid w:val="000A3119"/>
    <w:rsid w:val="000A3A96"/>
    <w:rsid w:val="000A4CE6"/>
    <w:rsid w:val="000A7CFC"/>
    <w:rsid w:val="000B1842"/>
    <w:rsid w:val="000B2628"/>
    <w:rsid w:val="000B3E1B"/>
    <w:rsid w:val="000B40E6"/>
    <w:rsid w:val="000B504A"/>
    <w:rsid w:val="000B55D0"/>
    <w:rsid w:val="000B575E"/>
    <w:rsid w:val="000B5C73"/>
    <w:rsid w:val="000B6848"/>
    <w:rsid w:val="000B6C54"/>
    <w:rsid w:val="000B75B1"/>
    <w:rsid w:val="000B78AE"/>
    <w:rsid w:val="000C3741"/>
    <w:rsid w:val="000C37FE"/>
    <w:rsid w:val="000C460F"/>
    <w:rsid w:val="000C47A9"/>
    <w:rsid w:val="000C4883"/>
    <w:rsid w:val="000C5831"/>
    <w:rsid w:val="000C587D"/>
    <w:rsid w:val="000C5C75"/>
    <w:rsid w:val="000C60CB"/>
    <w:rsid w:val="000C6718"/>
    <w:rsid w:val="000C741E"/>
    <w:rsid w:val="000D03C9"/>
    <w:rsid w:val="000D1903"/>
    <w:rsid w:val="000D25B1"/>
    <w:rsid w:val="000D2F1B"/>
    <w:rsid w:val="000D2FF7"/>
    <w:rsid w:val="000D3E9E"/>
    <w:rsid w:val="000D4C7F"/>
    <w:rsid w:val="000D519D"/>
    <w:rsid w:val="000D6C0F"/>
    <w:rsid w:val="000E01C6"/>
    <w:rsid w:val="000E0978"/>
    <w:rsid w:val="000E157A"/>
    <w:rsid w:val="000E1629"/>
    <w:rsid w:val="000E1EE9"/>
    <w:rsid w:val="000E1F26"/>
    <w:rsid w:val="000E2248"/>
    <w:rsid w:val="000E25FD"/>
    <w:rsid w:val="000E32A8"/>
    <w:rsid w:val="000E3A24"/>
    <w:rsid w:val="000E6588"/>
    <w:rsid w:val="000E7DBB"/>
    <w:rsid w:val="000F09AF"/>
    <w:rsid w:val="000F0D64"/>
    <w:rsid w:val="000F1F26"/>
    <w:rsid w:val="000F2AAD"/>
    <w:rsid w:val="000F31CF"/>
    <w:rsid w:val="000F47CE"/>
    <w:rsid w:val="000F5377"/>
    <w:rsid w:val="000F55B7"/>
    <w:rsid w:val="000F5BBD"/>
    <w:rsid w:val="000F5D40"/>
    <w:rsid w:val="000F665A"/>
    <w:rsid w:val="000F7174"/>
    <w:rsid w:val="000F7941"/>
    <w:rsid w:val="001003F0"/>
    <w:rsid w:val="0010098C"/>
    <w:rsid w:val="00100E4C"/>
    <w:rsid w:val="00101341"/>
    <w:rsid w:val="00101D03"/>
    <w:rsid w:val="00101F5D"/>
    <w:rsid w:val="00102403"/>
    <w:rsid w:val="001024AA"/>
    <w:rsid w:val="00102D01"/>
    <w:rsid w:val="00103865"/>
    <w:rsid w:val="00104A59"/>
    <w:rsid w:val="00105F12"/>
    <w:rsid w:val="00106018"/>
    <w:rsid w:val="001070C4"/>
    <w:rsid w:val="001078DB"/>
    <w:rsid w:val="00110547"/>
    <w:rsid w:val="001107C6"/>
    <w:rsid w:val="00110AE7"/>
    <w:rsid w:val="00111B51"/>
    <w:rsid w:val="001144F7"/>
    <w:rsid w:val="00116AC0"/>
    <w:rsid w:val="00117084"/>
    <w:rsid w:val="00117CA4"/>
    <w:rsid w:val="0012048B"/>
    <w:rsid w:val="00121040"/>
    <w:rsid w:val="00124DE1"/>
    <w:rsid w:val="00125768"/>
    <w:rsid w:val="00126439"/>
    <w:rsid w:val="001266CC"/>
    <w:rsid w:val="00126C29"/>
    <w:rsid w:val="00130CAF"/>
    <w:rsid w:val="00130ED6"/>
    <w:rsid w:val="00132A2E"/>
    <w:rsid w:val="001330A8"/>
    <w:rsid w:val="001345C3"/>
    <w:rsid w:val="00136919"/>
    <w:rsid w:val="0013796A"/>
    <w:rsid w:val="00140466"/>
    <w:rsid w:val="00142B06"/>
    <w:rsid w:val="0014310B"/>
    <w:rsid w:val="00143148"/>
    <w:rsid w:val="0014555E"/>
    <w:rsid w:val="00145989"/>
    <w:rsid w:val="00145E97"/>
    <w:rsid w:val="00146158"/>
    <w:rsid w:val="001475CB"/>
    <w:rsid w:val="001502BC"/>
    <w:rsid w:val="00150D1E"/>
    <w:rsid w:val="00150D46"/>
    <w:rsid w:val="00150EE4"/>
    <w:rsid w:val="00152D27"/>
    <w:rsid w:val="00153628"/>
    <w:rsid w:val="001540BA"/>
    <w:rsid w:val="00155AFA"/>
    <w:rsid w:val="001566F2"/>
    <w:rsid w:val="00157447"/>
    <w:rsid w:val="00157BA2"/>
    <w:rsid w:val="00157C26"/>
    <w:rsid w:val="00160B84"/>
    <w:rsid w:val="00161017"/>
    <w:rsid w:val="001613DD"/>
    <w:rsid w:val="001632A6"/>
    <w:rsid w:val="00163EB2"/>
    <w:rsid w:val="00164AA0"/>
    <w:rsid w:val="00164DDA"/>
    <w:rsid w:val="00165007"/>
    <w:rsid w:val="001655BB"/>
    <w:rsid w:val="001656CC"/>
    <w:rsid w:val="001662B7"/>
    <w:rsid w:val="001663C7"/>
    <w:rsid w:val="00166D5B"/>
    <w:rsid w:val="0016712C"/>
    <w:rsid w:val="00167CCA"/>
    <w:rsid w:val="00170101"/>
    <w:rsid w:val="0017021A"/>
    <w:rsid w:val="00170703"/>
    <w:rsid w:val="00170DDC"/>
    <w:rsid w:val="0017118D"/>
    <w:rsid w:val="001712CC"/>
    <w:rsid w:val="00171AF6"/>
    <w:rsid w:val="001725FD"/>
    <w:rsid w:val="00172F22"/>
    <w:rsid w:val="001735C7"/>
    <w:rsid w:val="00174784"/>
    <w:rsid w:val="001747BE"/>
    <w:rsid w:val="001763B3"/>
    <w:rsid w:val="001772C1"/>
    <w:rsid w:val="00177F6F"/>
    <w:rsid w:val="00181A44"/>
    <w:rsid w:val="00181A50"/>
    <w:rsid w:val="00182310"/>
    <w:rsid w:val="00182D78"/>
    <w:rsid w:val="00183235"/>
    <w:rsid w:val="00183978"/>
    <w:rsid w:val="00183AEF"/>
    <w:rsid w:val="00184D3D"/>
    <w:rsid w:val="00184E31"/>
    <w:rsid w:val="00187FD8"/>
    <w:rsid w:val="00190C4E"/>
    <w:rsid w:val="00191584"/>
    <w:rsid w:val="001916C6"/>
    <w:rsid w:val="00193798"/>
    <w:rsid w:val="00193B8A"/>
    <w:rsid w:val="00193E13"/>
    <w:rsid w:val="00194E2F"/>
    <w:rsid w:val="00195094"/>
    <w:rsid w:val="00195167"/>
    <w:rsid w:val="00195A86"/>
    <w:rsid w:val="001965A7"/>
    <w:rsid w:val="001969F2"/>
    <w:rsid w:val="00196D70"/>
    <w:rsid w:val="00197580"/>
    <w:rsid w:val="001A01B6"/>
    <w:rsid w:val="001A1D09"/>
    <w:rsid w:val="001A25AA"/>
    <w:rsid w:val="001A25C8"/>
    <w:rsid w:val="001A3FFB"/>
    <w:rsid w:val="001A4D48"/>
    <w:rsid w:val="001A5A88"/>
    <w:rsid w:val="001A5DA8"/>
    <w:rsid w:val="001A6AB8"/>
    <w:rsid w:val="001A78EC"/>
    <w:rsid w:val="001B045F"/>
    <w:rsid w:val="001B0589"/>
    <w:rsid w:val="001B0E53"/>
    <w:rsid w:val="001B0ED0"/>
    <w:rsid w:val="001B20DE"/>
    <w:rsid w:val="001B2A98"/>
    <w:rsid w:val="001B2CF6"/>
    <w:rsid w:val="001B3C59"/>
    <w:rsid w:val="001B3E88"/>
    <w:rsid w:val="001B5FB1"/>
    <w:rsid w:val="001B68FB"/>
    <w:rsid w:val="001B6FB1"/>
    <w:rsid w:val="001B7852"/>
    <w:rsid w:val="001C11F4"/>
    <w:rsid w:val="001C18CF"/>
    <w:rsid w:val="001C1AF2"/>
    <w:rsid w:val="001C39AF"/>
    <w:rsid w:val="001C60EB"/>
    <w:rsid w:val="001C787A"/>
    <w:rsid w:val="001D0B2F"/>
    <w:rsid w:val="001D0F0B"/>
    <w:rsid w:val="001D273B"/>
    <w:rsid w:val="001D2BC7"/>
    <w:rsid w:val="001D37E3"/>
    <w:rsid w:val="001D43A8"/>
    <w:rsid w:val="001D4791"/>
    <w:rsid w:val="001D584D"/>
    <w:rsid w:val="001E1578"/>
    <w:rsid w:val="001E1686"/>
    <w:rsid w:val="001E2199"/>
    <w:rsid w:val="001E2316"/>
    <w:rsid w:val="001E27B1"/>
    <w:rsid w:val="001E2F91"/>
    <w:rsid w:val="001E309E"/>
    <w:rsid w:val="001E39FB"/>
    <w:rsid w:val="001E3A76"/>
    <w:rsid w:val="001E509F"/>
    <w:rsid w:val="001E57A3"/>
    <w:rsid w:val="001E5818"/>
    <w:rsid w:val="001E6A29"/>
    <w:rsid w:val="001E7AE0"/>
    <w:rsid w:val="001E7C22"/>
    <w:rsid w:val="001F01E8"/>
    <w:rsid w:val="001F0BF3"/>
    <w:rsid w:val="001F21F0"/>
    <w:rsid w:val="001F2717"/>
    <w:rsid w:val="001F3E40"/>
    <w:rsid w:val="001F3F3F"/>
    <w:rsid w:val="001F44F4"/>
    <w:rsid w:val="001F464D"/>
    <w:rsid w:val="001F5858"/>
    <w:rsid w:val="001F627F"/>
    <w:rsid w:val="001F7D64"/>
    <w:rsid w:val="00201740"/>
    <w:rsid w:val="00202AFC"/>
    <w:rsid w:val="00203DAA"/>
    <w:rsid w:val="00204379"/>
    <w:rsid w:val="00204748"/>
    <w:rsid w:val="002048D6"/>
    <w:rsid w:val="00205352"/>
    <w:rsid w:val="002053B5"/>
    <w:rsid w:val="00205919"/>
    <w:rsid w:val="00206B67"/>
    <w:rsid w:val="00206C9F"/>
    <w:rsid w:val="002102BE"/>
    <w:rsid w:val="00210B1B"/>
    <w:rsid w:val="00210DE3"/>
    <w:rsid w:val="00211045"/>
    <w:rsid w:val="00212052"/>
    <w:rsid w:val="002126B6"/>
    <w:rsid w:val="00212ED2"/>
    <w:rsid w:val="002143CB"/>
    <w:rsid w:val="00214D3C"/>
    <w:rsid w:val="00214FEB"/>
    <w:rsid w:val="00216BB7"/>
    <w:rsid w:val="00217173"/>
    <w:rsid w:val="00217560"/>
    <w:rsid w:val="00220CFB"/>
    <w:rsid w:val="0022121A"/>
    <w:rsid w:val="002225F6"/>
    <w:rsid w:val="00223964"/>
    <w:rsid w:val="002242FA"/>
    <w:rsid w:val="00225014"/>
    <w:rsid w:val="00225666"/>
    <w:rsid w:val="00225E4F"/>
    <w:rsid w:val="00226B5C"/>
    <w:rsid w:val="00226DAF"/>
    <w:rsid w:val="00227BFF"/>
    <w:rsid w:val="00230467"/>
    <w:rsid w:val="00230BB3"/>
    <w:rsid w:val="00231503"/>
    <w:rsid w:val="002315A6"/>
    <w:rsid w:val="00231D77"/>
    <w:rsid w:val="00232CAA"/>
    <w:rsid w:val="002335EA"/>
    <w:rsid w:val="0023377A"/>
    <w:rsid w:val="002340E8"/>
    <w:rsid w:val="00235211"/>
    <w:rsid w:val="00235D8A"/>
    <w:rsid w:val="00237186"/>
    <w:rsid w:val="00237361"/>
    <w:rsid w:val="002378EC"/>
    <w:rsid w:val="00237EE5"/>
    <w:rsid w:val="002405D3"/>
    <w:rsid w:val="00240C9B"/>
    <w:rsid w:val="00242080"/>
    <w:rsid w:val="00242235"/>
    <w:rsid w:val="00242E6A"/>
    <w:rsid w:val="00243E14"/>
    <w:rsid w:val="00244534"/>
    <w:rsid w:val="0024503F"/>
    <w:rsid w:val="002450D1"/>
    <w:rsid w:val="0024679B"/>
    <w:rsid w:val="00247559"/>
    <w:rsid w:val="00250A45"/>
    <w:rsid w:val="0025247A"/>
    <w:rsid w:val="00253721"/>
    <w:rsid w:val="002547BE"/>
    <w:rsid w:val="00255253"/>
    <w:rsid w:val="002562F5"/>
    <w:rsid w:val="002571E6"/>
    <w:rsid w:val="0026011F"/>
    <w:rsid w:val="00260977"/>
    <w:rsid w:val="002629DD"/>
    <w:rsid w:val="0026507F"/>
    <w:rsid w:val="00265095"/>
    <w:rsid w:val="0027040C"/>
    <w:rsid w:val="00270464"/>
    <w:rsid w:val="0027204E"/>
    <w:rsid w:val="00272542"/>
    <w:rsid w:val="00273787"/>
    <w:rsid w:val="00274A62"/>
    <w:rsid w:val="00274D87"/>
    <w:rsid w:val="00276367"/>
    <w:rsid w:val="00277580"/>
    <w:rsid w:val="00277C34"/>
    <w:rsid w:val="002803A1"/>
    <w:rsid w:val="00282451"/>
    <w:rsid w:val="00282FB2"/>
    <w:rsid w:val="00283516"/>
    <w:rsid w:val="0028576A"/>
    <w:rsid w:val="002858BB"/>
    <w:rsid w:val="00291E79"/>
    <w:rsid w:val="00292964"/>
    <w:rsid w:val="00293231"/>
    <w:rsid w:val="002932D1"/>
    <w:rsid w:val="002935D3"/>
    <w:rsid w:val="00294556"/>
    <w:rsid w:val="00294EB9"/>
    <w:rsid w:val="002959EC"/>
    <w:rsid w:val="00295D58"/>
    <w:rsid w:val="002968CF"/>
    <w:rsid w:val="0029695C"/>
    <w:rsid w:val="00296EF4"/>
    <w:rsid w:val="002972C0"/>
    <w:rsid w:val="002979DD"/>
    <w:rsid w:val="002A14AF"/>
    <w:rsid w:val="002A3063"/>
    <w:rsid w:val="002A311A"/>
    <w:rsid w:val="002A3506"/>
    <w:rsid w:val="002A3CBC"/>
    <w:rsid w:val="002A5106"/>
    <w:rsid w:val="002A565F"/>
    <w:rsid w:val="002A5CCC"/>
    <w:rsid w:val="002A64AF"/>
    <w:rsid w:val="002A6C3D"/>
    <w:rsid w:val="002A7E11"/>
    <w:rsid w:val="002B11C3"/>
    <w:rsid w:val="002B1BA2"/>
    <w:rsid w:val="002B2768"/>
    <w:rsid w:val="002B2FEC"/>
    <w:rsid w:val="002B3E2B"/>
    <w:rsid w:val="002B3E5C"/>
    <w:rsid w:val="002B4E83"/>
    <w:rsid w:val="002B5D76"/>
    <w:rsid w:val="002B6BA6"/>
    <w:rsid w:val="002B6F01"/>
    <w:rsid w:val="002C076E"/>
    <w:rsid w:val="002C10A2"/>
    <w:rsid w:val="002C143C"/>
    <w:rsid w:val="002C1912"/>
    <w:rsid w:val="002C1B38"/>
    <w:rsid w:val="002C245F"/>
    <w:rsid w:val="002C2BBB"/>
    <w:rsid w:val="002C357E"/>
    <w:rsid w:val="002C3E9F"/>
    <w:rsid w:val="002C3EAE"/>
    <w:rsid w:val="002C3F11"/>
    <w:rsid w:val="002C40FF"/>
    <w:rsid w:val="002C44E9"/>
    <w:rsid w:val="002C477A"/>
    <w:rsid w:val="002C5CB1"/>
    <w:rsid w:val="002C5E13"/>
    <w:rsid w:val="002C5E97"/>
    <w:rsid w:val="002C5EBF"/>
    <w:rsid w:val="002C7CAD"/>
    <w:rsid w:val="002D03C0"/>
    <w:rsid w:val="002D0896"/>
    <w:rsid w:val="002D10B5"/>
    <w:rsid w:val="002D1786"/>
    <w:rsid w:val="002D3048"/>
    <w:rsid w:val="002D3294"/>
    <w:rsid w:val="002D47F3"/>
    <w:rsid w:val="002D5FFD"/>
    <w:rsid w:val="002D7383"/>
    <w:rsid w:val="002E03E2"/>
    <w:rsid w:val="002E07ED"/>
    <w:rsid w:val="002E3A71"/>
    <w:rsid w:val="002E4C92"/>
    <w:rsid w:val="002E4FDC"/>
    <w:rsid w:val="002E549E"/>
    <w:rsid w:val="002E5791"/>
    <w:rsid w:val="002E62A7"/>
    <w:rsid w:val="002E64B2"/>
    <w:rsid w:val="002E66CF"/>
    <w:rsid w:val="002E68EC"/>
    <w:rsid w:val="002F0F07"/>
    <w:rsid w:val="002F1714"/>
    <w:rsid w:val="002F3B32"/>
    <w:rsid w:val="002F4178"/>
    <w:rsid w:val="002F41F8"/>
    <w:rsid w:val="002F6F89"/>
    <w:rsid w:val="002F7560"/>
    <w:rsid w:val="003016B5"/>
    <w:rsid w:val="00302500"/>
    <w:rsid w:val="00302711"/>
    <w:rsid w:val="0030392B"/>
    <w:rsid w:val="00304728"/>
    <w:rsid w:val="003047BC"/>
    <w:rsid w:val="00304EE6"/>
    <w:rsid w:val="003052FD"/>
    <w:rsid w:val="00305807"/>
    <w:rsid w:val="00306D72"/>
    <w:rsid w:val="00306DD9"/>
    <w:rsid w:val="00306E8F"/>
    <w:rsid w:val="003079BD"/>
    <w:rsid w:val="003079E4"/>
    <w:rsid w:val="00307CC0"/>
    <w:rsid w:val="0031093B"/>
    <w:rsid w:val="00312365"/>
    <w:rsid w:val="0031267B"/>
    <w:rsid w:val="00313747"/>
    <w:rsid w:val="003140F3"/>
    <w:rsid w:val="003153A6"/>
    <w:rsid w:val="00316590"/>
    <w:rsid w:val="00316B96"/>
    <w:rsid w:val="003171CE"/>
    <w:rsid w:val="0032012F"/>
    <w:rsid w:val="00320747"/>
    <w:rsid w:val="003210E3"/>
    <w:rsid w:val="00322408"/>
    <w:rsid w:val="00322663"/>
    <w:rsid w:val="003232CA"/>
    <w:rsid w:val="003232CD"/>
    <w:rsid w:val="003241E3"/>
    <w:rsid w:val="00324345"/>
    <w:rsid w:val="00325133"/>
    <w:rsid w:val="00325EA2"/>
    <w:rsid w:val="003264E3"/>
    <w:rsid w:val="00326C09"/>
    <w:rsid w:val="00326DBE"/>
    <w:rsid w:val="00327EC1"/>
    <w:rsid w:val="003309CC"/>
    <w:rsid w:val="00330ACE"/>
    <w:rsid w:val="00331BE2"/>
    <w:rsid w:val="00332DED"/>
    <w:rsid w:val="003337C2"/>
    <w:rsid w:val="00333ED6"/>
    <w:rsid w:val="0033444D"/>
    <w:rsid w:val="0033509F"/>
    <w:rsid w:val="00341716"/>
    <w:rsid w:val="00341D06"/>
    <w:rsid w:val="00342644"/>
    <w:rsid w:val="00343044"/>
    <w:rsid w:val="00343788"/>
    <w:rsid w:val="00343CEA"/>
    <w:rsid w:val="003442F4"/>
    <w:rsid w:val="0034476F"/>
    <w:rsid w:val="003449A1"/>
    <w:rsid w:val="00344C67"/>
    <w:rsid w:val="00346CEF"/>
    <w:rsid w:val="00346FCC"/>
    <w:rsid w:val="00347BE6"/>
    <w:rsid w:val="00350356"/>
    <w:rsid w:val="003504FE"/>
    <w:rsid w:val="00350E13"/>
    <w:rsid w:val="00352463"/>
    <w:rsid w:val="00352801"/>
    <w:rsid w:val="0035322E"/>
    <w:rsid w:val="00353427"/>
    <w:rsid w:val="00354ADC"/>
    <w:rsid w:val="00354EF9"/>
    <w:rsid w:val="00354F38"/>
    <w:rsid w:val="00355CFF"/>
    <w:rsid w:val="003563F3"/>
    <w:rsid w:val="00356CF5"/>
    <w:rsid w:val="00357217"/>
    <w:rsid w:val="003573E8"/>
    <w:rsid w:val="003603C8"/>
    <w:rsid w:val="003604DE"/>
    <w:rsid w:val="0036055A"/>
    <w:rsid w:val="00362FEA"/>
    <w:rsid w:val="0036319C"/>
    <w:rsid w:val="003636F6"/>
    <w:rsid w:val="003641CF"/>
    <w:rsid w:val="0036450B"/>
    <w:rsid w:val="00364B7C"/>
    <w:rsid w:val="00365895"/>
    <w:rsid w:val="0036590F"/>
    <w:rsid w:val="003668F9"/>
    <w:rsid w:val="00367213"/>
    <w:rsid w:val="003673D3"/>
    <w:rsid w:val="003675D2"/>
    <w:rsid w:val="00367ABC"/>
    <w:rsid w:val="00367B48"/>
    <w:rsid w:val="00370631"/>
    <w:rsid w:val="00370A2E"/>
    <w:rsid w:val="00371073"/>
    <w:rsid w:val="00371B9E"/>
    <w:rsid w:val="0037202A"/>
    <w:rsid w:val="00372798"/>
    <w:rsid w:val="00373B68"/>
    <w:rsid w:val="00374413"/>
    <w:rsid w:val="003773A7"/>
    <w:rsid w:val="00380C0A"/>
    <w:rsid w:val="003839BD"/>
    <w:rsid w:val="00385FBB"/>
    <w:rsid w:val="00386526"/>
    <w:rsid w:val="00387150"/>
    <w:rsid w:val="00387B54"/>
    <w:rsid w:val="00387C2A"/>
    <w:rsid w:val="003933A4"/>
    <w:rsid w:val="00393EF7"/>
    <w:rsid w:val="00395436"/>
    <w:rsid w:val="0039578F"/>
    <w:rsid w:val="00395BA7"/>
    <w:rsid w:val="003964A1"/>
    <w:rsid w:val="0039735E"/>
    <w:rsid w:val="00397533"/>
    <w:rsid w:val="00397FC5"/>
    <w:rsid w:val="003A06EB"/>
    <w:rsid w:val="003A0759"/>
    <w:rsid w:val="003A14F2"/>
    <w:rsid w:val="003A2CB6"/>
    <w:rsid w:val="003A2CBB"/>
    <w:rsid w:val="003A3E9B"/>
    <w:rsid w:val="003A41F8"/>
    <w:rsid w:val="003A5460"/>
    <w:rsid w:val="003A5D2C"/>
    <w:rsid w:val="003A7431"/>
    <w:rsid w:val="003A7D18"/>
    <w:rsid w:val="003B11CA"/>
    <w:rsid w:val="003B134E"/>
    <w:rsid w:val="003B1AEE"/>
    <w:rsid w:val="003B1C1F"/>
    <w:rsid w:val="003B28C2"/>
    <w:rsid w:val="003B2F96"/>
    <w:rsid w:val="003B31A6"/>
    <w:rsid w:val="003B357D"/>
    <w:rsid w:val="003B386B"/>
    <w:rsid w:val="003B4019"/>
    <w:rsid w:val="003B4C6F"/>
    <w:rsid w:val="003B51F5"/>
    <w:rsid w:val="003B51F8"/>
    <w:rsid w:val="003B5A24"/>
    <w:rsid w:val="003B659C"/>
    <w:rsid w:val="003B7865"/>
    <w:rsid w:val="003C01CA"/>
    <w:rsid w:val="003C067F"/>
    <w:rsid w:val="003C1CBC"/>
    <w:rsid w:val="003C1E84"/>
    <w:rsid w:val="003C26D7"/>
    <w:rsid w:val="003C293B"/>
    <w:rsid w:val="003C3603"/>
    <w:rsid w:val="003C4DEA"/>
    <w:rsid w:val="003C5342"/>
    <w:rsid w:val="003C6699"/>
    <w:rsid w:val="003C7359"/>
    <w:rsid w:val="003C746E"/>
    <w:rsid w:val="003C77EB"/>
    <w:rsid w:val="003D1E07"/>
    <w:rsid w:val="003D2811"/>
    <w:rsid w:val="003D2850"/>
    <w:rsid w:val="003D306E"/>
    <w:rsid w:val="003D3342"/>
    <w:rsid w:val="003D35A2"/>
    <w:rsid w:val="003D3E5C"/>
    <w:rsid w:val="003D481B"/>
    <w:rsid w:val="003D5252"/>
    <w:rsid w:val="003D6E3B"/>
    <w:rsid w:val="003E157B"/>
    <w:rsid w:val="003E23C3"/>
    <w:rsid w:val="003E420E"/>
    <w:rsid w:val="003E432C"/>
    <w:rsid w:val="003E4AC9"/>
    <w:rsid w:val="003E4D6D"/>
    <w:rsid w:val="003E5474"/>
    <w:rsid w:val="003E5479"/>
    <w:rsid w:val="003E68D9"/>
    <w:rsid w:val="003E72D6"/>
    <w:rsid w:val="003E7EBC"/>
    <w:rsid w:val="003F08F0"/>
    <w:rsid w:val="003F0B69"/>
    <w:rsid w:val="003F1386"/>
    <w:rsid w:val="003F15BA"/>
    <w:rsid w:val="003F19B7"/>
    <w:rsid w:val="003F1B5D"/>
    <w:rsid w:val="003F218F"/>
    <w:rsid w:val="003F2989"/>
    <w:rsid w:val="003F2E62"/>
    <w:rsid w:val="003F3600"/>
    <w:rsid w:val="003F3ECE"/>
    <w:rsid w:val="003F3F07"/>
    <w:rsid w:val="003F55C9"/>
    <w:rsid w:val="003F5EB4"/>
    <w:rsid w:val="003F6704"/>
    <w:rsid w:val="003F6BE0"/>
    <w:rsid w:val="003F7B1D"/>
    <w:rsid w:val="003F7DC8"/>
    <w:rsid w:val="00400338"/>
    <w:rsid w:val="00400E1E"/>
    <w:rsid w:val="004010BC"/>
    <w:rsid w:val="00401661"/>
    <w:rsid w:val="00402965"/>
    <w:rsid w:val="00403823"/>
    <w:rsid w:val="004042F9"/>
    <w:rsid w:val="004046C7"/>
    <w:rsid w:val="00405967"/>
    <w:rsid w:val="0040605A"/>
    <w:rsid w:val="00410855"/>
    <w:rsid w:val="00411200"/>
    <w:rsid w:val="0041213C"/>
    <w:rsid w:val="0041409C"/>
    <w:rsid w:val="0041426E"/>
    <w:rsid w:val="0041545F"/>
    <w:rsid w:val="00416015"/>
    <w:rsid w:val="00416B34"/>
    <w:rsid w:val="00417DF2"/>
    <w:rsid w:val="00420634"/>
    <w:rsid w:val="0042081F"/>
    <w:rsid w:val="004211C9"/>
    <w:rsid w:val="00421296"/>
    <w:rsid w:val="004223F6"/>
    <w:rsid w:val="004232A0"/>
    <w:rsid w:val="0042563A"/>
    <w:rsid w:val="00425765"/>
    <w:rsid w:val="00426194"/>
    <w:rsid w:val="00427131"/>
    <w:rsid w:val="004277BA"/>
    <w:rsid w:val="00427E22"/>
    <w:rsid w:val="00431295"/>
    <w:rsid w:val="0043176C"/>
    <w:rsid w:val="00431BAB"/>
    <w:rsid w:val="00433638"/>
    <w:rsid w:val="00434010"/>
    <w:rsid w:val="004355DD"/>
    <w:rsid w:val="00441565"/>
    <w:rsid w:val="00442074"/>
    <w:rsid w:val="004422EC"/>
    <w:rsid w:val="0044272F"/>
    <w:rsid w:val="00442B30"/>
    <w:rsid w:val="00442C86"/>
    <w:rsid w:val="00445D9A"/>
    <w:rsid w:val="004469A9"/>
    <w:rsid w:val="00446D05"/>
    <w:rsid w:val="004473FE"/>
    <w:rsid w:val="00450275"/>
    <w:rsid w:val="004502D8"/>
    <w:rsid w:val="00452D8A"/>
    <w:rsid w:val="00453435"/>
    <w:rsid w:val="00453A4B"/>
    <w:rsid w:val="00455AF6"/>
    <w:rsid w:val="00455B3C"/>
    <w:rsid w:val="00456080"/>
    <w:rsid w:val="00457648"/>
    <w:rsid w:val="00460046"/>
    <w:rsid w:val="004608B3"/>
    <w:rsid w:val="00462652"/>
    <w:rsid w:val="00463B75"/>
    <w:rsid w:val="00463D29"/>
    <w:rsid w:val="00464A8D"/>
    <w:rsid w:val="004653D3"/>
    <w:rsid w:val="00465A6B"/>
    <w:rsid w:val="004665C7"/>
    <w:rsid w:val="004667D5"/>
    <w:rsid w:val="00466F63"/>
    <w:rsid w:val="004678B9"/>
    <w:rsid w:val="0047158C"/>
    <w:rsid w:val="00473ED5"/>
    <w:rsid w:val="0047439E"/>
    <w:rsid w:val="00474C99"/>
    <w:rsid w:val="00474D59"/>
    <w:rsid w:val="00475629"/>
    <w:rsid w:val="00475CE0"/>
    <w:rsid w:val="0047604F"/>
    <w:rsid w:val="004775BF"/>
    <w:rsid w:val="00477BC2"/>
    <w:rsid w:val="0048048B"/>
    <w:rsid w:val="00480998"/>
    <w:rsid w:val="00480CB2"/>
    <w:rsid w:val="00480F34"/>
    <w:rsid w:val="004810C9"/>
    <w:rsid w:val="00481899"/>
    <w:rsid w:val="004819B5"/>
    <w:rsid w:val="00481A52"/>
    <w:rsid w:val="00481A6F"/>
    <w:rsid w:val="00481CAD"/>
    <w:rsid w:val="004820A1"/>
    <w:rsid w:val="00482B89"/>
    <w:rsid w:val="00483F4B"/>
    <w:rsid w:val="00483F8A"/>
    <w:rsid w:val="00484415"/>
    <w:rsid w:val="00490624"/>
    <w:rsid w:val="00490A7B"/>
    <w:rsid w:val="004921C2"/>
    <w:rsid w:val="004925C8"/>
    <w:rsid w:val="00492B0C"/>
    <w:rsid w:val="00494993"/>
    <w:rsid w:val="00495BB8"/>
    <w:rsid w:val="00496105"/>
    <w:rsid w:val="004968B7"/>
    <w:rsid w:val="00496AF0"/>
    <w:rsid w:val="004A0E59"/>
    <w:rsid w:val="004A24A6"/>
    <w:rsid w:val="004A2DE8"/>
    <w:rsid w:val="004A3D82"/>
    <w:rsid w:val="004A3FE4"/>
    <w:rsid w:val="004A489C"/>
    <w:rsid w:val="004A79B1"/>
    <w:rsid w:val="004B005F"/>
    <w:rsid w:val="004B154C"/>
    <w:rsid w:val="004B41C6"/>
    <w:rsid w:val="004B759C"/>
    <w:rsid w:val="004B7A1A"/>
    <w:rsid w:val="004C0B2C"/>
    <w:rsid w:val="004C18F8"/>
    <w:rsid w:val="004C285D"/>
    <w:rsid w:val="004C3E5D"/>
    <w:rsid w:val="004C424F"/>
    <w:rsid w:val="004C4640"/>
    <w:rsid w:val="004C4D43"/>
    <w:rsid w:val="004C5352"/>
    <w:rsid w:val="004C5C99"/>
    <w:rsid w:val="004C6118"/>
    <w:rsid w:val="004C635E"/>
    <w:rsid w:val="004C696F"/>
    <w:rsid w:val="004C6BBE"/>
    <w:rsid w:val="004C7688"/>
    <w:rsid w:val="004C78D0"/>
    <w:rsid w:val="004C7DDF"/>
    <w:rsid w:val="004C7FC0"/>
    <w:rsid w:val="004D0196"/>
    <w:rsid w:val="004D0385"/>
    <w:rsid w:val="004D0ABE"/>
    <w:rsid w:val="004D10B9"/>
    <w:rsid w:val="004D1BC3"/>
    <w:rsid w:val="004D2173"/>
    <w:rsid w:val="004D244D"/>
    <w:rsid w:val="004D338F"/>
    <w:rsid w:val="004D3604"/>
    <w:rsid w:val="004D3A12"/>
    <w:rsid w:val="004D42B5"/>
    <w:rsid w:val="004D65EE"/>
    <w:rsid w:val="004D691A"/>
    <w:rsid w:val="004D6C06"/>
    <w:rsid w:val="004D7A3E"/>
    <w:rsid w:val="004D7C80"/>
    <w:rsid w:val="004E05EA"/>
    <w:rsid w:val="004E13AE"/>
    <w:rsid w:val="004E1A2F"/>
    <w:rsid w:val="004E1AC2"/>
    <w:rsid w:val="004E1C0D"/>
    <w:rsid w:val="004E248D"/>
    <w:rsid w:val="004E4DF5"/>
    <w:rsid w:val="004E55ED"/>
    <w:rsid w:val="004E5A54"/>
    <w:rsid w:val="004E5AB9"/>
    <w:rsid w:val="004E641D"/>
    <w:rsid w:val="004E666E"/>
    <w:rsid w:val="004F014A"/>
    <w:rsid w:val="004F04A4"/>
    <w:rsid w:val="004F0E43"/>
    <w:rsid w:val="004F1269"/>
    <w:rsid w:val="004F1478"/>
    <w:rsid w:val="004F148B"/>
    <w:rsid w:val="004F15DF"/>
    <w:rsid w:val="004F1C64"/>
    <w:rsid w:val="004F2288"/>
    <w:rsid w:val="004F25EC"/>
    <w:rsid w:val="004F293E"/>
    <w:rsid w:val="004F2DE7"/>
    <w:rsid w:val="004F3EB8"/>
    <w:rsid w:val="004F3F0F"/>
    <w:rsid w:val="004F49E7"/>
    <w:rsid w:val="004F5086"/>
    <w:rsid w:val="004F5F86"/>
    <w:rsid w:val="004F6E70"/>
    <w:rsid w:val="004F76EF"/>
    <w:rsid w:val="004F790A"/>
    <w:rsid w:val="004F7AAC"/>
    <w:rsid w:val="005002DC"/>
    <w:rsid w:val="00501DC4"/>
    <w:rsid w:val="0050283A"/>
    <w:rsid w:val="00502E5B"/>
    <w:rsid w:val="00502F81"/>
    <w:rsid w:val="00503437"/>
    <w:rsid w:val="00503F1B"/>
    <w:rsid w:val="00504712"/>
    <w:rsid w:val="00504A29"/>
    <w:rsid w:val="00504D67"/>
    <w:rsid w:val="00505A25"/>
    <w:rsid w:val="00505C50"/>
    <w:rsid w:val="005069F0"/>
    <w:rsid w:val="00506A53"/>
    <w:rsid w:val="00510BB7"/>
    <w:rsid w:val="00511929"/>
    <w:rsid w:val="00512A62"/>
    <w:rsid w:val="00513B1C"/>
    <w:rsid w:val="0051448D"/>
    <w:rsid w:val="005144D1"/>
    <w:rsid w:val="005150AE"/>
    <w:rsid w:val="0051588D"/>
    <w:rsid w:val="00515BE8"/>
    <w:rsid w:val="0051644D"/>
    <w:rsid w:val="00516CD3"/>
    <w:rsid w:val="005170B5"/>
    <w:rsid w:val="005171A3"/>
    <w:rsid w:val="005205F6"/>
    <w:rsid w:val="00520A33"/>
    <w:rsid w:val="00521116"/>
    <w:rsid w:val="005224A1"/>
    <w:rsid w:val="00522A86"/>
    <w:rsid w:val="00522CE3"/>
    <w:rsid w:val="00523E7A"/>
    <w:rsid w:val="00524853"/>
    <w:rsid w:val="00524D5F"/>
    <w:rsid w:val="00526134"/>
    <w:rsid w:val="00526451"/>
    <w:rsid w:val="00532103"/>
    <w:rsid w:val="00532F04"/>
    <w:rsid w:val="00533518"/>
    <w:rsid w:val="005341B3"/>
    <w:rsid w:val="00534DBF"/>
    <w:rsid w:val="00535EA7"/>
    <w:rsid w:val="00536654"/>
    <w:rsid w:val="005371C1"/>
    <w:rsid w:val="00537834"/>
    <w:rsid w:val="005411C1"/>
    <w:rsid w:val="005420A4"/>
    <w:rsid w:val="00542AF9"/>
    <w:rsid w:val="00542CB1"/>
    <w:rsid w:val="00544BE2"/>
    <w:rsid w:val="00545106"/>
    <w:rsid w:val="005454D8"/>
    <w:rsid w:val="00545ACE"/>
    <w:rsid w:val="005467E3"/>
    <w:rsid w:val="00546A69"/>
    <w:rsid w:val="00546CBB"/>
    <w:rsid w:val="005476C8"/>
    <w:rsid w:val="0054774A"/>
    <w:rsid w:val="00551107"/>
    <w:rsid w:val="005518B4"/>
    <w:rsid w:val="00552213"/>
    <w:rsid w:val="00552A8A"/>
    <w:rsid w:val="0055307A"/>
    <w:rsid w:val="005546E1"/>
    <w:rsid w:val="00554DD6"/>
    <w:rsid w:val="00556914"/>
    <w:rsid w:val="00556B9C"/>
    <w:rsid w:val="00557654"/>
    <w:rsid w:val="005606E1"/>
    <w:rsid w:val="00560A36"/>
    <w:rsid w:val="00560A79"/>
    <w:rsid w:val="00560F3D"/>
    <w:rsid w:val="005616BD"/>
    <w:rsid w:val="005622DC"/>
    <w:rsid w:val="0056252C"/>
    <w:rsid w:val="005625F7"/>
    <w:rsid w:val="005643E8"/>
    <w:rsid w:val="005644F8"/>
    <w:rsid w:val="00564D6C"/>
    <w:rsid w:val="005654BE"/>
    <w:rsid w:val="00565879"/>
    <w:rsid w:val="00566529"/>
    <w:rsid w:val="00567533"/>
    <w:rsid w:val="00571DBA"/>
    <w:rsid w:val="005723DC"/>
    <w:rsid w:val="005726F3"/>
    <w:rsid w:val="00574DC1"/>
    <w:rsid w:val="00575895"/>
    <w:rsid w:val="00577C3A"/>
    <w:rsid w:val="005802E6"/>
    <w:rsid w:val="00581D03"/>
    <w:rsid w:val="0058256A"/>
    <w:rsid w:val="00582816"/>
    <w:rsid w:val="00583539"/>
    <w:rsid w:val="00584DB3"/>
    <w:rsid w:val="005876EF"/>
    <w:rsid w:val="005878B8"/>
    <w:rsid w:val="005905B4"/>
    <w:rsid w:val="00590773"/>
    <w:rsid w:val="005915D7"/>
    <w:rsid w:val="005917E3"/>
    <w:rsid w:val="00592337"/>
    <w:rsid w:val="005930E6"/>
    <w:rsid w:val="00593C63"/>
    <w:rsid w:val="00594786"/>
    <w:rsid w:val="00594BFF"/>
    <w:rsid w:val="005967A6"/>
    <w:rsid w:val="005967EE"/>
    <w:rsid w:val="005977A9"/>
    <w:rsid w:val="005A0B3D"/>
    <w:rsid w:val="005A1471"/>
    <w:rsid w:val="005A2394"/>
    <w:rsid w:val="005A2822"/>
    <w:rsid w:val="005A3ADA"/>
    <w:rsid w:val="005A4528"/>
    <w:rsid w:val="005A45F6"/>
    <w:rsid w:val="005A4E57"/>
    <w:rsid w:val="005A5140"/>
    <w:rsid w:val="005A6080"/>
    <w:rsid w:val="005A63E9"/>
    <w:rsid w:val="005A6690"/>
    <w:rsid w:val="005A66AD"/>
    <w:rsid w:val="005A68EE"/>
    <w:rsid w:val="005A71F4"/>
    <w:rsid w:val="005B0817"/>
    <w:rsid w:val="005B0D5E"/>
    <w:rsid w:val="005B10DB"/>
    <w:rsid w:val="005B1867"/>
    <w:rsid w:val="005B1CE1"/>
    <w:rsid w:val="005B3E38"/>
    <w:rsid w:val="005B47D1"/>
    <w:rsid w:val="005B5026"/>
    <w:rsid w:val="005B5690"/>
    <w:rsid w:val="005B5B8E"/>
    <w:rsid w:val="005B5CAD"/>
    <w:rsid w:val="005B6045"/>
    <w:rsid w:val="005B6BD8"/>
    <w:rsid w:val="005B7B7A"/>
    <w:rsid w:val="005B7F8C"/>
    <w:rsid w:val="005C0C37"/>
    <w:rsid w:val="005C367E"/>
    <w:rsid w:val="005C3FB6"/>
    <w:rsid w:val="005C4A34"/>
    <w:rsid w:val="005C4CDD"/>
    <w:rsid w:val="005C512B"/>
    <w:rsid w:val="005C613B"/>
    <w:rsid w:val="005C619B"/>
    <w:rsid w:val="005C6E9F"/>
    <w:rsid w:val="005C6EB2"/>
    <w:rsid w:val="005C6F03"/>
    <w:rsid w:val="005C701B"/>
    <w:rsid w:val="005D0515"/>
    <w:rsid w:val="005D0E6E"/>
    <w:rsid w:val="005D131E"/>
    <w:rsid w:val="005D2E87"/>
    <w:rsid w:val="005D4DBD"/>
    <w:rsid w:val="005D515E"/>
    <w:rsid w:val="005D6725"/>
    <w:rsid w:val="005D6D07"/>
    <w:rsid w:val="005D72EC"/>
    <w:rsid w:val="005D7671"/>
    <w:rsid w:val="005D7846"/>
    <w:rsid w:val="005D79BB"/>
    <w:rsid w:val="005E0481"/>
    <w:rsid w:val="005E0795"/>
    <w:rsid w:val="005E0A59"/>
    <w:rsid w:val="005E2553"/>
    <w:rsid w:val="005E30D1"/>
    <w:rsid w:val="005E4137"/>
    <w:rsid w:val="005E4AAD"/>
    <w:rsid w:val="005E4ABE"/>
    <w:rsid w:val="005E4DDB"/>
    <w:rsid w:val="005E5088"/>
    <w:rsid w:val="005E60F5"/>
    <w:rsid w:val="005E7B45"/>
    <w:rsid w:val="005F1172"/>
    <w:rsid w:val="005F163A"/>
    <w:rsid w:val="005F2F4F"/>
    <w:rsid w:val="005F3CFC"/>
    <w:rsid w:val="005F5B90"/>
    <w:rsid w:val="005F6E77"/>
    <w:rsid w:val="005F77A5"/>
    <w:rsid w:val="00600FF3"/>
    <w:rsid w:val="006020B8"/>
    <w:rsid w:val="00602381"/>
    <w:rsid w:val="006023A2"/>
    <w:rsid w:val="00604625"/>
    <w:rsid w:val="00604F66"/>
    <w:rsid w:val="0060539A"/>
    <w:rsid w:val="0060542B"/>
    <w:rsid w:val="00605AC8"/>
    <w:rsid w:val="00606FCA"/>
    <w:rsid w:val="0060710A"/>
    <w:rsid w:val="00607642"/>
    <w:rsid w:val="0061157C"/>
    <w:rsid w:val="00611BD5"/>
    <w:rsid w:val="00611D13"/>
    <w:rsid w:val="006122CB"/>
    <w:rsid w:val="006124EC"/>
    <w:rsid w:val="006137A4"/>
    <w:rsid w:val="00613885"/>
    <w:rsid w:val="00613D42"/>
    <w:rsid w:val="0061497F"/>
    <w:rsid w:val="00616B49"/>
    <w:rsid w:val="006171F9"/>
    <w:rsid w:val="00617997"/>
    <w:rsid w:val="00617E4F"/>
    <w:rsid w:val="0062136D"/>
    <w:rsid w:val="00622BCB"/>
    <w:rsid w:val="0062313E"/>
    <w:rsid w:val="006234A2"/>
    <w:rsid w:val="006241A6"/>
    <w:rsid w:val="00624B01"/>
    <w:rsid w:val="006253D5"/>
    <w:rsid w:val="0062542D"/>
    <w:rsid w:val="00625F2E"/>
    <w:rsid w:val="00627BCD"/>
    <w:rsid w:val="00627D66"/>
    <w:rsid w:val="00631079"/>
    <w:rsid w:val="006311DA"/>
    <w:rsid w:val="00631DCB"/>
    <w:rsid w:val="00631E35"/>
    <w:rsid w:val="00632425"/>
    <w:rsid w:val="006324C5"/>
    <w:rsid w:val="00632B80"/>
    <w:rsid w:val="00634EB6"/>
    <w:rsid w:val="0063533C"/>
    <w:rsid w:val="0063560C"/>
    <w:rsid w:val="00636593"/>
    <w:rsid w:val="00637CB2"/>
    <w:rsid w:val="00640A40"/>
    <w:rsid w:val="00641AC2"/>
    <w:rsid w:val="00641B22"/>
    <w:rsid w:val="00642353"/>
    <w:rsid w:val="00643E26"/>
    <w:rsid w:val="00644C53"/>
    <w:rsid w:val="006454A6"/>
    <w:rsid w:val="006460DA"/>
    <w:rsid w:val="00646A98"/>
    <w:rsid w:val="0064712A"/>
    <w:rsid w:val="006471BB"/>
    <w:rsid w:val="00650D4C"/>
    <w:rsid w:val="00651518"/>
    <w:rsid w:val="00651589"/>
    <w:rsid w:val="0065182B"/>
    <w:rsid w:val="00651BA8"/>
    <w:rsid w:val="0065339E"/>
    <w:rsid w:val="00653E9A"/>
    <w:rsid w:val="00655257"/>
    <w:rsid w:val="00655BFA"/>
    <w:rsid w:val="00656B4B"/>
    <w:rsid w:val="00661B07"/>
    <w:rsid w:val="006625A5"/>
    <w:rsid w:val="00663DF6"/>
    <w:rsid w:val="0066445B"/>
    <w:rsid w:val="006646D8"/>
    <w:rsid w:val="0066485B"/>
    <w:rsid w:val="00664A68"/>
    <w:rsid w:val="00665C3D"/>
    <w:rsid w:val="006660FE"/>
    <w:rsid w:val="00666304"/>
    <w:rsid w:val="00670B47"/>
    <w:rsid w:val="006716EA"/>
    <w:rsid w:val="00671DFD"/>
    <w:rsid w:val="00671EC4"/>
    <w:rsid w:val="006729B0"/>
    <w:rsid w:val="00673C8C"/>
    <w:rsid w:val="00674747"/>
    <w:rsid w:val="0067535B"/>
    <w:rsid w:val="00676D52"/>
    <w:rsid w:val="006773E9"/>
    <w:rsid w:val="006811F9"/>
    <w:rsid w:val="00682AD7"/>
    <w:rsid w:val="006839CB"/>
    <w:rsid w:val="00684614"/>
    <w:rsid w:val="00684F77"/>
    <w:rsid w:val="006858D2"/>
    <w:rsid w:val="00686915"/>
    <w:rsid w:val="00686F4F"/>
    <w:rsid w:val="00686FEB"/>
    <w:rsid w:val="006873A5"/>
    <w:rsid w:val="006902DA"/>
    <w:rsid w:val="006904D5"/>
    <w:rsid w:val="00690FD0"/>
    <w:rsid w:val="0069199E"/>
    <w:rsid w:val="00692BF2"/>
    <w:rsid w:val="0069387D"/>
    <w:rsid w:val="00693A7B"/>
    <w:rsid w:val="00693F70"/>
    <w:rsid w:val="006941E8"/>
    <w:rsid w:val="0069435B"/>
    <w:rsid w:val="006943DE"/>
    <w:rsid w:val="00695EC0"/>
    <w:rsid w:val="00697F33"/>
    <w:rsid w:val="006A02F8"/>
    <w:rsid w:val="006A0333"/>
    <w:rsid w:val="006A0435"/>
    <w:rsid w:val="006A144C"/>
    <w:rsid w:val="006A19C9"/>
    <w:rsid w:val="006A200A"/>
    <w:rsid w:val="006A21EA"/>
    <w:rsid w:val="006A27F6"/>
    <w:rsid w:val="006A2CFB"/>
    <w:rsid w:val="006A3181"/>
    <w:rsid w:val="006A3524"/>
    <w:rsid w:val="006A475C"/>
    <w:rsid w:val="006A4AD6"/>
    <w:rsid w:val="006A53B8"/>
    <w:rsid w:val="006A6157"/>
    <w:rsid w:val="006A768F"/>
    <w:rsid w:val="006A77D9"/>
    <w:rsid w:val="006B03F2"/>
    <w:rsid w:val="006B1614"/>
    <w:rsid w:val="006B17ED"/>
    <w:rsid w:val="006B2C52"/>
    <w:rsid w:val="006B2CC2"/>
    <w:rsid w:val="006B3DA0"/>
    <w:rsid w:val="006B42CD"/>
    <w:rsid w:val="006B53D3"/>
    <w:rsid w:val="006B5A26"/>
    <w:rsid w:val="006B5DB1"/>
    <w:rsid w:val="006B5DCA"/>
    <w:rsid w:val="006B67DB"/>
    <w:rsid w:val="006B6921"/>
    <w:rsid w:val="006B77CE"/>
    <w:rsid w:val="006B7912"/>
    <w:rsid w:val="006C062B"/>
    <w:rsid w:val="006C20D9"/>
    <w:rsid w:val="006C2F87"/>
    <w:rsid w:val="006C2FBC"/>
    <w:rsid w:val="006C3E82"/>
    <w:rsid w:val="006C675A"/>
    <w:rsid w:val="006C6A41"/>
    <w:rsid w:val="006C7041"/>
    <w:rsid w:val="006C77EC"/>
    <w:rsid w:val="006C79DA"/>
    <w:rsid w:val="006D0283"/>
    <w:rsid w:val="006D2A51"/>
    <w:rsid w:val="006D33C0"/>
    <w:rsid w:val="006D385A"/>
    <w:rsid w:val="006D4A88"/>
    <w:rsid w:val="006D4E91"/>
    <w:rsid w:val="006D4F4A"/>
    <w:rsid w:val="006D5AC9"/>
    <w:rsid w:val="006D5EB4"/>
    <w:rsid w:val="006D6742"/>
    <w:rsid w:val="006D6F17"/>
    <w:rsid w:val="006D70DA"/>
    <w:rsid w:val="006D7269"/>
    <w:rsid w:val="006D7C1C"/>
    <w:rsid w:val="006E01E1"/>
    <w:rsid w:val="006E0B5D"/>
    <w:rsid w:val="006E11AE"/>
    <w:rsid w:val="006E1442"/>
    <w:rsid w:val="006E2543"/>
    <w:rsid w:val="006E2868"/>
    <w:rsid w:val="006E2B55"/>
    <w:rsid w:val="006E30CC"/>
    <w:rsid w:val="006E4198"/>
    <w:rsid w:val="006E4425"/>
    <w:rsid w:val="006E4BFC"/>
    <w:rsid w:val="006E51E2"/>
    <w:rsid w:val="006E56F7"/>
    <w:rsid w:val="006E5A01"/>
    <w:rsid w:val="006E5BB6"/>
    <w:rsid w:val="006F0ADD"/>
    <w:rsid w:val="006F0F42"/>
    <w:rsid w:val="006F17C3"/>
    <w:rsid w:val="006F1CCA"/>
    <w:rsid w:val="006F63A0"/>
    <w:rsid w:val="006F6A32"/>
    <w:rsid w:val="006F6FAD"/>
    <w:rsid w:val="006F764F"/>
    <w:rsid w:val="006F79CB"/>
    <w:rsid w:val="006F7E8A"/>
    <w:rsid w:val="00700546"/>
    <w:rsid w:val="00701DC6"/>
    <w:rsid w:val="00702818"/>
    <w:rsid w:val="007050BF"/>
    <w:rsid w:val="00707062"/>
    <w:rsid w:val="007079FC"/>
    <w:rsid w:val="00707FC5"/>
    <w:rsid w:val="0071044A"/>
    <w:rsid w:val="00710D9B"/>
    <w:rsid w:val="007124A3"/>
    <w:rsid w:val="00712D65"/>
    <w:rsid w:val="00713CD3"/>
    <w:rsid w:val="00714B8A"/>
    <w:rsid w:val="00715A52"/>
    <w:rsid w:val="00716D52"/>
    <w:rsid w:val="00717BBD"/>
    <w:rsid w:val="00721189"/>
    <w:rsid w:val="00721974"/>
    <w:rsid w:val="007224C5"/>
    <w:rsid w:val="00722C09"/>
    <w:rsid w:val="0072444D"/>
    <w:rsid w:val="0072490B"/>
    <w:rsid w:val="0072545F"/>
    <w:rsid w:val="00725469"/>
    <w:rsid w:val="00725715"/>
    <w:rsid w:val="00727040"/>
    <w:rsid w:val="00727B78"/>
    <w:rsid w:val="00727FC5"/>
    <w:rsid w:val="007301B8"/>
    <w:rsid w:val="00730985"/>
    <w:rsid w:val="00731944"/>
    <w:rsid w:val="00732B90"/>
    <w:rsid w:val="00732F31"/>
    <w:rsid w:val="007345F6"/>
    <w:rsid w:val="007348F8"/>
    <w:rsid w:val="007349FB"/>
    <w:rsid w:val="0073516A"/>
    <w:rsid w:val="00735AD9"/>
    <w:rsid w:val="007361EE"/>
    <w:rsid w:val="007362B1"/>
    <w:rsid w:val="0073637A"/>
    <w:rsid w:val="007374E8"/>
    <w:rsid w:val="00740287"/>
    <w:rsid w:val="00740289"/>
    <w:rsid w:val="00740D39"/>
    <w:rsid w:val="007427F5"/>
    <w:rsid w:val="00743503"/>
    <w:rsid w:val="007459CF"/>
    <w:rsid w:val="007467B7"/>
    <w:rsid w:val="007504C8"/>
    <w:rsid w:val="007522F5"/>
    <w:rsid w:val="00753C8E"/>
    <w:rsid w:val="00753DDE"/>
    <w:rsid w:val="00755683"/>
    <w:rsid w:val="007563F9"/>
    <w:rsid w:val="00756428"/>
    <w:rsid w:val="00756C3F"/>
    <w:rsid w:val="007576BA"/>
    <w:rsid w:val="0076011D"/>
    <w:rsid w:val="00760A12"/>
    <w:rsid w:val="00760F3C"/>
    <w:rsid w:val="007614DF"/>
    <w:rsid w:val="00761C30"/>
    <w:rsid w:val="007622ED"/>
    <w:rsid w:val="00763901"/>
    <w:rsid w:val="00763D85"/>
    <w:rsid w:val="00763EED"/>
    <w:rsid w:val="00764342"/>
    <w:rsid w:val="00764357"/>
    <w:rsid w:val="00765CC7"/>
    <w:rsid w:val="00766419"/>
    <w:rsid w:val="00767717"/>
    <w:rsid w:val="00770064"/>
    <w:rsid w:val="00770DC5"/>
    <w:rsid w:val="007710C8"/>
    <w:rsid w:val="00771263"/>
    <w:rsid w:val="00773D1D"/>
    <w:rsid w:val="00774976"/>
    <w:rsid w:val="00774A21"/>
    <w:rsid w:val="00774EEC"/>
    <w:rsid w:val="00775DCF"/>
    <w:rsid w:val="0077618C"/>
    <w:rsid w:val="00776857"/>
    <w:rsid w:val="00776C7D"/>
    <w:rsid w:val="00777870"/>
    <w:rsid w:val="00777D33"/>
    <w:rsid w:val="007807B1"/>
    <w:rsid w:val="00780B43"/>
    <w:rsid w:val="0078100F"/>
    <w:rsid w:val="00781A1E"/>
    <w:rsid w:val="00782159"/>
    <w:rsid w:val="00784690"/>
    <w:rsid w:val="00785EB0"/>
    <w:rsid w:val="007864B4"/>
    <w:rsid w:val="00786B56"/>
    <w:rsid w:val="00787A73"/>
    <w:rsid w:val="00787FCC"/>
    <w:rsid w:val="00791653"/>
    <w:rsid w:val="007916D9"/>
    <w:rsid w:val="007922CA"/>
    <w:rsid w:val="007923FC"/>
    <w:rsid w:val="00792A9D"/>
    <w:rsid w:val="00793896"/>
    <w:rsid w:val="007941DF"/>
    <w:rsid w:val="00794444"/>
    <w:rsid w:val="0079468C"/>
    <w:rsid w:val="007955AC"/>
    <w:rsid w:val="00795793"/>
    <w:rsid w:val="00795DC1"/>
    <w:rsid w:val="0079687A"/>
    <w:rsid w:val="00797228"/>
    <w:rsid w:val="00797AC4"/>
    <w:rsid w:val="00797C10"/>
    <w:rsid w:val="007A163A"/>
    <w:rsid w:val="007A1A9E"/>
    <w:rsid w:val="007A1B96"/>
    <w:rsid w:val="007A251E"/>
    <w:rsid w:val="007A46E3"/>
    <w:rsid w:val="007A4ED9"/>
    <w:rsid w:val="007A517D"/>
    <w:rsid w:val="007A5684"/>
    <w:rsid w:val="007A56D2"/>
    <w:rsid w:val="007A56F1"/>
    <w:rsid w:val="007A5705"/>
    <w:rsid w:val="007A6062"/>
    <w:rsid w:val="007A6CA0"/>
    <w:rsid w:val="007A714A"/>
    <w:rsid w:val="007B1E88"/>
    <w:rsid w:val="007B2E70"/>
    <w:rsid w:val="007B3ED8"/>
    <w:rsid w:val="007B4359"/>
    <w:rsid w:val="007B4C10"/>
    <w:rsid w:val="007B4F3B"/>
    <w:rsid w:val="007B50E5"/>
    <w:rsid w:val="007B6179"/>
    <w:rsid w:val="007B6381"/>
    <w:rsid w:val="007B68B2"/>
    <w:rsid w:val="007B7DD3"/>
    <w:rsid w:val="007C08D2"/>
    <w:rsid w:val="007C0AB2"/>
    <w:rsid w:val="007C0D74"/>
    <w:rsid w:val="007C0F6D"/>
    <w:rsid w:val="007C187F"/>
    <w:rsid w:val="007C238C"/>
    <w:rsid w:val="007C2534"/>
    <w:rsid w:val="007C2898"/>
    <w:rsid w:val="007C348D"/>
    <w:rsid w:val="007C3C92"/>
    <w:rsid w:val="007C63BC"/>
    <w:rsid w:val="007C6FDE"/>
    <w:rsid w:val="007C75A1"/>
    <w:rsid w:val="007C7ADF"/>
    <w:rsid w:val="007C7D9A"/>
    <w:rsid w:val="007D0EBE"/>
    <w:rsid w:val="007D14E5"/>
    <w:rsid w:val="007D1C44"/>
    <w:rsid w:val="007D1D15"/>
    <w:rsid w:val="007D2D93"/>
    <w:rsid w:val="007D3B2C"/>
    <w:rsid w:val="007D4369"/>
    <w:rsid w:val="007D6F12"/>
    <w:rsid w:val="007D7679"/>
    <w:rsid w:val="007D7947"/>
    <w:rsid w:val="007E058F"/>
    <w:rsid w:val="007E48B5"/>
    <w:rsid w:val="007E5B57"/>
    <w:rsid w:val="007E6121"/>
    <w:rsid w:val="007E709E"/>
    <w:rsid w:val="007E709F"/>
    <w:rsid w:val="007E765F"/>
    <w:rsid w:val="007F0774"/>
    <w:rsid w:val="007F087E"/>
    <w:rsid w:val="007F0B33"/>
    <w:rsid w:val="007F0B48"/>
    <w:rsid w:val="007F0B54"/>
    <w:rsid w:val="007F0BAD"/>
    <w:rsid w:val="007F20ED"/>
    <w:rsid w:val="007F3330"/>
    <w:rsid w:val="007F3352"/>
    <w:rsid w:val="007F3C55"/>
    <w:rsid w:val="007F4CA3"/>
    <w:rsid w:val="007F647D"/>
    <w:rsid w:val="007F6D41"/>
    <w:rsid w:val="007F71DD"/>
    <w:rsid w:val="007F750D"/>
    <w:rsid w:val="007F794F"/>
    <w:rsid w:val="00800AAB"/>
    <w:rsid w:val="0080130F"/>
    <w:rsid w:val="008029B2"/>
    <w:rsid w:val="00802E9D"/>
    <w:rsid w:val="00804442"/>
    <w:rsid w:val="00804A56"/>
    <w:rsid w:val="00804FDD"/>
    <w:rsid w:val="0080545B"/>
    <w:rsid w:val="008059CB"/>
    <w:rsid w:val="008060FA"/>
    <w:rsid w:val="00807215"/>
    <w:rsid w:val="0080786B"/>
    <w:rsid w:val="008117D0"/>
    <w:rsid w:val="0081236F"/>
    <w:rsid w:val="00812EB7"/>
    <w:rsid w:val="00813BC1"/>
    <w:rsid w:val="00813F40"/>
    <w:rsid w:val="008144F4"/>
    <w:rsid w:val="00814968"/>
    <w:rsid w:val="00814A49"/>
    <w:rsid w:val="00816F65"/>
    <w:rsid w:val="008172F6"/>
    <w:rsid w:val="00817AC1"/>
    <w:rsid w:val="00817AED"/>
    <w:rsid w:val="00820732"/>
    <w:rsid w:val="0082109C"/>
    <w:rsid w:val="00821290"/>
    <w:rsid w:val="00822304"/>
    <w:rsid w:val="00822912"/>
    <w:rsid w:val="00822C2E"/>
    <w:rsid w:val="008230B9"/>
    <w:rsid w:val="00823558"/>
    <w:rsid w:val="00824B7F"/>
    <w:rsid w:val="00824BD3"/>
    <w:rsid w:val="0082574E"/>
    <w:rsid w:val="00826020"/>
    <w:rsid w:val="00826240"/>
    <w:rsid w:val="00826A78"/>
    <w:rsid w:val="00826B17"/>
    <w:rsid w:val="0082730A"/>
    <w:rsid w:val="00830052"/>
    <w:rsid w:val="008303DB"/>
    <w:rsid w:val="008319C0"/>
    <w:rsid w:val="00831E4F"/>
    <w:rsid w:val="00831F0B"/>
    <w:rsid w:val="0083207D"/>
    <w:rsid w:val="00837A14"/>
    <w:rsid w:val="00840E42"/>
    <w:rsid w:val="00841409"/>
    <w:rsid w:val="00841BCB"/>
    <w:rsid w:val="00842722"/>
    <w:rsid w:val="00844B7E"/>
    <w:rsid w:val="00844F2F"/>
    <w:rsid w:val="00846521"/>
    <w:rsid w:val="00846CE8"/>
    <w:rsid w:val="00846F8D"/>
    <w:rsid w:val="00847048"/>
    <w:rsid w:val="008471C4"/>
    <w:rsid w:val="00847385"/>
    <w:rsid w:val="00847843"/>
    <w:rsid w:val="00847A88"/>
    <w:rsid w:val="00851753"/>
    <w:rsid w:val="00851AE6"/>
    <w:rsid w:val="00851C77"/>
    <w:rsid w:val="00851D97"/>
    <w:rsid w:val="008522D3"/>
    <w:rsid w:val="008524D2"/>
    <w:rsid w:val="0085386D"/>
    <w:rsid w:val="008541CE"/>
    <w:rsid w:val="00854ADE"/>
    <w:rsid w:val="008553B2"/>
    <w:rsid w:val="008557ED"/>
    <w:rsid w:val="00855903"/>
    <w:rsid w:val="00855E7C"/>
    <w:rsid w:val="00857D30"/>
    <w:rsid w:val="00860A35"/>
    <w:rsid w:val="00861B88"/>
    <w:rsid w:val="00861F7D"/>
    <w:rsid w:val="00862C05"/>
    <w:rsid w:val="00864094"/>
    <w:rsid w:val="008655DA"/>
    <w:rsid w:val="00866CE1"/>
    <w:rsid w:val="00866EC9"/>
    <w:rsid w:val="00870E1A"/>
    <w:rsid w:val="008724E9"/>
    <w:rsid w:val="00873FCF"/>
    <w:rsid w:val="008744BC"/>
    <w:rsid w:val="008744D1"/>
    <w:rsid w:val="00875709"/>
    <w:rsid w:val="00876C30"/>
    <w:rsid w:val="00876DA6"/>
    <w:rsid w:val="00880B93"/>
    <w:rsid w:val="00881357"/>
    <w:rsid w:val="00882313"/>
    <w:rsid w:val="0088589D"/>
    <w:rsid w:val="00886116"/>
    <w:rsid w:val="0088749D"/>
    <w:rsid w:val="00887CEB"/>
    <w:rsid w:val="00887FDD"/>
    <w:rsid w:val="00890347"/>
    <w:rsid w:val="0089069A"/>
    <w:rsid w:val="008909A8"/>
    <w:rsid w:val="00890D42"/>
    <w:rsid w:val="00892CAB"/>
    <w:rsid w:val="008935C4"/>
    <w:rsid w:val="008937A3"/>
    <w:rsid w:val="00893991"/>
    <w:rsid w:val="00894725"/>
    <w:rsid w:val="008958BB"/>
    <w:rsid w:val="0089602C"/>
    <w:rsid w:val="00896A68"/>
    <w:rsid w:val="008A01CB"/>
    <w:rsid w:val="008A05C8"/>
    <w:rsid w:val="008A06A2"/>
    <w:rsid w:val="008A105A"/>
    <w:rsid w:val="008A12E6"/>
    <w:rsid w:val="008A1C04"/>
    <w:rsid w:val="008A2779"/>
    <w:rsid w:val="008A3630"/>
    <w:rsid w:val="008A41BA"/>
    <w:rsid w:val="008A4836"/>
    <w:rsid w:val="008A4DCB"/>
    <w:rsid w:val="008A6037"/>
    <w:rsid w:val="008A6F11"/>
    <w:rsid w:val="008A6F63"/>
    <w:rsid w:val="008B0295"/>
    <w:rsid w:val="008B17B6"/>
    <w:rsid w:val="008B193A"/>
    <w:rsid w:val="008B1963"/>
    <w:rsid w:val="008B2566"/>
    <w:rsid w:val="008B37A5"/>
    <w:rsid w:val="008B43E4"/>
    <w:rsid w:val="008B49B0"/>
    <w:rsid w:val="008B4B8C"/>
    <w:rsid w:val="008B525E"/>
    <w:rsid w:val="008B5D73"/>
    <w:rsid w:val="008B6802"/>
    <w:rsid w:val="008B74D7"/>
    <w:rsid w:val="008C04FA"/>
    <w:rsid w:val="008C0FE3"/>
    <w:rsid w:val="008C1158"/>
    <w:rsid w:val="008C2CB9"/>
    <w:rsid w:val="008C2E48"/>
    <w:rsid w:val="008C39BC"/>
    <w:rsid w:val="008C4193"/>
    <w:rsid w:val="008C57AC"/>
    <w:rsid w:val="008C6582"/>
    <w:rsid w:val="008C6838"/>
    <w:rsid w:val="008C6865"/>
    <w:rsid w:val="008D0FF4"/>
    <w:rsid w:val="008D1021"/>
    <w:rsid w:val="008D10EE"/>
    <w:rsid w:val="008D150B"/>
    <w:rsid w:val="008D2A54"/>
    <w:rsid w:val="008D3842"/>
    <w:rsid w:val="008D489F"/>
    <w:rsid w:val="008D49C8"/>
    <w:rsid w:val="008D4A72"/>
    <w:rsid w:val="008D611D"/>
    <w:rsid w:val="008D7410"/>
    <w:rsid w:val="008D76B0"/>
    <w:rsid w:val="008E0F85"/>
    <w:rsid w:val="008E17AF"/>
    <w:rsid w:val="008E1A89"/>
    <w:rsid w:val="008E1E97"/>
    <w:rsid w:val="008E36A5"/>
    <w:rsid w:val="008E3767"/>
    <w:rsid w:val="008E3CB9"/>
    <w:rsid w:val="008E52F6"/>
    <w:rsid w:val="008E5B81"/>
    <w:rsid w:val="008E76FC"/>
    <w:rsid w:val="008F2A5A"/>
    <w:rsid w:val="008F398B"/>
    <w:rsid w:val="008F3EF5"/>
    <w:rsid w:val="008F489A"/>
    <w:rsid w:val="008F4A59"/>
    <w:rsid w:val="008F50E2"/>
    <w:rsid w:val="008F5B12"/>
    <w:rsid w:val="008F61A4"/>
    <w:rsid w:val="008F673C"/>
    <w:rsid w:val="008F6AAD"/>
    <w:rsid w:val="008F7726"/>
    <w:rsid w:val="00901116"/>
    <w:rsid w:val="00901FE7"/>
    <w:rsid w:val="00902041"/>
    <w:rsid w:val="009026E9"/>
    <w:rsid w:val="00902874"/>
    <w:rsid w:val="00905495"/>
    <w:rsid w:val="0090632C"/>
    <w:rsid w:val="00906B13"/>
    <w:rsid w:val="00906CE8"/>
    <w:rsid w:val="009079F8"/>
    <w:rsid w:val="00910AB5"/>
    <w:rsid w:val="009118A7"/>
    <w:rsid w:val="00911E91"/>
    <w:rsid w:val="00913C4B"/>
    <w:rsid w:val="0091587E"/>
    <w:rsid w:val="009220F6"/>
    <w:rsid w:val="00923861"/>
    <w:rsid w:val="00924652"/>
    <w:rsid w:val="00924753"/>
    <w:rsid w:val="0092550E"/>
    <w:rsid w:val="009255C6"/>
    <w:rsid w:val="0092599B"/>
    <w:rsid w:val="00925CEC"/>
    <w:rsid w:val="0092603D"/>
    <w:rsid w:val="00926185"/>
    <w:rsid w:val="0093076F"/>
    <w:rsid w:val="009311D1"/>
    <w:rsid w:val="009321C2"/>
    <w:rsid w:val="00932622"/>
    <w:rsid w:val="00932748"/>
    <w:rsid w:val="00932AFC"/>
    <w:rsid w:val="0093370A"/>
    <w:rsid w:val="00935870"/>
    <w:rsid w:val="00935BA4"/>
    <w:rsid w:val="00935D33"/>
    <w:rsid w:val="00936378"/>
    <w:rsid w:val="00936BD2"/>
    <w:rsid w:val="00937A59"/>
    <w:rsid w:val="00940CFF"/>
    <w:rsid w:val="0094270E"/>
    <w:rsid w:val="00943EBB"/>
    <w:rsid w:val="00944D3F"/>
    <w:rsid w:val="00945869"/>
    <w:rsid w:val="00945A84"/>
    <w:rsid w:val="00946AF5"/>
    <w:rsid w:val="00947BC9"/>
    <w:rsid w:val="00947F1D"/>
    <w:rsid w:val="0095095A"/>
    <w:rsid w:val="0095187E"/>
    <w:rsid w:val="00951DFB"/>
    <w:rsid w:val="00953603"/>
    <w:rsid w:val="00953608"/>
    <w:rsid w:val="00953663"/>
    <w:rsid w:val="00953808"/>
    <w:rsid w:val="00953A2B"/>
    <w:rsid w:val="00953F82"/>
    <w:rsid w:val="009542F7"/>
    <w:rsid w:val="009544BF"/>
    <w:rsid w:val="00954992"/>
    <w:rsid w:val="00954C21"/>
    <w:rsid w:val="00955A2B"/>
    <w:rsid w:val="0095619B"/>
    <w:rsid w:val="00956A06"/>
    <w:rsid w:val="00956A07"/>
    <w:rsid w:val="00960578"/>
    <w:rsid w:val="00961136"/>
    <w:rsid w:val="00962D5A"/>
    <w:rsid w:val="009630F7"/>
    <w:rsid w:val="00963598"/>
    <w:rsid w:val="009659CD"/>
    <w:rsid w:val="00967FE6"/>
    <w:rsid w:val="00970B2E"/>
    <w:rsid w:val="0097108B"/>
    <w:rsid w:val="00971A63"/>
    <w:rsid w:val="00972B71"/>
    <w:rsid w:val="00974045"/>
    <w:rsid w:val="009740DC"/>
    <w:rsid w:val="009743C1"/>
    <w:rsid w:val="00974C39"/>
    <w:rsid w:val="00974F18"/>
    <w:rsid w:val="00974F5F"/>
    <w:rsid w:val="0097510A"/>
    <w:rsid w:val="00975D97"/>
    <w:rsid w:val="00975EF9"/>
    <w:rsid w:val="009765DB"/>
    <w:rsid w:val="009773C6"/>
    <w:rsid w:val="009773C8"/>
    <w:rsid w:val="0098016E"/>
    <w:rsid w:val="009811BB"/>
    <w:rsid w:val="00984C5F"/>
    <w:rsid w:val="00985433"/>
    <w:rsid w:val="0099000D"/>
    <w:rsid w:val="00992C1B"/>
    <w:rsid w:val="00993077"/>
    <w:rsid w:val="00993876"/>
    <w:rsid w:val="00994286"/>
    <w:rsid w:val="00994CDE"/>
    <w:rsid w:val="00995542"/>
    <w:rsid w:val="00996D2C"/>
    <w:rsid w:val="009A01D0"/>
    <w:rsid w:val="009A0209"/>
    <w:rsid w:val="009A0AB5"/>
    <w:rsid w:val="009A405D"/>
    <w:rsid w:val="009A56C6"/>
    <w:rsid w:val="009A60A5"/>
    <w:rsid w:val="009A71F0"/>
    <w:rsid w:val="009A7B57"/>
    <w:rsid w:val="009A7D0E"/>
    <w:rsid w:val="009B1124"/>
    <w:rsid w:val="009B256C"/>
    <w:rsid w:val="009B36B4"/>
    <w:rsid w:val="009B3AC5"/>
    <w:rsid w:val="009B4484"/>
    <w:rsid w:val="009B59F1"/>
    <w:rsid w:val="009B7D9D"/>
    <w:rsid w:val="009C047F"/>
    <w:rsid w:val="009C1131"/>
    <w:rsid w:val="009C2700"/>
    <w:rsid w:val="009C292F"/>
    <w:rsid w:val="009C2B88"/>
    <w:rsid w:val="009C3F74"/>
    <w:rsid w:val="009C51CB"/>
    <w:rsid w:val="009C5D35"/>
    <w:rsid w:val="009C6D3B"/>
    <w:rsid w:val="009C6DB3"/>
    <w:rsid w:val="009D09F7"/>
    <w:rsid w:val="009D1EAA"/>
    <w:rsid w:val="009D2856"/>
    <w:rsid w:val="009D38D4"/>
    <w:rsid w:val="009D3992"/>
    <w:rsid w:val="009D4487"/>
    <w:rsid w:val="009D471F"/>
    <w:rsid w:val="009D5641"/>
    <w:rsid w:val="009D6C4D"/>
    <w:rsid w:val="009D6DC4"/>
    <w:rsid w:val="009E1C6C"/>
    <w:rsid w:val="009E1D25"/>
    <w:rsid w:val="009E3036"/>
    <w:rsid w:val="009E31E1"/>
    <w:rsid w:val="009E36C7"/>
    <w:rsid w:val="009E4E14"/>
    <w:rsid w:val="009E4F6A"/>
    <w:rsid w:val="009E59D2"/>
    <w:rsid w:val="009E5DD7"/>
    <w:rsid w:val="009E61D2"/>
    <w:rsid w:val="009E7C3F"/>
    <w:rsid w:val="009F015D"/>
    <w:rsid w:val="009F0505"/>
    <w:rsid w:val="009F071D"/>
    <w:rsid w:val="009F0AC9"/>
    <w:rsid w:val="009F1ECF"/>
    <w:rsid w:val="009F39C8"/>
    <w:rsid w:val="009F5EFB"/>
    <w:rsid w:val="009F78F0"/>
    <w:rsid w:val="009F7D5C"/>
    <w:rsid w:val="00A0051E"/>
    <w:rsid w:val="00A00DB1"/>
    <w:rsid w:val="00A02135"/>
    <w:rsid w:val="00A02621"/>
    <w:rsid w:val="00A02976"/>
    <w:rsid w:val="00A02B31"/>
    <w:rsid w:val="00A04118"/>
    <w:rsid w:val="00A0427E"/>
    <w:rsid w:val="00A05A52"/>
    <w:rsid w:val="00A07B93"/>
    <w:rsid w:val="00A10456"/>
    <w:rsid w:val="00A129D7"/>
    <w:rsid w:val="00A12FA2"/>
    <w:rsid w:val="00A1392D"/>
    <w:rsid w:val="00A141D4"/>
    <w:rsid w:val="00A1431A"/>
    <w:rsid w:val="00A14728"/>
    <w:rsid w:val="00A1491D"/>
    <w:rsid w:val="00A14A74"/>
    <w:rsid w:val="00A14BB6"/>
    <w:rsid w:val="00A14BCD"/>
    <w:rsid w:val="00A157FB"/>
    <w:rsid w:val="00A15DFA"/>
    <w:rsid w:val="00A16AAB"/>
    <w:rsid w:val="00A16AF9"/>
    <w:rsid w:val="00A16F40"/>
    <w:rsid w:val="00A17254"/>
    <w:rsid w:val="00A205DF"/>
    <w:rsid w:val="00A21540"/>
    <w:rsid w:val="00A2170E"/>
    <w:rsid w:val="00A23505"/>
    <w:rsid w:val="00A236DE"/>
    <w:rsid w:val="00A2439F"/>
    <w:rsid w:val="00A243CE"/>
    <w:rsid w:val="00A248F2"/>
    <w:rsid w:val="00A25439"/>
    <w:rsid w:val="00A259E8"/>
    <w:rsid w:val="00A25CB7"/>
    <w:rsid w:val="00A26AB9"/>
    <w:rsid w:val="00A27FC5"/>
    <w:rsid w:val="00A30DD5"/>
    <w:rsid w:val="00A312EA"/>
    <w:rsid w:val="00A31424"/>
    <w:rsid w:val="00A32176"/>
    <w:rsid w:val="00A33692"/>
    <w:rsid w:val="00A36666"/>
    <w:rsid w:val="00A3777B"/>
    <w:rsid w:val="00A3782A"/>
    <w:rsid w:val="00A40370"/>
    <w:rsid w:val="00A41F7E"/>
    <w:rsid w:val="00A42FC9"/>
    <w:rsid w:val="00A4319C"/>
    <w:rsid w:val="00A445B7"/>
    <w:rsid w:val="00A446C5"/>
    <w:rsid w:val="00A50424"/>
    <w:rsid w:val="00A51DE9"/>
    <w:rsid w:val="00A52110"/>
    <w:rsid w:val="00A527CF"/>
    <w:rsid w:val="00A52DB1"/>
    <w:rsid w:val="00A5363A"/>
    <w:rsid w:val="00A53ADC"/>
    <w:rsid w:val="00A53C6D"/>
    <w:rsid w:val="00A54380"/>
    <w:rsid w:val="00A54947"/>
    <w:rsid w:val="00A54A40"/>
    <w:rsid w:val="00A5584C"/>
    <w:rsid w:val="00A573A9"/>
    <w:rsid w:val="00A57D4E"/>
    <w:rsid w:val="00A60A95"/>
    <w:rsid w:val="00A61213"/>
    <w:rsid w:val="00A616EF"/>
    <w:rsid w:val="00A62B8C"/>
    <w:rsid w:val="00A63B9A"/>
    <w:rsid w:val="00A63CD1"/>
    <w:rsid w:val="00A64903"/>
    <w:rsid w:val="00A6503E"/>
    <w:rsid w:val="00A65969"/>
    <w:rsid w:val="00A667E4"/>
    <w:rsid w:val="00A66C3C"/>
    <w:rsid w:val="00A6703B"/>
    <w:rsid w:val="00A701F6"/>
    <w:rsid w:val="00A7035E"/>
    <w:rsid w:val="00A70748"/>
    <w:rsid w:val="00A70C72"/>
    <w:rsid w:val="00A71F05"/>
    <w:rsid w:val="00A71FCD"/>
    <w:rsid w:val="00A726DB"/>
    <w:rsid w:val="00A72F25"/>
    <w:rsid w:val="00A734A5"/>
    <w:rsid w:val="00A73E33"/>
    <w:rsid w:val="00A7439E"/>
    <w:rsid w:val="00A751DC"/>
    <w:rsid w:val="00A7616E"/>
    <w:rsid w:val="00A7625F"/>
    <w:rsid w:val="00A76648"/>
    <w:rsid w:val="00A81205"/>
    <w:rsid w:val="00A81CC4"/>
    <w:rsid w:val="00A824E5"/>
    <w:rsid w:val="00A8260B"/>
    <w:rsid w:val="00A836BC"/>
    <w:rsid w:val="00A83AB2"/>
    <w:rsid w:val="00A85BAC"/>
    <w:rsid w:val="00A868BE"/>
    <w:rsid w:val="00A87032"/>
    <w:rsid w:val="00A87240"/>
    <w:rsid w:val="00A876D6"/>
    <w:rsid w:val="00A901B8"/>
    <w:rsid w:val="00A9040C"/>
    <w:rsid w:val="00A91BD6"/>
    <w:rsid w:val="00A91D8F"/>
    <w:rsid w:val="00A9237F"/>
    <w:rsid w:val="00A92819"/>
    <w:rsid w:val="00A92965"/>
    <w:rsid w:val="00A92AB9"/>
    <w:rsid w:val="00A9301D"/>
    <w:rsid w:val="00A9426A"/>
    <w:rsid w:val="00A9427B"/>
    <w:rsid w:val="00A947F8"/>
    <w:rsid w:val="00A95D38"/>
    <w:rsid w:val="00A9668B"/>
    <w:rsid w:val="00A96BFB"/>
    <w:rsid w:val="00A97C80"/>
    <w:rsid w:val="00A97F2D"/>
    <w:rsid w:val="00AA003F"/>
    <w:rsid w:val="00AA07AF"/>
    <w:rsid w:val="00AA0B04"/>
    <w:rsid w:val="00AA0DF7"/>
    <w:rsid w:val="00AA1595"/>
    <w:rsid w:val="00AA1A04"/>
    <w:rsid w:val="00AA2FDC"/>
    <w:rsid w:val="00AA31CA"/>
    <w:rsid w:val="00AA4173"/>
    <w:rsid w:val="00AA45BF"/>
    <w:rsid w:val="00AA4B1A"/>
    <w:rsid w:val="00AA5D9B"/>
    <w:rsid w:val="00AA6699"/>
    <w:rsid w:val="00AB037A"/>
    <w:rsid w:val="00AB1045"/>
    <w:rsid w:val="00AB1880"/>
    <w:rsid w:val="00AB19BA"/>
    <w:rsid w:val="00AB1D6A"/>
    <w:rsid w:val="00AB2555"/>
    <w:rsid w:val="00AB2718"/>
    <w:rsid w:val="00AB3C5E"/>
    <w:rsid w:val="00AB3DBB"/>
    <w:rsid w:val="00AB620F"/>
    <w:rsid w:val="00AB6A15"/>
    <w:rsid w:val="00AB6A18"/>
    <w:rsid w:val="00AB6AFA"/>
    <w:rsid w:val="00AB7814"/>
    <w:rsid w:val="00AB7F2D"/>
    <w:rsid w:val="00AC03EB"/>
    <w:rsid w:val="00AC122A"/>
    <w:rsid w:val="00AC14F1"/>
    <w:rsid w:val="00AC195F"/>
    <w:rsid w:val="00AC38A6"/>
    <w:rsid w:val="00AC3BD2"/>
    <w:rsid w:val="00AC3DC6"/>
    <w:rsid w:val="00AC406A"/>
    <w:rsid w:val="00AC413C"/>
    <w:rsid w:val="00AC44C3"/>
    <w:rsid w:val="00AC490F"/>
    <w:rsid w:val="00AC5255"/>
    <w:rsid w:val="00AC547C"/>
    <w:rsid w:val="00AC5679"/>
    <w:rsid w:val="00AC7D8F"/>
    <w:rsid w:val="00AC7E2E"/>
    <w:rsid w:val="00AD1265"/>
    <w:rsid w:val="00AD209D"/>
    <w:rsid w:val="00AD25B9"/>
    <w:rsid w:val="00AD2A06"/>
    <w:rsid w:val="00AD36F3"/>
    <w:rsid w:val="00AD4B0B"/>
    <w:rsid w:val="00AD6CB8"/>
    <w:rsid w:val="00AE00E9"/>
    <w:rsid w:val="00AE1BD6"/>
    <w:rsid w:val="00AE1D46"/>
    <w:rsid w:val="00AE236D"/>
    <w:rsid w:val="00AE5A55"/>
    <w:rsid w:val="00AE6003"/>
    <w:rsid w:val="00AE624F"/>
    <w:rsid w:val="00AE6B99"/>
    <w:rsid w:val="00AE6BEC"/>
    <w:rsid w:val="00AE7040"/>
    <w:rsid w:val="00AF0702"/>
    <w:rsid w:val="00AF0AA5"/>
    <w:rsid w:val="00AF0B3A"/>
    <w:rsid w:val="00AF0EBE"/>
    <w:rsid w:val="00AF0EFB"/>
    <w:rsid w:val="00AF13E6"/>
    <w:rsid w:val="00AF2458"/>
    <w:rsid w:val="00AF2889"/>
    <w:rsid w:val="00AF2C5F"/>
    <w:rsid w:val="00AF498B"/>
    <w:rsid w:val="00AF5A98"/>
    <w:rsid w:val="00AF5EF9"/>
    <w:rsid w:val="00AF620E"/>
    <w:rsid w:val="00AF6D36"/>
    <w:rsid w:val="00AF75BE"/>
    <w:rsid w:val="00AF79C9"/>
    <w:rsid w:val="00AF7E41"/>
    <w:rsid w:val="00B0168B"/>
    <w:rsid w:val="00B01BE3"/>
    <w:rsid w:val="00B02A47"/>
    <w:rsid w:val="00B035F8"/>
    <w:rsid w:val="00B036AC"/>
    <w:rsid w:val="00B038D8"/>
    <w:rsid w:val="00B052E0"/>
    <w:rsid w:val="00B06AFE"/>
    <w:rsid w:val="00B072BD"/>
    <w:rsid w:val="00B1176B"/>
    <w:rsid w:val="00B11D18"/>
    <w:rsid w:val="00B120E8"/>
    <w:rsid w:val="00B127B0"/>
    <w:rsid w:val="00B13407"/>
    <w:rsid w:val="00B13F7B"/>
    <w:rsid w:val="00B14629"/>
    <w:rsid w:val="00B151D8"/>
    <w:rsid w:val="00B15C8E"/>
    <w:rsid w:val="00B166DE"/>
    <w:rsid w:val="00B1688A"/>
    <w:rsid w:val="00B16D65"/>
    <w:rsid w:val="00B1780E"/>
    <w:rsid w:val="00B1781D"/>
    <w:rsid w:val="00B21942"/>
    <w:rsid w:val="00B2243A"/>
    <w:rsid w:val="00B228FE"/>
    <w:rsid w:val="00B230E1"/>
    <w:rsid w:val="00B23940"/>
    <w:rsid w:val="00B240C6"/>
    <w:rsid w:val="00B245DA"/>
    <w:rsid w:val="00B24E42"/>
    <w:rsid w:val="00B25A51"/>
    <w:rsid w:val="00B25EF5"/>
    <w:rsid w:val="00B25F29"/>
    <w:rsid w:val="00B2631A"/>
    <w:rsid w:val="00B264E1"/>
    <w:rsid w:val="00B26937"/>
    <w:rsid w:val="00B26A24"/>
    <w:rsid w:val="00B26CD2"/>
    <w:rsid w:val="00B26E42"/>
    <w:rsid w:val="00B274DC"/>
    <w:rsid w:val="00B27829"/>
    <w:rsid w:val="00B27B99"/>
    <w:rsid w:val="00B27C8E"/>
    <w:rsid w:val="00B30111"/>
    <w:rsid w:val="00B30EC9"/>
    <w:rsid w:val="00B31A7E"/>
    <w:rsid w:val="00B33DDE"/>
    <w:rsid w:val="00B33FB0"/>
    <w:rsid w:val="00B347F3"/>
    <w:rsid w:val="00B34C23"/>
    <w:rsid w:val="00B34E48"/>
    <w:rsid w:val="00B40580"/>
    <w:rsid w:val="00B40D1D"/>
    <w:rsid w:val="00B40D56"/>
    <w:rsid w:val="00B40F7E"/>
    <w:rsid w:val="00B4180E"/>
    <w:rsid w:val="00B42C03"/>
    <w:rsid w:val="00B44562"/>
    <w:rsid w:val="00B44A46"/>
    <w:rsid w:val="00B45A2B"/>
    <w:rsid w:val="00B50F4A"/>
    <w:rsid w:val="00B51B73"/>
    <w:rsid w:val="00B52542"/>
    <w:rsid w:val="00B5299E"/>
    <w:rsid w:val="00B53074"/>
    <w:rsid w:val="00B554D4"/>
    <w:rsid w:val="00B5729E"/>
    <w:rsid w:val="00B605F7"/>
    <w:rsid w:val="00B60EF2"/>
    <w:rsid w:val="00B6105C"/>
    <w:rsid w:val="00B617FF"/>
    <w:rsid w:val="00B61FFB"/>
    <w:rsid w:val="00B6501B"/>
    <w:rsid w:val="00B67D0C"/>
    <w:rsid w:val="00B70ACC"/>
    <w:rsid w:val="00B72011"/>
    <w:rsid w:val="00B72356"/>
    <w:rsid w:val="00B7236D"/>
    <w:rsid w:val="00B74D31"/>
    <w:rsid w:val="00B74F6E"/>
    <w:rsid w:val="00B751A1"/>
    <w:rsid w:val="00B760B4"/>
    <w:rsid w:val="00B76747"/>
    <w:rsid w:val="00B778BE"/>
    <w:rsid w:val="00B77949"/>
    <w:rsid w:val="00B80FBA"/>
    <w:rsid w:val="00B81584"/>
    <w:rsid w:val="00B815D5"/>
    <w:rsid w:val="00B82862"/>
    <w:rsid w:val="00B8286B"/>
    <w:rsid w:val="00B839CD"/>
    <w:rsid w:val="00B83DEE"/>
    <w:rsid w:val="00B83F17"/>
    <w:rsid w:val="00B84415"/>
    <w:rsid w:val="00B84CE8"/>
    <w:rsid w:val="00B87F33"/>
    <w:rsid w:val="00B90070"/>
    <w:rsid w:val="00B91320"/>
    <w:rsid w:val="00B92F62"/>
    <w:rsid w:val="00B93802"/>
    <w:rsid w:val="00B95152"/>
    <w:rsid w:val="00B952FB"/>
    <w:rsid w:val="00B95414"/>
    <w:rsid w:val="00B95D3B"/>
    <w:rsid w:val="00B96462"/>
    <w:rsid w:val="00B96FF1"/>
    <w:rsid w:val="00B971FD"/>
    <w:rsid w:val="00BA0EBF"/>
    <w:rsid w:val="00BA1999"/>
    <w:rsid w:val="00BA1DE6"/>
    <w:rsid w:val="00BA1EBC"/>
    <w:rsid w:val="00BA328A"/>
    <w:rsid w:val="00BA374C"/>
    <w:rsid w:val="00BA407E"/>
    <w:rsid w:val="00BA40B3"/>
    <w:rsid w:val="00BA465A"/>
    <w:rsid w:val="00BA47A1"/>
    <w:rsid w:val="00BA5522"/>
    <w:rsid w:val="00BA5659"/>
    <w:rsid w:val="00BA5BAD"/>
    <w:rsid w:val="00BA6299"/>
    <w:rsid w:val="00BA6424"/>
    <w:rsid w:val="00BA649A"/>
    <w:rsid w:val="00BA6567"/>
    <w:rsid w:val="00BA7B4D"/>
    <w:rsid w:val="00BB0418"/>
    <w:rsid w:val="00BB05C1"/>
    <w:rsid w:val="00BB0A81"/>
    <w:rsid w:val="00BB18BD"/>
    <w:rsid w:val="00BB1A99"/>
    <w:rsid w:val="00BB2F5F"/>
    <w:rsid w:val="00BB3E9A"/>
    <w:rsid w:val="00BB4E91"/>
    <w:rsid w:val="00BB5A6E"/>
    <w:rsid w:val="00BB651C"/>
    <w:rsid w:val="00BB674F"/>
    <w:rsid w:val="00BB6764"/>
    <w:rsid w:val="00BB69AD"/>
    <w:rsid w:val="00BB6E1C"/>
    <w:rsid w:val="00BB739E"/>
    <w:rsid w:val="00BC019B"/>
    <w:rsid w:val="00BC100F"/>
    <w:rsid w:val="00BC1B7C"/>
    <w:rsid w:val="00BC335D"/>
    <w:rsid w:val="00BC339A"/>
    <w:rsid w:val="00BC3C0E"/>
    <w:rsid w:val="00BC52C9"/>
    <w:rsid w:val="00BC5ABD"/>
    <w:rsid w:val="00BC6BDA"/>
    <w:rsid w:val="00BC6DAD"/>
    <w:rsid w:val="00BD10C8"/>
    <w:rsid w:val="00BD16E8"/>
    <w:rsid w:val="00BD255E"/>
    <w:rsid w:val="00BD2C6A"/>
    <w:rsid w:val="00BD2E63"/>
    <w:rsid w:val="00BD3E6D"/>
    <w:rsid w:val="00BD7AC5"/>
    <w:rsid w:val="00BD7F4D"/>
    <w:rsid w:val="00BE0E84"/>
    <w:rsid w:val="00BE1420"/>
    <w:rsid w:val="00BE1586"/>
    <w:rsid w:val="00BE19B8"/>
    <w:rsid w:val="00BE2B7F"/>
    <w:rsid w:val="00BE2C75"/>
    <w:rsid w:val="00BE369D"/>
    <w:rsid w:val="00BE3B36"/>
    <w:rsid w:val="00BE4D03"/>
    <w:rsid w:val="00BE5CEA"/>
    <w:rsid w:val="00BE7017"/>
    <w:rsid w:val="00BE7378"/>
    <w:rsid w:val="00BE788D"/>
    <w:rsid w:val="00BE7906"/>
    <w:rsid w:val="00BE798B"/>
    <w:rsid w:val="00BE7F08"/>
    <w:rsid w:val="00BF0969"/>
    <w:rsid w:val="00BF108E"/>
    <w:rsid w:val="00BF15F0"/>
    <w:rsid w:val="00BF1BD6"/>
    <w:rsid w:val="00BF1C6B"/>
    <w:rsid w:val="00BF3658"/>
    <w:rsid w:val="00BF3F9C"/>
    <w:rsid w:val="00BF49B0"/>
    <w:rsid w:val="00BF59F4"/>
    <w:rsid w:val="00C00F72"/>
    <w:rsid w:val="00C01D3E"/>
    <w:rsid w:val="00C01DDE"/>
    <w:rsid w:val="00C03FFD"/>
    <w:rsid w:val="00C04D10"/>
    <w:rsid w:val="00C05116"/>
    <w:rsid w:val="00C0606C"/>
    <w:rsid w:val="00C0696D"/>
    <w:rsid w:val="00C1086B"/>
    <w:rsid w:val="00C10CDB"/>
    <w:rsid w:val="00C11418"/>
    <w:rsid w:val="00C134EC"/>
    <w:rsid w:val="00C141C9"/>
    <w:rsid w:val="00C15084"/>
    <w:rsid w:val="00C1593E"/>
    <w:rsid w:val="00C15940"/>
    <w:rsid w:val="00C15BA8"/>
    <w:rsid w:val="00C16F01"/>
    <w:rsid w:val="00C203D4"/>
    <w:rsid w:val="00C21E75"/>
    <w:rsid w:val="00C22D7A"/>
    <w:rsid w:val="00C23D65"/>
    <w:rsid w:val="00C24009"/>
    <w:rsid w:val="00C25FD4"/>
    <w:rsid w:val="00C2600E"/>
    <w:rsid w:val="00C26113"/>
    <w:rsid w:val="00C26C41"/>
    <w:rsid w:val="00C26CA2"/>
    <w:rsid w:val="00C271DB"/>
    <w:rsid w:val="00C30062"/>
    <w:rsid w:val="00C31072"/>
    <w:rsid w:val="00C3162E"/>
    <w:rsid w:val="00C32603"/>
    <w:rsid w:val="00C330BA"/>
    <w:rsid w:val="00C3343D"/>
    <w:rsid w:val="00C35711"/>
    <w:rsid w:val="00C36C10"/>
    <w:rsid w:val="00C37F61"/>
    <w:rsid w:val="00C410D1"/>
    <w:rsid w:val="00C4121D"/>
    <w:rsid w:val="00C41828"/>
    <w:rsid w:val="00C46465"/>
    <w:rsid w:val="00C4672B"/>
    <w:rsid w:val="00C468E9"/>
    <w:rsid w:val="00C4747B"/>
    <w:rsid w:val="00C50971"/>
    <w:rsid w:val="00C518BE"/>
    <w:rsid w:val="00C525C7"/>
    <w:rsid w:val="00C52BC8"/>
    <w:rsid w:val="00C52E2C"/>
    <w:rsid w:val="00C551F8"/>
    <w:rsid w:val="00C55424"/>
    <w:rsid w:val="00C55F54"/>
    <w:rsid w:val="00C565EB"/>
    <w:rsid w:val="00C5770E"/>
    <w:rsid w:val="00C6150A"/>
    <w:rsid w:val="00C6154C"/>
    <w:rsid w:val="00C61B53"/>
    <w:rsid w:val="00C620D3"/>
    <w:rsid w:val="00C62AC5"/>
    <w:rsid w:val="00C630AC"/>
    <w:rsid w:val="00C6410B"/>
    <w:rsid w:val="00C64265"/>
    <w:rsid w:val="00C6448D"/>
    <w:rsid w:val="00C64564"/>
    <w:rsid w:val="00C6664D"/>
    <w:rsid w:val="00C66CBE"/>
    <w:rsid w:val="00C67342"/>
    <w:rsid w:val="00C67743"/>
    <w:rsid w:val="00C67F8A"/>
    <w:rsid w:val="00C704C0"/>
    <w:rsid w:val="00C704E2"/>
    <w:rsid w:val="00C70B92"/>
    <w:rsid w:val="00C7227F"/>
    <w:rsid w:val="00C7284E"/>
    <w:rsid w:val="00C7417D"/>
    <w:rsid w:val="00C74DF9"/>
    <w:rsid w:val="00C76859"/>
    <w:rsid w:val="00C76C16"/>
    <w:rsid w:val="00C80F89"/>
    <w:rsid w:val="00C81134"/>
    <w:rsid w:val="00C813DE"/>
    <w:rsid w:val="00C81F2E"/>
    <w:rsid w:val="00C820C0"/>
    <w:rsid w:val="00C82523"/>
    <w:rsid w:val="00C83623"/>
    <w:rsid w:val="00C836D5"/>
    <w:rsid w:val="00C842A2"/>
    <w:rsid w:val="00C84727"/>
    <w:rsid w:val="00C850E2"/>
    <w:rsid w:val="00C86BA3"/>
    <w:rsid w:val="00C87B83"/>
    <w:rsid w:val="00C92255"/>
    <w:rsid w:val="00C93A92"/>
    <w:rsid w:val="00C93C59"/>
    <w:rsid w:val="00C94C58"/>
    <w:rsid w:val="00C9505D"/>
    <w:rsid w:val="00C95C76"/>
    <w:rsid w:val="00C9706D"/>
    <w:rsid w:val="00C9765D"/>
    <w:rsid w:val="00CA011C"/>
    <w:rsid w:val="00CA1CD7"/>
    <w:rsid w:val="00CA34C2"/>
    <w:rsid w:val="00CA3920"/>
    <w:rsid w:val="00CA42E3"/>
    <w:rsid w:val="00CA4517"/>
    <w:rsid w:val="00CA46AB"/>
    <w:rsid w:val="00CA58F5"/>
    <w:rsid w:val="00CA6417"/>
    <w:rsid w:val="00CA66B6"/>
    <w:rsid w:val="00CA66C7"/>
    <w:rsid w:val="00CA7BAE"/>
    <w:rsid w:val="00CB01EE"/>
    <w:rsid w:val="00CB0364"/>
    <w:rsid w:val="00CB0980"/>
    <w:rsid w:val="00CB1C0A"/>
    <w:rsid w:val="00CB21EF"/>
    <w:rsid w:val="00CB297C"/>
    <w:rsid w:val="00CB2985"/>
    <w:rsid w:val="00CB3948"/>
    <w:rsid w:val="00CB4B18"/>
    <w:rsid w:val="00CB4C95"/>
    <w:rsid w:val="00CB6C76"/>
    <w:rsid w:val="00CB6EC8"/>
    <w:rsid w:val="00CB7D30"/>
    <w:rsid w:val="00CC05D4"/>
    <w:rsid w:val="00CC494D"/>
    <w:rsid w:val="00CC4DE8"/>
    <w:rsid w:val="00CC5012"/>
    <w:rsid w:val="00CC54C1"/>
    <w:rsid w:val="00CC5A0C"/>
    <w:rsid w:val="00CD0E49"/>
    <w:rsid w:val="00CD1356"/>
    <w:rsid w:val="00CD1698"/>
    <w:rsid w:val="00CD23CE"/>
    <w:rsid w:val="00CD25EE"/>
    <w:rsid w:val="00CD2DE7"/>
    <w:rsid w:val="00CD2E25"/>
    <w:rsid w:val="00CD51E0"/>
    <w:rsid w:val="00CD5C1C"/>
    <w:rsid w:val="00CD71C8"/>
    <w:rsid w:val="00CD7864"/>
    <w:rsid w:val="00CE1191"/>
    <w:rsid w:val="00CE177A"/>
    <w:rsid w:val="00CE1EB4"/>
    <w:rsid w:val="00CE213F"/>
    <w:rsid w:val="00CE2279"/>
    <w:rsid w:val="00CE2B79"/>
    <w:rsid w:val="00CE2C00"/>
    <w:rsid w:val="00CE2D60"/>
    <w:rsid w:val="00CE3C9A"/>
    <w:rsid w:val="00CE4480"/>
    <w:rsid w:val="00CE4BD0"/>
    <w:rsid w:val="00CE4CD5"/>
    <w:rsid w:val="00CE6381"/>
    <w:rsid w:val="00CE6AC0"/>
    <w:rsid w:val="00CF0663"/>
    <w:rsid w:val="00CF1CEF"/>
    <w:rsid w:val="00CF245C"/>
    <w:rsid w:val="00CF2659"/>
    <w:rsid w:val="00CF350E"/>
    <w:rsid w:val="00CF3F70"/>
    <w:rsid w:val="00CF5166"/>
    <w:rsid w:val="00CF69AC"/>
    <w:rsid w:val="00CF723C"/>
    <w:rsid w:val="00CF7693"/>
    <w:rsid w:val="00D016CA"/>
    <w:rsid w:val="00D017BE"/>
    <w:rsid w:val="00D01B03"/>
    <w:rsid w:val="00D02F4B"/>
    <w:rsid w:val="00D031D0"/>
    <w:rsid w:val="00D035A9"/>
    <w:rsid w:val="00D03D6B"/>
    <w:rsid w:val="00D03F28"/>
    <w:rsid w:val="00D04082"/>
    <w:rsid w:val="00D047F3"/>
    <w:rsid w:val="00D04B61"/>
    <w:rsid w:val="00D063A9"/>
    <w:rsid w:val="00D07096"/>
    <w:rsid w:val="00D11C81"/>
    <w:rsid w:val="00D1208F"/>
    <w:rsid w:val="00D133EA"/>
    <w:rsid w:val="00D20B0D"/>
    <w:rsid w:val="00D21E42"/>
    <w:rsid w:val="00D23EA0"/>
    <w:rsid w:val="00D24132"/>
    <w:rsid w:val="00D24153"/>
    <w:rsid w:val="00D24548"/>
    <w:rsid w:val="00D26276"/>
    <w:rsid w:val="00D26E98"/>
    <w:rsid w:val="00D27718"/>
    <w:rsid w:val="00D30081"/>
    <w:rsid w:val="00D304C1"/>
    <w:rsid w:val="00D30C4A"/>
    <w:rsid w:val="00D3167A"/>
    <w:rsid w:val="00D31AC2"/>
    <w:rsid w:val="00D31AEF"/>
    <w:rsid w:val="00D343B2"/>
    <w:rsid w:val="00D3532B"/>
    <w:rsid w:val="00D357CA"/>
    <w:rsid w:val="00D35DA5"/>
    <w:rsid w:val="00D376C1"/>
    <w:rsid w:val="00D41B5E"/>
    <w:rsid w:val="00D41E2F"/>
    <w:rsid w:val="00D42672"/>
    <w:rsid w:val="00D42D09"/>
    <w:rsid w:val="00D4301D"/>
    <w:rsid w:val="00D4450E"/>
    <w:rsid w:val="00D4539C"/>
    <w:rsid w:val="00D457F1"/>
    <w:rsid w:val="00D45CE3"/>
    <w:rsid w:val="00D46DD9"/>
    <w:rsid w:val="00D47FA2"/>
    <w:rsid w:val="00D504AF"/>
    <w:rsid w:val="00D52155"/>
    <w:rsid w:val="00D53FF7"/>
    <w:rsid w:val="00D546F4"/>
    <w:rsid w:val="00D54A7A"/>
    <w:rsid w:val="00D553ED"/>
    <w:rsid w:val="00D5549E"/>
    <w:rsid w:val="00D56886"/>
    <w:rsid w:val="00D57009"/>
    <w:rsid w:val="00D60528"/>
    <w:rsid w:val="00D6182B"/>
    <w:rsid w:val="00D65FAC"/>
    <w:rsid w:val="00D67892"/>
    <w:rsid w:val="00D71451"/>
    <w:rsid w:val="00D72441"/>
    <w:rsid w:val="00D72ADC"/>
    <w:rsid w:val="00D72BA6"/>
    <w:rsid w:val="00D7397C"/>
    <w:rsid w:val="00D74B2C"/>
    <w:rsid w:val="00D753F1"/>
    <w:rsid w:val="00D77F1F"/>
    <w:rsid w:val="00D8005B"/>
    <w:rsid w:val="00D8163E"/>
    <w:rsid w:val="00D81CB6"/>
    <w:rsid w:val="00D82D58"/>
    <w:rsid w:val="00D83F66"/>
    <w:rsid w:val="00D84429"/>
    <w:rsid w:val="00D84D51"/>
    <w:rsid w:val="00D85B44"/>
    <w:rsid w:val="00D8698C"/>
    <w:rsid w:val="00D86CE5"/>
    <w:rsid w:val="00D8746E"/>
    <w:rsid w:val="00D87AF6"/>
    <w:rsid w:val="00D90740"/>
    <w:rsid w:val="00D9111F"/>
    <w:rsid w:val="00D91B1D"/>
    <w:rsid w:val="00D931D7"/>
    <w:rsid w:val="00D93AEB"/>
    <w:rsid w:val="00D951D2"/>
    <w:rsid w:val="00D9781D"/>
    <w:rsid w:val="00D97CCD"/>
    <w:rsid w:val="00DA11D1"/>
    <w:rsid w:val="00DA14A8"/>
    <w:rsid w:val="00DA23DC"/>
    <w:rsid w:val="00DA3DE4"/>
    <w:rsid w:val="00DA51AD"/>
    <w:rsid w:val="00DA7373"/>
    <w:rsid w:val="00DB06DD"/>
    <w:rsid w:val="00DB1138"/>
    <w:rsid w:val="00DB14D0"/>
    <w:rsid w:val="00DB151A"/>
    <w:rsid w:val="00DB28B7"/>
    <w:rsid w:val="00DB3929"/>
    <w:rsid w:val="00DB40FD"/>
    <w:rsid w:val="00DB5011"/>
    <w:rsid w:val="00DB5075"/>
    <w:rsid w:val="00DB52F8"/>
    <w:rsid w:val="00DB5BAD"/>
    <w:rsid w:val="00DB733D"/>
    <w:rsid w:val="00DB744D"/>
    <w:rsid w:val="00DC0027"/>
    <w:rsid w:val="00DC046E"/>
    <w:rsid w:val="00DC0616"/>
    <w:rsid w:val="00DC0727"/>
    <w:rsid w:val="00DC0B7E"/>
    <w:rsid w:val="00DC1A0D"/>
    <w:rsid w:val="00DC4563"/>
    <w:rsid w:val="00DC4906"/>
    <w:rsid w:val="00DC52F6"/>
    <w:rsid w:val="00DC644A"/>
    <w:rsid w:val="00DD03D8"/>
    <w:rsid w:val="00DD1BAB"/>
    <w:rsid w:val="00DD1DDF"/>
    <w:rsid w:val="00DD2076"/>
    <w:rsid w:val="00DD209E"/>
    <w:rsid w:val="00DD249B"/>
    <w:rsid w:val="00DD2E59"/>
    <w:rsid w:val="00DD3B2F"/>
    <w:rsid w:val="00DD3C36"/>
    <w:rsid w:val="00DD442C"/>
    <w:rsid w:val="00DD484F"/>
    <w:rsid w:val="00DD487F"/>
    <w:rsid w:val="00DD51CB"/>
    <w:rsid w:val="00DD521D"/>
    <w:rsid w:val="00DD746E"/>
    <w:rsid w:val="00DD76CE"/>
    <w:rsid w:val="00DD7742"/>
    <w:rsid w:val="00DD7BB6"/>
    <w:rsid w:val="00DD7EF3"/>
    <w:rsid w:val="00DE0506"/>
    <w:rsid w:val="00DE1D2C"/>
    <w:rsid w:val="00DE2B6B"/>
    <w:rsid w:val="00DE2DFD"/>
    <w:rsid w:val="00DE4BCD"/>
    <w:rsid w:val="00DE57DB"/>
    <w:rsid w:val="00DE6595"/>
    <w:rsid w:val="00DE659B"/>
    <w:rsid w:val="00DF034A"/>
    <w:rsid w:val="00DF03BB"/>
    <w:rsid w:val="00DF0B13"/>
    <w:rsid w:val="00DF0FD7"/>
    <w:rsid w:val="00DF0FEA"/>
    <w:rsid w:val="00DF12E3"/>
    <w:rsid w:val="00DF1E3E"/>
    <w:rsid w:val="00DF1FBB"/>
    <w:rsid w:val="00DF430D"/>
    <w:rsid w:val="00DF4952"/>
    <w:rsid w:val="00DF5B87"/>
    <w:rsid w:val="00DF5C3D"/>
    <w:rsid w:val="00DF7933"/>
    <w:rsid w:val="00DF799F"/>
    <w:rsid w:val="00DF7A05"/>
    <w:rsid w:val="00E006B6"/>
    <w:rsid w:val="00E0080F"/>
    <w:rsid w:val="00E02269"/>
    <w:rsid w:val="00E029D5"/>
    <w:rsid w:val="00E03577"/>
    <w:rsid w:val="00E0378B"/>
    <w:rsid w:val="00E03F23"/>
    <w:rsid w:val="00E05628"/>
    <w:rsid w:val="00E06A26"/>
    <w:rsid w:val="00E06AD6"/>
    <w:rsid w:val="00E07AAE"/>
    <w:rsid w:val="00E07E09"/>
    <w:rsid w:val="00E105B8"/>
    <w:rsid w:val="00E118B9"/>
    <w:rsid w:val="00E12028"/>
    <w:rsid w:val="00E1233C"/>
    <w:rsid w:val="00E1257B"/>
    <w:rsid w:val="00E13009"/>
    <w:rsid w:val="00E13393"/>
    <w:rsid w:val="00E13B6F"/>
    <w:rsid w:val="00E1697E"/>
    <w:rsid w:val="00E16BBA"/>
    <w:rsid w:val="00E177A4"/>
    <w:rsid w:val="00E22500"/>
    <w:rsid w:val="00E227C9"/>
    <w:rsid w:val="00E22F68"/>
    <w:rsid w:val="00E23819"/>
    <w:rsid w:val="00E243F9"/>
    <w:rsid w:val="00E24FB3"/>
    <w:rsid w:val="00E25068"/>
    <w:rsid w:val="00E2557A"/>
    <w:rsid w:val="00E25D81"/>
    <w:rsid w:val="00E26AF2"/>
    <w:rsid w:val="00E26FAE"/>
    <w:rsid w:val="00E2762E"/>
    <w:rsid w:val="00E303E0"/>
    <w:rsid w:val="00E30408"/>
    <w:rsid w:val="00E30EFB"/>
    <w:rsid w:val="00E320DA"/>
    <w:rsid w:val="00E32B86"/>
    <w:rsid w:val="00E33548"/>
    <w:rsid w:val="00E33AC2"/>
    <w:rsid w:val="00E33AD1"/>
    <w:rsid w:val="00E33F8E"/>
    <w:rsid w:val="00E3580C"/>
    <w:rsid w:val="00E35CBE"/>
    <w:rsid w:val="00E3615D"/>
    <w:rsid w:val="00E37F28"/>
    <w:rsid w:val="00E400BB"/>
    <w:rsid w:val="00E40516"/>
    <w:rsid w:val="00E405F5"/>
    <w:rsid w:val="00E4083F"/>
    <w:rsid w:val="00E40CC0"/>
    <w:rsid w:val="00E41521"/>
    <w:rsid w:val="00E42B00"/>
    <w:rsid w:val="00E44698"/>
    <w:rsid w:val="00E44F0D"/>
    <w:rsid w:val="00E455F5"/>
    <w:rsid w:val="00E456A8"/>
    <w:rsid w:val="00E45F2A"/>
    <w:rsid w:val="00E477A3"/>
    <w:rsid w:val="00E47885"/>
    <w:rsid w:val="00E479C2"/>
    <w:rsid w:val="00E47B79"/>
    <w:rsid w:val="00E51E87"/>
    <w:rsid w:val="00E52AC3"/>
    <w:rsid w:val="00E5309B"/>
    <w:rsid w:val="00E53133"/>
    <w:rsid w:val="00E53849"/>
    <w:rsid w:val="00E538D9"/>
    <w:rsid w:val="00E53D0E"/>
    <w:rsid w:val="00E53E04"/>
    <w:rsid w:val="00E54270"/>
    <w:rsid w:val="00E547ED"/>
    <w:rsid w:val="00E554A9"/>
    <w:rsid w:val="00E56197"/>
    <w:rsid w:val="00E56850"/>
    <w:rsid w:val="00E56C7A"/>
    <w:rsid w:val="00E60310"/>
    <w:rsid w:val="00E60CAE"/>
    <w:rsid w:val="00E617C1"/>
    <w:rsid w:val="00E61935"/>
    <w:rsid w:val="00E62B4D"/>
    <w:rsid w:val="00E62EB1"/>
    <w:rsid w:val="00E6358A"/>
    <w:rsid w:val="00E63CB4"/>
    <w:rsid w:val="00E64173"/>
    <w:rsid w:val="00E64263"/>
    <w:rsid w:val="00E6495B"/>
    <w:rsid w:val="00E65A29"/>
    <w:rsid w:val="00E66266"/>
    <w:rsid w:val="00E666FB"/>
    <w:rsid w:val="00E6695E"/>
    <w:rsid w:val="00E66A42"/>
    <w:rsid w:val="00E66C0C"/>
    <w:rsid w:val="00E70D51"/>
    <w:rsid w:val="00E71B13"/>
    <w:rsid w:val="00E71DC2"/>
    <w:rsid w:val="00E72564"/>
    <w:rsid w:val="00E73425"/>
    <w:rsid w:val="00E74359"/>
    <w:rsid w:val="00E77E0E"/>
    <w:rsid w:val="00E77E98"/>
    <w:rsid w:val="00E80DDB"/>
    <w:rsid w:val="00E821D7"/>
    <w:rsid w:val="00E8274E"/>
    <w:rsid w:val="00E87A9C"/>
    <w:rsid w:val="00E87B7D"/>
    <w:rsid w:val="00E87E3D"/>
    <w:rsid w:val="00E87EAD"/>
    <w:rsid w:val="00E9045F"/>
    <w:rsid w:val="00E920C5"/>
    <w:rsid w:val="00E934A6"/>
    <w:rsid w:val="00E958C4"/>
    <w:rsid w:val="00E97011"/>
    <w:rsid w:val="00E97303"/>
    <w:rsid w:val="00E973E3"/>
    <w:rsid w:val="00E978B5"/>
    <w:rsid w:val="00E97D98"/>
    <w:rsid w:val="00EA0048"/>
    <w:rsid w:val="00EA0096"/>
    <w:rsid w:val="00EA0692"/>
    <w:rsid w:val="00EA0DD6"/>
    <w:rsid w:val="00EA1466"/>
    <w:rsid w:val="00EA3363"/>
    <w:rsid w:val="00EA34B8"/>
    <w:rsid w:val="00EA3E7A"/>
    <w:rsid w:val="00EA3FD8"/>
    <w:rsid w:val="00EA4330"/>
    <w:rsid w:val="00EA5EB5"/>
    <w:rsid w:val="00EA5EFF"/>
    <w:rsid w:val="00EA74CD"/>
    <w:rsid w:val="00EB196C"/>
    <w:rsid w:val="00EB2541"/>
    <w:rsid w:val="00EB2A4D"/>
    <w:rsid w:val="00EB349C"/>
    <w:rsid w:val="00EB574C"/>
    <w:rsid w:val="00EB5D91"/>
    <w:rsid w:val="00EB73AE"/>
    <w:rsid w:val="00EC014C"/>
    <w:rsid w:val="00EC07AC"/>
    <w:rsid w:val="00EC102A"/>
    <w:rsid w:val="00EC2129"/>
    <w:rsid w:val="00EC24FD"/>
    <w:rsid w:val="00EC2961"/>
    <w:rsid w:val="00EC3354"/>
    <w:rsid w:val="00EC34DF"/>
    <w:rsid w:val="00EC3C03"/>
    <w:rsid w:val="00EC4DB9"/>
    <w:rsid w:val="00EC57DE"/>
    <w:rsid w:val="00EC66F2"/>
    <w:rsid w:val="00EC7A06"/>
    <w:rsid w:val="00EC7B7C"/>
    <w:rsid w:val="00ED12BE"/>
    <w:rsid w:val="00ED1D39"/>
    <w:rsid w:val="00ED3597"/>
    <w:rsid w:val="00ED485F"/>
    <w:rsid w:val="00ED5598"/>
    <w:rsid w:val="00ED5AF8"/>
    <w:rsid w:val="00ED5EA1"/>
    <w:rsid w:val="00ED6985"/>
    <w:rsid w:val="00ED6B1B"/>
    <w:rsid w:val="00EE02CF"/>
    <w:rsid w:val="00EE0AAC"/>
    <w:rsid w:val="00EE11DA"/>
    <w:rsid w:val="00EE15B3"/>
    <w:rsid w:val="00EE1BC5"/>
    <w:rsid w:val="00EE2345"/>
    <w:rsid w:val="00EE2B66"/>
    <w:rsid w:val="00EE2E28"/>
    <w:rsid w:val="00EE417F"/>
    <w:rsid w:val="00EE470A"/>
    <w:rsid w:val="00EE47E7"/>
    <w:rsid w:val="00EE564A"/>
    <w:rsid w:val="00EE58BF"/>
    <w:rsid w:val="00EE6BDC"/>
    <w:rsid w:val="00EF132F"/>
    <w:rsid w:val="00EF1426"/>
    <w:rsid w:val="00EF1652"/>
    <w:rsid w:val="00EF1C0D"/>
    <w:rsid w:val="00EF24DD"/>
    <w:rsid w:val="00EF2C0A"/>
    <w:rsid w:val="00EF367C"/>
    <w:rsid w:val="00EF3763"/>
    <w:rsid w:val="00EF4FD1"/>
    <w:rsid w:val="00EF5884"/>
    <w:rsid w:val="00EF5A30"/>
    <w:rsid w:val="00EF636C"/>
    <w:rsid w:val="00EF66E3"/>
    <w:rsid w:val="00F00E12"/>
    <w:rsid w:val="00F012B1"/>
    <w:rsid w:val="00F01C3C"/>
    <w:rsid w:val="00F0291D"/>
    <w:rsid w:val="00F029D8"/>
    <w:rsid w:val="00F02B44"/>
    <w:rsid w:val="00F04857"/>
    <w:rsid w:val="00F04D5D"/>
    <w:rsid w:val="00F067C2"/>
    <w:rsid w:val="00F0706C"/>
    <w:rsid w:val="00F07277"/>
    <w:rsid w:val="00F1181C"/>
    <w:rsid w:val="00F125F3"/>
    <w:rsid w:val="00F12C87"/>
    <w:rsid w:val="00F14514"/>
    <w:rsid w:val="00F148B2"/>
    <w:rsid w:val="00F15C6C"/>
    <w:rsid w:val="00F16673"/>
    <w:rsid w:val="00F1779C"/>
    <w:rsid w:val="00F1780A"/>
    <w:rsid w:val="00F17D5E"/>
    <w:rsid w:val="00F17FDA"/>
    <w:rsid w:val="00F2011D"/>
    <w:rsid w:val="00F22455"/>
    <w:rsid w:val="00F23E53"/>
    <w:rsid w:val="00F23E72"/>
    <w:rsid w:val="00F24237"/>
    <w:rsid w:val="00F248A4"/>
    <w:rsid w:val="00F2523B"/>
    <w:rsid w:val="00F252A7"/>
    <w:rsid w:val="00F264CE"/>
    <w:rsid w:val="00F27082"/>
    <w:rsid w:val="00F271C9"/>
    <w:rsid w:val="00F27246"/>
    <w:rsid w:val="00F274BF"/>
    <w:rsid w:val="00F27A32"/>
    <w:rsid w:val="00F27D23"/>
    <w:rsid w:val="00F314A9"/>
    <w:rsid w:val="00F3213A"/>
    <w:rsid w:val="00F3274E"/>
    <w:rsid w:val="00F33539"/>
    <w:rsid w:val="00F345F1"/>
    <w:rsid w:val="00F3462E"/>
    <w:rsid w:val="00F34A8B"/>
    <w:rsid w:val="00F356A6"/>
    <w:rsid w:val="00F35DF9"/>
    <w:rsid w:val="00F35F9A"/>
    <w:rsid w:val="00F3693E"/>
    <w:rsid w:val="00F36A29"/>
    <w:rsid w:val="00F370FC"/>
    <w:rsid w:val="00F40CF0"/>
    <w:rsid w:val="00F41F7F"/>
    <w:rsid w:val="00F42046"/>
    <w:rsid w:val="00F43F29"/>
    <w:rsid w:val="00F456DC"/>
    <w:rsid w:val="00F50E37"/>
    <w:rsid w:val="00F512E8"/>
    <w:rsid w:val="00F5182F"/>
    <w:rsid w:val="00F51BAE"/>
    <w:rsid w:val="00F521A6"/>
    <w:rsid w:val="00F531FC"/>
    <w:rsid w:val="00F54A4A"/>
    <w:rsid w:val="00F56637"/>
    <w:rsid w:val="00F56EAB"/>
    <w:rsid w:val="00F572B7"/>
    <w:rsid w:val="00F57407"/>
    <w:rsid w:val="00F5753F"/>
    <w:rsid w:val="00F57559"/>
    <w:rsid w:val="00F60D93"/>
    <w:rsid w:val="00F616F6"/>
    <w:rsid w:val="00F640BE"/>
    <w:rsid w:val="00F64156"/>
    <w:rsid w:val="00F6431A"/>
    <w:rsid w:val="00F64B7F"/>
    <w:rsid w:val="00F65FBE"/>
    <w:rsid w:val="00F66FEC"/>
    <w:rsid w:val="00F679DA"/>
    <w:rsid w:val="00F70979"/>
    <w:rsid w:val="00F70FCE"/>
    <w:rsid w:val="00F71B43"/>
    <w:rsid w:val="00F71F72"/>
    <w:rsid w:val="00F76037"/>
    <w:rsid w:val="00F7637F"/>
    <w:rsid w:val="00F766DA"/>
    <w:rsid w:val="00F77B22"/>
    <w:rsid w:val="00F77BA2"/>
    <w:rsid w:val="00F8053B"/>
    <w:rsid w:val="00F81F7D"/>
    <w:rsid w:val="00F83154"/>
    <w:rsid w:val="00F83CF1"/>
    <w:rsid w:val="00F84107"/>
    <w:rsid w:val="00F85035"/>
    <w:rsid w:val="00F858C6"/>
    <w:rsid w:val="00F87A0D"/>
    <w:rsid w:val="00F923E9"/>
    <w:rsid w:val="00F9259A"/>
    <w:rsid w:val="00F92840"/>
    <w:rsid w:val="00F92DC1"/>
    <w:rsid w:val="00F93BCE"/>
    <w:rsid w:val="00F93D48"/>
    <w:rsid w:val="00F95C6D"/>
    <w:rsid w:val="00F9738A"/>
    <w:rsid w:val="00F974F3"/>
    <w:rsid w:val="00F97B20"/>
    <w:rsid w:val="00FA0B91"/>
    <w:rsid w:val="00FA1842"/>
    <w:rsid w:val="00FA1A8F"/>
    <w:rsid w:val="00FA29EF"/>
    <w:rsid w:val="00FA3709"/>
    <w:rsid w:val="00FA3993"/>
    <w:rsid w:val="00FA3EA5"/>
    <w:rsid w:val="00FA43C2"/>
    <w:rsid w:val="00FA4F5E"/>
    <w:rsid w:val="00FA57ED"/>
    <w:rsid w:val="00FA5985"/>
    <w:rsid w:val="00FA6A77"/>
    <w:rsid w:val="00FA6B7D"/>
    <w:rsid w:val="00FB03BD"/>
    <w:rsid w:val="00FB11A0"/>
    <w:rsid w:val="00FB265B"/>
    <w:rsid w:val="00FB3FE6"/>
    <w:rsid w:val="00FB4C94"/>
    <w:rsid w:val="00FB5CF8"/>
    <w:rsid w:val="00FB6248"/>
    <w:rsid w:val="00FB6BE5"/>
    <w:rsid w:val="00FC044C"/>
    <w:rsid w:val="00FC0A4B"/>
    <w:rsid w:val="00FC3188"/>
    <w:rsid w:val="00FC4494"/>
    <w:rsid w:val="00FC4AFC"/>
    <w:rsid w:val="00FC5B9B"/>
    <w:rsid w:val="00FD08A7"/>
    <w:rsid w:val="00FD0974"/>
    <w:rsid w:val="00FD188A"/>
    <w:rsid w:val="00FD1905"/>
    <w:rsid w:val="00FD1C7E"/>
    <w:rsid w:val="00FD1D32"/>
    <w:rsid w:val="00FD4C67"/>
    <w:rsid w:val="00FD4E6D"/>
    <w:rsid w:val="00FD5259"/>
    <w:rsid w:val="00FD71D1"/>
    <w:rsid w:val="00FE03A0"/>
    <w:rsid w:val="00FE0DF1"/>
    <w:rsid w:val="00FE12B4"/>
    <w:rsid w:val="00FE1AD5"/>
    <w:rsid w:val="00FE1E56"/>
    <w:rsid w:val="00FE211E"/>
    <w:rsid w:val="00FE2603"/>
    <w:rsid w:val="00FE3625"/>
    <w:rsid w:val="00FE3911"/>
    <w:rsid w:val="00FE3B6E"/>
    <w:rsid w:val="00FE5B2A"/>
    <w:rsid w:val="00FE6443"/>
    <w:rsid w:val="00FE6685"/>
    <w:rsid w:val="00FE7213"/>
    <w:rsid w:val="00FE7C9C"/>
    <w:rsid w:val="00FF0154"/>
    <w:rsid w:val="00FF07D7"/>
    <w:rsid w:val="00FF1A1E"/>
    <w:rsid w:val="00FF20A4"/>
    <w:rsid w:val="00FF2DBC"/>
    <w:rsid w:val="00FF2F42"/>
    <w:rsid w:val="00FF425C"/>
    <w:rsid w:val="00FF57AF"/>
    <w:rsid w:val="00FF657C"/>
    <w:rsid w:val="00FF68DD"/>
    <w:rsid w:val="00FF7858"/>
    <w:rsid w:val="00FF7EA6"/>
    <w:rsid w:val="013A1130"/>
    <w:rsid w:val="01474512"/>
    <w:rsid w:val="01AB4491"/>
    <w:rsid w:val="01B53780"/>
    <w:rsid w:val="01DB3C18"/>
    <w:rsid w:val="02236824"/>
    <w:rsid w:val="02670091"/>
    <w:rsid w:val="028426B0"/>
    <w:rsid w:val="02885499"/>
    <w:rsid w:val="02992DB8"/>
    <w:rsid w:val="02AE35CB"/>
    <w:rsid w:val="0301696B"/>
    <w:rsid w:val="03031BA4"/>
    <w:rsid w:val="031B2597"/>
    <w:rsid w:val="037763AB"/>
    <w:rsid w:val="03AB679F"/>
    <w:rsid w:val="03D012A8"/>
    <w:rsid w:val="041222D4"/>
    <w:rsid w:val="04554B7E"/>
    <w:rsid w:val="04625CA9"/>
    <w:rsid w:val="0476464C"/>
    <w:rsid w:val="04BF387D"/>
    <w:rsid w:val="04F92F58"/>
    <w:rsid w:val="05551C16"/>
    <w:rsid w:val="057D35B7"/>
    <w:rsid w:val="059233AC"/>
    <w:rsid w:val="0598690D"/>
    <w:rsid w:val="059B3AAE"/>
    <w:rsid w:val="05A80EFD"/>
    <w:rsid w:val="05C86530"/>
    <w:rsid w:val="05FD12F1"/>
    <w:rsid w:val="06010BB0"/>
    <w:rsid w:val="06150FA8"/>
    <w:rsid w:val="062B4BF2"/>
    <w:rsid w:val="0686670B"/>
    <w:rsid w:val="06984505"/>
    <w:rsid w:val="07054C6D"/>
    <w:rsid w:val="076013E0"/>
    <w:rsid w:val="079375B6"/>
    <w:rsid w:val="07B70998"/>
    <w:rsid w:val="07F54BC0"/>
    <w:rsid w:val="082008CE"/>
    <w:rsid w:val="084E3529"/>
    <w:rsid w:val="08724419"/>
    <w:rsid w:val="08732BE6"/>
    <w:rsid w:val="08DF221C"/>
    <w:rsid w:val="08F45FE8"/>
    <w:rsid w:val="094D23D2"/>
    <w:rsid w:val="095B20FB"/>
    <w:rsid w:val="096B180A"/>
    <w:rsid w:val="09705438"/>
    <w:rsid w:val="09933D81"/>
    <w:rsid w:val="09A04D49"/>
    <w:rsid w:val="09A815EF"/>
    <w:rsid w:val="09BF0A5F"/>
    <w:rsid w:val="09E7370B"/>
    <w:rsid w:val="09F37181"/>
    <w:rsid w:val="09FF14CE"/>
    <w:rsid w:val="0A3F2825"/>
    <w:rsid w:val="0A7C48D4"/>
    <w:rsid w:val="0A800311"/>
    <w:rsid w:val="0A897CE9"/>
    <w:rsid w:val="0AAC779A"/>
    <w:rsid w:val="0B1672A2"/>
    <w:rsid w:val="0B6D3222"/>
    <w:rsid w:val="0BCF050F"/>
    <w:rsid w:val="0C566760"/>
    <w:rsid w:val="0C64421C"/>
    <w:rsid w:val="0CB633D9"/>
    <w:rsid w:val="0D0A5D09"/>
    <w:rsid w:val="0D12317E"/>
    <w:rsid w:val="0D521B34"/>
    <w:rsid w:val="0D533931"/>
    <w:rsid w:val="0D8060B5"/>
    <w:rsid w:val="0DFB7AC2"/>
    <w:rsid w:val="0E0A7653"/>
    <w:rsid w:val="0E7526B5"/>
    <w:rsid w:val="0EA87102"/>
    <w:rsid w:val="0F1E000F"/>
    <w:rsid w:val="0F6F5CAE"/>
    <w:rsid w:val="0F7F6700"/>
    <w:rsid w:val="0FAB0FA8"/>
    <w:rsid w:val="0FE92C15"/>
    <w:rsid w:val="100168CC"/>
    <w:rsid w:val="10435247"/>
    <w:rsid w:val="10817ED7"/>
    <w:rsid w:val="10C733E0"/>
    <w:rsid w:val="10CE67C0"/>
    <w:rsid w:val="10F519F2"/>
    <w:rsid w:val="11647498"/>
    <w:rsid w:val="11BE1624"/>
    <w:rsid w:val="11BE2404"/>
    <w:rsid w:val="11D3202B"/>
    <w:rsid w:val="11DF68DF"/>
    <w:rsid w:val="11E43329"/>
    <w:rsid w:val="120454F1"/>
    <w:rsid w:val="125D0261"/>
    <w:rsid w:val="125E6002"/>
    <w:rsid w:val="12A642AC"/>
    <w:rsid w:val="12C276E5"/>
    <w:rsid w:val="12F05378"/>
    <w:rsid w:val="12FA13F5"/>
    <w:rsid w:val="130A06A1"/>
    <w:rsid w:val="132C75E5"/>
    <w:rsid w:val="1391198A"/>
    <w:rsid w:val="13B30E0B"/>
    <w:rsid w:val="13EA57B4"/>
    <w:rsid w:val="14042496"/>
    <w:rsid w:val="142C015D"/>
    <w:rsid w:val="146C7CDB"/>
    <w:rsid w:val="147439AB"/>
    <w:rsid w:val="147C5C35"/>
    <w:rsid w:val="14BA3EE0"/>
    <w:rsid w:val="14DB3B34"/>
    <w:rsid w:val="15032A5B"/>
    <w:rsid w:val="156B1BAF"/>
    <w:rsid w:val="159D60AA"/>
    <w:rsid w:val="159F4F27"/>
    <w:rsid w:val="15F54BC5"/>
    <w:rsid w:val="160E074B"/>
    <w:rsid w:val="161533F4"/>
    <w:rsid w:val="163B318B"/>
    <w:rsid w:val="166951DF"/>
    <w:rsid w:val="16823E01"/>
    <w:rsid w:val="168A7548"/>
    <w:rsid w:val="168E35F3"/>
    <w:rsid w:val="16A55344"/>
    <w:rsid w:val="16D704B9"/>
    <w:rsid w:val="170C0021"/>
    <w:rsid w:val="174B0860"/>
    <w:rsid w:val="17637C2E"/>
    <w:rsid w:val="178072CB"/>
    <w:rsid w:val="179B12F7"/>
    <w:rsid w:val="17C41AE7"/>
    <w:rsid w:val="17C5097C"/>
    <w:rsid w:val="17CD7F2C"/>
    <w:rsid w:val="17F35790"/>
    <w:rsid w:val="17FD0542"/>
    <w:rsid w:val="18AC3253"/>
    <w:rsid w:val="18C01770"/>
    <w:rsid w:val="192E5C4E"/>
    <w:rsid w:val="193D5985"/>
    <w:rsid w:val="19416DFD"/>
    <w:rsid w:val="194444AB"/>
    <w:rsid w:val="194B4F34"/>
    <w:rsid w:val="19503D2D"/>
    <w:rsid w:val="19B62CB0"/>
    <w:rsid w:val="1A012B5F"/>
    <w:rsid w:val="1A084772"/>
    <w:rsid w:val="1A110090"/>
    <w:rsid w:val="1A275168"/>
    <w:rsid w:val="1A4C04ED"/>
    <w:rsid w:val="1A4D7C55"/>
    <w:rsid w:val="1A5D6BD9"/>
    <w:rsid w:val="1AA33CBC"/>
    <w:rsid w:val="1ADD18E5"/>
    <w:rsid w:val="1AF91405"/>
    <w:rsid w:val="1AF95386"/>
    <w:rsid w:val="1B0A17DC"/>
    <w:rsid w:val="1B30632B"/>
    <w:rsid w:val="1B3D3845"/>
    <w:rsid w:val="1B531A1C"/>
    <w:rsid w:val="1B546478"/>
    <w:rsid w:val="1B773F37"/>
    <w:rsid w:val="1B7E45CC"/>
    <w:rsid w:val="1BCC4D5A"/>
    <w:rsid w:val="1BD21818"/>
    <w:rsid w:val="1BE95AA6"/>
    <w:rsid w:val="1C433895"/>
    <w:rsid w:val="1C515DB3"/>
    <w:rsid w:val="1C551C36"/>
    <w:rsid w:val="1D2F0A85"/>
    <w:rsid w:val="1D49300A"/>
    <w:rsid w:val="1D6C20DF"/>
    <w:rsid w:val="1D6F10B5"/>
    <w:rsid w:val="1D950DF5"/>
    <w:rsid w:val="1DE354B6"/>
    <w:rsid w:val="1E491587"/>
    <w:rsid w:val="1EBE3259"/>
    <w:rsid w:val="1EBF464D"/>
    <w:rsid w:val="1EC16D2C"/>
    <w:rsid w:val="1EC835CB"/>
    <w:rsid w:val="1EE14F15"/>
    <w:rsid w:val="1F2C7FBC"/>
    <w:rsid w:val="1FBA6CCE"/>
    <w:rsid w:val="1FF76471"/>
    <w:rsid w:val="20046FD1"/>
    <w:rsid w:val="201574A1"/>
    <w:rsid w:val="20183540"/>
    <w:rsid w:val="201B6574"/>
    <w:rsid w:val="20822DE8"/>
    <w:rsid w:val="209B00B8"/>
    <w:rsid w:val="20CB5CFA"/>
    <w:rsid w:val="20CC07CE"/>
    <w:rsid w:val="21014A8D"/>
    <w:rsid w:val="214A5106"/>
    <w:rsid w:val="21560235"/>
    <w:rsid w:val="21913DBA"/>
    <w:rsid w:val="222416AA"/>
    <w:rsid w:val="22246FF4"/>
    <w:rsid w:val="22564C3B"/>
    <w:rsid w:val="226E18D2"/>
    <w:rsid w:val="227117F0"/>
    <w:rsid w:val="229032BC"/>
    <w:rsid w:val="22E91128"/>
    <w:rsid w:val="23023468"/>
    <w:rsid w:val="23113D5E"/>
    <w:rsid w:val="23283A0B"/>
    <w:rsid w:val="23345E0E"/>
    <w:rsid w:val="23CD1FB5"/>
    <w:rsid w:val="23EE4811"/>
    <w:rsid w:val="23F4633A"/>
    <w:rsid w:val="23F519CD"/>
    <w:rsid w:val="2408451B"/>
    <w:rsid w:val="24287BD3"/>
    <w:rsid w:val="24340275"/>
    <w:rsid w:val="24691523"/>
    <w:rsid w:val="24783FC0"/>
    <w:rsid w:val="24795DAD"/>
    <w:rsid w:val="248F341C"/>
    <w:rsid w:val="24983B90"/>
    <w:rsid w:val="24AC7022"/>
    <w:rsid w:val="24E21EE4"/>
    <w:rsid w:val="24F417CC"/>
    <w:rsid w:val="250658E9"/>
    <w:rsid w:val="250C0AFF"/>
    <w:rsid w:val="25CD6E0D"/>
    <w:rsid w:val="25D55E6F"/>
    <w:rsid w:val="263059F4"/>
    <w:rsid w:val="265E792E"/>
    <w:rsid w:val="26647764"/>
    <w:rsid w:val="26BE7FC3"/>
    <w:rsid w:val="26F85FDC"/>
    <w:rsid w:val="27535BB4"/>
    <w:rsid w:val="2760332F"/>
    <w:rsid w:val="27705C82"/>
    <w:rsid w:val="27902B5C"/>
    <w:rsid w:val="27EE2546"/>
    <w:rsid w:val="28222BD0"/>
    <w:rsid w:val="28BE6AD5"/>
    <w:rsid w:val="28E46616"/>
    <w:rsid w:val="28FC2B64"/>
    <w:rsid w:val="290B52A5"/>
    <w:rsid w:val="2975179A"/>
    <w:rsid w:val="29992D97"/>
    <w:rsid w:val="29AD7DEE"/>
    <w:rsid w:val="29E83B4C"/>
    <w:rsid w:val="2A32641D"/>
    <w:rsid w:val="2A5B30DB"/>
    <w:rsid w:val="2A830702"/>
    <w:rsid w:val="2ABE5E63"/>
    <w:rsid w:val="2AFD3C60"/>
    <w:rsid w:val="2B6507DA"/>
    <w:rsid w:val="2B6834ED"/>
    <w:rsid w:val="2B6C1F78"/>
    <w:rsid w:val="2BA2006A"/>
    <w:rsid w:val="2BFE3890"/>
    <w:rsid w:val="2C05252B"/>
    <w:rsid w:val="2C0F4C44"/>
    <w:rsid w:val="2C2939C1"/>
    <w:rsid w:val="2C323456"/>
    <w:rsid w:val="2C607F08"/>
    <w:rsid w:val="2C8B6B16"/>
    <w:rsid w:val="2CF12614"/>
    <w:rsid w:val="2CFC5AFB"/>
    <w:rsid w:val="2D4A1A33"/>
    <w:rsid w:val="2D780DA1"/>
    <w:rsid w:val="2DC22B77"/>
    <w:rsid w:val="2DD309F0"/>
    <w:rsid w:val="2DDB2055"/>
    <w:rsid w:val="2E236631"/>
    <w:rsid w:val="2E3655A5"/>
    <w:rsid w:val="2E5D662D"/>
    <w:rsid w:val="2E9A6D8E"/>
    <w:rsid w:val="2ECE67BF"/>
    <w:rsid w:val="2F136099"/>
    <w:rsid w:val="2F3B15D1"/>
    <w:rsid w:val="2FD67739"/>
    <w:rsid w:val="30703B41"/>
    <w:rsid w:val="30830218"/>
    <w:rsid w:val="30A66553"/>
    <w:rsid w:val="30C52AF8"/>
    <w:rsid w:val="31195BDD"/>
    <w:rsid w:val="312377B2"/>
    <w:rsid w:val="31552BA5"/>
    <w:rsid w:val="31626EEC"/>
    <w:rsid w:val="316516F3"/>
    <w:rsid w:val="31904461"/>
    <w:rsid w:val="31991E4B"/>
    <w:rsid w:val="31BA1499"/>
    <w:rsid w:val="31E53686"/>
    <w:rsid w:val="31F22C35"/>
    <w:rsid w:val="322446D7"/>
    <w:rsid w:val="32556B94"/>
    <w:rsid w:val="327370F7"/>
    <w:rsid w:val="32862880"/>
    <w:rsid w:val="32997283"/>
    <w:rsid w:val="32B30C96"/>
    <w:rsid w:val="32D32FB2"/>
    <w:rsid w:val="32E3795F"/>
    <w:rsid w:val="335761D7"/>
    <w:rsid w:val="33633134"/>
    <w:rsid w:val="336E60F4"/>
    <w:rsid w:val="339300E8"/>
    <w:rsid w:val="33C42128"/>
    <w:rsid w:val="340F228C"/>
    <w:rsid w:val="34165AD2"/>
    <w:rsid w:val="342C1FFE"/>
    <w:rsid w:val="34D74C20"/>
    <w:rsid w:val="34DD55F3"/>
    <w:rsid w:val="353051D1"/>
    <w:rsid w:val="354624E7"/>
    <w:rsid w:val="35A317D2"/>
    <w:rsid w:val="35B92E47"/>
    <w:rsid w:val="35F81B76"/>
    <w:rsid w:val="36080AAF"/>
    <w:rsid w:val="361C2D95"/>
    <w:rsid w:val="3677286F"/>
    <w:rsid w:val="36937331"/>
    <w:rsid w:val="36963E03"/>
    <w:rsid w:val="36B55F6B"/>
    <w:rsid w:val="36C900B7"/>
    <w:rsid w:val="36CF0046"/>
    <w:rsid w:val="36F0250E"/>
    <w:rsid w:val="370D0CC0"/>
    <w:rsid w:val="37316B00"/>
    <w:rsid w:val="37396ED7"/>
    <w:rsid w:val="37E80F39"/>
    <w:rsid w:val="37F41BB3"/>
    <w:rsid w:val="38157B80"/>
    <w:rsid w:val="382F5281"/>
    <w:rsid w:val="38455D28"/>
    <w:rsid w:val="3849224A"/>
    <w:rsid w:val="38654E64"/>
    <w:rsid w:val="38CD18D2"/>
    <w:rsid w:val="39B1799E"/>
    <w:rsid w:val="3A0342CF"/>
    <w:rsid w:val="3A1C3277"/>
    <w:rsid w:val="3A496F92"/>
    <w:rsid w:val="3A6058D3"/>
    <w:rsid w:val="3A8C029D"/>
    <w:rsid w:val="3B3B0F7A"/>
    <w:rsid w:val="3B7D4803"/>
    <w:rsid w:val="3B9D70F7"/>
    <w:rsid w:val="3BBC0B3B"/>
    <w:rsid w:val="3BDB63DE"/>
    <w:rsid w:val="3C022718"/>
    <w:rsid w:val="3C1770DA"/>
    <w:rsid w:val="3C2678ED"/>
    <w:rsid w:val="3C760D23"/>
    <w:rsid w:val="3C8F5F78"/>
    <w:rsid w:val="3CEB1852"/>
    <w:rsid w:val="3D0F5AFE"/>
    <w:rsid w:val="3D412BBC"/>
    <w:rsid w:val="3D482F03"/>
    <w:rsid w:val="3D81332B"/>
    <w:rsid w:val="3DCE17F9"/>
    <w:rsid w:val="3DD63BA2"/>
    <w:rsid w:val="3E252E76"/>
    <w:rsid w:val="3E3844DE"/>
    <w:rsid w:val="3E55777D"/>
    <w:rsid w:val="3E5D33E1"/>
    <w:rsid w:val="3E6E0EFD"/>
    <w:rsid w:val="3E743817"/>
    <w:rsid w:val="3E9E5DB4"/>
    <w:rsid w:val="3EC035FB"/>
    <w:rsid w:val="3EEB72C9"/>
    <w:rsid w:val="3F023062"/>
    <w:rsid w:val="3F1464BB"/>
    <w:rsid w:val="3F3163DC"/>
    <w:rsid w:val="3F471A10"/>
    <w:rsid w:val="3F5102FC"/>
    <w:rsid w:val="3F662721"/>
    <w:rsid w:val="3F83211A"/>
    <w:rsid w:val="3F9107FC"/>
    <w:rsid w:val="3F9F114C"/>
    <w:rsid w:val="3FBE237E"/>
    <w:rsid w:val="3FC30C1E"/>
    <w:rsid w:val="3FD008F7"/>
    <w:rsid w:val="3FDC2B95"/>
    <w:rsid w:val="400C28DB"/>
    <w:rsid w:val="4062059F"/>
    <w:rsid w:val="40B842F4"/>
    <w:rsid w:val="41122B16"/>
    <w:rsid w:val="416870FB"/>
    <w:rsid w:val="41912701"/>
    <w:rsid w:val="41AC52E3"/>
    <w:rsid w:val="41B22539"/>
    <w:rsid w:val="41CE7D37"/>
    <w:rsid w:val="41D85F1B"/>
    <w:rsid w:val="41E339FE"/>
    <w:rsid w:val="41FA15A4"/>
    <w:rsid w:val="42012363"/>
    <w:rsid w:val="421835AC"/>
    <w:rsid w:val="42355F51"/>
    <w:rsid w:val="42465FDE"/>
    <w:rsid w:val="427417CC"/>
    <w:rsid w:val="42884742"/>
    <w:rsid w:val="42890273"/>
    <w:rsid w:val="42AE5AE3"/>
    <w:rsid w:val="42D03F07"/>
    <w:rsid w:val="43205265"/>
    <w:rsid w:val="435A19B8"/>
    <w:rsid w:val="436F77C0"/>
    <w:rsid w:val="439610D7"/>
    <w:rsid w:val="43A34DB1"/>
    <w:rsid w:val="43B95D26"/>
    <w:rsid w:val="43B97087"/>
    <w:rsid w:val="43C85B6C"/>
    <w:rsid w:val="43DE4B5B"/>
    <w:rsid w:val="44203F0E"/>
    <w:rsid w:val="444075FB"/>
    <w:rsid w:val="44717C3B"/>
    <w:rsid w:val="44BE65E0"/>
    <w:rsid w:val="44F50EFC"/>
    <w:rsid w:val="45045AC7"/>
    <w:rsid w:val="455F7633"/>
    <w:rsid w:val="457E3FDF"/>
    <w:rsid w:val="458E64E3"/>
    <w:rsid w:val="45A936D6"/>
    <w:rsid w:val="465D36F9"/>
    <w:rsid w:val="46685710"/>
    <w:rsid w:val="46DF0366"/>
    <w:rsid w:val="47044815"/>
    <w:rsid w:val="471D5D1F"/>
    <w:rsid w:val="472A4DB0"/>
    <w:rsid w:val="4738342D"/>
    <w:rsid w:val="47C5448F"/>
    <w:rsid w:val="48506B8D"/>
    <w:rsid w:val="486C005E"/>
    <w:rsid w:val="48BD58BF"/>
    <w:rsid w:val="48E20288"/>
    <w:rsid w:val="490B5807"/>
    <w:rsid w:val="49197452"/>
    <w:rsid w:val="49652EED"/>
    <w:rsid w:val="49732E87"/>
    <w:rsid w:val="49D2063E"/>
    <w:rsid w:val="49FF35F0"/>
    <w:rsid w:val="4A1F57D9"/>
    <w:rsid w:val="4A2D71FF"/>
    <w:rsid w:val="4A8E43FC"/>
    <w:rsid w:val="4AB15E2F"/>
    <w:rsid w:val="4B153050"/>
    <w:rsid w:val="4B582BD7"/>
    <w:rsid w:val="4B670137"/>
    <w:rsid w:val="4B9C0EE4"/>
    <w:rsid w:val="4BC55EC0"/>
    <w:rsid w:val="4BDB4ECF"/>
    <w:rsid w:val="4BE258DE"/>
    <w:rsid w:val="4C2058DD"/>
    <w:rsid w:val="4C582B91"/>
    <w:rsid w:val="4C856298"/>
    <w:rsid w:val="4D1F2B08"/>
    <w:rsid w:val="4D202F62"/>
    <w:rsid w:val="4D414D00"/>
    <w:rsid w:val="4D4250FA"/>
    <w:rsid w:val="4D7F25C1"/>
    <w:rsid w:val="4DCB2E58"/>
    <w:rsid w:val="4DEE4222"/>
    <w:rsid w:val="4DEF4110"/>
    <w:rsid w:val="4DF76EC4"/>
    <w:rsid w:val="4E277758"/>
    <w:rsid w:val="4E41583C"/>
    <w:rsid w:val="4E7D5B54"/>
    <w:rsid w:val="4E8004B4"/>
    <w:rsid w:val="4EA86BDB"/>
    <w:rsid w:val="4EE05226"/>
    <w:rsid w:val="4EE851A5"/>
    <w:rsid w:val="4F140B78"/>
    <w:rsid w:val="4F2518BB"/>
    <w:rsid w:val="4F5E7ECC"/>
    <w:rsid w:val="4F6C231D"/>
    <w:rsid w:val="4FA47FEB"/>
    <w:rsid w:val="50263228"/>
    <w:rsid w:val="50265F97"/>
    <w:rsid w:val="50581F89"/>
    <w:rsid w:val="50D802B2"/>
    <w:rsid w:val="50E13A61"/>
    <w:rsid w:val="50E768C2"/>
    <w:rsid w:val="510332A5"/>
    <w:rsid w:val="51453626"/>
    <w:rsid w:val="5146382D"/>
    <w:rsid w:val="517459E7"/>
    <w:rsid w:val="518911B3"/>
    <w:rsid w:val="519604B6"/>
    <w:rsid w:val="51B93E1F"/>
    <w:rsid w:val="51BA1695"/>
    <w:rsid w:val="51CC4063"/>
    <w:rsid w:val="51FE1D3C"/>
    <w:rsid w:val="523D1809"/>
    <w:rsid w:val="528C16DA"/>
    <w:rsid w:val="529F0403"/>
    <w:rsid w:val="52A5602D"/>
    <w:rsid w:val="52CE3B68"/>
    <w:rsid w:val="52FC2B21"/>
    <w:rsid w:val="535D2658"/>
    <w:rsid w:val="53782955"/>
    <w:rsid w:val="539D27B9"/>
    <w:rsid w:val="53AB6D1A"/>
    <w:rsid w:val="540B48F1"/>
    <w:rsid w:val="540F274E"/>
    <w:rsid w:val="54114993"/>
    <w:rsid w:val="542D1506"/>
    <w:rsid w:val="542F516B"/>
    <w:rsid w:val="54A85ED3"/>
    <w:rsid w:val="54B9674D"/>
    <w:rsid w:val="54C52B79"/>
    <w:rsid w:val="54F24A86"/>
    <w:rsid w:val="553118B0"/>
    <w:rsid w:val="5548424A"/>
    <w:rsid w:val="559001B2"/>
    <w:rsid w:val="55B2291D"/>
    <w:rsid w:val="5609005D"/>
    <w:rsid w:val="56502D1C"/>
    <w:rsid w:val="565616CF"/>
    <w:rsid w:val="568D06DF"/>
    <w:rsid w:val="56B14CDE"/>
    <w:rsid w:val="56CC59F9"/>
    <w:rsid w:val="576E2CF5"/>
    <w:rsid w:val="58290EC7"/>
    <w:rsid w:val="58507B2C"/>
    <w:rsid w:val="587D64B7"/>
    <w:rsid w:val="58AC24B2"/>
    <w:rsid w:val="58B87927"/>
    <w:rsid w:val="58BB0954"/>
    <w:rsid w:val="58D60A67"/>
    <w:rsid w:val="5907399F"/>
    <w:rsid w:val="593144FC"/>
    <w:rsid w:val="593E5E46"/>
    <w:rsid w:val="59530660"/>
    <w:rsid w:val="59545E2A"/>
    <w:rsid w:val="59662F67"/>
    <w:rsid w:val="59B37637"/>
    <w:rsid w:val="5A0E2665"/>
    <w:rsid w:val="5A1C3CD4"/>
    <w:rsid w:val="5A362FB0"/>
    <w:rsid w:val="5A521EF4"/>
    <w:rsid w:val="5A5B76C5"/>
    <w:rsid w:val="5A6D682C"/>
    <w:rsid w:val="5AEB3B33"/>
    <w:rsid w:val="5AF17991"/>
    <w:rsid w:val="5B3B15CF"/>
    <w:rsid w:val="5B5C53ED"/>
    <w:rsid w:val="5B72246E"/>
    <w:rsid w:val="5B7347E8"/>
    <w:rsid w:val="5B8A1F98"/>
    <w:rsid w:val="5BCE38F5"/>
    <w:rsid w:val="5BDC60C9"/>
    <w:rsid w:val="5C4E49A2"/>
    <w:rsid w:val="5C5408DC"/>
    <w:rsid w:val="5C725E17"/>
    <w:rsid w:val="5C7F7496"/>
    <w:rsid w:val="5C9F22D2"/>
    <w:rsid w:val="5CBA5771"/>
    <w:rsid w:val="5CCA218F"/>
    <w:rsid w:val="5CCA5A2B"/>
    <w:rsid w:val="5D1A42DE"/>
    <w:rsid w:val="5D4221F0"/>
    <w:rsid w:val="5D690CC4"/>
    <w:rsid w:val="5D8456FE"/>
    <w:rsid w:val="5DA70C1F"/>
    <w:rsid w:val="5E057968"/>
    <w:rsid w:val="5E932020"/>
    <w:rsid w:val="5EA270D1"/>
    <w:rsid w:val="5EA82DB6"/>
    <w:rsid w:val="5EA90FD9"/>
    <w:rsid w:val="5F001790"/>
    <w:rsid w:val="5F112FEA"/>
    <w:rsid w:val="5F726888"/>
    <w:rsid w:val="5F751977"/>
    <w:rsid w:val="600913B2"/>
    <w:rsid w:val="60754BB7"/>
    <w:rsid w:val="60764CF9"/>
    <w:rsid w:val="609160BF"/>
    <w:rsid w:val="609163EC"/>
    <w:rsid w:val="60E75D8B"/>
    <w:rsid w:val="610A32A7"/>
    <w:rsid w:val="613E4824"/>
    <w:rsid w:val="6146422C"/>
    <w:rsid w:val="61552F0D"/>
    <w:rsid w:val="61786A45"/>
    <w:rsid w:val="618D4CD1"/>
    <w:rsid w:val="61B8661C"/>
    <w:rsid w:val="61C72EAB"/>
    <w:rsid w:val="61DC549C"/>
    <w:rsid w:val="61DC63F3"/>
    <w:rsid w:val="62097ACE"/>
    <w:rsid w:val="620B111A"/>
    <w:rsid w:val="620B22C0"/>
    <w:rsid w:val="62120667"/>
    <w:rsid w:val="623E7551"/>
    <w:rsid w:val="623F5F65"/>
    <w:rsid w:val="62446639"/>
    <w:rsid w:val="624A5543"/>
    <w:rsid w:val="62783EB1"/>
    <w:rsid w:val="62E00992"/>
    <w:rsid w:val="62FB32C7"/>
    <w:rsid w:val="63091291"/>
    <w:rsid w:val="6312215F"/>
    <w:rsid w:val="632B1961"/>
    <w:rsid w:val="63462E7A"/>
    <w:rsid w:val="63AC6F8D"/>
    <w:rsid w:val="63CA6489"/>
    <w:rsid w:val="63E35D12"/>
    <w:rsid w:val="63FE4EB5"/>
    <w:rsid w:val="64014D19"/>
    <w:rsid w:val="640749E9"/>
    <w:rsid w:val="64486DFF"/>
    <w:rsid w:val="64522A2D"/>
    <w:rsid w:val="645C08F1"/>
    <w:rsid w:val="648A47B6"/>
    <w:rsid w:val="648F4E80"/>
    <w:rsid w:val="649C015F"/>
    <w:rsid w:val="65676711"/>
    <w:rsid w:val="65D86E7B"/>
    <w:rsid w:val="66F001F5"/>
    <w:rsid w:val="66F74058"/>
    <w:rsid w:val="670B0904"/>
    <w:rsid w:val="671F6FDB"/>
    <w:rsid w:val="67372716"/>
    <w:rsid w:val="6742100C"/>
    <w:rsid w:val="675E4D8F"/>
    <w:rsid w:val="676F4F44"/>
    <w:rsid w:val="679720DB"/>
    <w:rsid w:val="67BB3C02"/>
    <w:rsid w:val="68127CA1"/>
    <w:rsid w:val="682626D6"/>
    <w:rsid w:val="68462EA0"/>
    <w:rsid w:val="68542E83"/>
    <w:rsid w:val="68A13454"/>
    <w:rsid w:val="69300193"/>
    <w:rsid w:val="696A383B"/>
    <w:rsid w:val="69AA5C07"/>
    <w:rsid w:val="6A0D1884"/>
    <w:rsid w:val="6A6754CD"/>
    <w:rsid w:val="6A7F2D26"/>
    <w:rsid w:val="6A945A9B"/>
    <w:rsid w:val="6AEA2988"/>
    <w:rsid w:val="6B155834"/>
    <w:rsid w:val="6B655C57"/>
    <w:rsid w:val="6BE10C67"/>
    <w:rsid w:val="6C0471DA"/>
    <w:rsid w:val="6C1D0AF1"/>
    <w:rsid w:val="6C490484"/>
    <w:rsid w:val="6C7A7447"/>
    <w:rsid w:val="6CA874F3"/>
    <w:rsid w:val="6CB12446"/>
    <w:rsid w:val="6CC429BE"/>
    <w:rsid w:val="6CD5347D"/>
    <w:rsid w:val="6CF55FCB"/>
    <w:rsid w:val="6D1C038D"/>
    <w:rsid w:val="6D603F92"/>
    <w:rsid w:val="6D777B45"/>
    <w:rsid w:val="6DD0636B"/>
    <w:rsid w:val="6E033242"/>
    <w:rsid w:val="6E0501EE"/>
    <w:rsid w:val="6E450AE0"/>
    <w:rsid w:val="6E636E1D"/>
    <w:rsid w:val="6EA6448C"/>
    <w:rsid w:val="6EB159C7"/>
    <w:rsid w:val="6EC05B55"/>
    <w:rsid w:val="6EE22B3C"/>
    <w:rsid w:val="6EE460F8"/>
    <w:rsid w:val="6EE557C2"/>
    <w:rsid w:val="6F0C033D"/>
    <w:rsid w:val="6F25742D"/>
    <w:rsid w:val="6F5748DD"/>
    <w:rsid w:val="6F6A455F"/>
    <w:rsid w:val="6F760B24"/>
    <w:rsid w:val="6F870C7B"/>
    <w:rsid w:val="6FF96E03"/>
    <w:rsid w:val="700B3712"/>
    <w:rsid w:val="703B084C"/>
    <w:rsid w:val="70446FFB"/>
    <w:rsid w:val="70B70481"/>
    <w:rsid w:val="70CF6D65"/>
    <w:rsid w:val="714B4E0A"/>
    <w:rsid w:val="714F726A"/>
    <w:rsid w:val="71536D72"/>
    <w:rsid w:val="71D92F74"/>
    <w:rsid w:val="71FF6C48"/>
    <w:rsid w:val="721232F7"/>
    <w:rsid w:val="7214068D"/>
    <w:rsid w:val="723F744B"/>
    <w:rsid w:val="72631E0C"/>
    <w:rsid w:val="727E3507"/>
    <w:rsid w:val="72876DEB"/>
    <w:rsid w:val="72C82DDB"/>
    <w:rsid w:val="72CE307C"/>
    <w:rsid w:val="73213242"/>
    <w:rsid w:val="73697151"/>
    <w:rsid w:val="736C0658"/>
    <w:rsid w:val="739C1E39"/>
    <w:rsid w:val="73A9032A"/>
    <w:rsid w:val="73D5196F"/>
    <w:rsid w:val="73E423CC"/>
    <w:rsid w:val="74167F9E"/>
    <w:rsid w:val="742B41E8"/>
    <w:rsid w:val="74773FF5"/>
    <w:rsid w:val="747F5537"/>
    <w:rsid w:val="74CC073A"/>
    <w:rsid w:val="75315330"/>
    <w:rsid w:val="753A7791"/>
    <w:rsid w:val="75401780"/>
    <w:rsid w:val="75512205"/>
    <w:rsid w:val="758458C3"/>
    <w:rsid w:val="75F13D9C"/>
    <w:rsid w:val="75F72551"/>
    <w:rsid w:val="75F86D27"/>
    <w:rsid w:val="760826FB"/>
    <w:rsid w:val="76135D3A"/>
    <w:rsid w:val="767A627F"/>
    <w:rsid w:val="76847F75"/>
    <w:rsid w:val="76970BE9"/>
    <w:rsid w:val="76C02781"/>
    <w:rsid w:val="770E70A0"/>
    <w:rsid w:val="771A6FC1"/>
    <w:rsid w:val="771C4BF4"/>
    <w:rsid w:val="77737DB9"/>
    <w:rsid w:val="777C2CA0"/>
    <w:rsid w:val="778B254E"/>
    <w:rsid w:val="77900E7D"/>
    <w:rsid w:val="77FC0056"/>
    <w:rsid w:val="7814331D"/>
    <w:rsid w:val="78201564"/>
    <w:rsid w:val="7872717E"/>
    <w:rsid w:val="78C75A4F"/>
    <w:rsid w:val="791F21A9"/>
    <w:rsid w:val="79567599"/>
    <w:rsid w:val="795B7B3E"/>
    <w:rsid w:val="7966432C"/>
    <w:rsid w:val="796E15D8"/>
    <w:rsid w:val="79A75BED"/>
    <w:rsid w:val="79B77AFD"/>
    <w:rsid w:val="7A441E7C"/>
    <w:rsid w:val="7A4C7CF2"/>
    <w:rsid w:val="7A9A1EA4"/>
    <w:rsid w:val="7AA0261E"/>
    <w:rsid w:val="7AAF4DD9"/>
    <w:rsid w:val="7ABA4E4E"/>
    <w:rsid w:val="7ACD6A3D"/>
    <w:rsid w:val="7AFD5EEC"/>
    <w:rsid w:val="7B043B11"/>
    <w:rsid w:val="7B127A63"/>
    <w:rsid w:val="7B1A2C8D"/>
    <w:rsid w:val="7B230DB1"/>
    <w:rsid w:val="7B6B270A"/>
    <w:rsid w:val="7B6D3913"/>
    <w:rsid w:val="7B866893"/>
    <w:rsid w:val="7BBC5AB7"/>
    <w:rsid w:val="7BBE3A01"/>
    <w:rsid w:val="7BCD6BDC"/>
    <w:rsid w:val="7C880AB1"/>
    <w:rsid w:val="7CAB1C8C"/>
    <w:rsid w:val="7CAF07D5"/>
    <w:rsid w:val="7CEE69CA"/>
    <w:rsid w:val="7D374FCD"/>
    <w:rsid w:val="7D3A13EE"/>
    <w:rsid w:val="7D424EAA"/>
    <w:rsid w:val="7D464CFB"/>
    <w:rsid w:val="7D53317C"/>
    <w:rsid w:val="7DD341AE"/>
    <w:rsid w:val="7DD71392"/>
    <w:rsid w:val="7DE95CAF"/>
    <w:rsid w:val="7DF56AEA"/>
    <w:rsid w:val="7E13557A"/>
    <w:rsid w:val="7E18219E"/>
    <w:rsid w:val="7E206EC8"/>
    <w:rsid w:val="7E286A6E"/>
    <w:rsid w:val="7E490FDF"/>
    <w:rsid w:val="7E750D36"/>
    <w:rsid w:val="7EA94C29"/>
    <w:rsid w:val="7FAF7A14"/>
    <w:rsid w:val="7FB44DA6"/>
    <w:rsid w:val="7FD13BE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nhideWhenUsed="0" w:uiPriority="0" w:semiHidden="0" w:name="Normal Indent"/>
    <w:lsdException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nhideWhenUsed="0" w:uiPriority="0" w:semiHidden="0"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szCs w:val="24"/>
      <w:lang w:val="en-US" w:eastAsia="zh-CN" w:bidi="ar-SA"/>
    </w:rPr>
  </w:style>
  <w:style w:type="paragraph" w:styleId="3">
    <w:name w:val="heading 1"/>
    <w:basedOn w:val="1"/>
    <w:next w:val="1"/>
    <w:link w:val="87"/>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61"/>
    <w:qFormat/>
    <w:uiPriority w:val="9"/>
    <w:pPr>
      <w:keepNext/>
      <w:keepLines/>
      <w:spacing w:before="260" w:after="260" w:line="416" w:lineRule="auto"/>
      <w:outlineLvl w:val="1"/>
    </w:pPr>
    <w:rPr>
      <w:rFonts w:ascii="Cambria" w:hAnsi="Cambria"/>
      <w:b/>
      <w:bCs/>
      <w:sz w:val="32"/>
      <w:szCs w:val="32"/>
    </w:rPr>
  </w:style>
  <w:style w:type="paragraph" w:styleId="5">
    <w:name w:val="heading 3"/>
    <w:basedOn w:val="1"/>
    <w:next w:val="1"/>
    <w:link w:val="66"/>
    <w:qFormat/>
    <w:uiPriority w:val="9"/>
    <w:pPr>
      <w:keepNext/>
      <w:keepLines/>
      <w:spacing w:before="260" w:after="260" w:line="416" w:lineRule="auto"/>
      <w:outlineLvl w:val="2"/>
    </w:pPr>
    <w:rPr>
      <w:b/>
      <w:bCs/>
      <w:sz w:val="32"/>
      <w:szCs w:val="32"/>
    </w:rPr>
  </w:style>
  <w:style w:type="character" w:default="1" w:styleId="24">
    <w:name w:val="Default Paragraph Font"/>
    <w:uiPriority w:val="0"/>
  </w:style>
  <w:style w:type="table" w:default="1" w:styleId="22">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2">
    <w:name w:val="Body Text Indent"/>
    <w:basedOn w:val="1"/>
    <w:link w:val="89"/>
    <w:qFormat/>
    <w:uiPriority w:val="0"/>
    <w:pPr>
      <w:spacing w:line="200" w:lineRule="atLeast"/>
      <w:ind w:firstLine="301"/>
    </w:pPr>
    <w:rPr>
      <w:rFonts w:ascii="宋体" w:hAnsi="Courier New"/>
      <w:spacing w:val="-4"/>
      <w:sz w:val="18"/>
      <w:szCs w:val="20"/>
    </w:rPr>
  </w:style>
  <w:style w:type="paragraph" w:styleId="6">
    <w:name w:val="List Number"/>
    <w:basedOn w:val="1"/>
    <w:qFormat/>
    <w:uiPriority w:val="0"/>
    <w:pPr>
      <w:widowControl/>
      <w:numPr>
        <w:ilvl w:val="0"/>
        <w:numId w:val="1"/>
      </w:numPr>
      <w:tabs>
        <w:tab w:val="left" w:pos="454"/>
        <w:tab w:val="clear" w:pos="720"/>
      </w:tabs>
      <w:spacing w:after="156" w:afterLines="50"/>
      <w:ind w:left="454" w:hanging="284"/>
      <w:jc w:val="left"/>
    </w:pPr>
    <w:rPr>
      <w:kern w:val="0"/>
      <w:sz w:val="24"/>
      <w:szCs w:val="20"/>
    </w:rPr>
  </w:style>
  <w:style w:type="paragraph" w:styleId="7">
    <w:name w:val="Normal Indent"/>
    <w:basedOn w:val="1"/>
    <w:link w:val="64"/>
    <w:uiPriority w:val="0"/>
    <w:pPr>
      <w:ind w:firstLine="420"/>
    </w:pPr>
    <w:rPr>
      <w:sz w:val="21"/>
      <w:szCs w:val="20"/>
    </w:rPr>
  </w:style>
  <w:style w:type="paragraph" w:styleId="8">
    <w:name w:val="caption"/>
    <w:basedOn w:val="1"/>
    <w:next w:val="1"/>
    <w:qFormat/>
    <w:uiPriority w:val="0"/>
    <w:pPr>
      <w:spacing w:before="152" w:beforeLines="0" w:after="160" w:afterLines="0"/>
    </w:pPr>
    <w:rPr>
      <w:rFonts w:ascii="Arial" w:hAnsi="Arial" w:eastAsia="黑体" w:cs="Arial"/>
      <w:sz w:val="20"/>
      <w:szCs w:val="20"/>
    </w:rPr>
  </w:style>
  <w:style w:type="paragraph" w:styleId="9">
    <w:name w:val="Document Map"/>
    <w:basedOn w:val="1"/>
    <w:link w:val="85"/>
    <w:unhideWhenUsed/>
    <w:qFormat/>
    <w:uiPriority w:val="99"/>
    <w:rPr>
      <w:rFonts w:ascii="宋体"/>
      <w:sz w:val="18"/>
      <w:szCs w:val="18"/>
    </w:rPr>
  </w:style>
  <w:style w:type="paragraph" w:styleId="10">
    <w:name w:val="annotation text"/>
    <w:basedOn w:val="1"/>
    <w:link w:val="82"/>
    <w:unhideWhenUsed/>
    <w:qFormat/>
    <w:uiPriority w:val="99"/>
    <w:pPr>
      <w:jc w:val="left"/>
    </w:pPr>
  </w:style>
  <w:style w:type="paragraph" w:styleId="11">
    <w:name w:val="List 2"/>
    <w:basedOn w:val="1"/>
    <w:unhideWhenUsed/>
    <w:qFormat/>
    <w:uiPriority w:val="99"/>
    <w:pPr>
      <w:ind w:left="100" w:leftChars="200" w:hanging="200" w:hangingChars="200"/>
      <w:contextualSpacing/>
    </w:pPr>
  </w:style>
  <w:style w:type="paragraph" w:styleId="12">
    <w:name w:val="Plain Text"/>
    <w:basedOn w:val="1"/>
    <w:link w:val="57"/>
    <w:qFormat/>
    <w:uiPriority w:val="99"/>
    <w:pPr>
      <w:spacing w:before="156" w:beforeLines="50" w:after="156" w:afterLines="50" w:line="400" w:lineRule="atLeast"/>
    </w:pPr>
    <w:rPr>
      <w:rFonts w:ascii="宋体" w:hAnsi="Courier New"/>
      <w:sz w:val="24"/>
    </w:rPr>
  </w:style>
  <w:style w:type="paragraph" w:styleId="13">
    <w:name w:val="Date"/>
    <w:basedOn w:val="1"/>
    <w:next w:val="1"/>
    <w:qFormat/>
    <w:uiPriority w:val="0"/>
    <w:pPr>
      <w:ind w:leftChars="2500"/>
    </w:pPr>
    <w:rPr>
      <w:rFonts w:eastAsia="楷体_GB2312"/>
      <w:sz w:val="32"/>
      <w:szCs w:val="20"/>
    </w:rPr>
  </w:style>
  <w:style w:type="paragraph" w:styleId="14">
    <w:name w:val="Balloon Text"/>
    <w:basedOn w:val="1"/>
    <w:qFormat/>
    <w:uiPriority w:val="0"/>
    <w:rPr>
      <w:sz w:val="18"/>
      <w:szCs w:val="18"/>
    </w:rPr>
  </w:style>
  <w:style w:type="paragraph" w:styleId="15">
    <w:name w:val="footer"/>
    <w:basedOn w:val="1"/>
    <w:link w:val="63"/>
    <w:qFormat/>
    <w:uiPriority w:val="99"/>
    <w:pPr>
      <w:tabs>
        <w:tab w:val="center" w:pos="4153"/>
        <w:tab w:val="right" w:pos="8306"/>
      </w:tabs>
      <w:snapToGrid w:val="0"/>
      <w:jc w:val="left"/>
    </w:pPr>
    <w:rPr>
      <w:sz w:val="18"/>
      <w:szCs w:val="18"/>
    </w:rPr>
  </w:style>
  <w:style w:type="paragraph" w:styleId="16">
    <w:name w:val="header"/>
    <w:basedOn w:val="1"/>
    <w:link w:val="90"/>
    <w:qFormat/>
    <w:uiPriority w:val="99"/>
    <w:pPr>
      <w:tabs>
        <w:tab w:val="center" w:pos="4153"/>
        <w:tab w:val="right" w:pos="8306"/>
      </w:tabs>
      <w:snapToGrid w:val="0"/>
      <w:jc w:val="center"/>
    </w:pPr>
    <w:rPr>
      <w:sz w:val="18"/>
      <w:szCs w:val="18"/>
    </w:rPr>
  </w:style>
  <w:style w:type="paragraph" w:styleId="17">
    <w:name w:val="List"/>
    <w:basedOn w:val="1"/>
    <w:qFormat/>
    <w:uiPriority w:val="0"/>
    <w:pPr>
      <w:ind w:left="200" w:hanging="200" w:hangingChars="200"/>
    </w:pPr>
  </w:style>
  <w:style w:type="paragraph" w:styleId="18">
    <w:name w:val="Body Text 2"/>
    <w:basedOn w:val="1"/>
    <w:qFormat/>
    <w:uiPriority w:val="0"/>
    <w:pPr>
      <w:widowControl/>
      <w:snapToGrid w:val="0"/>
      <w:spacing w:before="50" w:beforeLines="0" w:after="156" w:afterLines="50" w:line="400" w:lineRule="atLeast"/>
      <w:jc w:val="left"/>
    </w:pPr>
    <w:rPr>
      <w:rFonts w:hint="eastAsia" w:ascii="宋体" w:hAnsi="宋体"/>
      <w:color w:val="000000"/>
      <w:sz w:val="24"/>
    </w:rPr>
  </w:style>
  <w:style w:type="paragraph" w:styleId="19">
    <w:name w:val="Normal (Web)"/>
    <w:basedOn w:val="1"/>
    <w:qFormat/>
    <w:uiPriority w:val="99"/>
    <w:pPr>
      <w:widowControl/>
      <w:spacing w:before="100" w:beforeLines="0" w:beforeAutospacing="1" w:after="100" w:afterLines="0" w:afterAutospacing="1"/>
      <w:ind w:firstLine="420"/>
      <w:jc w:val="left"/>
    </w:pPr>
    <w:rPr>
      <w:rFonts w:ascii="宋体" w:hAnsi="宋体"/>
      <w:kern w:val="0"/>
      <w:sz w:val="20"/>
      <w:szCs w:val="20"/>
    </w:rPr>
  </w:style>
  <w:style w:type="paragraph" w:styleId="20">
    <w:name w:val="annotation subject"/>
    <w:basedOn w:val="10"/>
    <w:next w:val="10"/>
    <w:link w:val="65"/>
    <w:unhideWhenUsed/>
    <w:qFormat/>
    <w:uiPriority w:val="99"/>
    <w:rPr>
      <w:b/>
      <w:bCs/>
    </w:rPr>
  </w:style>
  <w:style w:type="paragraph" w:styleId="21">
    <w:name w:val="Body Text First Indent 2"/>
    <w:basedOn w:val="2"/>
    <w:unhideWhenUsed/>
    <w:qFormat/>
    <w:uiPriority w:val="99"/>
    <w:pPr>
      <w:ind w:firstLine="420"/>
    </w:pPr>
  </w:style>
  <w:style w:type="table" w:styleId="23">
    <w:name w:val="Table Grid"/>
    <w:basedOn w:val="2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5">
    <w:name w:val="Strong"/>
    <w:qFormat/>
    <w:uiPriority w:val="0"/>
    <w:rPr>
      <w:b/>
      <w:bCs/>
    </w:rPr>
  </w:style>
  <w:style w:type="character" w:styleId="26">
    <w:name w:val="page number"/>
    <w:basedOn w:val="24"/>
    <w:qFormat/>
    <w:uiPriority w:val="0"/>
  </w:style>
  <w:style w:type="character" w:styleId="27">
    <w:name w:val="FollowedHyperlink"/>
    <w:unhideWhenUsed/>
    <w:qFormat/>
    <w:uiPriority w:val="99"/>
    <w:rPr>
      <w:color w:val="5579A7"/>
      <w:u w:val="none"/>
    </w:rPr>
  </w:style>
  <w:style w:type="character" w:styleId="28">
    <w:name w:val="HTML Definition"/>
    <w:unhideWhenUsed/>
    <w:qFormat/>
    <w:uiPriority w:val="99"/>
    <w:rPr>
      <w:i/>
    </w:rPr>
  </w:style>
  <w:style w:type="character" w:styleId="29">
    <w:name w:val="Hyperlink"/>
    <w:qFormat/>
    <w:uiPriority w:val="0"/>
    <w:rPr>
      <w:color w:val="5579A7"/>
      <w:u w:val="none"/>
    </w:rPr>
  </w:style>
  <w:style w:type="character" w:styleId="30">
    <w:name w:val="HTML Code"/>
    <w:unhideWhenUsed/>
    <w:qFormat/>
    <w:uiPriority w:val="99"/>
    <w:rPr>
      <w:rFonts w:ascii="-apple-system" w:hAnsi="-apple-system" w:eastAsia="-apple-system" w:cs="-apple-system"/>
      <w:sz w:val="21"/>
      <w:szCs w:val="21"/>
    </w:rPr>
  </w:style>
  <w:style w:type="character" w:styleId="31">
    <w:name w:val="annotation reference"/>
    <w:unhideWhenUsed/>
    <w:qFormat/>
    <w:uiPriority w:val="99"/>
    <w:rPr>
      <w:sz w:val="21"/>
      <w:szCs w:val="21"/>
    </w:rPr>
  </w:style>
  <w:style w:type="character" w:styleId="32">
    <w:name w:val="HTML Keyboard"/>
    <w:unhideWhenUsed/>
    <w:qFormat/>
    <w:uiPriority w:val="99"/>
    <w:rPr>
      <w:rFonts w:hint="default" w:ascii="-apple-system" w:hAnsi="-apple-system" w:eastAsia="-apple-system" w:cs="-apple-system"/>
      <w:sz w:val="21"/>
      <w:szCs w:val="21"/>
    </w:rPr>
  </w:style>
  <w:style w:type="character" w:styleId="33">
    <w:name w:val="HTML Sample"/>
    <w:unhideWhenUsed/>
    <w:qFormat/>
    <w:uiPriority w:val="99"/>
    <w:rPr>
      <w:rFonts w:hint="default" w:ascii="-apple-system" w:hAnsi="-apple-system" w:eastAsia="-apple-system" w:cs="-apple-system"/>
      <w:sz w:val="21"/>
      <w:szCs w:val="21"/>
    </w:rPr>
  </w:style>
  <w:style w:type="paragraph" w:customStyle="1" w:styleId="34">
    <w:name w:val="正文 A"/>
    <w:qFormat/>
    <w:uiPriority w:val="0"/>
    <w:pPr>
      <w:widowControl w:val="0"/>
      <w:jc w:val="both"/>
    </w:pPr>
    <w:rPr>
      <w:rFonts w:hint="eastAsia" w:ascii="Arial Unicode MS" w:hAnsi="Arial Unicode MS" w:eastAsia="Times New Roman" w:cs="Arial Unicode MS"/>
      <w:color w:val="000000"/>
      <w:kern w:val="2"/>
      <w:sz w:val="28"/>
      <w:szCs w:val="28"/>
      <w:u w:val="none" w:color="000000"/>
      <w:lang w:val="en-US" w:eastAsia="zh-CN" w:bidi="ar-SA"/>
    </w:rPr>
  </w:style>
  <w:style w:type="paragraph" w:customStyle="1" w:styleId="35">
    <w:name w:val="Proposals body"/>
    <w:basedOn w:val="1"/>
    <w:next w:val="1"/>
    <w:qFormat/>
    <w:uiPriority w:val="0"/>
    <w:pPr>
      <w:widowControl/>
      <w:spacing w:line="460" w:lineRule="exact"/>
      <w:jc w:val="left"/>
    </w:pPr>
    <w:rPr>
      <w:rFonts w:ascii="仿宋_GB2312" w:eastAsia="仿宋_GB2312"/>
      <w:snapToGrid w:val="0"/>
      <w:kern w:val="0"/>
      <w:sz w:val="24"/>
    </w:rPr>
  </w:style>
  <w:style w:type="paragraph" w:customStyle="1" w:styleId="36">
    <w:name w:val="Default"/>
    <w:next w:val="37"/>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37">
    <w:name w:val="toc 7"/>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38">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39">
    <w:name w:val="title11"/>
    <w:basedOn w:val="1"/>
    <w:qFormat/>
    <w:uiPriority w:val="0"/>
    <w:pPr>
      <w:spacing w:before="150" w:beforeAutospacing="0" w:after="0" w:afterAutospacing="0"/>
      <w:ind w:left="0" w:right="0" w:firstLine="0"/>
      <w:jc w:val="left"/>
    </w:pPr>
    <w:rPr>
      <w:b/>
      <w:kern w:val="0"/>
      <w:lang w:val="en-US" w:eastAsia="zh-CN" w:bidi="ar"/>
    </w:rPr>
  </w:style>
  <w:style w:type="paragraph" w:customStyle="1" w:styleId="40">
    <w:name w:val="标题 10"/>
    <w:basedOn w:val="4"/>
    <w:qFormat/>
    <w:uiPriority w:val="0"/>
    <w:pPr>
      <w:jc w:val="center"/>
    </w:pPr>
    <w:rPr>
      <w:kern w:val="0"/>
    </w:rPr>
  </w:style>
  <w:style w:type="paragraph" w:customStyle="1" w:styleId="41">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42">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43">
    <w:name w:val="List Paragraph1"/>
    <w:basedOn w:val="1"/>
    <w:qFormat/>
    <w:uiPriority w:val="0"/>
    <w:pPr>
      <w:ind w:firstLine="420" w:firstLineChars="200"/>
    </w:pPr>
    <w:rPr>
      <w:sz w:val="21"/>
    </w:rPr>
  </w:style>
  <w:style w:type="paragraph" w:customStyle="1" w:styleId="44">
    <w:name w:val="默认段落字体 Para Char Char Char Char Char Char Char Char Char1 Char Char Char Char"/>
    <w:basedOn w:val="1"/>
    <w:qFormat/>
    <w:uiPriority w:val="0"/>
    <w:rPr>
      <w:rFonts w:ascii="Tahoma" w:hAnsi="Tahoma"/>
      <w:sz w:val="24"/>
      <w:szCs w:val="20"/>
    </w:rPr>
  </w:style>
  <w:style w:type="paragraph" w:customStyle="1" w:styleId="45">
    <w:name w:val="Char Char Char Char1"/>
    <w:basedOn w:val="1"/>
    <w:qFormat/>
    <w:uiPriority w:val="0"/>
    <w:rPr>
      <w:rFonts w:ascii="Tahoma" w:hAnsi="Tahoma"/>
      <w:sz w:val="24"/>
      <w:szCs w:val="20"/>
    </w:rPr>
  </w:style>
  <w:style w:type="paragraph" w:customStyle="1" w:styleId="46">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47">
    <w:name w:val="_Style 46"/>
    <w:basedOn w:val="1"/>
    <w:next w:val="1"/>
    <w:link w:val="69"/>
    <w:unhideWhenUsed/>
    <w:qFormat/>
    <w:uiPriority w:val="99"/>
    <w:pPr>
      <w:widowControl/>
      <w:pBdr>
        <w:bottom w:val="single" w:color="auto" w:sz="6" w:space="1"/>
      </w:pBdr>
      <w:jc w:val="center"/>
    </w:pPr>
    <w:rPr>
      <w:rFonts w:ascii="Arial" w:hAnsi="Arial"/>
      <w:vanish/>
      <w:kern w:val="0"/>
      <w:sz w:val="16"/>
      <w:szCs w:val="16"/>
    </w:rPr>
  </w:style>
  <w:style w:type="paragraph" w:customStyle="1" w:styleId="48">
    <w:name w:val="此正文"/>
    <w:basedOn w:val="1"/>
    <w:qFormat/>
    <w:uiPriority w:val="0"/>
    <w:pPr>
      <w:spacing w:line="360" w:lineRule="auto"/>
      <w:ind w:firstLine="200" w:firstLineChars="200"/>
    </w:pPr>
    <w:rPr>
      <w:sz w:val="24"/>
    </w:rPr>
  </w:style>
  <w:style w:type="paragraph" w:customStyle="1" w:styleId="49">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50">
    <w:name w:val="彩色列表 - 强调文字颜色 11"/>
    <w:basedOn w:val="1"/>
    <w:qFormat/>
    <w:uiPriority w:val="34"/>
    <w:pPr>
      <w:ind w:firstLine="420" w:firstLineChars="200"/>
    </w:pPr>
    <w:rPr>
      <w:rFonts w:ascii="Calibri" w:hAnsi="Calibri" w:eastAsia="宋体" w:cs="Times New Roman"/>
      <w:sz w:val="21"/>
      <w:szCs w:val="22"/>
    </w:rPr>
  </w:style>
  <w:style w:type="paragraph" w:customStyle="1" w:styleId="51">
    <w:name w:val="正文段"/>
    <w:basedOn w:val="1"/>
    <w:qFormat/>
    <w:uiPriority w:val="0"/>
    <w:pPr>
      <w:widowControl/>
      <w:snapToGrid w:val="0"/>
      <w:spacing w:after="156" w:afterLines="50"/>
      <w:ind w:firstLine="200" w:firstLineChars="200"/>
    </w:pPr>
    <w:rPr>
      <w:kern w:val="0"/>
      <w:sz w:val="24"/>
      <w:szCs w:val="20"/>
    </w:rPr>
  </w:style>
  <w:style w:type="paragraph" w:customStyle="1" w:styleId="52">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53">
    <w:name w:val="Char Char Char Char"/>
    <w:basedOn w:val="1"/>
    <w:qFormat/>
    <w:uiPriority w:val="0"/>
    <w:pPr>
      <w:widowControl/>
      <w:spacing w:after="160" w:afterLines="0" w:line="240" w:lineRule="exact"/>
      <w:jc w:val="left"/>
    </w:pPr>
    <w:rPr>
      <w:rFonts w:ascii="Verdana" w:hAnsi="Verdana"/>
      <w:kern w:val="0"/>
      <w:sz w:val="20"/>
      <w:szCs w:val="20"/>
      <w:lang w:eastAsia="en-US"/>
    </w:rPr>
  </w:style>
  <w:style w:type="paragraph" w:customStyle="1" w:styleId="54">
    <w:name w:val="表内文字"/>
    <w:basedOn w:val="1"/>
    <w:qFormat/>
    <w:uiPriority w:val="0"/>
    <w:pPr>
      <w:tabs>
        <w:tab w:val="left" w:pos="1418"/>
      </w:tabs>
      <w:spacing w:line="360" w:lineRule="auto"/>
      <w:jc w:val="center"/>
    </w:pPr>
    <w:rPr>
      <w:rFonts w:hint="eastAsia" w:ascii="仿宋_GB2312" w:eastAsia="仿宋_GB2312"/>
      <w:spacing w:val="-20"/>
      <w:kern w:val="0"/>
      <w:sz w:val="24"/>
    </w:rPr>
  </w:style>
  <w:style w:type="paragraph" w:customStyle="1" w:styleId="55">
    <w:name w:val="_Style 54"/>
    <w:basedOn w:val="1"/>
    <w:next w:val="1"/>
    <w:link w:val="73"/>
    <w:unhideWhenUsed/>
    <w:qFormat/>
    <w:uiPriority w:val="99"/>
    <w:pPr>
      <w:widowControl/>
      <w:pBdr>
        <w:top w:val="single" w:color="auto" w:sz="6" w:space="1"/>
      </w:pBdr>
      <w:jc w:val="center"/>
    </w:pPr>
    <w:rPr>
      <w:rFonts w:ascii="Arial" w:hAnsi="Arial"/>
      <w:vanish/>
      <w:kern w:val="0"/>
      <w:sz w:val="16"/>
      <w:szCs w:val="16"/>
    </w:rPr>
  </w:style>
  <w:style w:type="paragraph" w:customStyle="1" w:styleId="56">
    <w:name w:val="正文2"/>
    <w:basedOn w:val="1"/>
    <w:qFormat/>
    <w:uiPriority w:val="0"/>
    <w:pPr>
      <w:spacing w:before="156" w:line="360" w:lineRule="auto"/>
      <w:ind w:firstLine="510" w:firstLineChars="200"/>
    </w:pPr>
    <w:rPr>
      <w:sz w:val="24"/>
      <w:szCs w:val="20"/>
    </w:rPr>
  </w:style>
  <w:style w:type="character" w:customStyle="1" w:styleId="57">
    <w:name w:val="纯文本 Char2"/>
    <w:link w:val="12"/>
    <w:qFormat/>
    <w:uiPriority w:val="99"/>
    <w:rPr>
      <w:rFonts w:ascii="宋体" w:hAnsi="Courier New"/>
      <w:kern w:val="2"/>
      <w:sz w:val="24"/>
      <w:szCs w:val="24"/>
    </w:rPr>
  </w:style>
  <w:style w:type="character" w:customStyle="1" w:styleId="58">
    <w:name w:val="纯文本 字符"/>
    <w:qFormat/>
    <w:uiPriority w:val="99"/>
    <w:rPr>
      <w:rFonts w:ascii="宋体" w:hAnsi="Courier New"/>
      <w:kern w:val="2"/>
      <w:sz w:val="24"/>
      <w:szCs w:val="24"/>
    </w:rPr>
  </w:style>
  <w:style w:type="character" w:customStyle="1" w:styleId="59">
    <w:name w:val="正文文本缩进 字符"/>
    <w:qFormat/>
    <w:uiPriority w:val="0"/>
    <w:rPr>
      <w:rFonts w:ascii="宋体" w:hAnsi="Courier New"/>
      <w:spacing w:val="-4"/>
      <w:kern w:val="2"/>
      <w:sz w:val="18"/>
    </w:rPr>
  </w:style>
  <w:style w:type="character" w:customStyle="1" w:styleId="60">
    <w:name w:val="jbox-icon-warning"/>
    <w:basedOn w:val="24"/>
    <w:qFormat/>
    <w:uiPriority w:val="0"/>
  </w:style>
  <w:style w:type="character" w:customStyle="1" w:styleId="61">
    <w:name w:val="标题 2 Char"/>
    <w:link w:val="4"/>
    <w:semiHidden/>
    <w:qFormat/>
    <w:uiPriority w:val="9"/>
    <w:rPr>
      <w:rFonts w:ascii="Cambria" w:hAnsi="Cambria" w:eastAsia="宋体" w:cs="Times New Roman"/>
      <w:b/>
      <w:bCs/>
      <w:kern w:val="2"/>
      <w:sz w:val="32"/>
      <w:szCs w:val="32"/>
    </w:rPr>
  </w:style>
  <w:style w:type="character" w:customStyle="1" w:styleId="62">
    <w:name w:val="hover9"/>
    <w:qFormat/>
    <w:uiPriority w:val="0"/>
    <w:rPr>
      <w:shd w:val="clear" w:color="auto" w:fill="EEEEEE"/>
    </w:rPr>
  </w:style>
  <w:style w:type="character" w:customStyle="1" w:styleId="63">
    <w:name w:val="页脚 Char"/>
    <w:link w:val="15"/>
    <w:qFormat/>
    <w:uiPriority w:val="99"/>
    <w:rPr>
      <w:kern w:val="2"/>
      <w:sz w:val="18"/>
      <w:szCs w:val="18"/>
    </w:rPr>
  </w:style>
  <w:style w:type="character" w:customStyle="1" w:styleId="64">
    <w:name w:val="正文缩进 Char"/>
    <w:link w:val="7"/>
    <w:qFormat/>
    <w:uiPriority w:val="0"/>
    <w:rPr>
      <w:rFonts w:eastAsia="宋体"/>
      <w:kern w:val="2"/>
      <w:sz w:val="21"/>
      <w:lang w:val="en-US" w:eastAsia="zh-CN" w:bidi="ar-SA"/>
    </w:rPr>
  </w:style>
  <w:style w:type="character" w:customStyle="1" w:styleId="65">
    <w:name w:val="批注主题 Char"/>
    <w:link w:val="20"/>
    <w:semiHidden/>
    <w:qFormat/>
    <w:uiPriority w:val="99"/>
    <w:rPr>
      <w:b/>
      <w:bCs/>
      <w:kern w:val="2"/>
      <w:sz w:val="28"/>
      <w:szCs w:val="24"/>
    </w:rPr>
  </w:style>
  <w:style w:type="character" w:customStyle="1" w:styleId="66">
    <w:name w:val="标题 3 Char"/>
    <w:link w:val="5"/>
    <w:semiHidden/>
    <w:qFormat/>
    <w:uiPriority w:val="9"/>
    <w:rPr>
      <w:b/>
      <w:bCs/>
      <w:kern w:val="2"/>
      <w:sz w:val="32"/>
      <w:szCs w:val="32"/>
    </w:rPr>
  </w:style>
  <w:style w:type="character" w:customStyle="1" w:styleId="67">
    <w:name w:val="hour_pm"/>
    <w:basedOn w:val="24"/>
    <w:qFormat/>
    <w:uiPriority w:val="0"/>
  </w:style>
  <w:style w:type="character" w:customStyle="1" w:styleId="68">
    <w:name w:val="jbox-icon-info"/>
    <w:basedOn w:val="24"/>
    <w:qFormat/>
    <w:uiPriority w:val="0"/>
  </w:style>
  <w:style w:type="character" w:customStyle="1" w:styleId="69">
    <w:name w:val="z-窗体顶端 Char"/>
    <w:link w:val="47"/>
    <w:semiHidden/>
    <w:qFormat/>
    <w:uiPriority w:val="99"/>
    <w:rPr>
      <w:rFonts w:ascii="Arial" w:hAnsi="Arial"/>
      <w:vanish/>
      <w:sz w:val="16"/>
      <w:szCs w:val="16"/>
    </w:rPr>
  </w:style>
  <w:style w:type="character" w:customStyle="1" w:styleId="70">
    <w:name w:val="black601"/>
    <w:qFormat/>
    <w:uiPriority w:val="0"/>
    <w:rPr>
      <w:color w:val="666666"/>
    </w:rPr>
  </w:style>
  <w:style w:type="character" w:customStyle="1" w:styleId="71">
    <w:name w:val="hour_am"/>
    <w:basedOn w:val="24"/>
    <w:qFormat/>
    <w:uiPriority w:val="0"/>
  </w:style>
  <w:style w:type="character" w:customStyle="1" w:styleId="72">
    <w:name w:val="jbox-icon-error"/>
    <w:basedOn w:val="24"/>
    <w:qFormat/>
    <w:uiPriority w:val="0"/>
  </w:style>
  <w:style w:type="character" w:customStyle="1" w:styleId="73">
    <w:name w:val="z-窗体底端 Char"/>
    <w:link w:val="55"/>
    <w:semiHidden/>
    <w:qFormat/>
    <w:uiPriority w:val="99"/>
    <w:rPr>
      <w:rFonts w:ascii="Arial" w:hAnsi="Arial"/>
      <w:vanish/>
      <w:sz w:val="16"/>
      <w:szCs w:val="16"/>
    </w:rPr>
  </w:style>
  <w:style w:type="character" w:customStyle="1" w:styleId="74">
    <w:name w:val="jbox-icon-success"/>
    <w:basedOn w:val="24"/>
    <w:qFormat/>
    <w:uiPriority w:val="0"/>
  </w:style>
  <w:style w:type="character" w:customStyle="1" w:styleId="75">
    <w:name w:val="maywed421"/>
    <w:qFormat/>
    <w:uiPriority w:val="0"/>
    <w:rPr>
      <w:color w:val="366FB6"/>
      <w:u w:val="none"/>
    </w:rPr>
  </w:style>
  <w:style w:type="character" w:customStyle="1" w:styleId="76">
    <w:name w:val="正文文本缩进 字符1"/>
    <w:qFormat/>
    <w:uiPriority w:val="0"/>
    <w:rPr>
      <w:rFonts w:ascii="宋体" w:hAnsi="Courier New"/>
      <w:spacing w:val="-4"/>
      <w:kern w:val="2"/>
      <w:sz w:val="18"/>
    </w:rPr>
  </w:style>
  <w:style w:type="character" w:customStyle="1" w:styleId="77">
    <w:name w:val="jbox-icon-question"/>
    <w:basedOn w:val="24"/>
    <w:qFormat/>
    <w:uiPriority w:val="0"/>
  </w:style>
  <w:style w:type="character" w:customStyle="1" w:styleId="78">
    <w:name w:val="jbox-icon-loading"/>
    <w:basedOn w:val="24"/>
    <w:qFormat/>
    <w:uiPriority w:val="0"/>
  </w:style>
  <w:style w:type="character" w:customStyle="1" w:styleId="79">
    <w:name w:val="标题 1 Char Char"/>
    <w:qFormat/>
    <w:uiPriority w:val="0"/>
    <w:rPr>
      <w:rFonts w:eastAsia="宋体"/>
      <w:b/>
      <w:spacing w:val="-2"/>
      <w:sz w:val="24"/>
      <w:lang w:val="en-US" w:eastAsia="zh-CN" w:bidi="ar-SA"/>
    </w:rPr>
  </w:style>
  <w:style w:type="character" w:customStyle="1" w:styleId="80">
    <w:name w:val="jbox-icon-none"/>
    <w:qFormat/>
    <w:uiPriority w:val="0"/>
    <w:rPr>
      <w:vanish/>
    </w:rPr>
  </w:style>
  <w:style w:type="character" w:customStyle="1" w:styleId="81">
    <w:name w:val="sub_title s0"/>
    <w:basedOn w:val="24"/>
    <w:qFormat/>
    <w:uiPriority w:val="0"/>
  </w:style>
  <w:style w:type="character" w:customStyle="1" w:styleId="82">
    <w:name w:val="批注文字 Char"/>
    <w:link w:val="10"/>
    <w:qFormat/>
    <w:uiPriority w:val="99"/>
    <w:rPr>
      <w:kern w:val="2"/>
      <w:sz w:val="28"/>
      <w:szCs w:val="24"/>
    </w:rPr>
  </w:style>
  <w:style w:type="character" w:customStyle="1" w:styleId="83">
    <w:name w:val="纯文本 字符2"/>
    <w:qFormat/>
    <w:uiPriority w:val="99"/>
    <w:rPr>
      <w:rFonts w:ascii="宋体" w:hAnsi="Courier New"/>
      <w:kern w:val="2"/>
      <w:sz w:val="24"/>
      <w:szCs w:val="24"/>
    </w:rPr>
  </w:style>
  <w:style w:type="character" w:customStyle="1" w:styleId="84">
    <w:name w:val="jbox-icon"/>
    <w:basedOn w:val="24"/>
    <w:qFormat/>
    <w:uiPriority w:val="0"/>
  </w:style>
  <w:style w:type="character" w:customStyle="1" w:styleId="85">
    <w:name w:val="文档结构图 Char"/>
    <w:link w:val="9"/>
    <w:semiHidden/>
    <w:qFormat/>
    <w:uiPriority w:val="99"/>
    <w:rPr>
      <w:rFonts w:ascii="宋体"/>
      <w:kern w:val="2"/>
      <w:sz w:val="18"/>
      <w:szCs w:val="18"/>
    </w:rPr>
  </w:style>
  <w:style w:type="character" w:customStyle="1" w:styleId="86">
    <w:name w:val="纯文本 Char1"/>
    <w:qFormat/>
    <w:uiPriority w:val="0"/>
    <w:rPr>
      <w:rFonts w:ascii="宋体" w:hAnsi="Courier New"/>
      <w:kern w:val="2"/>
      <w:sz w:val="21"/>
    </w:rPr>
  </w:style>
  <w:style w:type="character" w:customStyle="1" w:styleId="87">
    <w:name w:val="标题 1 Char"/>
    <w:link w:val="3"/>
    <w:qFormat/>
    <w:uiPriority w:val="9"/>
    <w:rPr>
      <w:b/>
      <w:bCs/>
      <w:kern w:val="44"/>
      <w:sz w:val="44"/>
      <w:szCs w:val="44"/>
    </w:rPr>
  </w:style>
  <w:style w:type="character" w:customStyle="1" w:styleId="88">
    <w:name w:val="纯文本 Char"/>
    <w:qFormat/>
    <w:uiPriority w:val="99"/>
    <w:rPr>
      <w:rFonts w:ascii="宋体" w:hAnsi="Courier New"/>
      <w:kern w:val="2"/>
      <w:sz w:val="24"/>
      <w:szCs w:val="24"/>
    </w:rPr>
  </w:style>
  <w:style w:type="character" w:customStyle="1" w:styleId="89">
    <w:name w:val="正文文本缩进 Char"/>
    <w:link w:val="2"/>
    <w:qFormat/>
    <w:uiPriority w:val="0"/>
    <w:rPr>
      <w:rFonts w:ascii="宋体" w:hAnsi="Courier New"/>
      <w:spacing w:val="-4"/>
      <w:kern w:val="2"/>
      <w:sz w:val="18"/>
    </w:rPr>
  </w:style>
  <w:style w:type="character" w:customStyle="1" w:styleId="90">
    <w:name w:val="页眉 Char"/>
    <w:link w:val="16"/>
    <w:qFormat/>
    <w:uiPriority w:val="99"/>
    <w:rPr>
      <w:kern w:val="2"/>
      <w:sz w:val="18"/>
      <w:szCs w:val="18"/>
    </w:rPr>
  </w:style>
  <w:style w:type="character" w:customStyle="1" w:styleId="91">
    <w:name w:val="old"/>
    <w:qFormat/>
    <w:uiPriority w:val="0"/>
    <w:rPr>
      <w:color w:val="999999"/>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3471</Words>
  <Characters>19787</Characters>
  <Lines>1</Lines>
  <Paragraphs>1</Paragraphs>
  <TotalTime>20</TotalTime>
  <ScaleCrop>false</ScaleCrop>
  <LinksUpToDate>false</LinksUpToDate>
  <CharactersWithSpaces>23212</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2016-11-25T07:33:00Z</dcterms:created>
  <dc:creator>jj</dc:creator>
  <cp:lastModifiedBy>浙江求是招标代理有限公司</cp:lastModifiedBy>
  <cp:lastPrinted>2018-06-25T02:02:00Z</cp:lastPrinted>
  <dcterms:modified xsi:type="dcterms:W3CDTF">2020-06-23T08:17:36Z</dcterms:modified>
  <dc:title>求是招标代理有限公司</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