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核酸检测（包括其他医学检验）外包</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核酸检测（包括其他医学检验）外包</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QSZB-Z(F)-B22110(CS)L</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[2022]34526号、[2022]34527号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核酸检测（包括其他医学检验）外包</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2022年6月21日</w:t>
      </w:r>
      <w:bookmarkStart w:id="43" w:name="_GoBack"/>
      <w:bookmarkEnd w:id="43"/>
      <w:r>
        <w:rPr>
          <w:rFonts w:hint="eastAsia"/>
          <w:b/>
          <w:color w:val="auto"/>
          <w:sz w:val="21"/>
          <w:szCs w:val="21"/>
          <w:highlight w:val="none"/>
          <w:u w:val="single"/>
          <w:lang w:eastAsia="zh-CN"/>
        </w:rPr>
        <w:t>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35393621"/>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QSZB-Z(F)-B22110(CS)L</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1990000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最高限价（元）：1990000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lang w:val="en-US" w:eastAsia="zh-CN"/>
        </w:rPr>
        <w:t>自合同签订之日起至</w:t>
      </w:r>
      <w:r>
        <w:rPr>
          <w:rFonts w:hint="eastAsia"/>
          <w:color w:val="auto"/>
          <w:spacing w:val="-6"/>
          <w:sz w:val="21"/>
          <w:szCs w:val="21"/>
          <w:highlight w:val="none"/>
        </w:rPr>
        <w:t>2024年5月31日</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核酸检测（包括其他医学检验）外包</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详见采购文件</w:t>
            </w:r>
          </w:p>
        </w:tc>
      </w:tr>
    </w:tbl>
    <w:p>
      <w:pPr>
        <w:adjustRightInd w:val="0"/>
        <w:snapToGrid w:val="0"/>
        <w:spacing w:line="288" w:lineRule="auto"/>
        <w:rPr>
          <w:b/>
          <w:color w:val="auto"/>
          <w:sz w:val="21"/>
          <w:szCs w:val="21"/>
          <w:highlight w:val="none"/>
        </w:rPr>
      </w:pPr>
      <w:bookmarkStart w:id="5" w:name="_Toc28359003"/>
      <w:bookmarkStart w:id="6" w:name="_Toc35393791"/>
      <w:bookmarkStart w:id="7" w:name="_Toc35393622"/>
      <w:bookmarkStart w:id="8" w:name="_Toc28359080"/>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w:t>
      </w:r>
      <w:r>
        <w:rPr>
          <w:rFonts w:hint="eastAsia" w:cs="Times New Roman"/>
          <w:color w:val="auto"/>
          <w:sz w:val="21"/>
          <w:szCs w:val="21"/>
          <w:highlight w:val="none"/>
          <w:lang w:val="en-US" w:eastAsia="zh-CN"/>
        </w:rPr>
        <w:t>无</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28359005"/>
      <w:bookmarkStart w:id="15" w:name="_Toc35393624"/>
      <w:bookmarkStart w:id="16" w:name="_Toc35393793"/>
      <w:r>
        <w:rPr>
          <w:rFonts w:hint="eastAsia"/>
          <w:color w:val="auto"/>
          <w:sz w:val="21"/>
          <w:szCs w:val="21"/>
          <w:highlight w:val="none"/>
        </w:rPr>
        <w:t>时间：</w:t>
      </w:r>
      <w:r>
        <w:rPr>
          <w:rFonts w:hint="eastAsia"/>
          <w:color w:val="auto"/>
          <w:sz w:val="21"/>
          <w:szCs w:val="21"/>
          <w:highlight w:val="none"/>
          <w:lang w:eastAsia="zh-CN"/>
        </w:rPr>
        <w:t>2022年</w:t>
      </w:r>
      <w:r>
        <w:rPr>
          <w:rFonts w:hint="eastAsia"/>
          <w:color w:val="auto"/>
          <w:sz w:val="21"/>
          <w:szCs w:val="21"/>
          <w:highlight w:val="none"/>
          <w:lang w:val="en-US" w:eastAsia="zh-CN"/>
        </w:rPr>
        <w:t>6</w:t>
      </w:r>
      <w:r>
        <w:rPr>
          <w:rFonts w:hint="eastAsia"/>
          <w:color w:val="auto"/>
          <w:sz w:val="21"/>
          <w:szCs w:val="21"/>
          <w:highlight w:val="none"/>
        </w:rPr>
        <w:t>月</w:t>
      </w:r>
      <w:r>
        <w:rPr>
          <w:rFonts w:hint="eastAsia"/>
          <w:color w:val="auto"/>
          <w:sz w:val="21"/>
          <w:szCs w:val="21"/>
          <w:highlight w:val="none"/>
          <w:lang w:val="en-US" w:eastAsia="zh-CN"/>
        </w:rPr>
        <w:t>8</w:t>
      </w:r>
      <w:r>
        <w:rPr>
          <w:rFonts w:hint="eastAsia"/>
          <w:color w:val="auto"/>
          <w:sz w:val="21"/>
          <w:szCs w:val="21"/>
          <w:highlight w:val="none"/>
        </w:rPr>
        <w:t>日至</w:t>
      </w:r>
      <w:r>
        <w:rPr>
          <w:rFonts w:hint="eastAsia"/>
          <w:color w:val="auto"/>
          <w:sz w:val="21"/>
          <w:szCs w:val="21"/>
          <w:highlight w:val="none"/>
          <w:lang w:eastAsia="zh-CN"/>
        </w:rPr>
        <w:t>2022年6月21日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2022年6月21日9:00:00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7" w:name="_Toc28359007"/>
      <w:bookmarkStart w:id="18" w:name="_Toc35393625"/>
      <w:bookmarkStart w:id="19" w:name="_Toc28359084"/>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2022年6月21日9:00:00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r>
        <w:rPr>
          <w:rFonts w:hint="eastAsia" w:cs="Times New Roman"/>
          <w:color w:val="auto"/>
          <w:sz w:val="21"/>
          <w:szCs w:val="21"/>
          <w:highlight w:val="none"/>
        </w:rPr>
        <w:t>/杭州市西湖区玉古路173号中田大厦11楼（求是招标会议室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28359008"/>
      <w:bookmarkStart w:id="25" w:name="_Toc28359085"/>
      <w:bookmarkStart w:id="26"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地址：浙江省杭州市钱塘区白杨街道2号大街1158号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杜</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0571-86915130</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商务和技术</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本项目采购标的为：</w:t>
            </w:r>
            <w:r>
              <w:rPr>
                <w:rFonts w:hint="default" w:cs="Times New Roman"/>
                <w:b/>
                <w:bCs/>
                <w:color w:val="auto"/>
                <w:sz w:val="21"/>
                <w:szCs w:val="21"/>
                <w:highlight w:val="none"/>
              </w:rPr>
              <w:t>服务</w:t>
            </w:r>
            <w:r>
              <w:rPr>
                <w:rFonts w:hint="eastAsia" w:cs="Times New Roman"/>
                <w:b/>
                <w:bCs/>
                <w:color w:val="auto"/>
                <w:sz w:val="21"/>
                <w:szCs w:val="21"/>
                <w:highlight w:val="none"/>
              </w:rPr>
              <w:t>，采购标的对应的中小企业划分标准所属行业：其他未列明行业</w:t>
            </w:r>
            <w:r>
              <w:rPr>
                <w:rFonts w:hint="eastAsia" w:cs="Times New Roman"/>
                <w:b/>
                <w:bCs/>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提供材料详见磋商文件第六章“商务和技术文件”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w:t>
            </w:r>
            <w:r>
              <w:rPr>
                <w:rFonts w:hint="default"/>
                <w:color w:val="auto"/>
                <w:spacing w:val="-6"/>
                <w:kern w:val="0"/>
                <w:sz w:val="21"/>
                <w:szCs w:val="21"/>
                <w:highlight w:val="none"/>
              </w:rPr>
              <w:t>2.5</w:t>
            </w:r>
            <w:r>
              <w:rPr>
                <w:rFonts w:hint="eastAsia"/>
                <w:color w:val="auto"/>
                <w:spacing w:val="-6"/>
                <w:kern w:val="0"/>
                <w:sz w:val="21"/>
                <w:szCs w:val="21"/>
                <w:highlight w:val="none"/>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r>
              <w:rPr>
                <w:rFonts w:hint="eastAsia"/>
                <w:color w:val="auto"/>
                <w:spacing w:val="-6"/>
                <w:kern w:val="0"/>
                <w:sz w:val="21"/>
                <w:szCs w:val="21"/>
                <w:highlight w:val="none"/>
                <w:lang w:val="en-US" w:eastAsia="zh-CN"/>
              </w:rPr>
              <w:t>或银行转账</w:t>
            </w:r>
            <w:r>
              <w:rPr>
                <w:rFonts w:hint="eastAsia"/>
                <w:color w:val="auto"/>
                <w:spacing w:val="-6"/>
                <w:kern w:val="0"/>
                <w:sz w:val="21"/>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rPr>
            </w:pPr>
            <w:r>
              <w:rPr>
                <w:rFonts w:hint="eastAsia"/>
                <w:color w:val="auto"/>
                <w:spacing w:val="-6"/>
                <w:kern w:val="0"/>
                <w:sz w:val="21"/>
                <w:szCs w:val="21"/>
                <w:highlight w:val="none"/>
                <w:lang w:val="en-US" w:eastAsia="zh-CN"/>
              </w:rPr>
              <w:t>1.</w:t>
            </w:r>
            <w:r>
              <w:rPr>
                <w:rFonts w:hint="eastAsia"/>
                <w:color w:val="auto"/>
                <w:spacing w:val="-6"/>
                <w:kern w:val="0"/>
                <w:sz w:val="21"/>
                <w:szCs w:val="21"/>
                <w:highlight w:val="none"/>
              </w:rPr>
              <w:t>按</w:t>
            </w:r>
            <w:r>
              <w:rPr>
                <w:rFonts w:hint="eastAsia"/>
                <w:color w:val="auto"/>
                <w:spacing w:val="-6"/>
                <w:kern w:val="0"/>
                <w:sz w:val="21"/>
                <w:szCs w:val="21"/>
                <w:highlight w:val="none"/>
                <w:lang w:val="en-US" w:eastAsia="zh-CN"/>
              </w:rPr>
              <w:t>每月</w:t>
            </w:r>
            <w:r>
              <w:rPr>
                <w:rFonts w:hint="eastAsia"/>
                <w:color w:val="auto"/>
                <w:spacing w:val="-6"/>
                <w:kern w:val="0"/>
                <w:sz w:val="21"/>
                <w:szCs w:val="21"/>
                <w:highlight w:val="none"/>
              </w:rPr>
              <w:t>实际发生的费用</w:t>
            </w:r>
            <w:r>
              <w:rPr>
                <w:rFonts w:hint="eastAsia"/>
                <w:color w:val="auto"/>
                <w:spacing w:val="-6"/>
                <w:kern w:val="0"/>
                <w:sz w:val="21"/>
                <w:szCs w:val="21"/>
                <w:highlight w:val="none"/>
                <w:lang w:val="en-US" w:eastAsia="zh-CN"/>
              </w:rPr>
              <w:t>按实</w:t>
            </w:r>
            <w:r>
              <w:rPr>
                <w:rFonts w:hint="eastAsia"/>
                <w:color w:val="auto"/>
                <w:spacing w:val="-6"/>
                <w:kern w:val="0"/>
                <w:sz w:val="21"/>
                <w:szCs w:val="21"/>
                <w:highlight w:val="none"/>
              </w:rPr>
              <w:t>结算。</w:t>
            </w:r>
            <w:r>
              <w:rPr>
                <w:rFonts w:hint="eastAsia"/>
                <w:color w:val="auto"/>
                <w:spacing w:val="-6"/>
                <w:kern w:val="0"/>
                <w:sz w:val="21"/>
                <w:szCs w:val="21"/>
                <w:highlight w:val="none"/>
                <w:lang w:val="en-US" w:eastAsia="zh-CN"/>
              </w:rPr>
              <w:t>采购人</w:t>
            </w:r>
            <w:r>
              <w:rPr>
                <w:rFonts w:hint="eastAsia"/>
                <w:color w:val="auto"/>
                <w:spacing w:val="-6"/>
                <w:kern w:val="0"/>
                <w:sz w:val="21"/>
                <w:szCs w:val="21"/>
                <w:highlight w:val="none"/>
              </w:rPr>
              <w:t>收到</w:t>
            </w:r>
            <w:r>
              <w:rPr>
                <w:rFonts w:hint="eastAsia"/>
                <w:color w:val="auto"/>
                <w:spacing w:val="-6"/>
                <w:kern w:val="0"/>
                <w:sz w:val="21"/>
                <w:szCs w:val="21"/>
                <w:highlight w:val="none"/>
                <w:lang w:val="en-US" w:eastAsia="zh-CN"/>
              </w:rPr>
              <w:t>供应商开具的</w:t>
            </w:r>
            <w:r>
              <w:rPr>
                <w:rFonts w:hint="eastAsia"/>
                <w:color w:val="auto"/>
                <w:spacing w:val="-6"/>
                <w:kern w:val="0"/>
                <w:sz w:val="21"/>
                <w:szCs w:val="21"/>
                <w:highlight w:val="none"/>
              </w:rPr>
              <w:t>发票后</w:t>
            </w:r>
            <w:r>
              <w:rPr>
                <w:rFonts w:hint="eastAsia"/>
                <w:color w:val="auto"/>
                <w:spacing w:val="-6"/>
                <w:kern w:val="0"/>
                <w:sz w:val="21"/>
                <w:szCs w:val="21"/>
                <w:highlight w:val="none"/>
                <w:lang w:val="en-US" w:eastAsia="zh-CN"/>
              </w:rPr>
              <w:t>7个工作日</w:t>
            </w:r>
            <w:r>
              <w:rPr>
                <w:rFonts w:hint="eastAsia"/>
                <w:color w:val="auto"/>
                <w:spacing w:val="-6"/>
                <w:kern w:val="0"/>
                <w:sz w:val="21"/>
                <w:szCs w:val="21"/>
                <w:highlight w:val="none"/>
              </w:rPr>
              <w:t>内向</w:t>
            </w:r>
            <w:r>
              <w:rPr>
                <w:rFonts w:hint="eastAsia"/>
                <w:color w:val="auto"/>
                <w:spacing w:val="-6"/>
                <w:kern w:val="0"/>
                <w:sz w:val="21"/>
                <w:szCs w:val="21"/>
                <w:highlight w:val="none"/>
                <w:lang w:val="en-US" w:eastAsia="zh-CN"/>
              </w:rPr>
              <w:t>供应商</w:t>
            </w:r>
            <w:r>
              <w:rPr>
                <w:rFonts w:hint="eastAsia"/>
                <w:color w:val="auto"/>
                <w:spacing w:val="-6"/>
                <w:kern w:val="0"/>
                <w:sz w:val="21"/>
                <w:szCs w:val="21"/>
                <w:highlight w:val="none"/>
              </w:rPr>
              <w:t>支付</w:t>
            </w:r>
            <w:r>
              <w:rPr>
                <w:rFonts w:hint="eastAsia"/>
                <w:color w:val="auto"/>
                <w:spacing w:val="-6"/>
                <w:kern w:val="0"/>
                <w:sz w:val="21"/>
                <w:szCs w:val="21"/>
                <w:highlight w:val="none"/>
                <w:lang w:val="en-US" w:eastAsia="zh-CN"/>
              </w:rPr>
              <w:t>上月</w:t>
            </w:r>
            <w:r>
              <w:rPr>
                <w:rFonts w:hint="eastAsia"/>
                <w:color w:val="auto"/>
                <w:spacing w:val="-6"/>
                <w:kern w:val="0"/>
                <w:sz w:val="21"/>
                <w:szCs w:val="21"/>
                <w:highlight w:val="none"/>
              </w:rPr>
              <w:t>费用。</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注：供应商需提供增值税专用发票，开票信息如下：</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抬头：杭州电子科技大学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税号：12330000470009026T</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地址：杭州市下沙高教园区杭州电子科技大学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电话：0571-86915020</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default"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bookmarkEnd w:id="29"/>
    </w:tbl>
    <w:p>
      <w:pPr>
        <w:adjustRightInd w:val="0"/>
        <w:snapToGrid w:val="0"/>
        <w:spacing w:line="288" w:lineRule="auto"/>
        <w:rPr>
          <w:color w:val="auto"/>
          <w:sz w:val="21"/>
          <w:szCs w:val="21"/>
          <w:highlight w:val="none"/>
        </w:rPr>
      </w:pPr>
    </w:p>
    <w:p>
      <w:pPr>
        <w:keepNext w:val="0"/>
        <w:keepLines w:val="0"/>
        <w:pageBreakBefore w:val="0"/>
        <w:widowControl w:val="0"/>
        <w:kinsoku/>
        <w:wordWrap/>
        <w:overflowPunct/>
        <w:topLinePunct w:val="0"/>
        <w:autoSpaceDN/>
        <w:bidi w:val="0"/>
        <w:adjustRightInd w:val="0"/>
        <w:snapToGrid w:val="0"/>
        <w:spacing w:line="288" w:lineRule="auto"/>
        <w:textAlignment w:val="auto"/>
        <w:outlineLvl w:val="1"/>
        <w:rPr>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本项目主要内容为核酸检测服务以及其他医学检验服务。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供应商须</w:t>
      </w:r>
      <w:r>
        <w:rPr>
          <w:rFonts w:hint="eastAsia" w:cs="宋体"/>
          <w:color w:val="auto"/>
          <w:kern w:val="0"/>
          <w:sz w:val="21"/>
          <w:szCs w:val="21"/>
          <w:highlight w:val="none"/>
          <w:lang w:val="en-US" w:eastAsia="zh-CN" w:bidi="ar"/>
        </w:rPr>
        <w:t>在</w:t>
      </w:r>
      <w:r>
        <w:rPr>
          <w:rFonts w:hint="eastAsia" w:ascii="宋体" w:hAnsi="宋体" w:eastAsia="宋体" w:cs="宋体"/>
          <w:color w:val="auto"/>
          <w:kern w:val="0"/>
          <w:sz w:val="21"/>
          <w:szCs w:val="21"/>
          <w:highlight w:val="none"/>
          <w:lang w:val="en-US" w:eastAsia="zh-CN" w:bidi="ar"/>
        </w:rPr>
        <w:t>每年三月份为采购人代办出“可感染人类的高致病性病原微生物菌（毒）种或样本准运证书”。</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供应商独立承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）采购人可在网上打印自己送检的任意样本的报告单，其涉及的接口费用均由供应商承担。接口须与学校系统对接，合同签订之后半月内对接成功。</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r>
        <w:rPr>
          <w:rFonts w:hint="eastAsia" w:ascii="宋体" w:hAnsi="宋体" w:eastAsia="宋体" w:cs="宋体"/>
          <w:b w:val="0"/>
          <w:bCs w:val="0"/>
          <w:i w:val="0"/>
          <w:iCs w:val="0"/>
          <w:color w:val="auto"/>
          <w:kern w:val="0"/>
          <w:sz w:val="21"/>
          <w:szCs w:val="21"/>
          <w:highlight w:val="none"/>
          <w:lang w:val="en-US" w:eastAsia="zh-CN" w:bidi="ar"/>
        </w:rPr>
        <w:t>）供应商须在合同签订后提供最新版的检验项目手册10本。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2.供应商责任义务：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（1）供应商保证对采购方所送检的标本完成检验，并对检验结果的质量问题负责任。</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（2）供应商应当在检测项目发生变化或价格发生变化时向采购人提供更改清单。清单详细列出检测项目、检测内容、检测方法、检测标本和价格等更改的内容。</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（3）供应商承诺对采购人的操作人员就供应商开展检验项目的取样，标本保存等知识进行培训。</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（4）供应商保证对采购人送检的标本按一定的保存时限进行保存，以备采购人复查。</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（5）供应商承诺免费上门收取标本。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（6）供应商提供相应的标本管，供采购人标本离心后分装。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（7）供应商按承诺的时间及时发出报告，报告发送方式双方协商确定。</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（8）供应商的所有送检标本最终由供应商处置（特殊情况除外），但供应商保证将所有送检标本及检验结果相关资料保密，如有泄露，责任由供应商负责。</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4.服务期限</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自合同签订之日起至2024年5月31日。</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5.服务地点</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供应商在工作日上门至校医院223室取标本。</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6.报价要求：</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（1）本项目报价方式为供应商根据浙江省医疗服务价格收费标准报折扣，所有检测项目报价折扣一致。如：供应商最终响应报价为50%，即成交后按检测项目浙江省医疗服务价格收费标准×50%的价格执行。</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（2）核算的唯一标准是浙江省医疗服务行业物价收费标准。</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（3）除政策调整因素外，合同期内成交价不能调整。</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4）检测服务费包括但不限于样本采集、运输服务，配套车辆设备，配备服务人员，售后服务，质量监控信息，外送标本检测成本等完成本项目所产生的一切费用，采购人除检测服务费，不再另外支付任何其他费用。</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default" w:ascii="宋体" w:hAnsi="宋体" w:eastAsia="宋体" w:cs="宋体"/>
          <w:b/>
          <w:bCs/>
          <w:color w:val="auto"/>
          <w:kern w:val="0"/>
          <w:sz w:val="21"/>
          <w:szCs w:val="21"/>
          <w:highlight w:val="none"/>
          <w:lang w:val="en-US"/>
        </w:rPr>
      </w:pPr>
      <w:r>
        <w:rPr>
          <w:rFonts w:hint="eastAsia" w:ascii="宋体" w:hAnsi="宋体" w:eastAsia="宋体" w:cs="宋体"/>
          <w:b/>
          <w:bCs/>
          <w:color w:val="auto"/>
          <w:kern w:val="0"/>
          <w:sz w:val="21"/>
          <w:szCs w:val="21"/>
          <w:highlight w:val="none"/>
          <w:u w:val="none"/>
          <w:lang w:val="en-US" w:eastAsia="zh-CN" w:bidi="ar"/>
        </w:rPr>
        <w:t>▲（5）本项目投标人投标报价最高限价为50%，投标价超过最高限价将导致投标无效。如：供应商最终响应报价为51%，响应无效；最终响应报价为49%，响应有效。</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0"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rPr>
                    <w:t>1.</w:t>
                  </w:r>
                  <w:r>
                    <w:rPr>
                      <w:rFonts w:hint="eastAsia"/>
                      <w:color w:val="auto"/>
                      <w:sz w:val="21"/>
                      <w:szCs w:val="21"/>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bookmarkEnd w:id="30"/>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本项目接受联合体响应。</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val="en-US" w:eastAsia="zh-CN"/>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r>
              <w:rPr>
                <w:rFonts w:hint="eastAsia" w:cs="Times New Roman"/>
                <w:color w:val="auto"/>
                <w:sz w:val="21"/>
                <w:szCs w:val="21"/>
                <w:highlight w:val="none"/>
                <w:lang w:val="en-US" w:eastAsia="zh-CN"/>
              </w:rPr>
              <w:t>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w:t>
            </w:r>
            <w:r>
              <w:rPr>
                <w:rFonts w:hint="eastAsia"/>
                <w:color w:val="auto"/>
                <w:sz w:val="21"/>
                <w:szCs w:val="21"/>
                <w:highlight w:val="none"/>
                <w:lang w:eastAsia="zh-CN"/>
              </w:rPr>
              <w:t>折扣</w:t>
            </w:r>
            <w:r>
              <w:rPr>
                <w:rFonts w:hint="eastAsia"/>
                <w:color w:val="auto"/>
                <w:sz w:val="21"/>
                <w:szCs w:val="21"/>
                <w:highlight w:val="none"/>
              </w:rPr>
              <w:t>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0</w:t>
            </w:r>
            <w:r>
              <w:rPr>
                <w:rFonts w:hint="eastAsia"/>
                <w:color w:val="auto"/>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1</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w:t>
      </w:r>
      <w:r>
        <w:rPr>
          <w:rFonts w:hint="eastAsia"/>
          <w:color w:val="auto"/>
          <w:sz w:val="21"/>
          <w:szCs w:val="21"/>
          <w:highlight w:val="none"/>
          <w:lang w:eastAsia="zh-CN"/>
        </w:rPr>
        <w:t>折扣</w:t>
      </w:r>
      <w:r>
        <w:rPr>
          <w:color w:val="auto"/>
          <w:sz w:val="21"/>
          <w:szCs w:val="21"/>
          <w:highlight w:val="none"/>
        </w:rPr>
        <w:t>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价格分（</w:t>
            </w:r>
            <w:r>
              <w:rPr>
                <w:rFonts w:hint="eastAsia"/>
                <w:b/>
                <w:bCs/>
                <w:color w:val="auto"/>
                <w:sz w:val="21"/>
                <w:szCs w:val="21"/>
                <w:highlight w:val="none"/>
                <w:lang w:val="en-US" w:eastAsia="zh-CN"/>
              </w:rPr>
              <w:t>20</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rPr>
            </w:pPr>
            <w:r>
              <w:rPr>
                <w:rFonts w:hint="eastAsia"/>
                <w:b/>
                <w:bCs/>
                <w:color w:val="auto"/>
                <w:sz w:val="21"/>
                <w:szCs w:val="21"/>
                <w:highlight w:val="none"/>
                <w:lang w:val="en-US" w:eastAsia="zh-CN"/>
              </w:rPr>
              <w:t>20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磋商报价得分</w:t>
            </w:r>
            <w:r>
              <w:rPr>
                <w:rFonts w:hint="default"/>
                <w:color w:val="auto"/>
                <w:sz w:val="21"/>
                <w:szCs w:val="21"/>
                <w:highlight w:val="none"/>
              </w:rPr>
              <w:t>=（磋商基准价/最后磋商报价）×</w:t>
            </w:r>
            <w:r>
              <w:rPr>
                <w:rFonts w:hint="eastAsia"/>
                <w:color w:val="auto"/>
                <w:sz w:val="21"/>
                <w:szCs w:val="21"/>
                <w:highlight w:val="none"/>
                <w:lang w:val="en-US" w:eastAsia="zh-CN"/>
              </w:rPr>
              <w:t>20</w:t>
            </w:r>
            <w:r>
              <w:rPr>
                <w:rFonts w:hint="eastAsia"/>
                <w:color w:val="auto"/>
                <w:sz w:val="21"/>
                <w:szCs w:val="21"/>
                <w:highlight w:val="none"/>
              </w:rPr>
              <w:t>%</w:t>
            </w:r>
            <w:r>
              <w:rPr>
                <w:rFonts w:hint="default"/>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2</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供应商自201</w:t>
            </w:r>
            <w:r>
              <w:rPr>
                <w:rFonts w:hint="default"/>
                <w:color w:val="auto"/>
                <w:sz w:val="21"/>
                <w:szCs w:val="21"/>
                <w:highlight w:val="none"/>
              </w:rPr>
              <w:t>8</w:t>
            </w:r>
            <w:r>
              <w:rPr>
                <w:rFonts w:hint="eastAsia"/>
                <w:color w:val="auto"/>
                <w:sz w:val="21"/>
                <w:szCs w:val="21"/>
                <w:highlight w:val="none"/>
              </w:rPr>
              <w:t>年1月1日以来（以合同签订时间为准）同类合同业绩（以提供的合同扫描件为准）：每提供1份合同业绩得</w:t>
            </w:r>
            <w:r>
              <w:rPr>
                <w:rFonts w:hint="eastAsia"/>
                <w:color w:val="auto"/>
                <w:sz w:val="21"/>
                <w:szCs w:val="21"/>
                <w:highlight w:val="none"/>
                <w:lang w:val="en-US" w:eastAsia="zh-CN"/>
              </w:rPr>
              <w:t>1</w:t>
            </w:r>
            <w:r>
              <w:rPr>
                <w:rFonts w:hint="eastAsia"/>
                <w:color w:val="auto"/>
                <w:sz w:val="21"/>
                <w:szCs w:val="21"/>
                <w:highlight w:val="none"/>
              </w:rPr>
              <w:t>分，最高得</w:t>
            </w:r>
            <w:r>
              <w:rPr>
                <w:rFonts w:hint="eastAsia"/>
                <w:color w:val="auto"/>
                <w:sz w:val="21"/>
                <w:szCs w:val="21"/>
                <w:highlight w:val="none"/>
                <w:lang w:val="en-US" w:eastAsia="zh-CN"/>
              </w:rPr>
              <w:t>2</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技术分（</w:t>
            </w:r>
            <w:r>
              <w:rPr>
                <w:rFonts w:hint="eastAsia"/>
                <w:b/>
                <w:bCs/>
                <w:color w:val="auto"/>
                <w:sz w:val="21"/>
                <w:szCs w:val="21"/>
                <w:highlight w:val="none"/>
                <w:lang w:val="en-US" w:eastAsia="zh-CN"/>
              </w:rPr>
              <w:t>78</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default"/>
                <w:b/>
                <w:bCs/>
                <w:color w:val="auto"/>
                <w:sz w:val="21"/>
                <w:szCs w:val="21"/>
                <w:highlight w:val="none"/>
              </w:rPr>
              <w:t>3</w:t>
            </w:r>
            <w:r>
              <w:rPr>
                <w:rFonts w:hint="eastAsia"/>
                <w:b/>
                <w:bCs/>
                <w:color w:val="auto"/>
                <w:sz w:val="21"/>
                <w:szCs w:val="21"/>
                <w:highlight w:val="none"/>
                <w:lang w:val="en-US" w:eastAsia="zh-CN"/>
              </w:rPr>
              <w:t>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技术条款低于技术要求（负偏离）的每项扣</w:t>
            </w:r>
            <w:r>
              <w:rPr>
                <w:rFonts w:hint="default"/>
                <w:color w:val="auto"/>
                <w:sz w:val="21"/>
                <w:szCs w:val="21"/>
                <w:highlight w:val="none"/>
              </w:rPr>
              <w:t>3</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负偏离1</w:t>
            </w:r>
            <w:r>
              <w:rPr>
                <w:rFonts w:hint="eastAsia"/>
                <w:color w:val="auto"/>
                <w:sz w:val="21"/>
                <w:szCs w:val="21"/>
                <w:highlight w:val="none"/>
                <w:lang w:val="en-US" w:eastAsia="zh-CN"/>
              </w:rPr>
              <w:t>1</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项目总体实施方案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w:t>
            </w:r>
            <w:r>
              <w:rPr>
                <w:rFonts w:hint="default"/>
                <w:color w:val="auto"/>
                <w:sz w:val="21"/>
                <w:szCs w:val="21"/>
                <w:highlight w:val="none"/>
              </w:rPr>
              <w:t>服务方案阐述是否清晰、完整，</w:t>
            </w:r>
            <w:r>
              <w:rPr>
                <w:rFonts w:hint="eastAsia"/>
                <w:color w:val="auto"/>
                <w:sz w:val="21"/>
                <w:szCs w:val="21"/>
                <w:highlight w:val="none"/>
                <w:lang w:val="en-US" w:eastAsia="zh-CN"/>
              </w:rPr>
              <w:t>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w:t>
            </w:r>
            <w:r>
              <w:rPr>
                <w:rFonts w:hint="default"/>
                <w:color w:val="auto"/>
                <w:sz w:val="21"/>
                <w:szCs w:val="21"/>
                <w:highlight w:val="none"/>
              </w:rPr>
              <w:t>自身的介绍（包括管理经营模式等方面）情况、项目实施和管理优势等方面，本项最高得</w:t>
            </w:r>
            <w:r>
              <w:rPr>
                <w:rFonts w:hint="eastAsia"/>
                <w:color w:val="auto"/>
                <w:sz w:val="21"/>
                <w:szCs w:val="21"/>
                <w:highlight w:val="none"/>
                <w:lang w:val="en-US" w:eastAsia="zh-CN"/>
              </w:rPr>
              <w:t>4</w:t>
            </w:r>
            <w:r>
              <w:rPr>
                <w:rFonts w:hint="default"/>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拟投入人员</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供应商拟投入本项目</w:t>
            </w:r>
            <w:r>
              <w:rPr>
                <w:rFonts w:hint="default"/>
                <w:color w:val="auto"/>
                <w:sz w:val="21"/>
                <w:szCs w:val="21"/>
                <w:highlight w:val="none"/>
              </w:rPr>
              <w:t>技术人员的情况（包括人员数量、学历、同类项目工作经验、培训经历、职称、资质证书等），</w:t>
            </w:r>
            <w:r>
              <w:rPr>
                <w:rFonts w:hint="eastAsia"/>
                <w:color w:val="auto"/>
                <w:sz w:val="21"/>
                <w:szCs w:val="21"/>
                <w:highlight w:val="none"/>
                <w:lang w:val="en-US" w:eastAsia="zh-CN"/>
              </w:rPr>
              <w:t>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w:t>
            </w:r>
            <w:r>
              <w:rPr>
                <w:rFonts w:hint="eastAsia"/>
                <w:color w:val="auto"/>
                <w:sz w:val="21"/>
                <w:szCs w:val="21"/>
                <w:highlight w:val="none"/>
                <w:lang w:val="en-US" w:eastAsia="zh-CN"/>
              </w:rPr>
              <w:t>本单位缴纳</w:t>
            </w:r>
            <w:r>
              <w:rPr>
                <w:rFonts w:hint="default"/>
                <w:color w:val="auto"/>
                <w:sz w:val="21"/>
                <w:szCs w:val="21"/>
                <w:highlight w:val="none"/>
              </w:rPr>
              <w:t>社保</w:t>
            </w:r>
            <w:r>
              <w:rPr>
                <w:rFonts w:hint="eastAsia"/>
                <w:color w:val="auto"/>
                <w:sz w:val="21"/>
                <w:szCs w:val="21"/>
                <w:highlight w:val="none"/>
                <w:lang w:val="en-US" w:eastAsia="zh-CN"/>
              </w:rPr>
              <w:t>证明材料</w:t>
            </w:r>
            <w:r>
              <w:rPr>
                <w:rFonts w:hint="default"/>
                <w:color w:val="auto"/>
                <w:sz w:val="21"/>
                <w:szCs w:val="21"/>
                <w:highlight w:val="none"/>
              </w:rPr>
              <w:t>或聘用合同证明</w:t>
            </w:r>
            <w:r>
              <w:rPr>
                <w:rFonts w:hint="eastAsia"/>
                <w:color w:val="auto"/>
                <w:sz w:val="21"/>
                <w:szCs w:val="21"/>
                <w:highlight w:val="none"/>
                <w:lang w:val="en-US" w:eastAsia="zh-CN"/>
              </w:rPr>
              <w:t>扫描件</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供应商拟投入项目</w:t>
            </w:r>
            <w:r>
              <w:rPr>
                <w:rFonts w:hint="eastAsia"/>
                <w:color w:val="auto"/>
                <w:sz w:val="21"/>
                <w:szCs w:val="21"/>
                <w:highlight w:val="none"/>
                <w:lang w:val="en-US" w:eastAsia="zh-CN"/>
              </w:rPr>
              <w:t>负责人</w:t>
            </w:r>
            <w:r>
              <w:rPr>
                <w:rFonts w:hint="default"/>
                <w:color w:val="auto"/>
                <w:sz w:val="21"/>
                <w:szCs w:val="21"/>
                <w:highlight w:val="none"/>
              </w:rPr>
              <w:t>的情况（包括人员数量、学历、同类项目工作经验、培训经历、职称、资质证书等），本项最高得5分。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提供证书复印件和本单位缴纳社保证明材料或聘用合同证明扫描件。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质量保障措施</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供应商质量保障措施情况，本项最高得5分。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拟投入设备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供应商拟投入本项目的设备情况，本项最高得5分。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拟采用的试剂耗材</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供应商拟采用的试剂耗材情况，本项最高得5分。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运输方案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color w:val="auto"/>
                <w:sz w:val="21"/>
                <w:szCs w:val="21"/>
                <w:highlight w:val="none"/>
              </w:rPr>
              <w:t>物流运输方案</w:t>
            </w:r>
            <w:r>
              <w:rPr>
                <w:rFonts w:hint="eastAsia"/>
                <w:color w:val="auto"/>
                <w:sz w:val="21"/>
                <w:szCs w:val="21"/>
                <w:highlight w:val="none"/>
                <w:lang w:val="en-US" w:eastAsia="zh-CN"/>
              </w:rPr>
              <w:t>整体情况，本项最高得5分。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供应商拟投入本项目的运输车辆情况，本项最高得5分。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服务效率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供应商服务响应效率承诺情况，本项最高得5分。</w:t>
            </w:r>
          </w:p>
        </w:tc>
      </w:tr>
    </w:tbl>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根据《政府采购促进中小企业发展管理办法》（财库〔2020〕46号）的规定，对符合规定的小微企业报价给予</w:t>
      </w:r>
      <w:r>
        <w:rPr>
          <w:b/>
          <w:sz w:val="21"/>
          <w:szCs w:val="21"/>
        </w:rPr>
        <w:t>10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w:t>
      </w:r>
      <w:r>
        <w:rPr>
          <w:spacing w:val="-6"/>
          <w:sz w:val="21"/>
          <w:szCs w:val="21"/>
          <w:u w:val="single"/>
        </w:rPr>
        <w:t>3</w:t>
      </w:r>
      <w:r>
        <w:rPr>
          <w:rFonts w:hint="eastAsia"/>
          <w:spacing w:val="-6"/>
          <w:sz w:val="21"/>
          <w:szCs w:val="21"/>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37" w:name="_Hlk81817373"/>
      <w:bookmarkStart w:id="38" w:name="_Hlk81817387"/>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color w:val="000000"/>
          <w:kern w:val="0"/>
          <w:sz w:val="21"/>
          <w:szCs w:val="21"/>
        </w:rPr>
        <w:t>监狱企业参加政府采购活动时，提供由省级以上监狱管理局</w:t>
      </w:r>
      <w:r>
        <w:rPr>
          <w:rFonts w:hint="eastAsia"/>
          <w:kern w:val="0"/>
          <w:sz w:val="21"/>
          <w:szCs w:val="21"/>
        </w:rPr>
        <w:t>、戒毒管理局（含新疆生产建设兵团）出具的属于监狱企业的证明文件的，在政府采购活动中，监狱企业视</w:t>
      </w:r>
      <w:r>
        <w:rPr>
          <w:rFonts w:hint="eastAsia"/>
          <w:color w:val="000000"/>
          <w:kern w:val="0"/>
          <w:sz w:val="21"/>
          <w:szCs w:val="21"/>
        </w:rPr>
        <w:t>同小型、微型企业，享受预留份额、评审中价格扣除等政府采购促进中小企业发展的政府采购政策。</w:t>
      </w:r>
    </w:p>
    <w:bookmarkEnd w:id="37"/>
    <w:p>
      <w:pPr>
        <w:adjustRightInd w:val="0"/>
        <w:snapToGrid w:val="0"/>
        <w:spacing w:line="288" w:lineRule="auto"/>
        <w:rPr>
          <w:rFonts w:cs="Times New Roman"/>
          <w:b/>
          <w:bCs/>
          <w:spacing w:val="-6"/>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color w:val="000000"/>
          <w:sz w:val="21"/>
          <w:szCs w:val="21"/>
        </w:rPr>
        <w:t>符合条件的残疾人福利性单位在参加政府采购活动时，</w:t>
      </w:r>
      <w:r>
        <w:rPr>
          <w:rFonts w:hint="eastAsia"/>
          <w:sz w:val="21"/>
          <w:szCs w:val="21"/>
        </w:rPr>
        <w:t>提供财库</w:t>
      </w:r>
      <w:r>
        <w:rPr>
          <w:sz w:val="21"/>
          <w:szCs w:val="21"/>
        </w:rPr>
        <w:t>[2017]141号</w:t>
      </w:r>
      <w:r>
        <w:rPr>
          <w:rFonts w:hint="eastAsia"/>
          <w:sz w:val="21"/>
          <w:szCs w:val="21"/>
        </w:rPr>
        <w:t>文件</w:t>
      </w:r>
      <w:r>
        <w:rPr>
          <w:rFonts w:hint="eastAsia"/>
          <w:color w:val="000000"/>
          <w:sz w:val="21"/>
          <w:szCs w:val="21"/>
        </w:rPr>
        <w:t>规定的《残疾人福利性单位声明函》的，在政府采购活</w:t>
      </w:r>
      <w:r>
        <w:rPr>
          <w:rFonts w:hint="eastAsia"/>
          <w:sz w:val="21"/>
          <w:szCs w:val="21"/>
        </w:rPr>
        <w:t>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bookmarkEnd w:id="38"/>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政府采购合同</w:t>
      </w:r>
    </w:p>
    <w:p>
      <w:pPr>
        <w:keepNext w:val="0"/>
        <w:keepLines w:val="0"/>
        <w:widowControl w:val="0"/>
        <w:suppressLineNumbers w:val="0"/>
        <w:spacing w:before="0" w:beforeAutospacing="0" w:after="0" w:afterAutospacing="0" w:line="288" w:lineRule="auto"/>
        <w:ind w:left="0" w:right="0" w:firstLine="396" w:firstLineChars="200"/>
        <w:jc w:val="center"/>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（本合同为合同样稿，最终稿由三方协商后确定，合同实质性内容不得更改；签订合同时删除此行）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采购编号：</w:t>
      </w:r>
      <w:r>
        <w:rPr>
          <w:rFonts w:hint="eastAsia" w:cs="宋体"/>
          <w:color w:val="auto"/>
          <w:spacing w:val="-6"/>
          <w:kern w:val="2"/>
          <w:sz w:val="21"/>
          <w:szCs w:val="21"/>
          <w:highlight w:val="none"/>
          <w:lang w:val="en-US" w:eastAsia="zh-CN" w:bidi="ar"/>
        </w:rPr>
        <w:t>QSZB-Z(F)-B22110(CS)L</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确认书编号：</w:t>
      </w:r>
      <w:r>
        <w:rPr>
          <w:rFonts w:hint="eastAsia" w:cs="宋体"/>
          <w:color w:val="auto"/>
          <w:spacing w:val="-6"/>
          <w:kern w:val="2"/>
          <w:sz w:val="21"/>
          <w:szCs w:val="21"/>
          <w:highlight w:val="none"/>
          <w:lang w:val="en-US" w:eastAsia="zh-CN" w:bidi="ar"/>
        </w:rPr>
        <w:t>[2022]34526号、[2022]34527号</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甲方（需方）：杭州电子科技大学</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签约时间、地点：2022年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日，杭州</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snapToGrid w:val="0"/>
        <w:spacing w:before="0" w:beforeAutospacing="0" w:after="0" w:afterAutospacing="0" w:line="288" w:lineRule="auto"/>
        <w:ind w:left="-204" w:leftChars="-85" w:right="26" w:rightChars="11"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甲、乙双方根据浙江求是招标代理有限公司关于杭州电子科技大学</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u w:val="single"/>
          <w:lang w:val="en-US" w:eastAsia="zh-CN" w:bidi="ar"/>
        </w:rPr>
        <w:t>核酸检测（包括其他医学检验）外包</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项目竞争性磋商的结果，签署本合同。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第一条：服务内容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（1）本</w:t>
      </w:r>
      <w:r>
        <w:rPr>
          <w:rFonts w:hint="eastAsia" w:cs="宋体"/>
          <w:color w:val="auto"/>
          <w:kern w:val="0"/>
          <w:sz w:val="21"/>
          <w:szCs w:val="21"/>
          <w:highlight w:val="none"/>
          <w:lang w:val="en-US" w:eastAsia="zh-CN" w:bidi="ar"/>
        </w:rPr>
        <w:t>合同</w:t>
      </w:r>
      <w:r>
        <w:rPr>
          <w:rFonts w:hint="eastAsia" w:ascii="宋体" w:hAnsi="宋体" w:eastAsia="宋体" w:cs="宋体"/>
          <w:color w:val="auto"/>
          <w:kern w:val="0"/>
          <w:sz w:val="21"/>
          <w:szCs w:val="21"/>
          <w:highlight w:val="none"/>
          <w:lang w:val="en-US" w:eastAsia="zh-CN" w:bidi="ar"/>
        </w:rPr>
        <w:t>主要内容为核酸检测服务以及其他医学检验服务。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）乙方须在每年三月份为甲方代办出“可感染人类的高致病性病原微生物菌（毒）种或样本准运证书”。</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乙方独立承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）甲方可在网上打印自己送检的任意样本的报告单，其涉及的接口费用均由乙方承担。接口须与学校系统对接，合同签订之后半月内对接成功。</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r>
        <w:rPr>
          <w:rFonts w:hint="eastAsia" w:ascii="宋体" w:hAnsi="宋体" w:eastAsia="宋体" w:cs="宋体"/>
          <w:b w:val="0"/>
          <w:bCs w:val="0"/>
          <w:i w:val="0"/>
          <w:iCs w:val="0"/>
          <w:color w:val="auto"/>
          <w:kern w:val="0"/>
          <w:sz w:val="21"/>
          <w:szCs w:val="21"/>
          <w:highlight w:val="none"/>
          <w:lang w:val="en-US" w:eastAsia="zh-CN" w:bidi="ar"/>
        </w:rPr>
        <w:t>）乙方须在合同签订后提供最新版的检验项目手册10本。</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2、乙方责任义务：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（1）乙方保证对采购方所送检的标本完成检验，并对检验结果的质量问题负责任。</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（2）乙方应当在检测项目发生变化或价格发生变化时向甲方提供更改清单。清单详细列出检测项目、检测内容、检测方法、检测标本和价格等更改的内容。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（3）乙方承诺对甲方的操作人员就乙方开展检验项目的取样，标本保存等知识进行培训。</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（4）乙方保证对甲方送检的标本按一定的保存时限进行保存，以备甲方复查。</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（5）乙方承诺免费上门收取标本。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（6）乙方提供相应的标本管，供甲方标本离心后分装。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（7）乙方按承诺的时间及时发出报告，报告发送方式双方协商确定。</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（8）乙方的所有送检标本最终由乙方处置（特殊情况除外），但乙方保证将所有送检标本及检验结果相关资料保密，如有泄露，责任由乙方负责。</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甲方有权终止合同，并追究相关损失。</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第二条：服务期限、地点</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1、服务期限：自合同签订之日起至2024年5月31日。</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2、服务地点：乙方在工作日上门至校医院223室取标本。</w:t>
      </w:r>
    </w:p>
    <w:p>
      <w:pPr>
        <w:keepNext w:val="0"/>
        <w:keepLines w:val="0"/>
        <w:widowControl w:val="0"/>
        <w:suppressLineNumbers w:val="0"/>
        <w:snapToGrid w:val="0"/>
        <w:spacing w:before="0" w:beforeAutospacing="0" w:after="0" w:afterAutospacing="0" w:line="288" w:lineRule="auto"/>
        <w:ind w:left="340" w:right="0" w:hanging="340" w:hangingChars="171"/>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第三条：知识产权</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乙方应保证所提供的服务或其任何一部分均不会侵犯任何第三方的知识产权。</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0"/>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第四条：服务费用及结算方式</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1、本项目合同金额为人民币</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元整（</w:t>
      </w:r>
      <w:r>
        <w:rPr>
          <w:rFonts w:hint="default" w:ascii="Arial" w:hAnsi="Arial" w:eastAsia="宋体" w:cs="Arial"/>
          <w:color w:val="auto"/>
          <w:spacing w:val="-6"/>
          <w:kern w:val="0"/>
          <w:sz w:val="21"/>
          <w:szCs w:val="21"/>
          <w:highlight w:val="none"/>
          <w:lang w:val="en-US" w:eastAsia="zh-CN" w:bidi="ar"/>
        </w:rPr>
        <w:t>¥</w:t>
      </w:r>
      <w:r>
        <w:rPr>
          <w:rFonts w:hint="eastAsia" w:ascii="Arial" w:hAnsi="Arial" w:eastAsia="宋体" w:cs="Arial"/>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元）。合同金额包含本项目涉及的所有费用。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2、本项目折扣为</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%，检测项目单价=浙江省医疗服务价格收费标准×折扣。</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3、核算的唯一标准是浙江省医疗服务行业物价收费标准。</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4、除政策调整因素外，合同期内成交价不能调整。</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default"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5、检测服务费包括但不限于样本采集、运输服务，配套车辆设备，配备服务人员，售后服务，质量监控信息，外送标本检测成本等完成本项目所产生的一切费用，甲方除检测服务费，不再另外支付任何其他费用。</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6、合同签订后一周内，乙方向甲方提交合同总价2.5%的履约保证金，履约保证金在合同履约期间无违约情形的，项目验收结束后，于一周内退还（不计息）；</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提交方式：支票、汇票、本票或金融机构、担保机构出具的保函等非现金形式或银行转账。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7、按每月实际发生的费用按实结算。甲方收到乙方开具的发票后7个工作日内向供应商支付上月费用。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注：供应商需提供增值税专用发票，开票信息如下：</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抬头：杭州电子科技大学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税号：12330000470009026T</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地址：杭州市下沙高教园区杭州电子科技大学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电话：0571-86915020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pacing w:before="0" w:beforeAutospacing="0" w:after="0" w:afterAutospacing="0"/>
        <w:ind w:left="0" w:right="0" w:firstLine="396" w:firstLineChars="20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第五条：保密义务</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1、对于服务过程中所涉及的全部信息，包括但不限于技术参数、设计方案、技术秘密等，乙方应严格保密，不得向任何第三方披露。</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2、关于本条所涉之保密义务，其期限不受本合同之期限限制，乙方应长期遵守，直至该等保密信息成为公开信息为止。</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第六条：不可抗力事件处理</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1、在合同有效期内，任何一方因不可抗力事件导致不能履行合同，则合同履行期可延长，其延长期与不可抗力影响期相同。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2、不可抗力事件发生后，应立即通知对方，并寄送有关权威机构出具的证明。</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3、不可抗力事件延续120天以上，双方应通过友好协商，确定是否继续履行合同。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第七条：违约责任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在本合同履行过程中，双方因违约或造成对方经济、社会效益等损失的应当赔偿。</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1、甲方无正当理由拒绝接收服务，到期拒付服务费的，甲方向乙方偿付应付费用的百分之五作为违约金。甲方逾期付款的，则每日按逾期金额的万分之五向乙方偿付违约金。</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2、乙方提供的服务不符合本项目相关文件和本合同规定的，甲方有权拒收，并且乙方须向甲方支付本合同总服务费的百分之五作为违约金，并承担其他法律责任。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4、未经甲方同意，乙方不得擅自将本合同服务转包第三方承担。如擅自转包，则乙方应支付给甲方本合同总服务费百分之五的违约金。乙方还需承担其他相应法律责任。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5、其他违约责任按《中华人民共和国民法典》处理。</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第八条：争议解决</w:t>
      </w:r>
    </w:p>
    <w:p>
      <w:pPr>
        <w:keepNext w:val="0"/>
        <w:keepLines w:val="0"/>
        <w:widowControl w:val="0"/>
        <w:suppressLineNumbers w:val="0"/>
        <w:snapToGrid w:val="0"/>
        <w:spacing w:before="0" w:beforeAutospacing="0" w:after="0" w:afterAutospacing="0" w:line="288" w:lineRule="auto"/>
        <w:ind w:left="0" w:right="26" w:rightChars="11"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本合同未尽事宜由三方协商解决，如协商不成，三方同意将本合同引起的争议提交杭州仲裁委员会仲裁解决，仲裁为终局。</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第九条：合同生效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1、合同经三方法定代表人或授权代表签字并加盖单位公章后生效。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2、合同执行中涉及采购资金和采购内容修改或补充的，须经财政部门审批，并签书面补充协议报政府采购监督管理部门备案，方可作为主合同不可分割的一部分。</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3、本合同未尽事宜，遵照《中华人民共和国民法典》有关条文执行。</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甲方（需方）：（公章）</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地址：杭州市下沙高教园区</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邮编：310018</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开户银行：工行高新支行</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帐号：1202026209008806216</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采购代理机构代表：</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rFonts w:hint="eastAsia" w:eastAsia="宋体"/>
          <w:b/>
          <w:bCs/>
          <w:color w:val="auto"/>
          <w:sz w:val="21"/>
          <w:szCs w:val="21"/>
          <w:highlight w:val="none"/>
          <w:lang w:val="en-US" w:eastAsia="zh-CN"/>
        </w:rPr>
      </w:pPr>
      <w:r>
        <w:rPr>
          <w:rFonts w:hint="eastAsia"/>
          <w:b/>
          <w:bCs/>
          <w:color w:val="auto"/>
          <w:sz w:val="21"/>
          <w:szCs w:val="21"/>
          <w:highlight w:val="none"/>
        </w:rPr>
        <w:t>（</w:t>
      </w:r>
      <w:r>
        <w:rPr>
          <w:b/>
          <w:bCs/>
          <w:color w:val="auto"/>
          <w:sz w:val="21"/>
          <w:szCs w:val="21"/>
          <w:highlight w:val="none"/>
        </w:rPr>
        <w:t>3）落实政府采购政策需满足的资格要求：</w:t>
      </w:r>
      <w:r>
        <w:rPr>
          <w:rFonts w:hint="eastAsia"/>
          <w:b/>
          <w:bCs/>
          <w:color w:val="auto"/>
          <w:sz w:val="21"/>
          <w:szCs w:val="21"/>
          <w:highlight w:val="none"/>
          <w:lang w:val="en-US" w:eastAsia="zh-CN"/>
        </w:rPr>
        <w:t>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▲联合体投标的，联合体各方均应提供资格文件（1）、（2）材料。</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rPr>
        <w:t>项目总体实施方案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（6）拟投入人员</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（7）质量保障措施</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（8）拟投入设备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（9）拟采用的试剂耗材</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（10）运输方案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（11）服务效率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（12）供应商需要说明的其他文件和材料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keepNext w:val="0"/>
        <w:keepLines w:val="0"/>
        <w:widowControl w:val="0"/>
        <w:numPr>
          <w:ilvl w:val="0"/>
          <w:numId w:val="0"/>
        </w:numPr>
        <w:suppressLineNumbers w:val="0"/>
        <w:adjustRightInd w:val="0"/>
        <w:snapToGrid w:val="0"/>
        <w:spacing w:before="0" w:beforeAutospacing="0" w:after="0" w:afterAutospacing="0" w:line="288" w:lineRule="auto"/>
        <w:ind w:right="0" w:rightChars="0"/>
        <w:jc w:val="both"/>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3</w:t>
      </w:r>
      <w:r>
        <w:rPr>
          <w:rFonts w:hint="eastAsia"/>
          <w:b/>
          <w:color w:val="auto"/>
          <w:spacing w:val="-6"/>
          <w:sz w:val="21"/>
          <w:szCs w:val="21"/>
          <w:highlight w:val="none"/>
          <w:lang w:eastAsia="zh-CN"/>
        </w:rPr>
        <w:t>）</w:t>
      </w:r>
      <w:r>
        <w:rPr>
          <w:b/>
          <w:color w:val="auto"/>
          <w:spacing w:val="-6"/>
          <w:sz w:val="21"/>
          <w:szCs w:val="21"/>
          <w:highlight w:val="none"/>
        </w:rPr>
        <w:t>落实政府采购政策需满足的资格要求：</w:t>
      </w:r>
      <w:r>
        <w:rPr>
          <w:rFonts w:hint="eastAsia"/>
          <w:b/>
          <w:color w:val="auto"/>
          <w:spacing w:val="-6"/>
          <w:sz w:val="21"/>
          <w:szCs w:val="21"/>
          <w:highlight w:val="none"/>
          <w:lang w:val="en-US" w:eastAsia="zh-CN"/>
        </w:rPr>
        <w:t>无</w:t>
      </w: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lang w:val="en-US" w:eastAsia="zh-CN" w:bidi="ar"/>
        </w:rPr>
      </w:pPr>
    </w:p>
    <w:p>
      <w:pPr>
        <w:adjustRightInd w:val="0"/>
        <w:snapToGrid w:val="0"/>
        <w:spacing w:line="288" w:lineRule="auto"/>
        <w:jc w:val="left"/>
        <w:outlineLvl w:val="2"/>
        <w:rPr>
          <w:b/>
          <w:color w:val="auto"/>
          <w:spacing w:val="-6"/>
          <w:sz w:val="21"/>
          <w:szCs w:val="21"/>
          <w:highlight w:val="none"/>
        </w:rPr>
      </w:pP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QSZB-Z(F)-B22110(CS)L</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10"/>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575" w:hRule="atLeast"/>
        </w:trPr>
        <w:tc>
          <w:tcPr>
            <w:tcW w:w="99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（1）本项目报价方式为供应商根据浙江省医疗服务价格收费标准报折扣，所有检测项目报价折扣一致。如：供应商最终响应报价为</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0%，即成交后按检测项目浙江省医疗服务价格收费标准×</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0%的价格执行。</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（2）核算的唯一标准是浙江省医疗服务行业物价收费标准。</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（3）除政策调整因素外，合同期内成交价不能调整。</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4）检测服务费包括但不限于样本采集、运输服务，配套车辆设备，配备服务人员，售后服务，质量监控信息，外送标本检测成本等完成本项目所产生的一切费用，采购人除检测服务费，不再另外支付任何其他费用。</w:t>
      </w:r>
    </w:p>
    <w:p>
      <w:pPr>
        <w:adjustRightInd w:val="0"/>
        <w:snapToGrid w:val="0"/>
        <w:spacing w:line="288" w:lineRule="auto"/>
        <w:jc w:val="left"/>
        <w:rPr>
          <w:rFonts w:cs="Times New Roman"/>
          <w:b/>
          <w:color w:val="auto"/>
          <w:spacing w:val="-6"/>
          <w:sz w:val="21"/>
          <w:szCs w:val="21"/>
          <w:highlight w:val="none"/>
        </w:rPr>
      </w:pPr>
      <w:r>
        <w:rPr>
          <w:rFonts w:hint="eastAsia" w:cs="Times New Roman"/>
          <w:bCs/>
          <w:color w:val="auto"/>
          <w:spacing w:val="-6"/>
          <w:sz w:val="21"/>
          <w:szCs w:val="21"/>
          <w:highlight w:val="none"/>
        </w:rPr>
        <w:t>▲（5）本项目投标人投标报价最高限价为50%，投标价超过最高限价将导致投标无效。如：供应商最终响应报价为51%，响应无效；最终响应报价为49%，响应有效。</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rPr>
      </w:pPr>
      <w:r>
        <w:rPr>
          <w:rFonts w:hint="eastAsia" w:cs="宋体"/>
          <w:b/>
          <w:bCs/>
          <w:color w:val="auto"/>
          <w:kern w:val="2"/>
          <w:sz w:val="21"/>
          <w:szCs w:val="21"/>
          <w:highlight w:val="none"/>
          <w:lang w:val="en-US" w:eastAsia="zh-CN" w:bidi="ar"/>
        </w:rPr>
        <w:t>（2）</w:t>
      </w:r>
      <w:r>
        <w:rPr>
          <w:rFonts w:hint="eastAsia" w:ascii="宋体" w:hAnsi="宋体" w:eastAsia="宋体" w:cs="宋体"/>
          <w:b/>
          <w:bCs/>
          <w:color w:val="auto"/>
          <w:kern w:val="2"/>
          <w:sz w:val="21"/>
          <w:szCs w:val="21"/>
          <w:highlight w:val="none"/>
          <w:lang w:val="en-US" w:eastAsia="zh-CN" w:bidi="ar"/>
        </w:rPr>
        <w:t>中小企业声明函（服务）（若属于中小企业）</w:t>
      </w:r>
    </w:p>
    <w:p>
      <w:pPr>
        <w:keepNext w:val="0"/>
        <w:keepLines w:val="0"/>
        <w:widowControl w:val="0"/>
        <w:suppressLineNumbers w:val="0"/>
        <w:adjustRightInd w:val="0"/>
        <w:snapToGrid w:val="0"/>
        <w:spacing w:before="0" w:beforeAutospacing="0" w:after="0" w:afterAutospacing="0" w:line="288" w:lineRule="auto"/>
        <w:ind w:left="0" w:right="0" w:firstLine="498" w:firstLineChars="236"/>
        <w:jc w:val="both"/>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本公司（联合体）郑重声明，根据《政府采购促进中小企业发展管理办法》（财库﹝2020﹞46 号）的规定，本公司（联合体）参加</w:t>
      </w:r>
      <w:r>
        <w:rPr>
          <w:rFonts w:hint="eastAsia" w:ascii="宋体" w:hAnsi="宋体" w:eastAsia="宋体" w:cs="宋体"/>
          <w:i/>
          <w:iCs w:val="0"/>
          <w:color w:val="auto"/>
          <w:kern w:val="2"/>
          <w:sz w:val="21"/>
          <w:szCs w:val="21"/>
          <w:highlight w:val="none"/>
          <w:u w:val="single"/>
          <w:lang w:val="en-US" w:eastAsia="zh-CN" w:bidi="ar"/>
        </w:rPr>
        <w:t>（单位名称）</w:t>
      </w:r>
      <w:r>
        <w:rPr>
          <w:rFonts w:hint="eastAsia" w:ascii="宋体" w:hAnsi="宋体" w:eastAsia="宋体" w:cs="宋体"/>
          <w:color w:val="auto"/>
          <w:kern w:val="2"/>
          <w:sz w:val="21"/>
          <w:szCs w:val="21"/>
          <w:highlight w:val="none"/>
          <w:lang w:val="en-US" w:eastAsia="zh-CN" w:bidi="ar"/>
        </w:rPr>
        <w:t>的</w:t>
      </w:r>
      <w:r>
        <w:rPr>
          <w:rFonts w:hint="eastAsia" w:ascii="宋体" w:hAnsi="宋体" w:eastAsia="宋体" w:cs="宋体"/>
          <w:i/>
          <w:iCs w:val="0"/>
          <w:color w:val="auto"/>
          <w:kern w:val="2"/>
          <w:sz w:val="21"/>
          <w:szCs w:val="21"/>
          <w:highlight w:val="none"/>
          <w:u w:val="single"/>
          <w:lang w:val="en-US" w:eastAsia="zh-CN" w:bidi="ar"/>
        </w:rPr>
        <w:t>（项目名称）</w:t>
      </w:r>
      <w:r>
        <w:rPr>
          <w:rFonts w:hint="eastAsia" w:ascii="宋体" w:hAnsi="宋体" w:eastAsia="宋体" w:cs="宋体"/>
          <w:color w:val="auto"/>
          <w:kern w:val="2"/>
          <w:sz w:val="21"/>
          <w:szCs w:val="21"/>
          <w:highlight w:val="none"/>
          <w:lang w:val="en-US" w:eastAsia="zh-CN" w:bidi="ar"/>
        </w:rPr>
        <w:t>采购活动，服务全部由符合政策要求的中小企业承接。相关企业（含联合 体中的中小企业、签订分包意向协议的中小企业）的具体情况如下：</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i/>
          <w:iCs w:val="0"/>
          <w:color w:val="auto"/>
          <w:kern w:val="2"/>
          <w:sz w:val="21"/>
          <w:szCs w:val="21"/>
          <w:highlight w:val="none"/>
          <w:u w:val="single"/>
        </w:rPr>
      </w:pPr>
      <w:r>
        <w:rPr>
          <w:rFonts w:hint="eastAsia" w:ascii="宋体" w:hAnsi="宋体" w:eastAsia="宋体" w:cs="宋体"/>
          <w:i/>
          <w:iCs w:val="0"/>
          <w:color w:val="auto"/>
          <w:kern w:val="2"/>
          <w:sz w:val="21"/>
          <w:szCs w:val="21"/>
          <w:highlight w:val="none"/>
          <w:u w:val="single"/>
          <w:lang w:val="en-US" w:eastAsia="zh-CN" w:bidi="ar"/>
        </w:rPr>
        <w:t>1.（标的名称），属于（采购文件中明确的所属行业）；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i/>
          <w:iCs w:val="0"/>
          <w:color w:val="auto"/>
          <w:kern w:val="2"/>
          <w:sz w:val="21"/>
          <w:szCs w:val="21"/>
          <w:highlight w:val="none"/>
          <w:u w:val="single"/>
          <w:lang w:val="en-US" w:eastAsia="zh-CN" w:bidi="ar"/>
        </w:rPr>
        <w:t>2.（标的名称）</w:t>
      </w:r>
      <w:r>
        <w:rPr>
          <w:rFonts w:hint="eastAsia" w:ascii="宋体" w:hAnsi="宋体" w:eastAsia="宋体" w:cs="宋体"/>
          <w:color w:val="auto"/>
          <w:kern w:val="2"/>
          <w:sz w:val="21"/>
          <w:szCs w:val="21"/>
          <w:highlight w:val="none"/>
          <w:lang w:val="en-US" w:eastAsia="zh-CN" w:bidi="ar"/>
        </w:rPr>
        <w:t>，属于</w:t>
      </w:r>
      <w:r>
        <w:rPr>
          <w:rFonts w:hint="eastAsia" w:ascii="宋体" w:hAnsi="宋体" w:eastAsia="宋体" w:cs="宋体"/>
          <w:i/>
          <w:iCs w:val="0"/>
          <w:color w:val="auto"/>
          <w:kern w:val="2"/>
          <w:sz w:val="21"/>
          <w:szCs w:val="21"/>
          <w:highlight w:val="none"/>
          <w:lang w:val="en-US" w:eastAsia="zh-CN" w:bidi="ar"/>
        </w:rPr>
        <w:t>（</w:t>
      </w:r>
      <w:r>
        <w:rPr>
          <w:rFonts w:hint="eastAsia" w:ascii="宋体" w:hAnsi="宋体" w:eastAsia="宋体" w:cs="宋体"/>
          <w:i/>
          <w:iCs w:val="0"/>
          <w:color w:val="auto"/>
          <w:kern w:val="2"/>
          <w:sz w:val="21"/>
          <w:szCs w:val="21"/>
          <w:highlight w:val="none"/>
          <w:u w:val="single"/>
          <w:lang w:val="en-US" w:eastAsia="zh-CN" w:bidi="ar"/>
        </w:rPr>
        <w:t>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本企业对上述声明内容的真实性负责。如有虚假，将依法承担相应责任。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企业名称（盖章）：</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日期：</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注：</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1.中小企业参加政府采购活动，应当出具财库〔2020〕46号文件规定的《中小企业声明函》，否则不得享受相关中小企业扶持政策。</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2.从业人员、营业收入、资产总额填报上一年度数据，无上一年度数据的新成立企业可不填报。</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4.供应商提供《中小企业声明函》内容不实的，属于提供虚假材料谋取中标、成交，依照《中华人民共和国政府采购法》等国家有关规定追究相应责任。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5.本项目只以《中小企业声明函》作为评判供应商是否属于中小企业的唯一依据。</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color w:val="auto"/>
          <w:kern w:val="0"/>
          <w:sz w:val="21"/>
          <w:szCs w:val="21"/>
          <w:highlight w:val="none"/>
        </w:rPr>
      </w:pPr>
      <w:r>
        <w:rPr>
          <w:rFonts w:hint="eastAsia" w:cs="宋体"/>
          <w:b/>
          <w:bCs w:val="0"/>
          <w:color w:val="auto"/>
          <w:spacing w:val="-6"/>
          <w:kern w:val="2"/>
          <w:sz w:val="21"/>
          <w:szCs w:val="21"/>
          <w:highlight w:val="none"/>
          <w:lang w:val="en-US" w:eastAsia="zh-CN" w:bidi="ar"/>
        </w:rPr>
        <w:t>（3）</w:t>
      </w:r>
      <w:r>
        <w:rPr>
          <w:rFonts w:hint="eastAsia" w:ascii="宋体" w:hAnsi="宋体" w:eastAsia="宋体" w:cs="宋体"/>
          <w:b/>
          <w:bCs w:val="0"/>
          <w:color w:val="auto"/>
          <w:spacing w:val="-6"/>
          <w:kern w:val="2"/>
          <w:sz w:val="21"/>
          <w:szCs w:val="21"/>
          <w:highlight w:val="none"/>
          <w:lang w:val="en-US" w:eastAsia="zh-CN" w:bidi="ar"/>
        </w:rPr>
        <w:t>属于监狱企业的证明文件（若属于监狱企业）</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373" w:firstLineChars="177"/>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二、在政府采购活动中，监狱企业视同小型、微型企业，享受预留份额、评审中价格扣除等政府采购促进中小企业发展的政府采购政策。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b/>
          <w:bCs w:val="0"/>
          <w:color w:val="auto"/>
          <w:spacing w:val="-6"/>
          <w:kern w:val="2"/>
          <w:sz w:val="21"/>
          <w:szCs w:val="21"/>
          <w:highlight w:val="none"/>
        </w:rPr>
      </w:pPr>
      <w:r>
        <w:rPr>
          <w:rFonts w:hint="eastAsia" w:cs="宋体"/>
          <w:b/>
          <w:bCs w:val="0"/>
          <w:color w:val="auto"/>
          <w:spacing w:val="-6"/>
          <w:kern w:val="2"/>
          <w:sz w:val="21"/>
          <w:szCs w:val="21"/>
          <w:highlight w:val="none"/>
          <w:lang w:val="en-US" w:eastAsia="zh-CN" w:bidi="ar"/>
        </w:rPr>
        <w:t>（4）</w:t>
      </w:r>
      <w:r>
        <w:rPr>
          <w:rFonts w:hint="eastAsia" w:ascii="宋体" w:hAnsi="宋体" w:eastAsia="宋体" w:cs="宋体"/>
          <w:b/>
          <w:bCs w:val="0"/>
          <w:color w:val="auto"/>
          <w:spacing w:val="-6"/>
          <w:kern w:val="2"/>
          <w:sz w:val="21"/>
          <w:szCs w:val="21"/>
          <w:highlight w:val="none"/>
          <w:lang w:val="en-US" w:eastAsia="zh-CN" w:bidi="ar"/>
        </w:rPr>
        <w:t>残疾人福利性单位声明函（若属于残疾人福利性单位）</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本单位郑重声明，根据《财政部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民政部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中国残疾人联合会关于促进残疾人就业政府采购政策的通知》（财库</w:t>
      </w:r>
      <w:r>
        <w:rPr>
          <w:rFonts w:hint="eastAsia" w:ascii="宋体" w:hAnsi="宋体" w:eastAsia="宋体" w:cs="宋体"/>
          <w:color w:val="auto"/>
          <w:kern w:val="2"/>
          <w:sz w:val="21"/>
          <w:szCs w:val="21"/>
          <w:highlight w:val="none"/>
          <w:lang w:val="en-US" w:eastAsia="zh-CN" w:bidi="ar"/>
        </w:rPr>
        <w:t>〔2017〕 141</w:t>
      </w:r>
      <w:r>
        <w:rPr>
          <w:rFonts w:hint="eastAsia" w:ascii="宋体" w:hAnsi="宋体" w:eastAsia="宋体" w:cs="宋体"/>
          <w:color w:val="auto"/>
          <w:spacing w:val="6"/>
          <w:kern w:val="2"/>
          <w:sz w:val="21"/>
          <w:szCs w:val="21"/>
          <w:highlight w:val="none"/>
          <w:lang w:val="en-US" w:eastAsia="zh-CN" w:bidi="ar"/>
        </w:rPr>
        <w:t>号）的规定，</w:t>
      </w:r>
      <w:r>
        <w:rPr>
          <w:rFonts w:hint="eastAsia" w:ascii="宋体" w:hAnsi="宋体" w:eastAsia="宋体" w:cs="宋体"/>
          <w:b/>
          <w:bCs/>
          <w:color w:val="auto"/>
          <w:spacing w:val="6"/>
          <w:kern w:val="2"/>
          <w:sz w:val="21"/>
          <w:szCs w:val="21"/>
          <w:highlight w:val="none"/>
          <w:lang w:val="en-US" w:eastAsia="zh-CN" w:bidi="ar"/>
        </w:rPr>
        <w:t>本单位为符合条件的残疾人福利性单位</w:t>
      </w:r>
      <w:r>
        <w:rPr>
          <w:rFonts w:hint="eastAsia" w:ascii="宋体" w:hAnsi="宋体" w:eastAsia="宋体" w:cs="宋体"/>
          <w:color w:val="auto"/>
          <w:spacing w:val="6"/>
          <w:kern w:val="2"/>
          <w:sz w:val="21"/>
          <w:szCs w:val="21"/>
          <w:highlight w:val="none"/>
          <w:lang w:val="en-US" w:eastAsia="zh-CN" w:bidi="ar"/>
        </w:rPr>
        <w:t>，且本单位参加______（采购人）单位的______（项目名称）项目采购活动提供本单位服务。</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本单位对上述声明的真实性负责。如有虚假，将依法承担相应责任。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单位名称（盖章）：</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日</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期：</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一、享受政府采购支持政策的残疾人福利性单位应当同时满足以下条件：</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（一）安置的残疾人占本单位在职职工人数的比例不低于25%（含25%），并且安置的残疾人人数不少于10人（含10人）；</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（二）依法与安置的每位残疾人签订了一年以上（含一年）的劳动合同或服务协议；</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（三）为安置的每位残疾人按月足额缴纳了基本养老保险、基本医疗保险、失业保险、工伤保险和生育保险等社会保险费；</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（四）通过银行等金融机构向安置的每位残疾人，按月支付了不低于单位所在区县适用的经省级人民政府批准的月最低工资标准的工资；</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（五）提供本单位制造的货物、承担的工程或者服务（以下简称产品），或者提供其他残疾人福利性单位制造的货物（不包括使用非残疾人福利性单位注册商标的货物）。</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二、符合条件的残疾人福利性单位在参加政府采购活动时，应当提供财库[2017]141号文件规定的《残疾人福利性单位声明函》，并对声明的真实性负责。</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三、在政府采购活动中，残疾人福利性单位视同小型、微型企业，享受预留份额、评审中价格扣除等促进中小企业发展的政府采购政策。</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残疾人福利性单位属于小型、微型企业的，不重复享受政策。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pacing w:val="-6"/>
          <w:kern w:val="2"/>
          <w:sz w:val="21"/>
          <w:szCs w:val="21"/>
          <w:highlight w:val="none"/>
        </w:rPr>
      </w:pPr>
      <w:r>
        <w:rPr>
          <w:rFonts w:hint="eastAsia" w:ascii="宋体" w:hAnsi="宋体" w:eastAsia="宋体" w:cs="Times New Roman"/>
          <w:b/>
          <w:bCs/>
          <w:color w:val="auto"/>
          <w:spacing w:val="-6"/>
          <w:kern w:val="2"/>
          <w:sz w:val="21"/>
          <w:szCs w:val="21"/>
          <w:highlight w:val="none"/>
          <w:lang w:val="en-US" w:eastAsia="zh-CN" w:bidi="ar"/>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杭州电子科技大学核酸检测（包括其他医学检验）外包</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QSZB-Z(F)-B22110(CS)L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杭州电子科技大学</w:t>
      </w:r>
      <w:r>
        <w:rPr>
          <w:rFonts w:hint="eastAsia"/>
          <w:color w:val="auto"/>
          <w:sz w:val="21"/>
          <w:szCs w:val="21"/>
          <w:highlight w:val="none"/>
        </w:rPr>
        <w:t>、浙江求是招标代理有限公司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杭州电子科技大学核酸检测（包括其他医学检验）外包</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w:t>
      </w:r>
      <w:r>
        <w:rPr>
          <w:color w:val="auto"/>
          <w:sz w:val="21"/>
          <w:szCs w:val="21"/>
          <w:highlight w:val="none"/>
          <w:u w:val="single"/>
        </w:rPr>
        <w:t>2020年12月（含）以后任意一月社保缴纳证明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）2020年12月（含）以后任意一月的供应商授权代表社保缴纳证明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QSZB-Z(F)-B22110(CS)L</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2" w:name="_Hlk71885757"/>
      <w:r>
        <w:rPr>
          <w:rFonts w:hint="eastAsia"/>
          <w:b/>
          <w:bCs/>
          <w:color w:val="auto"/>
          <w:sz w:val="21"/>
          <w:szCs w:val="21"/>
          <w:highlight w:val="none"/>
        </w:rPr>
        <w:t>项目总体实施方案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（6）拟投入人员</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（7）质量保障措施</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（8）拟投入设备</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（9）拟采用的试剂耗材</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（10）运输方案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（11）服务效率</w:t>
      </w:r>
    </w:p>
    <w:p>
      <w:pPr>
        <w:adjustRightInd w:val="0"/>
        <w:snapToGrid w:val="0"/>
        <w:spacing w:line="288" w:lineRule="auto"/>
        <w:outlineLvl w:val="2"/>
        <w:rPr>
          <w:b/>
          <w:color w:val="auto"/>
          <w:spacing w:val="-6"/>
          <w:sz w:val="21"/>
          <w:szCs w:val="21"/>
          <w:highlight w:val="none"/>
        </w:rPr>
      </w:pPr>
      <w:r>
        <w:rPr>
          <w:rFonts w:hint="eastAsia"/>
          <w:b/>
          <w:bCs/>
          <w:color w:val="auto"/>
          <w:sz w:val="21"/>
          <w:szCs w:val="21"/>
          <w:highlight w:val="none"/>
        </w:rPr>
        <w:t>（12）供应商需要说明的其他文件和材料</w:t>
      </w:r>
      <w:bookmarkEnd w:id="42"/>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rFonts w:cs="仿宋_GB2312"/>
          <w:b/>
          <w:bCs/>
          <w:color w:val="auto"/>
          <w:kern w:val="0"/>
          <w:sz w:val="21"/>
          <w:szCs w:val="21"/>
          <w:highlight w:val="none"/>
          <w:lang w:val="zh-CN"/>
        </w:rPr>
      </w:pPr>
      <w:r>
        <w:rPr>
          <w:rFonts w:cs="仿宋_GB2312"/>
          <w:b/>
          <w:bCs/>
          <w:color w:val="auto"/>
          <w:kern w:val="0"/>
          <w:sz w:val="21"/>
          <w:szCs w:val="21"/>
          <w:highlight w:val="none"/>
          <w:lang w:val="zh-CN"/>
        </w:rPr>
        <w:br w:type="page"/>
      </w:r>
    </w:p>
    <w:p>
      <w:pPr>
        <w:suppressAutoHyphens/>
        <w:spacing w:after="180"/>
        <w:outlineLvl w:val="0"/>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其他：</w:t>
      </w:r>
    </w:p>
    <w:p>
      <w:pPr>
        <w:suppressAutoHyphens/>
        <w:spacing w:after="180"/>
        <w:jc w:val="center"/>
        <w:outlineLvl w:val="0"/>
        <w:rPr>
          <w:rFonts w:ascii="宋体" w:hAnsi="宋体" w:eastAsia="宋体" w:cs="宋体"/>
          <w:color w:val="auto"/>
          <w:kern w:val="0"/>
          <w:sz w:val="21"/>
          <w:szCs w:val="21"/>
          <w:highlight w:val="none"/>
        </w:rPr>
      </w:pPr>
      <w:r>
        <w:rPr>
          <w:rFonts w:hint="eastAsia" w:ascii="宋体" w:hAnsi="宋体" w:eastAsia="宋体" w:cs="宋体"/>
          <w:b/>
          <w:color w:val="auto"/>
          <w:spacing w:val="-6"/>
          <w:kern w:val="0"/>
          <w:sz w:val="21"/>
          <w:szCs w:val="21"/>
          <w:highlight w:val="none"/>
        </w:rPr>
        <w:t>政府</w:t>
      </w:r>
      <w:r>
        <w:rPr>
          <w:rFonts w:hint="eastAsia" w:ascii="宋体" w:hAnsi="宋体" w:eastAsia="宋体" w:cs="宋体"/>
          <w:b/>
          <w:color w:val="auto"/>
          <w:kern w:val="0"/>
          <w:sz w:val="21"/>
          <w:szCs w:val="21"/>
          <w:highlight w:val="none"/>
        </w:rPr>
        <w:t>采购活动现场确认声明书</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浙江求是招标代理有限公司：</w:t>
      </w:r>
    </w:p>
    <w:p>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本人经由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（单位）负责人（法人代表）</w:t>
      </w:r>
    </w:p>
    <w:p>
      <w:pPr>
        <w:spacing w:line="360" w:lineRule="auto"/>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（姓名）合法授权参加</w:t>
      </w:r>
      <w:r>
        <w:rPr>
          <w:rFonts w:hint="eastAsia" w:cs="宋体"/>
          <w:color w:val="auto"/>
          <w:sz w:val="21"/>
          <w:szCs w:val="21"/>
          <w:highlight w:val="none"/>
          <w:lang w:eastAsia="zh-CN"/>
        </w:rPr>
        <w:t>杭州电子科技大学核酸检测（包括其他医学检验）外包</w:t>
      </w:r>
      <w:r>
        <w:rPr>
          <w:rFonts w:hint="eastAsia" w:ascii="宋体" w:hAnsi="宋体" w:eastAsia="宋体" w:cs="宋体"/>
          <w:color w:val="auto"/>
          <w:sz w:val="21"/>
          <w:szCs w:val="21"/>
          <w:highlight w:val="none"/>
        </w:rPr>
        <w:t>项目（编号：</w:t>
      </w:r>
      <w:r>
        <w:rPr>
          <w:rFonts w:hint="eastAsia" w:cs="宋体"/>
          <w:color w:val="auto"/>
          <w:sz w:val="21"/>
          <w:szCs w:val="21"/>
          <w:highlight w:val="none"/>
          <w:lang w:eastAsia="zh-CN"/>
        </w:rPr>
        <w:t>QSZB-Z(F)-B22110(CS)L</w:t>
      </w:r>
      <w:r>
        <w:rPr>
          <w:rFonts w:hint="eastAsia" w:ascii="宋体" w:hAnsi="宋体" w:eastAsia="宋体" w:cs="宋体"/>
          <w:color w:val="auto"/>
          <w:sz w:val="21"/>
          <w:szCs w:val="21"/>
          <w:highlight w:val="none"/>
        </w:rPr>
        <w:t>）采购活动，经与本单位法人代表（负责人）联系确认，现就有关公平竞争事项郑重声明如下：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一、本单位与采购人之间：</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A.投资关系    B.行政隶属关系    C.业务指导关系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D.其他可能影响采购公正的利害关系（如有，请如实说明）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二、现已清楚知道参加本项目采购活动的其他所有投标人名称，本单位：</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□与其他所有投标人之间均不存在利害关系；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（投标人名称）之间存在下列利害关系：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A.法定代表人或负责人或实际控制人是同一人</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B.法定代表人或负责人或实际控制人是夫妻关系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C.法定代表人或负责人或实际控制人是直系血亲关系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D.法定代表人或负责人或实际控制人存在三代以内旁系血亲关系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E.法定代表人或负责人或实际控制人存在近姻亲关系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F.法定代表人或负责人或实际控制人存在股份控制或实际控制关系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G.存在共同直接或间接投资设立子公司、联营企业和合营企业情况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I.其他利害关系情况。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三、现已清楚知道并严格遵守政府采购法律法规和现场纪律。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四、我发现投标人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之间存在或可能存在上述第二条第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项利害关系。</w:t>
      </w:r>
    </w:p>
    <w:p>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投标人代表（签名）：</w:t>
      </w:r>
    </w:p>
    <w:p>
      <w:pPr>
        <w:spacing w:line="360" w:lineRule="auto"/>
        <w:jc w:val="righ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2022</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6月21日</w:t>
      </w:r>
    </w:p>
    <w:p>
      <w:pPr>
        <w:spacing w:line="288" w:lineRule="auto"/>
        <w:rPr>
          <w:b/>
          <w:color w:val="auto"/>
          <w:spacing w:val="-6"/>
          <w:sz w:val="21"/>
          <w:szCs w:val="21"/>
          <w:highlight w:val="none"/>
        </w:rPr>
      </w:pPr>
      <w:r>
        <w:rPr>
          <w:rFonts w:hint="eastAsia" w:ascii="宋体" w:hAnsi="宋体" w:eastAsia="宋体" w:cs="宋体"/>
          <w:b/>
          <w:bCs/>
          <w:color w:val="auto"/>
          <w:sz w:val="21"/>
          <w:szCs w:val="21"/>
          <w:highlight w:val="none"/>
        </w:rPr>
        <w:t>备注：投标人须在投标文件解密后，通过电子邮件形式，向邮箱地址（zb02@qszb.net）发送《政府采购活动现场确认声明书》（上表）。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142B2"/>
    <w:rsid w:val="04047316"/>
    <w:rsid w:val="04107868"/>
    <w:rsid w:val="042639C4"/>
    <w:rsid w:val="05186D7A"/>
    <w:rsid w:val="05530297"/>
    <w:rsid w:val="056F2241"/>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815C56"/>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72D67"/>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995687"/>
    <w:rsid w:val="17C43569"/>
    <w:rsid w:val="17CB2C82"/>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DF0CE6"/>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CC701E"/>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6E67EF"/>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8B1FA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6A6321"/>
    <w:rsid w:val="417F7AFD"/>
    <w:rsid w:val="418A1664"/>
    <w:rsid w:val="41B31BE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70028"/>
    <w:rsid w:val="4D6B732C"/>
    <w:rsid w:val="4D9B2A2A"/>
    <w:rsid w:val="4DBE7DFA"/>
    <w:rsid w:val="4DCE78BB"/>
    <w:rsid w:val="4E125F5E"/>
    <w:rsid w:val="4E5E5A05"/>
    <w:rsid w:val="4E805443"/>
    <w:rsid w:val="4E835A83"/>
    <w:rsid w:val="4E87023A"/>
    <w:rsid w:val="4EB83AE4"/>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7ED30D8"/>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3C18D7"/>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36B60"/>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9E6F7E"/>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75B3B"/>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6"/>
    <w:unhideWhenUsed/>
    <w:qFormat/>
    <w:uiPriority w:val="99"/>
    <w:pPr>
      <w:jc w:val="left"/>
    </w:pPr>
    <w:rPr>
      <w:rFonts w:ascii="Times New Roman" w:hAnsi="Times New Roman" w:cs="Times New Roman"/>
      <w:sz w:val="28"/>
    </w:rPr>
  </w:style>
  <w:style w:type="paragraph" w:styleId="3">
    <w:name w:val="Body Text Indent"/>
    <w:basedOn w:val="1"/>
    <w:link w:val="17"/>
    <w:qFormat/>
    <w:uiPriority w:val="0"/>
    <w:pPr>
      <w:spacing w:line="200" w:lineRule="atLeast"/>
      <w:ind w:firstLine="301"/>
    </w:pPr>
    <w:rPr>
      <w:rFonts w:hAnsi="Courier New" w:cs="Times New Roman"/>
      <w:spacing w:val="-4"/>
      <w:sz w:val="18"/>
      <w:szCs w:val="20"/>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2"/>
    <w:next w:val="2"/>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2"/>
    <w:qFormat/>
    <w:uiPriority w:val="99"/>
    <w:rPr>
      <w:kern w:val="2"/>
      <w:sz w:val="28"/>
      <w:szCs w:val="24"/>
    </w:rPr>
  </w:style>
  <w:style w:type="character" w:customStyle="1" w:styleId="17">
    <w:name w:val="正文文本缩进 字符1"/>
    <w:link w:val="3"/>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46</Pages>
  <Words>24904</Words>
  <Characters>26431</Characters>
  <Lines>1</Lines>
  <Paragraphs>1</Paragraphs>
  <TotalTime>1</TotalTime>
  <ScaleCrop>false</ScaleCrop>
  <LinksUpToDate>false</LinksUpToDate>
  <CharactersWithSpaces>27395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2022-06-08T02:22:18Z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