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pPr>
              <w:pStyle w:val="3"/>
              <w:keepNext w:val="0"/>
              <w:keepLines w:val="0"/>
              <w:pageBreakBefore w:val="0"/>
              <w:widowControl w:val="0"/>
              <w:kinsoku/>
              <w:wordWrap/>
              <w:overflowPunct/>
              <w:topLinePunct w:val="0"/>
              <w:bidi w:val="0"/>
              <w:adjustRightInd/>
              <w:snapToGrid/>
              <w:spacing w:line="360" w:lineRule="auto"/>
              <w:textAlignment w:val="auto"/>
              <w:rPr>
                <w:rFonts w:asciiTheme="majorEastAsia" w:hAnsiTheme="majorEastAsia" w:eastAsiaTheme="majorEastAsia"/>
              </w:rPr>
            </w:pPr>
            <w:r>
              <w:rPr>
                <w:rFonts w:hint="eastAsia" w:hAnsi="宋体" w:cs="宋体"/>
                <w:color w:val="000000"/>
                <w:highlight w:val="none"/>
              </w:rPr>
              <w:t>一、</w:t>
            </w:r>
            <w:r>
              <w:rPr>
                <w:rFonts w:hint="eastAsia" w:asciiTheme="majorEastAsia" w:hAnsiTheme="majorEastAsia" w:eastAsiaTheme="majorEastAsia"/>
              </w:rPr>
              <w:t>工程概况：</w:t>
            </w:r>
            <w:r>
              <w:rPr>
                <w:rFonts w:hint="eastAsia" w:asciiTheme="majorEastAsia" w:hAnsiTheme="majorEastAsia" w:eastAsiaTheme="majorEastAsia"/>
                <w:lang w:val="en-US" w:eastAsia="zh-CN"/>
              </w:rPr>
              <w:t>杭州电子科技大学下沙校区电工电子实验中心大厅教学环境改造工程</w:t>
            </w:r>
            <w:r>
              <w:rPr>
                <w:rFonts w:hint="eastAsia" w:hAnsi="宋体" w:cs="宋体"/>
                <w:lang w:eastAsia="zh-CN"/>
              </w:rPr>
              <w:t>，</w:t>
            </w:r>
            <w:r>
              <w:rPr>
                <w:rFonts w:hint="eastAsia" w:hAnsi="宋体" w:cs="宋体"/>
                <w:lang w:val="en-US" w:eastAsia="zh-CN"/>
              </w:rPr>
              <w:t>工程范围为</w:t>
            </w:r>
            <w:r>
              <w:rPr>
                <w:rFonts w:hint="eastAsia" w:hAnsi="宋体" w:cs="宋体"/>
              </w:rPr>
              <w:t>杭州电子科技大学下沙校区电工电子实验中心大厅教学环境改造工程</w:t>
            </w:r>
            <w:r>
              <w:rPr>
                <w:rFonts w:hint="eastAsia" w:hAnsi="宋体" w:cs="宋体"/>
                <w:lang w:val="en-US" w:eastAsia="zh-CN"/>
              </w:rPr>
              <w:t>工程量清单内所有内容，</w:t>
            </w:r>
            <w:r>
              <w:rPr>
                <w:rFonts w:hint="eastAsia" w:hAnsi="宋体" w:cs="宋体"/>
              </w:rPr>
              <w:t>电工电子实验中心大厅</w:t>
            </w:r>
            <w:r>
              <w:rPr>
                <w:rFonts w:hint="eastAsia" w:hAnsi="宋体" w:cs="宋体"/>
                <w:lang w:val="en-US" w:eastAsia="zh-CN"/>
              </w:rPr>
              <w:t>装饰和安装工程改造</w:t>
            </w:r>
            <w:r>
              <w:rPr>
                <w:rFonts w:hint="eastAsia" w:cs="宋体" w:asciiTheme="majorEastAsia" w:hAnsiTheme="majorEastAsia" w:eastAsiaTheme="majorEastAsia"/>
                <w:color w:val="000000"/>
              </w:rPr>
              <w:t>。</w:t>
            </w:r>
            <w:r>
              <w:rPr>
                <w:rFonts w:hint="eastAsia" w:cs="宋体" w:asciiTheme="majorEastAsia" w:hAnsiTheme="majorEastAsia" w:eastAsiaTheme="majorEastAsia"/>
                <w:color w:val="000000"/>
                <w:lang w:val="en-US" w:eastAsia="zh-CN"/>
              </w:rPr>
              <w:t>改造面积约825平方米。</w:t>
            </w:r>
            <w:r>
              <w:rPr>
                <w:rFonts w:hint="eastAsia" w:cs="宋体" w:asciiTheme="majorEastAsia" w:hAnsiTheme="majorEastAsia" w:eastAsiaTheme="majorEastAsia"/>
                <w:color w:val="000000"/>
              </w:rPr>
              <w:t>具体内容和工程做法详见施工图及设计说明。</w:t>
            </w:r>
          </w:p>
          <w:p>
            <w:pPr>
              <w:autoSpaceDE w:val="0"/>
              <w:autoSpaceDN w:val="0"/>
              <w:adjustRightInd w:val="0"/>
              <w:spacing w:line="360" w:lineRule="auto"/>
              <w:rPr>
                <w:rFonts w:ascii="宋体" w:hAnsi="宋体" w:cs="宋体"/>
                <w:color w:val="000000"/>
                <w:szCs w:val="21"/>
                <w:highlight w:val="none"/>
              </w:rPr>
            </w:pPr>
            <w:r>
              <w:rPr>
                <w:rFonts w:hint="eastAsia" w:ascii="宋体" w:hAnsi="宋体" w:cs="宋体"/>
                <w:color w:val="000000"/>
                <w:szCs w:val="21"/>
                <w:highlight w:val="none"/>
              </w:rPr>
              <w:t>二、工程招标范围：根据业主提供的图纸确</w:t>
            </w:r>
            <w:r>
              <w:rPr>
                <w:rFonts w:hint="eastAsia" w:cs="宋体"/>
                <w:color w:val="000000"/>
                <w:highlight w:val="none"/>
              </w:rPr>
              <w:t>定的范围。</w:t>
            </w:r>
          </w:p>
          <w:p>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3.《通用安装工程工程量计算规范》（GB50856—2013）；</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5．《关于印发建设工程工程量计算规范（2013）浙江省补充规定的通知》（浙建站计﹝2013﹞63号）；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7．《浙江省建设工程计价规则》（2018版）；</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8.《关于增值税调整后我省建设工程计价依据增值税税率及有关计价调整的通知》（浙建建发[2019]92号 ）；</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9.《杭州市城乡建设委员会关于推进杭州市建筑施工领域安全生产责任保险工作的通知》（杭建工发[2021]384号）、《关于明确杭州市建筑施工领域安全生产责任保险费用计取的通知》（杭建招标造价中心[2021]84号）；</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10.《省建设厅关于调整建筑工程安全文明施工费的通知》（浙建建发[2022]37号）；</w:t>
            </w:r>
          </w:p>
          <w:p>
            <w:pPr>
              <w:autoSpaceDE w:val="0"/>
              <w:autoSpaceDN w:val="0"/>
              <w:adjustRightInd w:val="0"/>
              <w:spacing w:line="360" w:lineRule="auto"/>
              <w:ind w:firstLine="420"/>
              <w:rPr>
                <w:rFonts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11.关于贯彻《省建设厅关于调整建筑工程安全文明施工费的通知》的通知（杭建市发[2022]54号）；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12．省、市建设行政主管部门以及工程造价管理机构颁发的相关计价办法和计价规定；</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13．其他与工程项目有关的规范、标准和技术资料；</w:t>
            </w:r>
          </w:p>
          <w:p>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rPr>
              <w:t>14．施工现场实际情况、工程特点、常规施工方案；</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15．业主提供的设计图纸。</w:t>
            </w:r>
          </w:p>
          <w:p>
            <w:pPr>
              <w:pStyle w:val="3"/>
              <w:tabs>
                <w:tab w:val="left" w:pos="3060"/>
              </w:tabs>
              <w:spacing w:line="360" w:lineRule="auto"/>
              <w:ind w:firstLine="1"/>
              <w:rPr>
                <w:rFonts w:hAnsi="宋体" w:cs="宋体"/>
                <w:color w:val="000000"/>
                <w:highlight w:val="none"/>
              </w:rPr>
            </w:pPr>
            <w:r>
              <w:rPr>
                <w:rFonts w:hint="eastAsia" w:hAnsi="宋体" w:cs="宋体"/>
                <w:color w:val="000000"/>
                <w:highlight w:val="none"/>
              </w:rPr>
              <w:t>四、报价要求：</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1．工程量清单应与投标人须知，通用合同条款、专用合同条款、技术标准和要求及图纸等文件结合起来查阅与理解，并根据现场实际情况综合考虑报价；</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浙江省建设工程计价规则》（2018版）规定的下限，按市区工程计取，其中疫情常态化防控及“智慧工地”费用计取按照：浙建建发[2022]37号文件执行，包含在安全文明施工费内，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机械费”，最低费率为：5.91%；</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机械费”，最低费率为：7.35%；</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机械费”，最低费率为：8.38%；</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机械费”，最低费率为：9.19%；</w:t>
            </w:r>
          </w:p>
          <w:p>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其中安责险计取按照：杭建工发[2021] 384号文件，杭建招标造价中心[2021]84号文件结合本项目实际情况，自行考虑，包含在企业管理费内。同时，投标人必须对企业管理费中所包含的现场临时宿舍空调设施、安全生产责任保险等费用，在相应的清单明细表中(表2-5)进行单独费用报价分析。具体如下：</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机械费”，最低费率为：2.28%；</w:t>
            </w:r>
          </w:p>
          <w:p>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机械费”，最低费率为：3.26%；</w:t>
            </w:r>
          </w:p>
          <w:p>
            <w:pPr>
              <w:pStyle w:val="3"/>
              <w:numPr>
                <w:ilvl w:val="0"/>
                <w:numId w:val="1"/>
              </w:numPr>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税金应根据《浙江省建设工程计价规则》（2018版）的规定及浙建建发[2019]92号的相关规定以（税前工程造价）为取费基数, 取费费率为：9%。</w:t>
            </w:r>
          </w:p>
          <w:p>
            <w:pPr>
              <w:spacing w:line="360" w:lineRule="exact"/>
              <w:rPr>
                <w:rFonts w:hint="default" w:ascii="宋体" w:hAnsi="宋体" w:eastAsia="宋体" w:cs="宋体"/>
                <w:b w:val="0"/>
                <w:bCs w:val="0"/>
                <w:szCs w:val="21"/>
                <w:highlight w:val="none"/>
                <w:lang w:val="en-US" w:eastAsia="zh-CN"/>
              </w:rPr>
            </w:pPr>
            <w:r>
              <w:rPr>
                <w:rFonts w:hint="eastAsia" w:ascii="宋体" w:hAnsi="宋体" w:cs="宋体"/>
                <w:b w:val="0"/>
                <w:bCs w:val="0"/>
                <w:szCs w:val="21"/>
                <w:highlight w:val="none"/>
              </w:rPr>
              <w:t>五、招标人自行采购材料的名称、规格型号、数量，要求总承包人提供的服务内容</w:t>
            </w:r>
            <w:r>
              <w:rPr>
                <w:rFonts w:hint="eastAsia" w:ascii="宋体" w:hAnsi="宋体" w:cs="宋体"/>
                <w:b w:val="0"/>
                <w:bCs w:val="0"/>
                <w:szCs w:val="21"/>
                <w:highlight w:val="none"/>
                <w:lang w:eastAsia="zh-CN"/>
              </w:rPr>
              <w:t>：</w:t>
            </w:r>
            <w:r>
              <w:rPr>
                <w:rFonts w:hint="eastAsia" w:ascii="宋体" w:hAnsi="宋体" w:cs="宋体"/>
                <w:b w:val="0"/>
                <w:bCs w:val="0"/>
                <w:szCs w:val="21"/>
                <w:highlight w:val="none"/>
                <w:lang w:val="en-US" w:eastAsia="zh-CN"/>
              </w:rPr>
              <w:t>无。</w:t>
            </w:r>
          </w:p>
          <w:p>
            <w:pPr>
              <w:pStyle w:val="3"/>
              <w:spacing w:line="360" w:lineRule="auto"/>
              <w:rPr>
                <w:rFonts w:hAnsi="宋体" w:cs="宋体"/>
                <w:color w:val="000000"/>
                <w:highlight w:val="none"/>
              </w:rPr>
            </w:pPr>
            <w:r>
              <w:rPr>
                <w:rFonts w:hint="eastAsia" w:hAnsi="宋体" w:cs="宋体"/>
                <w:color w:val="000000"/>
                <w:highlight w:val="none"/>
              </w:rPr>
              <w:t>六、编制说明：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1、</w:t>
            </w:r>
            <w:r>
              <w:rPr>
                <w:rFonts w:hint="eastAsia" w:ascii="宋体" w:hAnsi="宋体" w:eastAsia="宋体" w:cs="宋体"/>
                <w:color w:val="auto"/>
                <w:kern w:val="24"/>
                <w:sz w:val="21"/>
                <w:szCs w:val="21"/>
              </w:rPr>
              <w:t>所有饰面材料（</w:t>
            </w:r>
            <w:r>
              <w:rPr>
                <w:rFonts w:hint="eastAsia" w:ascii="宋体" w:hAnsi="宋体" w:eastAsia="宋体" w:cs="宋体"/>
                <w:color w:val="auto"/>
                <w:kern w:val="24"/>
                <w:sz w:val="21"/>
                <w:szCs w:val="21"/>
                <w:lang w:val="en-US" w:eastAsia="zh-CN"/>
              </w:rPr>
              <w:t>瓷砖、木饰面、不锈钢板等</w:t>
            </w:r>
            <w:r>
              <w:rPr>
                <w:rFonts w:hint="eastAsia" w:ascii="宋体" w:hAnsi="宋体" w:eastAsia="宋体" w:cs="宋体"/>
                <w:color w:val="auto"/>
                <w:kern w:val="24"/>
                <w:sz w:val="21"/>
                <w:szCs w:val="21"/>
              </w:rPr>
              <w:t>）及铝合金型材、玻璃等均区分颜色，请投标单位自行充分考虑不同颜色和规格的报价的影响，中标后由招标人确定具体颜色，投标不得有异议，综合单价不作调整</w:t>
            </w:r>
            <w:r>
              <w:rPr>
                <w:rFonts w:hint="eastAsia" w:ascii="宋体" w:hAnsi="宋体" w:eastAsia="宋体" w:cs="宋体"/>
                <w:color w:val="auto"/>
                <w:kern w:val="24"/>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2、</w:t>
            </w:r>
            <w:r>
              <w:rPr>
                <w:rFonts w:hint="eastAsia" w:ascii="宋体" w:hAnsi="宋体" w:eastAsia="宋体" w:cs="宋体"/>
                <w:color w:val="auto"/>
                <w:kern w:val="24"/>
                <w:sz w:val="21"/>
                <w:szCs w:val="21"/>
              </w:rPr>
              <w:t>所有门窗的</w:t>
            </w:r>
            <w:r>
              <w:rPr>
                <w:rFonts w:hint="eastAsia" w:ascii="宋体" w:hAnsi="宋体" w:eastAsia="宋体" w:cs="宋体"/>
                <w:color w:val="auto"/>
                <w:kern w:val="24"/>
                <w:sz w:val="21"/>
                <w:szCs w:val="21"/>
                <w:lang w:val="en-US" w:eastAsia="zh-CN"/>
              </w:rPr>
              <w:t>门窗套及门窗套线、五金、</w:t>
            </w:r>
            <w:r>
              <w:rPr>
                <w:rFonts w:hint="eastAsia" w:ascii="宋体" w:hAnsi="宋体" w:eastAsia="宋体" w:cs="宋体"/>
                <w:color w:val="auto"/>
                <w:kern w:val="24"/>
                <w:sz w:val="21"/>
                <w:szCs w:val="21"/>
              </w:rPr>
              <w:t>门锁、拉手、地弹簧、门铰、合页、</w:t>
            </w:r>
            <w:r>
              <w:rPr>
                <w:rFonts w:hint="eastAsia" w:ascii="宋体" w:hAnsi="宋体" w:eastAsia="宋体" w:cs="宋体"/>
                <w:color w:val="auto"/>
                <w:kern w:val="24"/>
                <w:sz w:val="21"/>
                <w:szCs w:val="21"/>
                <w:lang w:val="en-US" w:eastAsia="zh-CN"/>
              </w:rPr>
              <w:t>闭门器、顺位器、</w:t>
            </w:r>
            <w:r>
              <w:rPr>
                <w:rFonts w:hint="eastAsia" w:ascii="宋体" w:hAnsi="宋体" w:eastAsia="宋体" w:cs="宋体"/>
                <w:color w:val="auto"/>
                <w:kern w:val="24"/>
                <w:sz w:val="21"/>
                <w:szCs w:val="21"/>
              </w:rPr>
              <w:t>内外打胶等，费用均包含在门窗综合单价中</w:t>
            </w:r>
            <w:r>
              <w:rPr>
                <w:rFonts w:hint="eastAsia" w:ascii="宋体" w:hAnsi="宋体" w:eastAsia="宋体" w:cs="宋体"/>
                <w:color w:val="auto"/>
                <w:kern w:val="24"/>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3、</w:t>
            </w:r>
            <w:r>
              <w:rPr>
                <w:rFonts w:hint="eastAsia" w:ascii="宋体" w:hAnsi="宋体" w:eastAsia="宋体" w:cs="宋体"/>
                <w:color w:val="auto"/>
                <w:kern w:val="24"/>
                <w:sz w:val="21"/>
                <w:szCs w:val="21"/>
              </w:rPr>
              <w:t>装修工程中所有石材、石材线条的报价均需包含磨边、铣槽、表面处理(酸洗打蜡、镜面处理)、开孔、倒角、磨边、六面防护处理等费用，由投标人自行考虑，计入报价</w:t>
            </w:r>
            <w:r>
              <w:rPr>
                <w:rFonts w:hint="eastAsia" w:ascii="宋体" w:hAnsi="宋体" w:eastAsia="宋体" w:cs="宋体"/>
                <w:color w:val="auto"/>
                <w:kern w:val="24"/>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sz w:val="21"/>
                <w:szCs w:val="21"/>
                <w:lang w:val="en-US" w:eastAsia="zh-CN"/>
              </w:rPr>
              <w:t>4、石膏板吊顶处、墙面处石膏板开孔、检修口安装、工艺缝、凹槽预留等，均综合考虑在石膏板吊顶、墙面相关综合单价内；</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eastAsia="宋体" w:cs="宋体"/>
                <w:color w:val="auto"/>
                <w:kern w:val="24"/>
                <w:sz w:val="21"/>
                <w:szCs w:val="21"/>
                <w:lang w:val="en-US" w:eastAsia="zh-CN"/>
              </w:rPr>
              <w:t>5、</w:t>
            </w:r>
            <w:r>
              <w:rPr>
                <w:rFonts w:hint="eastAsia" w:ascii="宋体" w:hAnsi="宋体" w:eastAsia="宋体" w:cs="宋体"/>
                <w:color w:val="auto"/>
                <w:kern w:val="24"/>
                <w:sz w:val="21"/>
                <w:szCs w:val="21"/>
              </w:rPr>
              <w:t>所有木龙骨及木基层按刷防火涂料三道计入，并做防火、防潮、防腐、防虫处理，其费用计入投标报价中，中标后招标人不再另行支付相关费用。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color w:val="auto"/>
                <w:kern w:val="24"/>
                <w:sz w:val="21"/>
                <w:szCs w:val="21"/>
                <w:lang w:val="en-US" w:eastAsia="zh-CN"/>
              </w:rPr>
              <w:t>6、</w:t>
            </w:r>
            <w:r>
              <w:rPr>
                <w:rFonts w:hint="eastAsia" w:ascii="宋体" w:hAnsi="宋体" w:eastAsia="宋体" w:cs="宋体"/>
                <w:color w:val="auto"/>
                <w:kern w:val="24"/>
                <w:sz w:val="21"/>
                <w:szCs w:val="21"/>
              </w:rPr>
              <w:t>装修工程中所有吊顶、隔断、墙面、地面及其他部位等需要安装相关设备、灯具等而需在相关面层上预留孔洞或者开孔的，投标人应综合考虑，费用计入所涉及项目综合单价。</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24"/>
                <w:sz w:val="21"/>
                <w:szCs w:val="21"/>
                <w:highlight w:val="none"/>
                <w:lang w:eastAsia="zh-CN"/>
              </w:rPr>
            </w:pPr>
            <w:r>
              <w:rPr>
                <w:rFonts w:hint="eastAsia" w:ascii="宋体" w:hAnsi="宋体" w:eastAsia="宋体" w:cs="宋体"/>
                <w:color w:val="auto"/>
                <w:kern w:val="24"/>
                <w:sz w:val="21"/>
                <w:szCs w:val="21"/>
                <w:lang w:val="en-US" w:eastAsia="zh-CN"/>
              </w:rPr>
              <w:t>7、</w:t>
            </w:r>
            <w:r>
              <w:rPr>
                <w:rFonts w:hint="eastAsia" w:ascii="宋体" w:hAnsi="宋体" w:eastAsia="宋体" w:cs="宋体"/>
                <w:color w:val="auto"/>
                <w:kern w:val="24"/>
                <w:sz w:val="21"/>
                <w:szCs w:val="21"/>
              </w:rPr>
              <w:t>砌体拉结筋本清单按浇筑混凝土竖向构件时预留考虑，工程量已计入相应钢筋工程中。</w:t>
            </w:r>
            <w:r>
              <w:rPr>
                <w:rFonts w:hint="eastAsia" w:ascii="宋体" w:hAnsi="宋体" w:eastAsia="宋体" w:cs="宋体"/>
                <w:color w:val="auto"/>
                <w:kern w:val="24"/>
                <w:sz w:val="21"/>
                <w:szCs w:val="21"/>
                <w:highlight w:val="none"/>
              </w:rPr>
              <w:t>实际施工时无论采用何种施工方法，结算时均不做调整，投标人在投标报价需根据自行确定的施工方案综合考虑报价</w:t>
            </w:r>
            <w:r>
              <w:rPr>
                <w:rFonts w:hint="eastAsia" w:ascii="宋体" w:hAnsi="宋体" w:eastAsia="宋体" w:cs="宋体"/>
                <w:color w:val="auto"/>
                <w:kern w:val="24"/>
                <w:sz w:val="21"/>
                <w:szCs w:val="21"/>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8、楼地面找平厚度投标单位需根据现场实际情况综合考虑，其造价在相应清单中已充分考虑；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420" w:firstLineChars="200"/>
              <w:jc w:val="both"/>
              <w:textAlignment w:val="auto"/>
              <w:rPr>
                <w:rFonts w:hint="eastAsia" w:ascii="宋体" w:hAnsi="宋体" w:eastAsia="宋体" w:cs="宋体"/>
                <w:color w:val="auto"/>
                <w:kern w:val="24"/>
                <w:sz w:val="21"/>
                <w:szCs w:val="21"/>
                <w:highlight w:val="none"/>
                <w:lang w:val="en-US" w:eastAsia="zh-CN"/>
              </w:rPr>
            </w:pPr>
            <w:r>
              <w:rPr>
                <w:rFonts w:hint="eastAsia" w:ascii="宋体" w:hAnsi="宋体" w:eastAsia="宋体" w:cs="宋体"/>
                <w:sz w:val="21"/>
                <w:szCs w:val="21"/>
                <w:highlight w:val="none"/>
                <w:lang w:val="en-US" w:eastAsia="zh-CN"/>
              </w:rPr>
              <w:t>10、</w:t>
            </w:r>
            <w:r>
              <w:rPr>
                <w:rFonts w:hint="eastAsia" w:ascii="宋体" w:hAnsi="宋体" w:eastAsia="宋体" w:cs="宋体"/>
                <w:color w:val="auto"/>
                <w:kern w:val="24"/>
                <w:sz w:val="21"/>
                <w:szCs w:val="21"/>
                <w:highlight w:val="none"/>
                <w:lang w:val="en-US" w:eastAsia="zh-CN"/>
              </w:rPr>
              <w:t>不锈钢材质按304系列报价，装饰面铣槽、折边等费用综合考虑在综合单价内；</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11、所有木龙骨、基层板等木质基层均做防火防潮三防处理，防火等级至B1级；</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12、广告字、背景墙等广告内容均不计入清单内；</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default"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13、玻璃隔断高度2.8米，2.8米以上至板底或梁底为石膏板隔断；</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14、强电配电箱利旧，出线回路从原有的配电箱引出；</w:t>
            </w:r>
          </w:p>
          <w:p>
            <w:pPr>
              <w:pStyle w:val="17"/>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200"/>
              <w:textAlignment w:val="auto"/>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15、强电桥架利旧，弱电桥架部分利旧，新增规格100*50的金属桥架计入；</w:t>
            </w:r>
          </w:p>
          <w:p>
            <w:pPr>
              <w:pStyle w:val="3"/>
              <w:spacing w:line="360" w:lineRule="auto"/>
              <w:ind w:firstLine="420" w:firstLineChars="200"/>
              <w:rPr>
                <w:rFonts w:hint="eastAsia" w:ascii="宋体" w:hAnsi="宋体" w:cs="宋体"/>
                <w:color w:val="auto"/>
                <w:kern w:val="24"/>
                <w:sz w:val="21"/>
                <w:szCs w:val="21"/>
                <w:highlight w:val="none"/>
                <w:lang w:val="en-US" w:eastAsia="zh-CN"/>
              </w:rPr>
            </w:pPr>
            <w:r>
              <w:rPr>
                <w:rFonts w:hint="eastAsia" w:ascii="宋体" w:hAnsi="宋体" w:cs="宋体"/>
                <w:color w:val="auto"/>
                <w:kern w:val="24"/>
                <w:sz w:val="21"/>
                <w:szCs w:val="21"/>
                <w:highlight w:val="none"/>
                <w:lang w:val="en-US" w:eastAsia="zh-CN"/>
              </w:rPr>
              <w:t>16、弱电机柜与原有与安防柜共柜，配线架、交换机、无线AP甲供乙安装。</w:t>
            </w:r>
          </w:p>
          <w:p>
            <w:pPr>
              <w:pStyle w:val="3"/>
              <w:spacing w:line="360" w:lineRule="auto"/>
              <w:rPr>
                <w:rFonts w:hAnsi="宋体" w:cs="宋体"/>
                <w:color w:val="000000"/>
                <w:highlight w:val="none"/>
              </w:rPr>
            </w:pPr>
            <w:r>
              <w:rPr>
                <w:rFonts w:hint="eastAsia" w:hAnsi="宋体" w:cs="宋体"/>
                <w:color w:val="000000"/>
                <w:highlight w:val="none"/>
                <w:lang w:val="en-US" w:eastAsia="zh-CN"/>
              </w:rPr>
              <w:t>七</w:t>
            </w:r>
            <w:r>
              <w:rPr>
                <w:rFonts w:hint="eastAsia" w:hAnsi="宋体" w:cs="宋体"/>
                <w:color w:val="000000"/>
                <w:highlight w:val="none"/>
              </w:rPr>
              <w:t>、材料：</w:t>
            </w:r>
          </w:p>
          <w:p>
            <w:pPr>
              <w:keepNext w:val="0"/>
              <w:keepLines w:val="0"/>
              <w:pageBreakBefore w:val="0"/>
              <w:widowControl w:val="0"/>
              <w:tabs>
                <w:tab w:val="left" w:pos="0"/>
              </w:tabs>
              <w:kinsoku/>
              <w:wordWrap/>
              <w:overflowPunct/>
              <w:topLinePunct/>
              <w:autoSpaceDE/>
              <w:autoSpaceDN/>
              <w:bidi w:val="0"/>
              <w:adjustRightInd/>
              <w:snapToGrid/>
              <w:spacing w:line="440" w:lineRule="exact"/>
              <w:ind w:firstLine="420" w:firstLineChars="200"/>
              <w:jc w:val="left"/>
              <w:textAlignment w:val="auto"/>
              <w:rPr>
                <w:rFonts w:hint="eastAsia" w:ascii="宋体" w:hAnsi="宋体"/>
                <w:szCs w:val="21"/>
                <w:highlight w:val="none"/>
              </w:rPr>
            </w:pPr>
            <w:r>
              <w:rPr>
                <w:rFonts w:hint="eastAsia" w:ascii="宋体" w:hAnsi="宋体"/>
                <w:szCs w:val="21"/>
                <w:highlight w:val="none"/>
              </w:rPr>
              <w:t>（一）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ascii="宋体" w:hAnsi="宋体"/>
                <w:szCs w:val="21"/>
                <w:highlight w:val="none"/>
              </w:rPr>
            </w:pPr>
            <w:r>
              <w:rPr>
                <w:rFonts w:hint="eastAsia" w:ascii="宋体" w:hAnsi="宋体"/>
                <w:szCs w:val="21"/>
                <w:highlight w:val="none"/>
              </w:rPr>
              <w:t>（二）其他的设备、材料等采购：</w:t>
            </w:r>
          </w:p>
          <w:p>
            <w:pPr>
              <w:spacing w:line="400" w:lineRule="exact"/>
              <w:ind w:firstLine="420" w:firstLineChars="200"/>
              <w:rPr>
                <w:rFonts w:ascii="宋体" w:hAnsi="宋体"/>
                <w:szCs w:val="21"/>
                <w:highlight w:val="none"/>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p>
          <w:p>
            <w:pPr>
              <w:spacing w:line="400" w:lineRule="exact"/>
              <w:ind w:firstLine="420" w:firstLineChars="200"/>
              <w:rPr>
                <w:rFonts w:ascii="宋体" w:hAnsi="宋体"/>
                <w:szCs w:val="21"/>
                <w:highlight w:val="none"/>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pPr>
              <w:tabs>
                <w:tab w:val="left" w:pos="0"/>
              </w:tabs>
              <w:topLinePunct/>
              <w:spacing w:line="440" w:lineRule="exact"/>
              <w:ind w:firstLine="420" w:firstLineChars="200"/>
              <w:jc w:val="left"/>
              <w:rPr>
                <w:rFonts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pPr>
              <w:pStyle w:val="3"/>
              <w:spacing w:line="360" w:lineRule="auto"/>
              <w:rPr>
                <w:rFonts w:hAnsi="宋体" w:cs="宋体"/>
                <w:color w:val="000000"/>
                <w:highlight w:val="none"/>
              </w:rPr>
            </w:pPr>
            <w:r>
              <w:rPr>
                <w:rFonts w:hint="eastAsia" w:hAnsi="宋体" w:cs="宋体"/>
                <w:color w:val="000000"/>
                <w:highlight w:val="none"/>
                <w:lang w:val="en-US" w:eastAsia="zh-CN"/>
              </w:rPr>
              <w:t>八</w:t>
            </w:r>
            <w:r>
              <w:rPr>
                <w:rFonts w:hint="eastAsia" w:hAnsi="宋体" w:cs="宋体"/>
                <w:color w:val="000000"/>
                <w:highlight w:val="none"/>
              </w:rPr>
              <w:t>、其他说明：</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2.各投标单位需要在相应的子目中综合考虑费用；</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3.措施费中以“项”为单位措施项目均一次性包干，费用由各投标单位根据施工组织设计方案自行考虑报价，应考虑现场的各种风险因素；</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5.根据工程量清单报价原则“固定综合单价”，以“项”为单位的工程量清单项目综合单价为包干价，请投标单位根据项目实际情况合理报价；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7.分部分项工程量清单中的工程量是按实物净量计算，一切损耗均应在投标报价内；</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8.投标人应充分考虑周边建筑、道路和地下管线设施的保护费用，并考虑在总投标价中；</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 xml:space="preserve">9.本工程所有的材料的环保等级必须满足国家及地方标准，符合验收相关规范； </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10.投标人应充分考虑脚手架等技术措施，相应费用计入技术措施费中，并充分考虑报价风险，今后结算不进行调整；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11.各投标单位应根据现场实际情况自行考虑，包含施工范围内所有的原结构和建筑垃圾拆除及外运等,所有外运物弃置场地及运距由投标人自行综合考虑，相应费用均计入报价，今后不作调整；</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12.相关工艺施工前应做的基层清理工作应包含在投标报价中，清单特征描述中不再一一描述；</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13.本清单项目特征描述不完整时，投标单位应结合施工图及相关规范、规定等进行综合考虑；</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14.本工程按照《杭州市人民政府办公厅关于印发杭州市建设工程推广应用预拌砂浆管理办法的通知》（杭政办函【2011】32号文件）的要求使用预拌砂浆，投标人应将使用预拌砂浆的费用计入投标报价；</w:t>
            </w:r>
          </w:p>
          <w:p>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15.本工程砼按《杭州市商品混凝土管理办法 杭州市政府令第115号》文件要求使用商品混凝土。</w:t>
            </w:r>
          </w:p>
          <w:p>
            <w:pPr>
              <w:pStyle w:val="3"/>
              <w:spacing w:line="360" w:lineRule="auto"/>
              <w:rPr>
                <w:rFonts w:hint="default"/>
              </w:rPr>
            </w:pPr>
            <w:r>
              <w:rPr>
                <w:rFonts w:hint="eastAsia" w:hAnsi="宋体" w:cs="宋体"/>
                <w:color w:val="000000"/>
                <w:highlight w:val="none"/>
                <w:lang w:val="en-US" w:eastAsia="zh-CN"/>
              </w:rPr>
              <w:t>九</w:t>
            </w:r>
            <w:r>
              <w:rPr>
                <w:rFonts w:hint="eastAsia" w:hAnsi="宋体" w:cs="宋体"/>
                <w:color w:val="000000"/>
                <w:highlight w:val="none"/>
                <w:lang w:val="zh-CN"/>
              </w:rPr>
              <w:t>、其他不详之处，详见国家及地方标准。</w:t>
            </w:r>
          </w:p>
          <w:p>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b/>
                <w:kern w:val="1"/>
                <w:sz w:val="21"/>
                <w:szCs w:val="21"/>
              </w:rPr>
              <w:t>品牌推荐表：</w:t>
            </w:r>
          </w:p>
          <w:p>
            <w:pPr>
              <w:spacing w:line="360" w:lineRule="auto"/>
              <w:jc w:val="center"/>
              <w:rPr>
                <w:rFonts w:hint="default" w:ascii="Times New Roman" w:hAnsi="Times New Roman" w:eastAsia="宋体" w:cs="Times New Roman"/>
                <w:kern w:val="1"/>
                <w:sz w:val="21"/>
                <w:szCs w:val="21"/>
              </w:rPr>
            </w:pPr>
            <w:r>
              <w:rPr>
                <w:rFonts w:hint="default" w:ascii="Times New Roman" w:hAnsi="Times New Roman" w:eastAsia="宋体" w:cs="Times New Roman"/>
                <w:kern w:val="1"/>
                <w:sz w:val="21"/>
                <w:szCs w:val="21"/>
              </w:rPr>
              <w:t>招标人推荐材料、设备品牌一览表</w:t>
            </w:r>
          </w:p>
          <w:tbl>
            <w:tblPr>
              <w:tblStyle w:val="8"/>
              <w:tblW w:w="0" w:type="auto"/>
              <w:tblInd w:w="202" w:type="dxa"/>
              <w:tblLayout w:type="fixed"/>
              <w:tblCellMar>
                <w:top w:w="0" w:type="dxa"/>
                <w:left w:w="108" w:type="dxa"/>
                <w:bottom w:w="0" w:type="dxa"/>
                <w:right w:w="108" w:type="dxa"/>
              </w:tblCellMar>
            </w:tblPr>
            <w:tblGrid>
              <w:gridCol w:w="678"/>
              <w:gridCol w:w="2268"/>
              <w:gridCol w:w="2637"/>
              <w:gridCol w:w="1470"/>
              <w:gridCol w:w="1200"/>
            </w:tblGrid>
            <w:tr>
              <w:tblPrEx>
                <w:tblCellMar>
                  <w:top w:w="0" w:type="dxa"/>
                  <w:left w:w="108" w:type="dxa"/>
                  <w:bottom w:w="0" w:type="dxa"/>
                  <w:right w:w="108" w:type="dxa"/>
                </w:tblCellMar>
              </w:tblPrEx>
              <w:trPr>
                <w:trHeight w:val="268" w:hRule="atLeast"/>
              </w:trPr>
              <w:tc>
                <w:tcPr>
                  <w:tcW w:w="678"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序号</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材料名称</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品牌或产地</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备注</w:t>
                  </w:r>
                </w:p>
              </w:tc>
            </w:tr>
            <w:tr>
              <w:tblPrEx>
                <w:tblCellMar>
                  <w:top w:w="0" w:type="dxa"/>
                  <w:left w:w="108" w:type="dxa"/>
                  <w:bottom w:w="0" w:type="dxa"/>
                  <w:right w:w="108" w:type="dxa"/>
                </w:tblCellMar>
              </w:tblPrEx>
              <w:trPr>
                <w:trHeight w:val="354"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1</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轻钢龙骨、石膏板</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宋体" w:hAnsi="宋体" w:eastAsia="宋体" w:cs="宋体"/>
                      <w:sz w:val="21"/>
                      <w:szCs w:val="21"/>
                    </w:rPr>
                  </w:pPr>
                  <w:r>
                    <w:rPr>
                      <w:rFonts w:hint="eastAsia" w:ascii="宋体" w:hAnsi="宋体" w:eastAsia="宋体" w:cs="宋体"/>
                      <w:sz w:val="21"/>
                      <w:szCs w:val="21"/>
                    </w:rPr>
                    <w:t>可耐福、 龙牌、 拉法基</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2</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lang w:eastAsia="zh-CN"/>
                    </w:rPr>
                  </w:pPr>
                  <w:r>
                    <w:rPr>
                      <w:rFonts w:hint="eastAsia" w:ascii="宋体" w:hAnsi="宋体" w:eastAsia="宋体" w:cs="宋体"/>
                      <w:sz w:val="21"/>
                      <w:szCs w:val="21"/>
                      <w:lang w:val="en-US" w:eastAsia="zh-CN"/>
                    </w:rPr>
                    <w:t>乳胶漆</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宋体" w:hAnsi="宋体" w:eastAsia="宋体" w:cs="宋体"/>
                      <w:sz w:val="21"/>
                      <w:szCs w:val="21"/>
                    </w:rPr>
                  </w:pPr>
                  <w:r>
                    <w:rPr>
                      <w:rFonts w:hint="eastAsia" w:ascii="宋体" w:hAnsi="宋体" w:eastAsia="宋体" w:cs="宋体"/>
                      <w:sz w:val="21"/>
                      <w:szCs w:val="21"/>
                    </w:rPr>
                    <w:t>立邦、 多乐士、 华润</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3</w:t>
                  </w:r>
                </w:p>
              </w:tc>
              <w:tc>
                <w:tcPr>
                  <w:tcW w:w="2268"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细木工板</w:t>
                  </w:r>
                  <w:r>
                    <w:rPr>
                      <w:rFonts w:hint="eastAsia" w:ascii="宋体" w:hAnsi="宋体" w:eastAsia="宋体" w:cs="宋体"/>
                      <w:sz w:val="21"/>
                      <w:szCs w:val="21"/>
                      <w:lang w:eastAsia="zh-CN"/>
                    </w:rPr>
                    <w:t>、</w:t>
                  </w:r>
                  <w:r>
                    <w:rPr>
                      <w:rFonts w:hint="eastAsia" w:ascii="宋体" w:hAnsi="宋体" w:eastAsia="宋体" w:cs="宋体"/>
                      <w:sz w:val="21"/>
                      <w:szCs w:val="21"/>
                    </w:rPr>
                    <w:t>多层板</w:t>
                  </w:r>
                </w:p>
              </w:tc>
              <w:tc>
                <w:tcPr>
                  <w:tcW w:w="2637" w:type="dxa"/>
                  <w:tcBorders>
                    <w:top w:val="single" w:color="000000" w:sz="4" w:space="0"/>
                    <w:left w:val="single" w:color="000000" w:sz="4" w:space="0"/>
                    <w:bottom w:val="single" w:color="000000" w:sz="4" w:space="0"/>
                    <w:right w:val="single" w:color="000000" w:sz="4" w:space="0"/>
                  </w:tcBorders>
                  <w:noWrap w:val="0"/>
                  <w:vAlign w:val="top"/>
                </w:tcPr>
                <w:p>
                  <w:pPr>
                    <w:jc w:val="both"/>
                    <w:rPr>
                      <w:rFonts w:hint="eastAsia" w:ascii="宋体" w:hAnsi="宋体" w:eastAsia="宋体" w:cs="宋体"/>
                      <w:sz w:val="21"/>
                      <w:szCs w:val="21"/>
                    </w:rPr>
                  </w:pPr>
                  <w:r>
                    <w:rPr>
                      <w:rFonts w:hint="eastAsia" w:ascii="宋体" w:hAnsi="宋体" w:eastAsia="宋体" w:cs="宋体"/>
                      <w:sz w:val="21"/>
                      <w:szCs w:val="21"/>
                    </w:rPr>
                    <w:t>兔宝宝、 千年舟</w:t>
                  </w:r>
                  <w:r>
                    <w:rPr>
                      <w:rFonts w:hint="eastAsia" w:ascii="宋体" w:hAnsi="宋体" w:eastAsia="宋体" w:cs="宋体"/>
                      <w:sz w:val="21"/>
                      <w:szCs w:val="21"/>
                      <w:lang w:eastAsia="zh-CN"/>
                    </w:rPr>
                    <w:t>、</w:t>
                  </w:r>
                  <w:r>
                    <w:rPr>
                      <w:rFonts w:hint="eastAsia" w:ascii="宋体" w:hAnsi="宋体" w:eastAsia="宋体" w:cs="宋体"/>
                      <w:sz w:val="21"/>
                      <w:szCs w:val="21"/>
                    </w:rPr>
                    <w:t xml:space="preserve"> 森鹿</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4</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rPr>
                  </w:pPr>
                  <w:r>
                    <w:rPr>
                      <w:rFonts w:hint="eastAsia" w:ascii="宋体" w:hAnsi="宋体" w:eastAsia="宋体" w:cs="宋体"/>
                      <w:sz w:val="21"/>
                      <w:szCs w:val="21"/>
                    </w:rPr>
                    <w:t>电线</w:t>
                  </w:r>
                  <w:r>
                    <w:rPr>
                      <w:rFonts w:hint="eastAsia" w:ascii="宋体" w:hAnsi="宋体" w:eastAsia="宋体" w:cs="宋体"/>
                      <w:sz w:val="21"/>
                      <w:szCs w:val="21"/>
                      <w:lang w:eastAsia="zh-CN"/>
                    </w:rPr>
                    <w:t>、</w:t>
                  </w:r>
                  <w:r>
                    <w:rPr>
                      <w:rFonts w:hint="eastAsia" w:ascii="宋体" w:hAnsi="宋体" w:eastAsia="宋体" w:cs="宋体"/>
                      <w:sz w:val="21"/>
                      <w:szCs w:val="21"/>
                    </w:rPr>
                    <w:t>电缆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rPr>
                  </w:pPr>
                  <w:r>
                    <w:rPr>
                      <w:rFonts w:hint="eastAsia" w:ascii="宋体" w:hAnsi="宋体" w:eastAsia="宋体" w:cs="宋体"/>
                      <w:sz w:val="21"/>
                      <w:szCs w:val="21"/>
                    </w:rPr>
                    <w:t>元通、万马、永通</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5</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rPr>
                  </w:pPr>
                  <w:r>
                    <w:rPr>
                      <w:rFonts w:hint="eastAsia" w:ascii="宋体" w:hAnsi="宋体" w:eastAsia="宋体" w:cs="宋体"/>
                      <w:sz w:val="21"/>
                      <w:szCs w:val="21"/>
                    </w:rPr>
                    <w:t>配电箱元器件</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rPr>
                  </w:pPr>
                  <w:r>
                    <w:rPr>
                      <w:rFonts w:hint="eastAsia" w:ascii="宋体" w:hAnsi="宋体" w:eastAsia="宋体" w:cs="宋体"/>
                      <w:sz w:val="21"/>
                      <w:szCs w:val="21"/>
                    </w:rPr>
                    <w:t>施耐德</w:t>
                  </w:r>
                  <w:r>
                    <w:rPr>
                      <w:rFonts w:hint="eastAsia" w:ascii="宋体" w:hAnsi="宋体" w:eastAsia="宋体" w:cs="宋体"/>
                      <w:sz w:val="21"/>
                      <w:szCs w:val="21"/>
                      <w:lang w:eastAsia="zh-CN"/>
                    </w:rPr>
                    <w:t>、</w:t>
                  </w:r>
                  <w:r>
                    <w:rPr>
                      <w:rFonts w:hint="eastAsia" w:ascii="宋体" w:hAnsi="宋体" w:eastAsia="宋体" w:cs="宋体"/>
                      <w:sz w:val="21"/>
                      <w:szCs w:val="21"/>
                    </w:rPr>
                    <w:t>ABB</w:t>
                  </w:r>
                  <w:r>
                    <w:rPr>
                      <w:rFonts w:hint="eastAsia" w:ascii="宋体" w:hAnsi="宋体" w:eastAsia="宋体" w:cs="宋体"/>
                      <w:sz w:val="21"/>
                      <w:szCs w:val="21"/>
                      <w:lang w:eastAsia="zh-CN"/>
                    </w:rPr>
                    <w:t>、</w:t>
                  </w:r>
                  <w:r>
                    <w:rPr>
                      <w:rFonts w:hint="eastAsia" w:ascii="宋体" w:hAnsi="宋体" w:eastAsia="宋体" w:cs="宋体"/>
                      <w:sz w:val="21"/>
                      <w:szCs w:val="21"/>
                    </w:rPr>
                    <w:t>西门子</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6</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rPr>
                  </w:pPr>
                  <w:r>
                    <w:rPr>
                      <w:rFonts w:hint="eastAsia" w:ascii="宋体" w:hAnsi="宋体" w:eastAsia="宋体" w:cs="宋体"/>
                      <w:sz w:val="21"/>
                      <w:szCs w:val="21"/>
                    </w:rPr>
                    <w:t>开关、插座</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rPr>
                  </w:pPr>
                  <w:r>
                    <w:rPr>
                      <w:rFonts w:hint="eastAsia" w:ascii="宋体" w:hAnsi="宋体" w:eastAsia="宋体" w:cs="宋体"/>
                      <w:sz w:val="21"/>
                      <w:szCs w:val="21"/>
                    </w:rPr>
                    <w:t>鸿雁</w:t>
                  </w:r>
                  <w:r>
                    <w:rPr>
                      <w:rFonts w:hint="eastAsia" w:ascii="宋体" w:hAnsi="宋体" w:eastAsia="宋体" w:cs="宋体"/>
                      <w:sz w:val="21"/>
                      <w:szCs w:val="21"/>
                      <w:lang w:eastAsia="zh-CN"/>
                    </w:rPr>
                    <w:t>、</w:t>
                  </w:r>
                  <w:r>
                    <w:rPr>
                      <w:rFonts w:hint="eastAsia" w:ascii="宋体" w:hAnsi="宋体" w:eastAsia="宋体" w:cs="宋体"/>
                      <w:sz w:val="21"/>
                      <w:szCs w:val="21"/>
                    </w:rPr>
                    <w:t>德力西、正泰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7</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rPr>
                  </w:pPr>
                  <w:r>
                    <w:rPr>
                      <w:rFonts w:hint="eastAsia" w:ascii="宋体" w:hAnsi="宋体" w:eastAsia="宋体" w:cs="宋体"/>
                      <w:sz w:val="21"/>
                      <w:szCs w:val="21"/>
                    </w:rPr>
                    <w:t>LED灯具</w:t>
                  </w:r>
                  <w:bookmarkStart w:id="0" w:name="_GoBack"/>
                  <w:bookmarkEnd w:id="0"/>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rPr>
                  </w:pPr>
                  <w:r>
                    <w:rPr>
                      <w:rFonts w:hint="eastAsia" w:ascii="宋体" w:hAnsi="宋体" w:eastAsia="宋体" w:cs="宋体"/>
                      <w:sz w:val="21"/>
                      <w:szCs w:val="21"/>
                    </w:rPr>
                    <w:t>雷士、松下、三雄极光</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8</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rPr>
                  </w:pPr>
                  <w:r>
                    <w:rPr>
                      <w:rFonts w:hint="eastAsia" w:ascii="宋体" w:hAnsi="宋体" w:eastAsia="宋体" w:cs="宋体"/>
                      <w:sz w:val="21"/>
                      <w:szCs w:val="21"/>
                    </w:rPr>
                    <w:t>成品套装木门及门套</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rPr>
                  </w:pPr>
                  <w:r>
                    <w:rPr>
                      <w:rFonts w:hint="eastAsia" w:ascii="宋体" w:hAnsi="宋体" w:eastAsia="宋体" w:cs="宋体"/>
                      <w:sz w:val="21"/>
                      <w:szCs w:val="21"/>
                    </w:rPr>
                    <w:t>兔宝宝、春天、大自然</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9</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lang w:eastAsia="zh-CN"/>
                    </w:rPr>
                  </w:pPr>
                  <w:r>
                    <w:rPr>
                      <w:rFonts w:hint="eastAsia" w:ascii="宋体" w:hAnsi="宋体" w:eastAsia="宋体" w:cs="宋体"/>
                      <w:sz w:val="21"/>
                      <w:szCs w:val="21"/>
                      <w:lang w:eastAsia="zh-CN"/>
                    </w:rPr>
                    <w:t>地砖</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冠军、东鹏、马可波罗</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10</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综合布线缆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一舟、百通、罗格朗</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r>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光缆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长飞、烽火、一舟</w:t>
                  </w:r>
                </w:p>
              </w:tc>
              <w:tc>
                <w:tcPr>
                  <w:tcW w:w="1470" w:type="dxa"/>
                  <w:tcBorders>
                    <w:top w:val="single" w:color="000000" w:sz="4" w:space="0"/>
                    <w:left w:val="single" w:color="000000" w:sz="4" w:space="0"/>
                    <w:bottom w:val="single" w:color="000000" w:sz="4" w:space="0"/>
                    <w:right w:val="single" w:color="000000" w:sz="4" w:space="0"/>
                  </w:tcBorders>
                  <w:noWrap w:val="0"/>
                  <w:vAlign w:val="top"/>
                </w:tcPr>
                <w:p>
                  <w:pPr>
                    <w:jc w:val="center"/>
                    <w:rPr>
                      <w:rFonts w:hint="eastAsia" w:ascii="宋体" w:hAnsi="宋体" w:eastAsia="宋体" w:cs="宋体"/>
                      <w:sz w:val="21"/>
                      <w:szCs w:val="21"/>
                      <w:lang w:eastAsia="zh-CN"/>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top"/>
                </w:tcPr>
                <w:p>
                  <w:pPr>
                    <w:jc w:val="left"/>
                    <w:rPr>
                      <w:rFonts w:hint="eastAsia" w:ascii="宋体" w:hAnsi="宋体" w:eastAsia="宋体" w:cs="宋体"/>
                      <w:sz w:val="21"/>
                      <w:szCs w:val="21"/>
                    </w:rPr>
                  </w:pPr>
                  <w:r>
                    <w:rPr>
                      <w:rFonts w:hint="eastAsia" w:ascii="宋体" w:hAnsi="宋体" w:eastAsia="宋体" w:cs="宋体"/>
                      <w:sz w:val="21"/>
                      <w:szCs w:val="21"/>
                      <w:lang w:val="en-US" w:eastAsia="zh-CN"/>
                    </w:rPr>
                    <w:t>或相当于</w:t>
                  </w:r>
                </w:p>
              </w:tc>
            </w:tr>
          </w:tbl>
          <w:p>
            <w:pPr>
              <w:pStyle w:val="3"/>
              <w:spacing w:line="360" w:lineRule="auto"/>
              <w:rPr>
                <w:rFonts w:hint="eastAsia" w:hAnsi="宋体" w:cs="宋体"/>
                <w:color w:val="000000"/>
                <w:highlight w:val="none"/>
                <w:lang w:val="zh-CN"/>
              </w:rPr>
            </w:pPr>
            <w:r>
              <w:rPr>
                <w:rFonts w:hint="default" w:ascii="Times New Roman" w:hAnsi="Times New Roman" w:eastAsia="宋体" w:cs="Times New Roman"/>
                <w:kern w:val="1"/>
                <w:sz w:val="21"/>
                <w:szCs w:val="21"/>
              </w:rPr>
              <w:t>注意：涂料、油漆、多层板、细木工板、强化地板要达到环保E1级标准。</w:t>
            </w:r>
            <w:r>
              <w:rPr>
                <w:rFonts w:ascii="宋体" w:hAnsi="宋体" w:cs="宋体"/>
                <w:kern w:val="0"/>
                <w:szCs w:val="21"/>
                <w:highlight w:val="none"/>
                <w:lang w:val="zh-CN"/>
              </w:rPr>
              <w:t xml:space="preserve"> </w:t>
            </w:r>
          </w:p>
        </w:tc>
      </w:tr>
    </w:tbl>
    <w:p>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pStyle w:val="3"/>
                            <w:tabs>
                              <w:tab w:val="left" w:pos="0"/>
                            </w:tabs>
                            <w:jc w:val="center"/>
                            <w:rPr>
                              <w:b/>
                              <w:sz w:val="48"/>
                              <w:szCs w:val="48"/>
                            </w:rPr>
                          </w:pPr>
                          <w:r>
                            <w:rPr>
                              <w:rFonts w:hint="eastAsia"/>
                              <w:b/>
                              <w:sz w:val="48"/>
                              <w:szCs w:val="48"/>
                            </w:rPr>
                            <w:t>工程量清单编制总说明</w:t>
                          </w:r>
                        </w:p>
                        <w:p>
                          <w:pPr>
                            <w:rPr>
                              <w:rFonts w:hint="eastAsia" w:ascii="宋体" w:hAnsi="宋体" w:eastAsia="宋体" w:cs="宋体"/>
                              <w:sz w:val="21"/>
                              <w:szCs w:val="21"/>
                            </w:rPr>
                          </w:pPr>
                          <w:r>
                            <w:rPr>
                              <w:rFonts w:hint="eastAsia" w:ascii="宋体" w:hAnsi="宋体" w:eastAsia="宋体" w:cs="宋体"/>
                              <w:sz w:val="20"/>
                              <w:szCs w:val="20"/>
                            </w:rPr>
                            <w:t xml:space="preserve">工程名称: </w:t>
                          </w:r>
                          <w:r>
                            <w:rPr>
                              <w:rFonts w:hint="eastAsia" w:ascii="宋体" w:hAnsi="宋体" w:eastAsia="宋体" w:cs="宋体"/>
                              <w:sz w:val="20"/>
                              <w:szCs w:val="20"/>
                              <w:lang w:val="en-US" w:eastAsia="zh-CN"/>
                            </w:rPr>
                            <w:t xml:space="preserve">杭州电子科技大学下沙校区电工电子实验中心大厅教学环境改造工程 </w:t>
                          </w:r>
                          <w:r>
                            <w:rPr>
                              <w:rFonts w:hint="eastAsia" w:ascii="宋体" w:hAnsi="宋体" w:eastAsia="宋体" w:cs="宋体"/>
                              <w:sz w:val="20"/>
                              <w:szCs w:val="20"/>
                            </w:rPr>
                            <w:t>第</w:t>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PAGE  \* Arabic  \* MERGEFORMAT</w:instrText>
                          </w:r>
                          <w:r>
                            <w:rPr>
                              <w:rFonts w:hint="eastAsia" w:ascii="宋体" w:hAnsi="宋体" w:eastAsia="宋体" w:cs="宋体"/>
                              <w:sz w:val="20"/>
                              <w:szCs w:val="20"/>
                            </w:rPr>
                            <w:fldChar w:fldCharType="separate"/>
                          </w:r>
                          <w:r>
                            <w:rPr>
                              <w:rFonts w:hint="eastAsia" w:ascii="宋体" w:hAnsi="宋体" w:eastAsia="宋体" w:cs="宋体"/>
                              <w:sz w:val="20"/>
                              <w:szCs w:val="20"/>
                            </w:rPr>
                            <w:t>1</w:t>
                          </w:r>
                          <w:r>
                            <w:rPr>
                              <w:rFonts w:hint="eastAsia" w:ascii="宋体" w:hAnsi="宋体" w:eastAsia="宋体" w:cs="宋体"/>
                              <w:sz w:val="20"/>
                              <w:szCs w:val="20"/>
                            </w:rPr>
                            <w:fldChar w:fldCharType="end"/>
                          </w:r>
                          <w:r>
                            <w:rPr>
                              <w:rFonts w:hint="eastAsia" w:ascii="宋体" w:hAnsi="宋体" w:eastAsia="宋体" w:cs="宋体"/>
                              <w:sz w:val="20"/>
                              <w:szCs w:val="20"/>
                            </w:rPr>
                            <w:t>页，</w:t>
                          </w:r>
                          <w:r>
                            <w:rPr>
                              <w:rFonts w:hint="eastAsia" w:ascii="宋体" w:hAnsi="宋体" w:eastAsia="宋体" w:cs="宋体"/>
                              <w:sz w:val="20"/>
                              <w:szCs w:val="20"/>
                            </w:rPr>
                            <w:t>共</w:t>
                          </w:r>
                          <w:r>
                            <w:rPr>
                              <w:rFonts w:hint="eastAsia" w:ascii="宋体" w:hAnsi="宋体" w:cs="宋体"/>
                              <w:sz w:val="20"/>
                              <w:szCs w:val="20"/>
                              <w:lang w:val="en-US" w:eastAsia="zh-CN"/>
                            </w:rPr>
                            <w:t>5</w:t>
                          </w:r>
                          <w:r>
                            <w:rPr>
                              <w:rFonts w:hint="eastAsia" w:ascii="宋体" w:hAnsi="宋体" w:eastAsia="宋体" w:cs="宋体"/>
                              <w:sz w:val="20"/>
                              <w:szCs w:val="20"/>
                            </w:rPr>
                            <w:t>页</w:t>
                          </w:r>
                        </w:p>
                        <w:p>
                          <w:pPr>
                            <w:rPr>
                              <w:rFonts w:hint="eastAsia" w:ascii="宋体" w:hAnsi="宋体" w:eastAsia="宋体" w:cs="宋体"/>
                              <w:sz w:val="21"/>
                              <w:szCs w:val="21"/>
                            </w:rPr>
                          </w:pPr>
                        </w:p>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pPr>
                      <w:pStyle w:val="3"/>
                      <w:tabs>
                        <w:tab w:val="left" w:pos="0"/>
                      </w:tabs>
                      <w:jc w:val="center"/>
                      <w:rPr>
                        <w:b/>
                        <w:sz w:val="48"/>
                        <w:szCs w:val="48"/>
                      </w:rPr>
                    </w:pPr>
                    <w:r>
                      <w:rPr>
                        <w:rFonts w:hint="eastAsia"/>
                        <w:b/>
                        <w:sz w:val="48"/>
                        <w:szCs w:val="48"/>
                      </w:rPr>
                      <w:t>工程量清单编制总说明</w:t>
                    </w:r>
                  </w:p>
                  <w:p>
                    <w:pPr>
                      <w:rPr>
                        <w:rFonts w:hint="eastAsia" w:ascii="宋体" w:hAnsi="宋体" w:eastAsia="宋体" w:cs="宋体"/>
                        <w:sz w:val="21"/>
                        <w:szCs w:val="21"/>
                      </w:rPr>
                    </w:pPr>
                    <w:r>
                      <w:rPr>
                        <w:rFonts w:hint="eastAsia" w:ascii="宋体" w:hAnsi="宋体" w:eastAsia="宋体" w:cs="宋体"/>
                        <w:sz w:val="20"/>
                        <w:szCs w:val="20"/>
                      </w:rPr>
                      <w:t xml:space="preserve">工程名称: </w:t>
                    </w:r>
                    <w:r>
                      <w:rPr>
                        <w:rFonts w:hint="eastAsia" w:ascii="宋体" w:hAnsi="宋体" w:eastAsia="宋体" w:cs="宋体"/>
                        <w:sz w:val="20"/>
                        <w:szCs w:val="20"/>
                        <w:lang w:val="en-US" w:eastAsia="zh-CN"/>
                      </w:rPr>
                      <w:t xml:space="preserve">杭州电子科技大学下沙校区电工电子实验中心大厅教学环境改造工程 </w:t>
                    </w:r>
                    <w:r>
                      <w:rPr>
                        <w:rFonts w:hint="eastAsia" w:ascii="宋体" w:hAnsi="宋体" w:eastAsia="宋体" w:cs="宋体"/>
                        <w:sz w:val="20"/>
                        <w:szCs w:val="20"/>
                      </w:rPr>
                      <w:t>第</w:t>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PAGE  \* Arabic  \* MERGEFORMAT</w:instrText>
                    </w:r>
                    <w:r>
                      <w:rPr>
                        <w:rFonts w:hint="eastAsia" w:ascii="宋体" w:hAnsi="宋体" w:eastAsia="宋体" w:cs="宋体"/>
                        <w:sz w:val="20"/>
                        <w:szCs w:val="20"/>
                      </w:rPr>
                      <w:fldChar w:fldCharType="separate"/>
                    </w:r>
                    <w:r>
                      <w:rPr>
                        <w:rFonts w:hint="eastAsia" w:ascii="宋体" w:hAnsi="宋体" w:eastAsia="宋体" w:cs="宋体"/>
                        <w:sz w:val="20"/>
                        <w:szCs w:val="20"/>
                      </w:rPr>
                      <w:t>1</w:t>
                    </w:r>
                    <w:r>
                      <w:rPr>
                        <w:rFonts w:hint="eastAsia" w:ascii="宋体" w:hAnsi="宋体" w:eastAsia="宋体" w:cs="宋体"/>
                        <w:sz w:val="20"/>
                        <w:szCs w:val="20"/>
                      </w:rPr>
                      <w:fldChar w:fldCharType="end"/>
                    </w:r>
                    <w:r>
                      <w:rPr>
                        <w:rFonts w:hint="eastAsia" w:ascii="宋体" w:hAnsi="宋体" w:eastAsia="宋体" w:cs="宋体"/>
                        <w:sz w:val="20"/>
                        <w:szCs w:val="20"/>
                      </w:rPr>
                      <w:t>页，</w:t>
                    </w:r>
                    <w:r>
                      <w:rPr>
                        <w:rFonts w:hint="eastAsia" w:ascii="宋体" w:hAnsi="宋体" w:eastAsia="宋体" w:cs="宋体"/>
                        <w:sz w:val="20"/>
                        <w:szCs w:val="20"/>
                      </w:rPr>
                      <w:t>共</w:t>
                    </w:r>
                    <w:r>
                      <w:rPr>
                        <w:rFonts w:hint="eastAsia" w:ascii="宋体" w:hAnsi="宋体" w:cs="宋体"/>
                        <w:sz w:val="20"/>
                        <w:szCs w:val="20"/>
                        <w:lang w:val="en-US" w:eastAsia="zh-CN"/>
                      </w:rPr>
                      <w:t>5</w:t>
                    </w:r>
                    <w:r>
                      <w:rPr>
                        <w:rFonts w:hint="eastAsia" w:ascii="宋体" w:hAnsi="宋体" w:eastAsia="宋体" w:cs="宋体"/>
                        <w:sz w:val="20"/>
                        <w:szCs w:val="20"/>
                      </w:rPr>
                      <w:t>页</w:t>
                    </w:r>
                  </w:p>
                  <w:p>
                    <w:pPr>
                      <w:rPr>
                        <w:rFonts w:hint="eastAsia" w:ascii="宋体" w:hAnsi="宋体" w:eastAsia="宋体" w:cs="宋体"/>
                        <w:sz w:val="21"/>
                        <w:szCs w:val="21"/>
                      </w:rPr>
                    </w:pPr>
                  </w:p>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CB0A9"/>
    <w:multiLevelType w:val="singleLevel"/>
    <w:tmpl w:val="B2BCB0A9"/>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mMzcwOTczMTU1NjAyMmFlNDY0NzUzZWY4NTdlNjg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1E48"/>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1A65"/>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9F8"/>
    <w:rsid w:val="00D37E82"/>
    <w:rsid w:val="00D526A6"/>
    <w:rsid w:val="00D526BD"/>
    <w:rsid w:val="00D55216"/>
    <w:rsid w:val="00D574EE"/>
    <w:rsid w:val="00D602E0"/>
    <w:rsid w:val="00D60AF4"/>
    <w:rsid w:val="00D61E53"/>
    <w:rsid w:val="00D75207"/>
    <w:rsid w:val="00D80E44"/>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67F6BD5"/>
    <w:rsid w:val="0C396B4C"/>
    <w:rsid w:val="0E613268"/>
    <w:rsid w:val="0F090DE9"/>
    <w:rsid w:val="12BF28AB"/>
    <w:rsid w:val="13347445"/>
    <w:rsid w:val="158F443B"/>
    <w:rsid w:val="17A4103D"/>
    <w:rsid w:val="17B943BD"/>
    <w:rsid w:val="18E13BCB"/>
    <w:rsid w:val="1A003988"/>
    <w:rsid w:val="1AEE7B63"/>
    <w:rsid w:val="1B617245"/>
    <w:rsid w:val="1B6E25C4"/>
    <w:rsid w:val="1CA97C35"/>
    <w:rsid w:val="1D641E26"/>
    <w:rsid w:val="1E320A25"/>
    <w:rsid w:val="1FB44D03"/>
    <w:rsid w:val="1FD04999"/>
    <w:rsid w:val="227B58D9"/>
    <w:rsid w:val="246C2EE2"/>
    <w:rsid w:val="24AB704C"/>
    <w:rsid w:val="25537BFE"/>
    <w:rsid w:val="2583364F"/>
    <w:rsid w:val="26181E3F"/>
    <w:rsid w:val="27160108"/>
    <w:rsid w:val="2801460D"/>
    <w:rsid w:val="28136AE6"/>
    <w:rsid w:val="28940A5E"/>
    <w:rsid w:val="2AFC6642"/>
    <w:rsid w:val="2B7D5822"/>
    <w:rsid w:val="2B8D57C9"/>
    <w:rsid w:val="2C183950"/>
    <w:rsid w:val="2E6115DE"/>
    <w:rsid w:val="2EE638B2"/>
    <w:rsid w:val="315546E1"/>
    <w:rsid w:val="32421F05"/>
    <w:rsid w:val="3251196A"/>
    <w:rsid w:val="32D541E9"/>
    <w:rsid w:val="344572AC"/>
    <w:rsid w:val="35596F99"/>
    <w:rsid w:val="365232D0"/>
    <w:rsid w:val="38631C99"/>
    <w:rsid w:val="38741687"/>
    <w:rsid w:val="3B464036"/>
    <w:rsid w:val="3CD46665"/>
    <w:rsid w:val="4033368A"/>
    <w:rsid w:val="40CB28E7"/>
    <w:rsid w:val="438C4271"/>
    <w:rsid w:val="43C024AB"/>
    <w:rsid w:val="453B44DF"/>
    <w:rsid w:val="4698326B"/>
    <w:rsid w:val="497242D2"/>
    <w:rsid w:val="49951CE4"/>
    <w:rsid w:val="49A41BDF"/>
    <w:rsid w:val="4A3F4DA2"/>
    <w:rsid w:val="4A62606A"/>
    <w:rsid w:val="4A652AEB"/>
    <w:rsid w:val="4B90280D"/>
    <w:rsid w:val="4C1C277B"/>
    <w:rsid w:val="4CD13B0A"/>
    <w:rsid w:val="4E110852"/>
    <w:rsid w:val="50456116"/>
    <w:rsid w:val="50B60EBE"/>
    <w:rsid w:val="526B2003"/>
    <w:rsid w:val="53973ACB"/>
    <w:rsid w:val="54016821"/>
    <w:rsid w:val="55FA2C72"/>
    <w:rsid w:val="56C63E25"/>
    <w:rsid w:val="57255D0E"/>
    <w:rsid w:val="578564E2"/>
    <w:rsid w:val="585821BA"/>
    <w:rsid w:val="587766E0"/>
    <w:rsid w:val="588C69A8"/>
    <w:rsid w:val="591F3539"/>
    <w:rsid w:val="5C5F065B"/>
    <w:rsid w:val="5CE9261B"/>
    <w:rsid w:val="5F681F1D"/>
    <w:rsid w:val="5FDE3F8D"/>
    <w:rsid w:val="644A7BC0"/>
    <w:rsid w:val="65614110"/>
    <w:rsid w:val="6563635E"/>
    <w:rsid w:val="667B2F54"/>
    <w:rsid w:val="68352A03"/>
    <w:rsid w:val="6B1D0764"/>
    <w:rsid w:val="6C264CF2"/>
    <w:rsid w:val="6D07065E"/>
    <w:rsid w:val="6F07626B"/>
    <w:rsid w:val="717F3467"/>
    <w:rsid w:val="72035D78"/>
    <w:rsid w:val="722577FA"/>
    <w:rsid w:val="72435ED2"/>
    <w:rsid w:val="730C00E3"/>
    <w:rsid w:val="73621405"/>
    <w:rsid w:val="74890514"/>
    <w:rsid w:val="74B2104F"/>
    <w:rsid w:val="756248C1"/>
    <w:rsid w:val="76740D50"/>
    <w:rsid w:val="77122EE5"/>
    <w:rsid w:val="773744A0"/>
    <w:rsid w:val="794A4EA4"/>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next w:val="1"/>
    <w:qFormat/>
    <w:uiPriority w:val="0"/>
    <w:pPr>
      <w:widowControl w:val="0"/>
      <w:spacing w:after="120"/>
      <w:jc w:val="both"/>
    </w:pPr>
    <w:rPr>
      <w:rFonts w:ascii="Calibri" w:hAnsi="Calibri" w:eastAsia="宋体" w:cs="Times New Roman"/>
      <w:kern w:val="2"/>
      <w:sz w:val="28"/>
      <w:szCs w:val="24"/>
      <w:lang w:val="en-US" w:eastAsia="zh-CN" w:bidi="ar-SA"/>
    </w:rPr>
  </w:style>
  <w:style w:type="paragraph" w:styleId="3">
    <w:name w:val="Plain Text"/>
    <w:basedOn w:val="1"/>
    <w:link w:val="16"/>
    <w:qFormat/>
    <w:uiPriority w:val="0"/>
    <w:rPr>
      <w:rFonts w:ascii="宋体" w:hAnsi="Courier New" w:cs="Courier New"/>
      <w:szCs w:val="21"/>
    </w:rPr>
  </w:style>
  <w:style w:type="paragraph" w:styleId="4">
    <w:name w:val="Balloon Text"/>
    <w:basedOn w:val="1"/>
    <w:semiHidden/>
    <w:qFormat/>
    <w:uiPriority w:val="0"/>
    <w:rPr>
      <w:sz w:val="18"/>
      <w:szCs w:val="18"/>
    </w:rPr>
  </w:style>
  <w:style w:type="paragraph" w:styleId="5">
    <w:name w:val="footer"/>
    <w:basedOn w:val="1"/>
    <w:link w:val="15"/>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39"/>
    <w:pPr>
      <w:spacing w:before="120" w:after="120"/>
      <w:jc w:val="left"/>
    </w:pPr>
    <w:rPr>
      <w:rFonts w:ascii="Calibri" w:hAnsi="Calibri"/>
      <w:b/>
      <w:bCs/>
      <w:caps/>
      <w:sz w:val="20"/>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paragraph" w:customStyle="1" w:styleId="12">
    <w:name w:val="Char"/>
    <w:basedOn w:val="1"/>
    <w:qFormat/>
    <w:uiPriority w:val="0"/>
    <w:rPr>
      <w:rFonts w:ascii="仿宋_GB2312" w:eastAsia="仿宋_GB2312"/>
      <w:b/>
      <w:sz w:val="32"/>
      <w:szCs w:val="32"/>
    </w:rPr>
  </w:style>
  <w:style w:type="paragraph" w:customStyle="1" w:styleId="13">
    <w:name w:val="_Style 10"/>
    <w:basedOn w:val="1"/>
    <w:qFormat/>
    <w:uiPriority w:val="0"/>
    <w:pPr>
      <w:ind w:firstLine="480"/>
    </w:pPr>
  </w:style>
  <w:style w:type="character" w:customStyle="1" w:styleId="14">
    <w:name w:val="页眉 字符"/>
    <w:basedOn w:val="10"/>
    <w:link w:val="6"/>
    <w:qFormat/>
    <w:uiPriority w:val="0"/>
    <w:rPr>
      <w:kern w:val="2"/>
      <w:sz w:val="18"/>
      <w:szCs w:val="18"/>
    </w:rPr>
  </w:style>
  <w:style w:type="character" w:customStyle="1" w:styleId="15">
    <w:name w:val="页脚 字符"/>
    <w:basedOn w:val="10"/>
    <w:link w:val="5"/>
    <w:qFormat/>
    <w:uiPriority w:val="0"/>
    <w:rPr>
      <w:kern w:val="2"/>
      <w:sz w:val="18"/>
      <w:szCs w:val="18"/>
    </w:rPr>
  </w:style>
  <w:style w:type="character" w:customStyle="1" w:styleId="16">
    <w:name w:val="纯文本 字符"/>
    <w:basedOn w:val="10"/>
    <w:link w:val="3"/>
    <w:qFormat/>
    <w:uiPriority w:val="0"/>
    <w:rPr>
      <w:rFonts w:ascii="宋体" w:hAnsi="Courier New" w:cs="Courier New"/>
      <w:kern w:val="2"/>
      <w:sz w:val="21"/>
      <w:szCs w:val="21"/>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6</Pages>
  <Words>4362</Words>
  <Characters>4592</Characters>
  <Lines>37</Lines>
  <Paragraphs>10</Paragraphs>
  <TotalTime>0</TotalTime>
  <ScaleCrop>false</ScaleCrop>
  <LinksUpToDate>false</LinksUpToDate>
  <CharactersWithSpaces>4610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gx3</cp:lastModifiedBy>
  <cp:lastPrinted>2022-07-05T06:43:00Z</cp:lastPrinted>
  <dcterms:modified xsi:type="dcterms:W3CDTF">2023-11-28T08:04:33Z</dcterms:modified>
  <dc:title>编制总说明</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CC07AE87BEEE4EF0BA3A4B2C2397955B</vt:lpwstr>
  </property>
</Properties>
</file>