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学生公寓家具</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学生公寓家具</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bookmarkStart w:id="68" w:name="_GoBack"/>
      <w:r>
        <w:rPr>
          <w:rFonts w:hint="eastAsia" w:ascii="楷体" w:hAnsi="楷体" w:eastAsia="楷体" w:cs="Times New Roman"/>
          <w:b/>
          <w:color w:val="auto"/>
          <w:spacing w:val="-6"/>
          <w:sz w:val="30"/>
          <w:szCs w:val="30"/>
          <w:highlight w:val="none"/>
          <w:lang w:eastAsia="zh-CN"/>
        </w:rPr>
        <w:t>QSZB-Z(H)-B25164(GK)</w:t>
      </w:r>
      <w:bookmarkEnd w:id="68"/>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[2025]20985号、[2025]20986号、[2025]27915号、[2025]27916号、[2025]27917号、[2025]27918号</w:t>
      </w:r>
    </w:p>
    <w:p w14:paraId="43139F7B">
      <w:pPr>
        <w:adjustRightInd w:val="0"/>
        <w:snapToGrid w:val="0"/>
        <w:spacing w:line="288" w:lineRule="auto"/>
        <w:rPr>
          <w:rFonts w:ascii="楷体" w:hAnsi="楷体" w:eastAsia="楷体" w:cs="Times New Roman"/>
          <w:b/>
          <w:color w:val="auto"/>
          <w:szCs w:val="21"/>
          <w:highlight w:val="none"/>
        </w:rPr>
      </w:pPr>
    </w:p>
    <w:p w14:paraId="561CA082">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625CD130">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学生公寓家具</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2025年6月16日9:30:00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35393790"/>
      <w:bookmarkStart w:id="1" w:name="_Toc28359079"/>
      <w:bookmarkStart w:id="2" w:name="_Toc28359002"/>
      <w:bookmarkStart w:id="3" w:name="_Toc35393621"/>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QSZB-Z(H)-B25164(GK)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学生公寓家具</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7489975元</w:t>
      </w:r>
    </w:p>
    <w:p w14:paraId="11D1D498">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w:t>
      </w:r>
      <w:r>
        <w:rPr>
          <w:rFonts w:hint="eastAsia" w:ascii="宋体" w:hAnsi="宋体" w:eastAsia="宋体" w:cs="Times New Roman"/>
          <w:color w:val="auto"/>
          <w:szCs w:val="21"/>
          <w:highlight w:val="none"/>
          <w:lang w:val="en-US" w:eastAsia="zh-CN"/>
        </w:rPr>
        <w:t>标项一：2581000元；标项二：2813000元；标项三：2095975元</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接采购人通知之日起7日内拆旧完成。采购产品于合同签订之日起45日内生产完成，并在接到采购人通知之日起15日内安装完成并交付。</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标项</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一</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27号楼学生公寓家具</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否</w:t>
            </w:r>
          </w:p>
        </w:tc>
      </w:tr>
      <w:tr w14:paraId="48CB9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1587BDE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bookmarkStart w:id="5" w:name="_Toc35393791"/>
            <w:bookmarkStart w:id="6" w:name="_Toc35393622"/>
            <w:bookmarkStart w:id="7" w:name="_Toc28359080"/>
            <w:bookmarkStart w:id="8" w:name="_Toc28359003"/>
            <w:r>
              <w:rPr>
                <w:rFonts w:hint="eastAsia" w:ascii="宋体" w:hAnsi="宋体" w:eastAsia="宋体" w:cs="宋体"/>
                <w:bCs/>
                <w:color w:val="auto"/>
                <w:szCs w:val="21"/>
                <w:highlight w:val="none"/>
                <w:lang w:val="en-US" w:eastAsia="zh-CN"/>
              </w:rPr>
              <w:t>二</w:t>
            </w:r>
          </w:p>
        </w:tc>
        <w:tc>
          <w:tcPr>
            <w:tcW w:w="3006" w:type="dxa"/>
            <w:tcBorders>
              <w:right w:val="single" w:color="auto" w:sz="4" w:space="0"/>
              <w:tl2br w:val="nil"/>
              <w:tr2bl w:val="nil"/>
            </w:tcBorders>
            <w:vAlign w:val="center"/>
          </w:tcPr>
          <w:p w14:paraId="324FD4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28号楼学生公寓家具</w:t>
            </w:r>
          </w:p>
        </w:tc>
        <w:tc>
          <w:tcPr>
            <w:tcW w:w="708" w:type="dxa"/>
            <w:tcBorders>
              <w:tl2br w:val="nil"/>
              <w:tr2bl w:val="nil"/>
            </w:tcBorders>
            <w:shd w:val="clear" w:color="auto" w:fill="auto"/>
            <w:vAlign w:val="center"/>
          </w:tcPr>
          <w:p w14:paraId="4698E1D5">
            <w:pPr>
              <w:keepNext w:val="0"/>
              <w:keepLines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shd w:val="clear" w:color="auto" w:fill="auto"/>
            <w:vAlign w:val="center"/>
          </w:tcPr>
          <w:p w14:paraId="729C7D8F">
            <w:pPr>
              <w:keepNext w:val="0"/>
              <w:keepLines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shd w:val="clear" w:color="auto" w:fill="auto"/>
            <w:vAlign w:val="center"/>
          </w:tcPr>
          <w:p w14:paraId="6F8BF22B">
            <w:pPr>
              <w:keepNext w:val="0"/>
              <w:keepLines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shd w:val="clear" w:color="auto" w:fill="auto"/>
            <w:vAlign w:val="center"/>
          </w:tcPr>
          <w:p w14:paraId="62992D72">
            <w:pPr>
              <w:keepNext w:val="0"/>
              <w:keepLines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否</w:t>
            </w:r>
          </w:p>
        </w:tc>
      </w:tr>
      <w:tr w14:paraId="44CD6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20069C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三</w:t>
            </w:r>
          </w:p>
        </w:tc>
        <w:tc>
          <w:tcPr>
            <w:tcW w:w="3006" w:type="dxa"/>
            <w:tcBorders>
              <w:right w:val="single" w:color="auto" w:sz="4" w:space="0"/>
              <w:tl2br w:val="nil"/>
              <w:tr2bl w:val="nil"/>
            </w:tcBorders>
            <w:vAlign w:val="center"/>
          </w:tcPr>
          <w:p w14:paraId="335AED7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32</w:t>
            </w:r>
            <w:r>
              <w:rPr>
                <w:rFonts w:hint="eastAsia" w:ascii="宋体" w:hAnsi="宋体" w:eastAsia="宋体" w:cs="宋体"/>
                <w:bCs/>
                <w:color w:val="auto"/>
                <w:szCs w:val="21"/>
                <w:highlight w:val="none"/>
              </w:rPr>
              <w:t>号楼学生公寓家具</w:t>
            </w:r>
          </w:p>
        </w:tc>
        <w:tc>
          <w:tcPr>
            <w:tcW w:w="708" w:type="dxa"/>
            <w:tcBorders>
              <w:tl2br w:val="nil"/>
              <w:tr2bl w:val="nil"/>
            </w:tcBorders>
            <w:vAlign w:val="center"/>
          </w:tcPr>
          <w:p w14:paraId="199ACA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14:paraId="2E74100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vAlign w:val="center"/>
          </w:tcPr>
          <w:p w14:paraId="5A7574A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详见第二章 采购需求</w:t>
            </w:r>
          </w:p>
        </w:tc>
        <w:tc>
          <w:tcPr>
            <w:tcW w:w="1276" w:type="dxa"/>
            <w:tcBorders>
              <w:right w:val="single" w:color="auto" w:sz="4" w:space="0"/>
              <w:tl2br w:val="nil"/>
              <w:tr2bl w:val="nil"/>
            </w:tcBorders>
            <w:vAlign w:val="center"/>
          </w:tcPr>
          <w:p w14:paraId="50F1984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否</w:t>
            </w:r>
          </w:p>
        </w:tc>
      </w:tr>
    </w:tbl>
    <w:p w14:paraId="0D505C25">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本项目专门面向中小企业采购，需按要求提交《中小企业声明函》。提供货物全部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14:paraId="662586C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45E95296">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26</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2025年6月16日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2025年6月16日9:30:00</w:t>
      </w:r>
      <w:r>
        <w:rPr>
          <w:rFonts w:hint="eastAsia" w:ascii="宋体" w:hAnsi="宋体" w:eastAsia="宋体" w:cs="Times New Roman"/>
          <w:bCs/>
          <w:color w:val="auto"/>
          <w:szCs w:val="21"/>
          <w:highlight w:val="none"/>
        </w:rPr>
        <w:t>（北京时间）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2025年6月16日9:30:00</w:t>
      </w:r>
      <w:r>
        <w:rPr>
          <w:rFonts w:hint="eastAsia" w:ascii="宋体" w:hAnsi="宋体" w:eastAsia="宋体" w:cs="Times New Roman"/>
          <w:bCs/>
          <w:color w:val="auto"/>
          <w:szCs w:val="21"/>
          <w:highlight w:val="none"/>
        </w:rPr>
        <w:t>（北京时间）</w:t>
      </w:r>
    </w:p>
    <w:p w14:paraId="13CDD20E">
      <w:pPr>
        <w:adjustRightInd w:val="0"/>
        <w:snapToGrid w:val="0"/>
        <w:spacing w:line="288" w:lineRule="auto"/>
        <w:ind w:firstLine="420" w:firstLineChars="200"/>
        <w:rPr>
          <w:rFonts w:hint="default" w:ascii="宋体" w:hAnsi="宋体" w:cs="Times New Roman" w:eastAsiaTheme="minorEastAsia"/>
          <w:bCs/>
          <w:color w:val="auto"/>
          <w:szCs w:val="21"/>
          <w:highlight w:val="none"/>
          <w:lang w:val="en-US" w:eastAsia="zh-CN"/>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w:t>
      </w:r>
      <w:bookmarkEnd w:id="18"/>
      <w:r>
        <w:rPr>
          <w:rFonts w:hint="eastAsia" w:ascii="宋体" w:hAnsi="宋体" w:eastAsia="宋体" w:cs="Times New Roman"/>
          <w:color w:val="auto"/>
          <w:szCs w:val="21"/>
          <w:highlight w:val="none"/>
        </w:rPr>
        <w:t>杭州市钱塘区白杨街道2号大街1158号</w:t>
      </w:r>
      <w:r>
        <w:rPr>
          <w:rFonts w:hint="eastAsia" w:ascii="宋体" w:hAnsi="宋体" w:eastAsia="宋体" w:cs="Times New Roman"/>
          <w:color w:val="auto"/>
          <w:szCs w:val="21"/>
          <w:highlight w:val="none"/>
          <w:lang w:val="en-US" w:eastAsia="zh-CN"/>
        </w:rPr>
        <w:t>杭州电子科技大学生活区22号楼会议室</w:t>
      </w:r>
    </w:p>
    <w:bookmarkEnd w:id="17"/>
    <w:p w14:paraId="15287A77">
      <w:pPr>
        <w:adjustRightInd w:val="0"/>
        <w:snapToGrid w:val="0"/>
        <w:spacing w:line="288" w:lineRule="auto"/>
        <w:rPr>
          <w:rFonts w:ascii="宋体" w:hAnsi="宋体" w:eastAsia="宋体" w:cs="宋体"/>
          <w:b/>
          <w:color w:val="auto"/>
          <w:szCs w:val="21"/>
          <w:highlight w:val="none"/>
        </w:rPr>
      </w:pPr>
      <w:bookmarkStart w:id="19" w:name="_Toc35393625"/>
      <w:bookmarkStart w:id="20" w:name="_Toc28359084"/>
      <w:bookmarkStart w:id="21" w:name="_Toc28359007"/>
      <w:bookmarkStart w:id="22" w:name="_Toc35393794"/>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35393796"/>
      <w:bookmarkStart w:id="30" w:name="_Toc28359085"/>
      <w:bookmarkStart w:id="31" w:name="_Toc28359008"/>
      <w:bookmarkStart w:id="32" w:name="_Toc35393627"/>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6B2DA28F">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7C72062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6C172A80">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22287C8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5FF22983">
      <w:pPr>
        <w:adjustRightInd w:val="0"/>
        <w:snapToGrid w:val="0"/>
        <w:spacing w:line="288" w:lineRule="auto"/>
        <w:ind w:firstLine="424" w:firstLineChars="202"/>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项目联系人（询问）：</w:t>
      </w:r>
      <w:r>
        <w:rPr>
          <w:rFonts w:hint="eastAsia" w:ascii="宋体" w:hAnsi="宋体" w:eastAsia="宋体" w:cs="宋体"/>
          <w:color w:val="auto"/>
          <w:szCs w:val="21"/>
          <w:highlight w:val="none"/>
          <w:lang w:val="en-US" w:eastAsia="zh-CN"/>
        </w:rPr>
        <w:t>程老师</w:t>
      </w:r>
    </w:p>
    <w:p w14:paraId="3B5F3B82">
      <w:pPr>
        <w:adjustRightInd w:val="0"/>
        <w:snapToGrid w:val="0"/>
        <w:spacing w:line="288" w:lineRule="auto"/>
        <w:ind w:firstLine="424" w:firstLineChars="202"/>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项目联系方式（询问）：</w:t>
      </w:r>
      <w:r>
        <w:rPr>
          <w:rFonts w:hint="eastAsia" w:ascii="宋体" w:hAnsi="宋体" w:eastAsia="宋体" w:cs="宋体"/>
          <w:color w:val="auto"/>
          <w:highlight w:val="none"/>
          <w:lang w:val="en-US" w:eastAsia="zh-CN"/>
        </w:rPr>
        <w:t>0571-86919290</w:t>
      </w:r>
    </w:p>
    <w:p w14:paraId="6883FF16">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1637E15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66334857">
      <w:pPr>
        <w:adjustRightInd w:val="0"/>
        <w:snapToGrid w:val="0"/>
        <w:spacing w:line="288" w:lineRule="auto"/>
        <w:ind w:firstLine="424" w:firstLineChars="202"/>
        <w:rPr>
          <w:rFonts w:hint="eastAsia"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r>
        <w:rPr>
          <w:rFonts w:hint="eastAsia" w:ascii="宋体" w:hAnsi="宋体" w:eastAsia="宋体" w:cs="Times New Roman"/>
          <w:bCs/>
          <w:color w:val="auto"/>
          <w:spacing w:val="-6"/>
          <w:szCs w:val="21"/>
          <w:highlight w:val="none"/>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01C5F21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2BDFC675">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47B51A4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1481026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31067E27">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联系人：朱老师、王老师、匡老师</w:t>
      </w:r>
    </w:p>
    <w:p w14:paraId="4D7CAC43">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监督投诉电话：0571-87800218，0571-87227671</w:t>
      </w:r>
    </w:p>
    <w:p w14:paraId="6555F44C">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w:t>
            </w:r>
            <w:r>
              <w:rPr>
                <w:rFonts w:hint="eastAsia" w:ascii="宋体" w:hAnsi="宋体" w:eastAsia="宋体" w:cs="宋体"/>
                <w:color w:val="auto"/>
                <w:szCs w:val="21"/>
                <w:highlight w:val="none"/>
                <w:lang w:val="en-US" w:eastAsia="zh-CN"/>
              </w:rPr>
              <w:t>资格</w:t>
            </w:r>
            <w:r>
              <w:rPr>
                <w:rFonts w:hint="eastAsia" w:ascii="宋体" w:hAnsi="宋体" w:eastAsia="宋体" w:cs="宋体"/>
                <w:color w:val="auto"/>
                <w:szCs w:val="21"/>
                <w:highlight w:val="none"/>
              </w:rPr>
              <w:t>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14:paraId="1DF7345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提供材料详见招标文件第六章“资格文件”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06AB095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1.供应商为中小企业的，合同生效以及具备实施条件后7个工作日内，且中标人已向采购人提交银行、保险公司等金融机构出具的预付款保函的，采购人向中标人支付合同总价的</w:t>
            </w:r>
            <w:r>
              <w:rPr>
                <w:rFonts w:hint="eastAsia" w:ascii="宋体" w:hAnsi="宋体" w:eastAsia="宋体" w:cs="宋体"/>
                <w:color w:val="auto"/>
                <w:spacing w:val="-6"/>
                <w:kern w:val="0"/>
                <w:szCs w:val="21"/>
                <w:highlight w:val="none"/>
                <w:lang w:val="en-US" w:eastAsia="zh-CN"/>
              </w:rPr>
              <w:t>4</w:t>
            </w:r>
            <w:r>
              <w:rPr>
                <w:rFonts w:hint="eastAsia" w:ascii="宋体" w:hAnsi="宋体" w:eastAsia="宋体" w:cs="宋体"/>
                <w:color w:val="auto"/>
                <w:spacing w:val="-6"/>
                <w:kern w:val="0"/>
                <w:szCs w:val="21"/>
                <w:highlight w:val="none"/>
              </w:rPr>
              <w:t>0%；货物在中标人安装调试完毕并经采购人验收合格后，采购人在收到发票后7个工作日内，向中标人支付合同总价的</w:t>
            </w:r>
            <w:r>
              <w:rPr>
                <w:rFonts w:hint="eastAsia" w:ascii="宋体" w:hAnsi="宋体" w:eastAsia="宋体" w:cs="宋体"/>
                <w:color w:val="auto"/>
                <w:spacing w:val="-6"/>
                <w:kern w:val="0"/>
                <w:szCs w:val="21"/>
                <w:highlight w:val="none"/>
                <w:lang w:val="en-US" w:eastAsia="zh-CN"/>
              </w:rPr>
              <w:t>6</w:t>
            </w:r>
            <w:r>
              <w:rPr>
                <w:rFonts w:hint="eastAsia" w:ascii="宋体" w:hAnsi="宋体" w:eastAsia="宋体" w:cs="宋体"/>
                <w:color w:val="auto"/>
                <w:spacing w:val="-6"/>
                <w:kern w:val="0"/>
                <w:szCs w:val="21"/>
                <w:highlight w:val="none"/>
              </w:rPr>
              <w:t>0%。</w:t>
            </w:r>
          </w:p>
          <w:p w14:paraId="0389EB7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2.中标人为大型企业的，合同生效以及具备实施条件后7个工作日内，且中标人已向采购人提交银行、保险公司等金融机构出具的预付款保函的，采购人向中标人支付合同总价的</w:t>
            </w:r>
            <w:r>
              <w:rPr>
                <w:rFonts w:hint="eastAsia" w:ascii="宋体" w:hAnsi="宋体" w:eastAsia="宋体" w:cs="宋体"/>
                <w:color w:val="auto"/>
                <w:spacing w:val="-6"/>
                <w:kern w:val="0"/>
                <w:szCs w:val="21"/>
                <w:highlight w:val="none"/>
                <w:lang w:val="en-US" w:eastAsia="zh-CN"/>
              </w:rPr>
              <w:t>4</w:t>
            </w:r>
            <w:r>
              <w:rPr>
                <w:rFonts w:hint="eastAsia" w:ascii="宋体" w:hAnsi="宋体" w:eastAsia="宋体" w:cs="宋体"/>
                <w:color w:val="auto"/>
                <w:spacing w:val="-6"/>
                <w:kern w:val="0"/>
                <w:szCs w:val="21"/>
                <w:highlight w:val="none"/>
              </w:rPr>
              <w:t>0%；货物在中标人安装调试完毕并经采购人验收合格后，采购人在收到发票后7个工作日内，向中标人支付合同总价的</w:t>
            </w:r>
            <w:r>
              <w:rPr>
                <w:rFonts w:hint="eastAsia" w:ascii="宋体" w:hAnsi="宋体" w:eastAsia="宋体" w:cs="宋体"/>
                <w:color w:val="auto"/>
                <w:spacing w:val="-6"/>
                <w:kern w:val="0"/>
                <w:szCs w:val="21"/>
                <w:highlight w:val="none"/>
                <w:lang w:val="en-US" w:eastAsia="zh-CN"/>
              </w:rPr>
              <w:t>6</w:t>
            </w:r>
            <w:r>
              <w:rPr>
                <w:rFonts w:hint="eastAsia" w:ascii="宋体" w:hAnsi="宋体" w:eastAsia="宋体" w:cs="宋体"/>
                <w:color w:val="auto"/>
                <w:spacing w:val="-6"/>
                <w:kern w:val="0"/>
                <w:szCs w:val="21"/>
                <w:highlight w:val="none"/>
              </w:rPr>
              <w:t>0%。</w:t>
            </w:r>
          </w:p>
          <w:p w14:paraId="3C0E388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3.在签订合同时，中标人明确表示无需预付款或者主动要求降低预付款比例的，可降低预付款比例（预付款保函同步调整）。</w:t>
            </w:r>
          </w:p>
          <w:p w14:paraId="3120B2A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4.签订合同时中标人明确表示无需预付款的，可以采用以下付款方式：</w:t>
            </w:r>
          </w:p>
          <w:p w14:paraId="009F8E1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30FF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②货到一次性支付：全部货物送达安装调试完毕，经采购人验收合格，收到发票后10个工作日内，采购人向中标人支付全部合同价款。</w:t>
            </w:r>
          </w:p>
          <w:p w14:paraId="30AB151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77F59AD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开户银行：工行杭州高新支行。账号：1202026209008806216</w:t>
            </w:r>
          </w:p>
        </w:tc>
      </w:tr>
      <w:bookmarkEnd w:id="35"/>
    </w:tbl>
    <w:p w14:paraId="5321BF74">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5C5B8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0AA147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4EF4978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接采购人通知之日起7日内拆旧完成。采购产品于合同签订之日起</w:t>
            </w:r>
            <w:r>
              <w:rPr>
                <w:rFonts w:hint="eastAsia" w:ascii="宋体" w:hAnsi="宋体" w:eastAsia="宋体" w:cs="宋体"/>
                <w:color w:val="auto"/>
                <w:szCs w:val="21"/>
                <w:highlight w:val="none"/>
                <w:lang w:val="en-US" w:eastAsia="zh-CN"/>
              </w:rPr>
              <w:t>45</w:t>
            </w:r>
            <w:r>
              <w:rPr>
                <w:rFonts w:hint="eastAsia" w:ascii="宋体" w:hAnsi="宋体" w:eastAsia="宋体" w:cs="宋体"/>
                <w:color w:val="auto"/>
                <w:szCs w:val="21"/>
                <w:highlight w:val="none"/>
              </w:rPr>
              <w:t>日内生产完成，并在接到采购人通知之日起15日内安装完成并交付。</w:t>
            </w:r>
          </w:p>
        </w:tc>
      </w:tr>
      <w:tr w14:paraId="3C6C61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1CBFAD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D8414C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14:paraId="315746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075D7D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5E33477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年，项目验收合格后开始计算。</w:t>
            </w:r>
          </w:p>
        </w:tc>
      </w:tr>
      <w:tr w14:paraId="14998D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29994B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00A38E4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14:paraId="70A0F26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14:paraId="2911E5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14:paraId="5FB332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14:paraId="69B525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如在使用过程中发生质量问题，供应商维修响应时间：1小时以内；</w:t>
            </w:r>
          </w:p>
          <w:p w14:paraId="02E376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电话技术支持时间：2小时以内；</w:t>
            </w:r>
          </w:p>
          <w:p w14:paraId="32FF0DB6">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both"/>
              <w:textAlignment w:val="auto"/>
              <w:rPr>
                <w:rFonts w:hint="eastAsia" w:ascii="宋体" w:hAnsi="宋体" w:eastAsia="宋体" w:cs="宋体"/>
                <w:color w:val="auto"/>
                <w:szCs w:val="21"/>
                <w:highlight w:val="none"/>
                <w:u w:val="single"/>
              </w:rPr>
            </w:pPr>
            <w:r>
              <w:rPr>
                <w:rFonts w:hint="eastAsia" w:ascii="宋体" w:hAnsi="宋体" w:eastAsia="宋体" w:cs="宋体"/>
                <w:color w:val="auto"/>
                <w:kern w:val="2"/>
                <w:sz w:val="21"/>
                <w:szCs w:val="21"/>
                <w:highlight w:val="none"/>
                <w:u w:val="single"/>
                <w:lang w:val="en-US" w:eastAsia="zh-CN" w:bidi="ar"/>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使用的，采购人有权要求供应商免费更换</w:t>
            </w:r>
            <w:r>
              <w:rPr>
                <w:rFonts w:hint="eastAsia" w:ascii="宋体" w:hAnsi="宋体" w:eastAsia="宋体" w:cs="宋体"/>
                <w:color w:val="auto"/>
                <w:szCs w:val="21"/>
                <w:highlight w:val="none"/>
                <w:u w:val="single"/>
              </w:rPr>
              <w:t>；</w:t>
            </w:r>
          </w:p>
          <w:p w14:paraId="1A22C35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none"/>
                <w:lang w:val="en-US" w:eastAsia="zh-CN"/>
              </w:rPr>
              <w:t>6.供应商应提供详细的</w:t>
            </w:r>
            <w:r>
              <w:rPr>
                <w:rFonts w:hint="eastAsia" w:ascii="宋体" w:hAnsi="宋体" w:eastAsia="宋体" w:cs="宋体"/>
                <w:color w:val="auto"/>
                <w:szCs w:val="21"/>
                <w:highlight w:val="none"/>
              </w:rPr>
              <w:t>售后服务方案、售后服务承诺、售后服务保障措施。</w:t>
            </w:r>
          </w:p>
        </w:tc>
      </w:tr>
      <w:tr w14:paraId="261284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EBF3D5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116109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供应商应按招标文件规定向采购人提供全新</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原装合格产品，</w:t>
            </w:r>
            <w:r>
              <w:rPr>
                <w:rFonts w:hint="eastAsia" w:ascii="宋体" w:hAnsi="宋体" w:eastAsia="宋体" w:cs="宋体"/>
                <w:color w:val="auto"/>
                <w:szCs w:val="21"/>
                <w:highlight w:val="none"/>
                <w:lang w:val="en-US" w:eastAsia="zh-CN"/>
              </w:rPr>
              <w:t>产品应</w:t>
            </w:r>
            <w:r>
              <w:rPr>
                <w:rFonts w:hint="eastAsia" w:ascii="宋体" w:hAnsi="宋体" w:eastAsia="宋体" w:cs="宋体"/>
                <w:color w:val="auto"/>
                <w:szCs w:val="21"/>
                <w:highlight w:val="none"/>
              </w:rPr>
              <w:t>符合国家法律法规规定。</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14:paraId="68BDE8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供应商应</w:t>
            </w:r>
            <w:r>
              <w:rPr>
                <w:rFonts w:hint="eastAsia" w:ascii="宋体" w:hAnsi="宋体" w:eastAsia="宋体" w:cs="宋体"/>
                <w:color w:val="auto"/>
                <w:szCs w:val="21"/>
                <w:highlight w:val="none"/>
              </w:rPr>
              <w:t>提供有关的全套技术文件。</w:t>
            </w:r>
          </w:p>
          <w:p w14:paraId="4DA5F53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14:paraId="07F9DA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14:paraId="4C9E9A9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14:paraId="395A3C8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14:paraId="7153D76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w:t>
            </w:r>
          </w:p>
          <w:p w14:paraId="2505828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14:paraId="4CD7A2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w:t>
            </w:r>
            <w:r>
              <w:rPr>
                <w:rFonts w:hint="eastAsia" w:ascii="宋体" w:hAnsi="宋体" w:eastAsia="宋体" w:cs="宋体"/>
                <w:color w:val="auto"/>
                <w:szCs w:val="21"/>
                <w:highlight w:val="none"/>
                <w:lang w:val="en-US" w:eastAsia="zh-CN"/>
              </w:rPr>
              <w:t>和安装调试方案</w:t>
            </w:r>
            <w:r>
              <w:rPr>
                <w:rFonts w:hint="eastAsia" w:ascii="宋体" w:hAnsi="宋体" w:eastAsia="宋体" w:cs="宋体"/>
                <w:color w:val="auto"/>
                <w:szCs w:val="21"/>
                <w:highlight w:val="none"/>
              </w:rPr>
              <w:t>。</w:t>
            </w:r>
          </w:p>
          <w:p w14:paraId="5D01EC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.供应商应提供质保期满后主要零部件报价单、质保期满后维护费及其相关服务内容；</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产品相关配件、附件、备品备件及耗材的准备和保障措施、消耗水平和成本</w:t>
            </w:r>
            <w:r>
              <w:rPr>
                <w:rFonts w:hint="eastAsia" w:ascii="宋体" w:hAnsi="宋体" w:eastAsia="宋体" w:cs="宋体"/>
                <w:color w:val="auto"/>
                <w:szCs w:val="21"/>
                <w:highlight w:val="none"/>
                <w:lang w:val="en-US" w:eastAsia="zh-CN"/>
              </w:rPr>
              <w:t>方案</w:t>
            </w:r>
            <w:r>
              <w:rPr>
                <w:rFonts w:hint="eastAsia" w:ascii="宋体" w:hAnsi="宋体" w:eastAsia="宋体" w:cs="宋体"/>
                <w:color w:val="auto"/>
                <w:szCs w:val="21"/>
                <w:highlight w:val="none"/>
              </w:rPr>
              <w:t>。</w:t>
            </w:r>
          </w:p>
        </w:tc>
      </w:tr>
      <w:tr w14:paraId="15E9E6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D0E6D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25EE39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14:paraId="101FDB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14:paraId="1FE17CB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14:paraId="7ADED1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14:paraId="30A03B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14:paraId="3412CE3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73DE404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14:paraId="24C6D5F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14:paraId="1D8DC3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14:paraId="22CAAA0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14:paraId="1A88E72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w:t>
            </w:r>
            <w:r>
              <w:rPr>
                <w:rFonts w:hint="default" w:ascii="宋体" w:hAnsi="宋体" w:eastAsia="宋体" w:cs="宋体"/>
                <w:color w:val="auto"/>
                <w:szCs w:val="21"/>
                <w:highlight w:val="none"/>
              </w:rPr>
              <w:t>第三方检测机构提供的本批货物的抽样检测报告，和安装完成后的室内空气检测报告。</w:t>
            </w:r>
          </w:p>
          <w:p w14:paraId="44A764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14:paraId="4FD82428">
      <w:pPr>
        <w:adjustRightInd w:val="0"/>
        <w:snapToGrid w:val="0"/>
        <w:spacing w:line="288" w:lineRule="auto"/>
        <w:rPr>
          <w:rFonts w:ascii="宋体" w:hAnsi="宋体" w:eastAsia="宋体" w:cs="Times New Roman"/>
          <w:b/>
          <w:color w:val="auto"/>
          <w:szCs w:val="21"/>
          <w:highlight w:val="none"/>
        </w:rPr>
      </w:pPr>
    </w:p>
    <w:p w14:paraId="155758D7">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14:paraId="4AFAFB72">
      <w:pPr>
        <w:adjustRightInd w:val="0"/>
        <w:snapToGrid w:val="0"/>
        <w:spacing w:line="288" w:lineRule="auto"/>
        <w:rPr>
          <w:rFonts w:hint="eastAsia"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p>
    <w:p w14:paraId="784873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QB/T 2741-2013《学生公寓多功能家具》</w:t>
      </w:r>
    </w:p>
    <w:p w14:paraId="212EAAA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GB/T 3325-20</w:t>
      </w:r>
      <w:r>
        <w:rPr>
          <w:rFonts w:hint="eastAsia" w:ascii="宋体" w:hAnsi="宋体" w:eastAsia="宋体" w:cs="宋体"/>
          <w:b w:val="0"/>
          <w:bCs w:val="0"/>
          <w:color w:val="auto"/>
          <w:szCs w:val="21"/>
          <w:highlight w:val="none"/>
          <w:lang w:val="en-US" w:eastAsia="zh-CN"/>
        </w:rPr>
        <w:t>24</w:t>
      </w:r>
      <w:r>
        <w:rPr>
          <w:rFonts w:hint="eastAsia" w:ascii="宋体" w:hAnsi="宋体" w:eastAsia="宋体" w:cs="宋体"/>
          <w:b w:val="0"/>
          <w:bCs w:val="0"/>
          <w:color w:val="auto"/>
          <w:szCs w:val="21"/>
          <w:highlight w:val="none"/>
        </w:rPr>
        <w:t>《金属家具通用技术条件》</w:t>
      </w:r>
    </w:p>
    <w:p w14:paraId="11B4A9F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GB/T 3324-20</w:t>
      </w:r>
      <w:r>
        <w:rPr>
          <w:rFonts w:hint="eastAsia" w:ascii="宋体" w:hAnsi="宋体" w:eastAsia="宋体" w:cs="宋体"/>
          <w:b w:val="0"/>
          <w:bCs w:val="0"/>
          <w:color w:val="auto"/>
          <w:szCs w:val="21"/>
          <w:highlight w:val="none"/>
          <w:lang w:val="en-US" w:eastAsia="zh-CN"/>
        </w:rPr>
        <w:t>24</w:t>
      </w:r>
      <w:r>
        <w:rPr>
          <w:rFonts w:hint="eastAsia" w:ascii="宋体" w:hAnsi="宋体" w:eastAsia="宋体" w:cs="宋体"/>
          <w:b w:val="0"/>
          <w:bCs w:val="0"/>
          <w:color w:val="auto"/>
          <w:szCs w:val="21"/>
          <w:highlight w:val="none"/>
        </w:rPr>
        <w:t>《木家具通用技术条件》</w:t>
      </w:r>
    </w:p>
    <w:p w14:paraId="5BC49A55">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GB/T 35607-2017《绿色产品评价家具》</w:t>
      </w:r>
    </w:p>
    <w:p w14:paraId="19817210">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GB/T 10357.6</w:t>
      </w:r>
      <w:r>
        <w:rPr>
          <w:rFonts w:hint="eastAsia" w:ascii="宋体" w:hAnsi="宋体" w:eastAsia="宋体" w:cs="宋体"/>
          <w:b w:val="0"/>
          <w:bCs w:val="0"/>
          <w:color w:val="auto"/>
          <w:szCs w:val="21"/>
          <w:highlight w:val="none"/>
          <w:lang w:val="en-US" w:eastAsia="zh-CN"/>
        </w:rPr>
        <w:t>-2013</w:t>
      </w:r>
      <w:r>
        <w:rPr>
          <w:rFonts w:hint="eastAsia" w:ascii="宋体" w:hAnsi="宋体" w:eastAsia="宋体" w:cs="宋体"/>
          <w:b w:val="0"/>
          <w:bCs w:val="0"/>
          <w:color w:val="auto"/>
          <w:szCs w:val="21"/>
          <w:highlight w:val="none"/>
        </w:rPr>
        <w:t>《家具力学性能试验》</w:t>
      </w:r>
    </w:p>
    <w:p w14:paraId="7AF739DD">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QB/T 4463-2013《家具用封边条技术要求》</w:t>
      </w:r>
    </w:p>
    <w:p w14:paraId="299F2E08">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QB/T 2280-2016《办公家具 办公椅》</w:t>
      </w:r>
    </w:p>
    <w:p w14:paraId="66664933">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QB/T 2454-2013《家具五金抽屉导轨》</w:t>
      </w:r>
    </w:p>
    <w:p w14:paraId="3E9480D3">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QB/T 2189-2013《家具五金杯状暗铰链》</w:t>
      </w:r>
    </w:p>
    <w:p w14:paraId="69975A9F">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GB/T 34722-2017《浸渍胶膜纸饰面胶合板和细木工板》</w:t>
      </w:r>
    </w:p>
    <w:p w14:paraId="65736066">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GB/T 32487-2016《塑料家具通用技术条件》</w:t>
      </w:r>
    </w:p>
    <w:p w14:paraId="77780E53">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GB 28481-2012《塑料家具中有害物质限量》</w:t>
      </w:r>
    </w:p>
    <w:p w14:paraId="549893B5">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s="宋体"/>
          <w:b/>
          <w:bCs/>
          <w:color w:val="auto"/>
          <w:szCs w:val="21"/>
          <w:highlight w:val="none"/>
        </w:rPr>
      </w:pPr>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07B60EBC">
      <w:pPr>
        <w:adjustRightInd w:val="0"/>
        <w:snapToGrid w:val="0"/>
        <w:spacing w:line="288" w:lineRule="auto"/>
        <w:rPr>
          <w:rFonts w:hint="eastAsia" w:ascii="宋体" w:hAnsi="宋体" w:eastAsia="宋体" w:cs="宋体"/>
          <w:b/>
          <w:bCs/>
          <w:color w:val="auto"/>
          <w:szCs w:val="21"/>
          <w:highlight w:val="none"/>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p>
    <w:p w14:paraId="61F5F992">
      <w:pPr>
        <w:adjustRightInd w:val="0"/>
        <w:snapToGrid w:val="0"/>
        <w:spacing w:line="288" w:lineRule="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（1）</w:t>
      </w:r>
      <w:r>
        <w:rPr>
          <w:rFonts w:hint="eastAsia" w:ascii="宋体" w:hAnsi="宋体" w:eastAsia="宋体" w:cs="宋体"/>
          <w:b w:val="0"/>
          <w:bCs w:val="0"/>
          <w:color w:val="auto"/>
          <w:szCs w:val="21"/>
          <w:highlight w:val="none"/>
          <w:lang w:val="en-US" w:eastAsia="zh-CN"/>
        </w:rPr>
        <w:t>合理</w:t>
      </w:r>
      <w:r>
        <w:rPr>
          <w:rFonts w:hint="eastAsia" w:ascii="宋体" w:hAnsi="宋体" w:eastAsia="宋体" w:cs="宋体"/>
          <w:b w:val="0"/>
          <w:bCs w:val="0"/>
          <w:color w:val="auto"/>
          <w:szCs w:val="21"/>
          <w:highlight w:val="none"/>
        </w:rPr>
        <w:t>利用床下空间</w:t>
      </w:r>
      <w:r>
        <w:rPr>
          <w:rFonts w:hint="eastAsia" w:ascii="宋体" w:hAnsi="宋体" w:eastAsia="宋体" w:cs="宋体"/>
          <w:b w:val="0"/>
          <w:bCs w:val="0"/>
          <w:color w:val="auto"/>
          <w:szCs w:val="21"/>
          <w:highlight w:val="none"/>
          <w:lang w:eastAsia="zh-CN"/>
        </w:rPr>
        <w:t>；</w:t>
      </w:r>
    </w:p>
    <w:p w14:paraId="51DBDE1F">
      <w:pPr>
        <w:adjustRightInd w:val="0"/>
        <w:snapToGrid w:val="0"/>
        <w:spacing w:line="288" w:lineRule="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（2）床下柜板材与地面之间增加金属防潮架，防止板材和地面直接接触，避免受潮</w:t>
      </w:r>
      <w:r>
        <w:rPr>
          <w:rFonts w:hint="eastAsia" w:ascii="宋体" w:hAnsi="宋体" w:eastAsia="宋体" w:cs="宋体"/>
          <w:b w:val="0"/>
          <w:bCs w:val="0"/>
          <w:color w:val="auto"/>
          <w:szCs w:val="21"/>
          <w:highlight w:val="none"/>
          <w:lang w:eastAsia="zh-CN"/>
        </w:rPr>
        <w:t>；</w:t>
      </w:r>
    </w:p>
    <w:p w14:paraId="45F7ED0C">
      <w:pPr>
        <w:adjustRightInd w:val="0"/>
        <w:snapToGrid w:val="0"/>
        <w:spacing w:line="288" w:lineRule="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（3）所有管材无裂缝、叠缝，外露管口端面需封边</w:t>
      </w:r>
      <w:r>
        <w:rPr>
          <w:rFonts w:hint="eastAsia" w:ascii="宋体" w:hAnsi="宋体" w:eastAsia="宋体" w:cs="宋体"/>
          <w:b w:val="0"/>
          <w:bCs w:val="0"/>
          <w:color w:val="auto"/>
          <w:szCs w:val="21"/>
          <w:highlight w:val="none"/>
          <w:lang w:eastAsia="zh-CN"/>
        </w:rPr>
        <w:t>；</w:t>
      </w:r>
    </w:p>
    <w:p w14:paraId="1A11499E">
      <w:pPr>
        <w:adjustRightInd w:val="0"/>
        <w:snapToGrid w:val="0"/>
        <w:spacing w:line="288" w:lineRule="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（4）钢制件工艺要求：所有铁件需焊接平整、无虚焊、无明显焊疤、焊接处打磨光滑。各钢件表面整体焊接后经酸洗磷化工艺或其他防腐防锈工艺处理</w:t>
      </w:r>
      <w:r>
        <w:rPr>
          <w:rFonts w:hint="eastAsia" w:ascii="宋体" w:hAnsi="宋体" w:eastAsia="宋体" w:cs="宋体"/>
          <w:b w:val="0"/>
          <w:bCs w:val="0"/>
          <w:color w:val="auto"/>
          <w:szCs w:val="21"/>
          <w:highlight w:val="none"/>
          <w:lang w:eastAsia="zh-CN"/>
        </w:rPr>
        <w:t>；</w:t>
      </w:r>
    </w:p>
    <w:p w14:paraId="6B42D72A">
      <w:pPr>
        <w:adjustRightInd w:val="0"/>
        <w:snapToGrid w:val="0"/>
        <w:spacing w:line="288" w:lineRule="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（5）除钢制件外，其他部件工艺要求均需符合国家最新环保要求</w:t>
      </w:r>
      <w:r>
        <w:rPr>
          <w:rFonts w:hint="eastAsia" w:ascii="宋体" w:hAnsi="宋体" w:eastAsia="宋体" w:cs="宋体"/>
          <w:b w:val="0"/>
          <w:bCs w:val="0"/>
          <w:color w:val="auto"/>
          <w:szCs w:val="21"/>
          <w:highlight w:val="none"/>
          <w:lang w:eastAsia="zh-CN"/>
        </w:rPr>
        <w:t>；</w:t>
      </w:r>
    </w:p>
    <w:p w14:paraId="0589CD65">
      <w:pPr>
        <w:adjustRightInd w:val="0"/>
        <w:snapToGrid w:val="0"/>
        <w:spacing w:line="288" w:lineRule="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（6）五金件要求使用寿命长、不宜产生松动，抽拉导轨采用三节静音缓冲导轨</w:t>
      </w:r>
      <w:r>
        <w:rPr>
          <w:rFonts w:hint="eastAsia" w:ascii="宋体" w:hAnsi="宋体" w:eastAsia="宋体" w:cs="宋体"/>
          <w:b w:val="0"/>
          <w:bCs w:val="0"/>
          <w:color w:val="auto"/>
          <w:szCs w:val="21"/>
          <w:highlight w:val="none"/>
          <w:lang w:eastAsia="zh-CN"/>
        </w:rPr>
        <w:t>；</w:t>
      </w:r>
    </w:p>
    <w:p w14:paraId="341343BB">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7）不同房间尺寸存在偏差（以实际为准），投标人中标后逐一实地测量尺寸，根据实际房型结构形式、墙壁开关插座位置等因素微调床体和家具的尺寸，要求最大限度利用空间。家具配色由中标人提供色板，采购人选样确定。</w:t>
      </w:r>
    </w:p>
    <w:p w14:paraId="7F30C156">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8</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rPr>
        <w:t>家具整体安全要求：突出物：产品不应有危险突出物。如果存在危险突出物，则应用合适的方式加以保护。如：将末端弯曲或加上保护帽或罩以有效增加可能与皮肤接触的面积，保护帽或罩在保护件拉力试验测试时，不应脱落。</w:t>
      </w:r>
    </w:p>
    <w:p w14:paraId="20BAC3DF">
      <w:pPr>
        <w:adjustRightInd w:val="0"/>
        <w:snapToGrid w:val="0"/>
        <w:spacing w:line="288" w:lineRule="auto"/>
        <w:rPr>
          <w:rFonts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9</w:t>
      </w:r>
      <w:r>
        <w:rPr>
          <w:rFonts w:hint="eastAsia" w:ascii="宋体" w:hAnsi="宋体" w:eastAsia="宋体" w:cs="宋体"/>
          <w:b w:val="0"/>
          <w:bCs w:val="0"/>
          <w:color w:val="auto"/>
          <w:szCs w:val="21"/>
          <w:highlight w:val="none"/>
        </w:rPr>
        <w:t>）不得使用翻新材料。</w:t>
      </w:r>
    </w:p>
    <w:p w14:paraId="16E33510">
      <w:pPr>
        <w:adjustRightInd w:val="0"/>
        <w:snapToGrid w:val="0"/>
        <w:spacing w:line="288" w:lineRule="auto"/>
        <w:rPr>
          <w:rFonts w:hint="eastAsia"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p w14:paraId="052E21C8">
      <w:pPr>
        <w:adjustRightInd w:val="0"/>
        <w:snapToGrid w:val="0"/>
        <w:spacing w:line="288" w:lineRule="auto"/>
        <w:rPr>
          <w:rFonts w:hint="default" w:ascii="宋体" w:hAnsi="宋体" w:eastAsia="宋体" w:cs="Times New Roman"/>
          <w:b/>
          <w:bCs/>
          <w:color w:val="auto"/>
          <w:spacing w:val="-4"/>
          <w:szCs w:val="21"/>
          <w:highlight w:val="none"/>
          <w:lang w:val="en-US" w:eastAsia="zh-CN"/>
        </w:rPr>
      </w:pPr>
      <w:r>
        <w:rPr>
          <w:rFonts w:hint="eastAsia" w:ascii="宋体" w:hAnsi="宋体" w:eastAsia="宋体" w:cs="Times New Roman"/>
          <w:b/>
          <w:bCs/>
          <w:color w:val="auto"/>
          <w:spacing w:val="-4"/>
          <w:szCs w:val="21"/>
          <w:highlight w:val="none"/>
          <w:lang w:val="en-US" w:eastAsia="zh-CN"/>
        </w:rPr>
        <w:t>标项一：</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14:paraId="3B9DB4BF">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14:paraId="601BB26F">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14:paraId="302F4571">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14:paraId="7F7ED665">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10" w:type="dxa"/>
            <w:vAlign w:val="center"/>
          </w:tcPr>
          <w:p w14:paraId="470BB042">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三人位公寓组合床（五人间）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加长床</w:t>
            </w:r>
            <w:r>
              <w:rPr>
                <w:rFonts w:hint="eastAsia" w:ascii="宋体" w:hAnsi="宋体" w:eastAsia="宋体" w:cs="宋体"/>
                <w:color w:val="auto"/>
                <w:sz w:val="21"/>
                <w:szCs w:val="21"/>
                <w:highlight w:val="none"/>
                <w:lang w:eastAsia="zh-CN"/>
              </w:rPr>
              <w:t>）</w:t>
            </w:r>
          </w:p>
          <w:p w14:paraId="2F9DD2F4">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核心产品</w:t>
            </w:r>
            <w:r>
              <w:rPr>
                <w:rFonts w:hint="eastAsia" w:ascii="宋体" w:hAnsi="宋体" w:eastAsia="宋体" w:cs="宋体"/>
                <w:b/>
                <w:bCs/>
                <w:color w:val="auto"/>
                <w:sz w:val="21"/>
                <w:szCs w:val="21"/>
                <w:highlight w:val="none"/>
                <w:lang w:eastAsia="zh-CN"/>
              </w:rPr>
              <w:t>）</w:t>
            </w:r>
          </w:p>
        </w:tc>
        <w:tc>
          <w:tcPr>
            <w:tcW w:w="661" w:type="dxa"/>
            <w:vAlign w:val="center"/>
          </w:tcPr>
          <w:p w14:paraId="77DC8DC0">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178</w:t>
            </w:r>
          </w:p>
        </w:tc>
        <w:tc>
          <w:tcPr>
            <w:tcW w:w="661" w:type="dxa"/>
            <w:vAlign w:val="center"/>
          </w:tcPr>
          <w:p w14:paraId="66A5AD68">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组</w:t>
            </w:r>
          </w:p>
        </w:tc>
        <w:tc>
          <w:tcPr>
            <w:tcW w:w="6269" w:type="dxa"/>
            <w:vAlign w:val="center"/>
          </w:tcPr>
          <w:p w14:paraId="57A79744">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1.参考规格：4550*900*2900mm（含蚊帐架），根据现场实际情况调整；</w:t>
            </w:r>
          </w:p>
          <w:p w14:paraId="125A05D3">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2.立柱：采用≥50*80*1.2mm异型管，立柱底部端口安装优质工程塑料内塞；</w:t>
            </w:r>
          </w:p>
          <w:p w14:paraId="6900650A">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3.床挺：≥50*60*1.2mm异型管；</w:t>
            </w:r>
          </w:p>
          <w:p w14:paraId="0FA63754">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4.床头、床尾横管：整体框架由≥25*25*1.0mm方管、≥25*50*1.0mm方管组成，并安装一块优质EO级实木多层板，板材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高度≥320mm；</w:t>
            </w:r>
          </w:p>
          <w:p w14:paraId="5C1E94D0">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5.床护栏：前护栏高度≥380mm；整体框架采用≥25mm*25mm*1.2mm优质方管，内镶优质EO级实木多层板，</w:t>
            </w:r>
            <w:r>
              <w:rPr>
                <w:rFonts w:hint="eastAsia" w:ascii="宋体" w:hAnsi="宋体" w:eastAsia="宋体" w:cs="宋体"/>
                <w:bCs/>
                <w:color w:val="auto"/>
                <w:kern w:val="2"/>
                <w:sz w:val="21"/>
                <w:szCs w:val="21"/>
                <w:highlight w:val="none"/>
                <w:lang w:val="en-US" w:eastAsia="zh-CN" w:bidi="ar"/>
              </w:rPr>
              <w:t>板材厚度≥16mm，</w:t>
            </w:r>
            <w:r>
              <w:rPr>
                <w:rFonts w:hint="eastAsia" w:ascii="宋体" w:hAnsi="宋体" w:eastAsia="宋体" w:cs="宋体"/>
                <w:color w:val="auto"/>
                <w:kern w:val="2"/>
                <w:sz w:val="21"/>
                <w:szCs w:val="21"/>
                <w:highlight w:val="none"/>
                <w:lang w:val="en-US" w:eastAsia="zh-CN" w:bidi="ar"/>
              </w:rPr>
              <w:t>并在合理位置设置安全通气观察窗。后护栏整体框架采用≥20*20*1.2mm优质方管，内镶优质EO级实木多层板，</w:t>
            </w:r>
            <w:r>
              <w:rPr>
                <w:rFonts w:hint="eastAsia" w:ascii="宋体" w:hAnsi="宋体" w:eastAsia="宋体" w:cs="宋体"/>
                <w:bCs/>
                <w:color w:val="auto"/>
                <w:kern w:val="2"/>
                <w:sz w:val="21"/>
                <w:szCs w:val="21"/>
                <w:highlight w:val="none"/>
                <w:lang w:val="en-US" w:eastAsia="zh-CN" w:bidi="ar"/>
              </w:rPr>
              <w:t>板材厚度≥16mm，</w:t>
            </w:r>
            <w:r>
              <w:rPr>
                <w:rFonts w:hint="eastAsia" w:ascii="宋体" w:hAnsi="宋体" w:eastAsia="宋体" w:cs="宋体"/>
                <w:color w:val="auto"/>
                <w:kern w:val="2"/>
                <w:sz w:val="21"/>
                <w:szCs w:val="21"/>
                <w:highlight w:val="none"/>
                <w:lang w:val="en-US" w:eastAsia="zh-CN" w:bidi="ar"/>
              </w:rPr>
              <w:t>高度≥320mm；</w:t>
            </w:r>
          </w:p>
          <w:p w14:paraId="2EB3D4AB">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6.走步梯：采用中梯样式，宽度≥450mm，钢架采用≥20*50*1.2mm方管。其他涉及板材采用优质EO级实木多层板，板材</w:t>
            </w:r>
            <w:r>
              <w:rPr>
                <w:rFonts w:hint="eastAsia" w:ascii="宋体" w:hAnsi="宋体" w:eastAsia="宋体" w:cs="宋体"/>
                <w:bCs/>
                <w:color w:val="auto"/>
                <w:kern w:val="2"/>
                <w:sz w:val="21"/>
                <w:szCs w:val="21"/>
                <w:highlight w:val="none"/>
                <w:lang w:val="en-US" w:eastAsia="zh-CN" w:bidi="ar"/>
              </w:rPr>
              <w:t>厚度≥18mm</w:t>
            </w:r>
            <w:r>
              <w:rPr>
                <w:rFonts w:hint="eastAsia" w:ascii="宋体" w:hAnsi="宋体" w:eastAsia="宋体" w:cs="宋体"/>
                <w:color w:val="auto"/>
                <w:kern w:val="2"/>
                <w:sz w:val="21"/>
                <w:szCs w:val="21"/>
                <w:highlight w:val="none"/>
                <w:lang w:val="en-US" w:eastAsia="zh-CN" w:bidi="ar"/>
              </w:rPr>
              <w:t>。合理分配台阶数，每级踏板大小一致，踏板表面需镶嵌防滑夜光条。合理设计中梯内部储物空间，若储物空间涉及柜门，配置铝合金长条形暗拉手和阻尼缓冲铰链；</w:t>
            </w:r>
          </w:p>
          <w:p w14:paraId="191CE698">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7.蚊帐架：采用≥Φ19*1.0mm圆管，塑料三通连接件连接。合理设计，样式匹配整体风格，高度根据现场实际情况确定；</w:t>
            </w:r>
          </w:p>
          <w:p w14:paraId="0176C4CE">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8.床板：采用≥60*15mm厚的优质杉木板，拼接缝隙≤10mm；床板平铺钉在4根30*40mm的木档上；床板加固档：≥25*25*1.0mm方管，数量不少于3根；</w:t>
            </w:r>
          </w:p>
          <w:p w14:paraId="62516C7D">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9.床下组合桌柜：</w:t>
            </w:r>
          </w:p>
          <w:p w14:paraId="12742529">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bCs/>
                <w:color w:val="auto"/>
                <w:kern w:val="2"/>
                <w:sz w:val="21"/>
                <w:szCs w:val="21"/>
                <w:highlight w:val="none"/>
                <w:lang w:val="en-US" w:eastAsia="zh-CN" w:bidi="ar"/>
              </w:rPr>
              <w:t>具备衣柜、书桌、书架等功能，书桌与衣柜需独立分开；</w:t>
            </w:r>
          </w:p>
          <w:p w14:paraId="220B19F5">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（2）板材均</w:t>
            </w:r>
            <w:r>
              <w:rPr>
                <w:rFonts w:hint="eastAsia" w:ascii="宋体" w:hAnsi="宋体" w:eastAsia="宋体" w:cs="宋体"/>
                <w:bCs/>
                <w:color w:val="auto"/>
                <w:kern w:val="2"/>
                <w:sz w:val="21"/>
                <w:szCs w:val="21"/>
                <w:highlight w:val="none"/>
                <w:lang w:val="en-US" w:eastAsia="zh-CN" w:bidi="ar"/>
              </w:rPr>
              <w:t>采用三聚氰胺饰面EO级实木多层板；</w:t>
            </w:r>
          </w:p>
          <w:p w14:paraId="677C5BB4">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bCs/>
                <w:color w:val="auto"/>
                <w:kern w:val="2"/>
                <w:sz w:val="21"/>
                <w:szCs w:val="21"/>
                <w:highlight w:val="none"/>
                <w:lang w:val="en-US" w:eastAsia="zh-CN" w:bidi="ar"/>
              </w:rPr>
              <w:t>书桌宽度≥900mm，深度≥600mm，桌面板材厚度≥18mm，其余板材厚度≥16mm。桌面挡板高度≥130mm，并在桌面挡板合理位置内嵌1个插排（≥2个2孔、≥2个3孔、≥1个USB接口）</w:t>
            </w:r>
            <w:r>
              <w:rPr>
                <w:rFonts w:hint="eastAsia" w:ascii="宋体" w:hAnsi="宋体" w:eastAsia="宋体" w:cs="宋体"/>
                <w:b/>
                <w:bCs w:val="0"/>
                <w:color w:val="auto"/>
                <w:kern w:val="2"/>
                <w:sz w:val="21"/>
                <w:szCs w:val="21"/>
                <w:highlight w:val="none"/>
                <w:lang w:val="en-US" w:eastAsia="zh-CN" w:bidi="ar"/>
              </w:rPr>
              <w:t>（▲投标文件中提供有效的3C认证证书扫描件）</w:t>
            </w:r>
            <w:r>
              <w:rPr>
                <w:rFonts w:hint="eastAsia" w:ascii="宋体" w:hAnsi="宋体" w:eastAsia="宋体" w:cs="宋体"/>
                <w:bCs/>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书桌上方合理设计书架，每行合理位置设隔板一块；</w:t>
            </w:r>
          </w:p>
          <w:p w14:paraId="54EE8F3C">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r>
              <w:rPr>
                <w:rFonts w:hint="eastAsia" w:ascii="宋体" w:hAnsi="宋体" w:eastAsia="宋体" w:cs="宋体"/>
                <w:bCs/>
                <w:color w:val="auto"/>
                <w:kern w:val="2"/>
                <w:sz w:val="21"/>
                <w:szCs w:val="21"/>
                <w:highlight w:val="none"/>
                <w:lang w:val="en-US" w:eastAsia="zh-CN" w:bidi="ar"/>
              </w:rPr>
              <w:t>衣柜：宽度≥900mm，深度≥600mm。衣柜后背板厚度≥9mm，其他板材厚度≥16mm，合理设计上下两个功能区，上功能区配不锈钢材质挂衣杆。竖向双开门设计，配加强筋防止形变，柜门外立面四周边角倒角设计防磕碰，配优质阻尼缓冲功能铰链；</w:t>
            </w:r>
          </w:p>
          <w:p w14:paraId="6D20A422">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（5）拉手：衣柜门拉手采用铝、塑复合长腰形拉手；抽屉拉手采用铝合金材质。安装方式为内嵌式拉手；</w:t>
            </w:r>
          </w:p>
          <w:p w14:paraId="21907592">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（6）组合桌柜底部防潮架采用≥20*50*1.2mm方管制作，并作封闭防尘处理；</w:t>
            </w:r>
          </w:p>
          <w:p w14:paraId="6EDE2FD8">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10.根据房型类别，合计设计床位编号样式及安装位置，如1，2，3，4，5或1号、2号.....等；</w:t>
            </w:r>
          </w:p>
          <w:p w14:paraId="4314998A">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11.上下铺两张床为加长床，床体长度</w:t>
            </w:r>
            <w:r>
              <w:rPr>
                <w:rFonts w:hint="eastAsia" w:ascii="宋体" w:hAnsi="宋体" w:eastAsia="宋体" w:cs="宋体"/>
                <w:color w:val="auto"/>
                <w:kern w:val="2"/>
                <w:sz w:val="21"/>
                <w:szCs w:val="21"/>
                <w:highlight w:val="none"/>
                <w:lang w:val="en-US" w:eastAsia="zh-CN" w:bidi="ar"/>
              </w:rPr>
              <w:t>≥2100mm</w:t>
            </w:r>
            <w:r>
              <w:rPr>
                <w:rFonts w:hint="eastAsia" w:ascii="宋体" w:hAnsi="宋体" w:eastAsia="宋体" w:cs="宋体"/>
                <w:color w:val="auto"/>
                <w:kern w:val="0"/>
                <w:sz w:val="21"/>
                <w:szCs w:val="21"/>
                <w:highlight w:val="none"/>
                <w:lang w:val="en-US" w:eastAsia="zh-CN" w:bidi="ar"/>
              </w:rPr>
              <w:t>；</w:t>
            </w:r>
          </w:p>
          <w:p w14:paraId="2A783069">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12.参考图片：</w:t>
            </w:r>
          </w:p>
          <w:p w14:paraId="57606F19">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2124075" cy="1514475"/>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a:stretch>
                            <a:fillRect/>
                          </a:stretch>
                        </pic:blipFill>
                        <pic:spPr>
                          <a:xfrm>
                            <a:off x="0" y="0"/>
                            <a:ext cx="2124075" cy="1514475"/>
                          </a:xfrm>
                          <a:prstGeom prst="rect">
                            <a:avLst/>
                          </a:prstGeom>
                          <a:noFill/>
                          <a:ln w="9525">
                            <a:noFill/>
                          </a:ln>
                        </pic:spPr>
                      </pic:pic>
                    </a:graphicData>
                  </a:graphic>
                </wp:inline>
              </w:drawing>
            </w:r>
          </w:p>
        </w:tc>
      </w:tr>
      <w:tr w14:paraId="553D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F006D60">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810" w:type="dxa"/>
            <w:vAlign w:val="center"/>
          </w:tcPr>
          <w:p w14:paraId="38CC1B67">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二人位公寓组合床（五人间）</w:t>
            </w:r>
          </w:p>
        </w:tc>
        <w:tc>
          <w:tcPr>
            <w:tcW w:w="661" w:type="dxa"/>
            <w:vAlign w:val="center"/>
          </w:tcPr>
          <w:p w14:paraId="14E34F50">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178</w:t>
            </w:r>
          </w:p>
        </w:tc>
        <w:tc>
          <w:tcPr>
            <w:tcW w:w="661" w:type="dxa"/>
            <w:vAlign w:val="center"/>
          </w:tcPr>
          <w:p w14:paraId="3D057C6A">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组</w:t>
            </w:r>
          </w:p>
        </w:tc>
        <w:tc>
          <w:tcPr>
            <w:tcW w:w="6269" w:type="dxa"/>
            <w:vAlign w:val="center"/>
          </w:tcPr>
          <w:p w14:paraId="3B8270BF">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1.参考规格：4550*900*2900mm（含蚊帐架），根据现场实际情况调整；</w:t>
            </w:r>
          </w:p>
          <w:p w14:paraId="12E23A76">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2.立柱：采用≥50*80*1.2mm异型管，立柱底部端口安装优质工程塑料内塞；</w:t>
            </w:r>
          </w:p>
          <w:p w14:paraId="7C7A6F42">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3.床挺：≥50*60*1.2mm异型管；</w:t>
            </w:r>
          </w:p>
          <w:p w14:paraId="438AB1C8">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4.床头、床尾横管：整体框架由≥25*25*1.0mm方管、≥25*50*1.0mm方管组成，并安装一块优质EO级实木多层板，板材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高度≥320mm，安全、美观；</w:t>
            </w:r>
          </w:p>
          <w:p w14:paraId="511D12EB">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5.床护栏：前护栏高度≥380mm；整体框架采用≥25mm*25mm*1.2mm优质方管，内镶优质EO级实木多层板，</w:t>
            </w:r>
            <w:r>
              <w:rPr>
                <w:rFonts w:hint="eastAsia" w:ascii="宋体" w:hAnsi="宋体" w:eastAsia="宋体" w:cs="宋体"/>
                <w:bCs/>
                <w:color w:val="auto"/>
                <w:kern w:val="2"/>
                <w:sz w:val="21"/>
                <w:szCs w:val="21"/>
                <w:highlight w:val="none"/>
                <w:lang w:val="en-US" w:eastAsia="zh-CN" w:bidi="ar"/>
              </w:rPr>
              <w:t>板材厚度≥16mm，</w:t>
            </w:r>
            <w:r>
              <w:rPr>
                <w:rFonts w:hint="eastAsia" w:ascii="宋体" w:hAnsi="宋体" w:eastAsia="宋体" w:cs="宋体"/>
                <w:color w:val="auto"/>
                <w:kern w:val="2"/>
                <w:sz w:val="21"/>
                <w:szCs w:val="21"/>
                <w:highlight w:val="none"/>
                <w:lang w:val="en-US" w:eastAsia="zh-CN" w:bidi="ar"/>
              </w:rPr>
              <w:t>并在合理位置设置安全通气观察窗。后护栏整体框架采用≥20*20*1.2mm优质方管，内镶优质EO级实木多层板，板材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高度≥320mm；</w:t>
            </w:r>
          </w:p>
          <w:p w14:paraId="6EB07D45">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6.走步梯：采用中梯样式，宽度≥450mm，钢架采用≥20*50*1.2mm方管。其他涉及板材采用优质EO级实木多层板，板材</w:t>
            </w:r>
            <w:r>
              <w:rPr>
                <w:rFonts w:hint="eastAsia" w:ascii="宋体" w:hAnsi="宋体" w:eastAsia="宋体" w:cs="宋体"/>
                <w:bCs/>
                <w:color w:val="auto"/>
                <w:kern w:val="2"/>
                <w:sz w:val="21"/>
                <w:szCs w:val="21"/>
                <w:highlight w:val="none"/>
                <w:lang w:val="en-US" w:eastAsia="zh-CN" w:bidi="ar"/>
              </w:rPr>
              <w:t>厚度≥18mm</w:t>
            </w:r>
            <w:r>
              <w:rPr>
                <w:rFonts w:hint="eastAsia" w:ascii="宋体" w:hAnsi="宋体" w:eastAsia="宋体" w:cs="宋体"/>
                <w:color w:val="auto"/>
                <w:kern w:val="2"/>
                <w:sz w:val="21"/>
                <w:szCs w:val="21"/>
                <w:highlight w:val="none"/>
                <w:lang w:val="en-US" w:eastAsia="zh-CN" w:bidi="ar"/>
              </w:rPr>
              <w:t>。合理分配台阶数，每级踏板大小一致，踏板表面需镶嵌防滑夜光条。合理设计中梯内部储物空间，若储物空间涉及柜门，配置铝合金长条形暗拉手和阻尼缓冲铰链；</w:t>
            </w:r>
          </w:p>
          <w:p w14:paraId="3DF0A79E">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7.蚊帐架：采用≥Φ19*1.0mm圆管，塑料三通连接件连接。合理设计，样式匹配整体风格，高度根据现场实际情况确定；</w:t>
            </w:r>
          </w:p>
          <w:p w14:paraId="0C536CE1">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8.床板：采用≥60*15mm厚的优质杉木板，拼接缝隙≤10mm；床板平铺钉在4根30*40mm的木档上；床板加固档：≥25*25*1.0mm方管，数量不少于3根；</w:t>
            </w:r>
          </w:p>
          <w:p w14:paraId="2554E5E7">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8.床下书桌：</w:t>
            </w:r>
          </w:p>
          <w:p w14:paraId="7083E4F0">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bCs/>
                <w:color w:val="auto"/>
                <w:kern w:val="2"/>
                <w:sz w:val="21"/>
                <w:szCs w:val="21"/>
                <w:highlight w:val="none"/>
                <w:lang w:val="en-US" w:eastAsia="zh-CN" w:bidi="ar"/>
              </w:rPr>
              <w:t>具备书桌、书架等功能，两张书桌需独立分开；</w:t>
            </w:r>
          </w:p>
          <w:p w14:paraId="62F81F75">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（2）板材均</w:t>
            </w:r>
            <w:r>
              <w:rPr>
                <w:rFonts w:hint="eastAsia" w:ascii="宋体" w:hAnsi="宋体" w:eastAsia="宋体" w:cs="宋体"/>
                <w:bCs/>
                <w:color w:val="auto"/>
                <w:kern w:val="2"/>
                <w:sz w:val="21"/>
                <w:szCs w:val="21"/>
                <w:highlight w:val="none"/>
                <w:lang w:val="en-US" w:eastAsia="zh-CN" w:bidi="ar"/>
              </w:rPr>
              <w:t>采用三聚氰胺饰面EO级实木多层板；</w:t>
            </w:r>
          </w:p>
          <w:p w14:paraId="011D68F8">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bCs/>
                <w:color w:val="auto"/>
                <w:kern w:val="2"/>
                <w:sz w:val="21"/>
                <w:szCs w:val="21"/>
                <w:highlight w:val="none"/>
                <w:lang w:val="en-US" w:eastAsia="zh-CN" w:bidi="ar"/>
              </w:rPr>
              <w:t>书桌宽度≥900mm，深度≥600mm，桌面板材厚度≥18mm，其余板材厚度≥16mm。桌面挡板高度≥130mm，并在桌面挡板合理位置内嵌1个插排（≥2个2孔、≥2个3孔、≥1个USB接口）</w:t>
            </w:r>
            <w:r>
              <w:rPr>
                <w:rFonts w:hint="eastAsia" w:ascii="宋体" w:hAnsi="宋体" w:eastAsia="宋体" w:cs="宋体"/>
                <w:b/>
                <w:bCs w:val="0"/>
                <w:color w:val="auto"/>
                <w:kern w:val="2"/>
                <w:sz w:val="21"/>
                <w:szCs w:val="21"/>
                <w:highlight w:val="none"/>
                <w:lang w:val="en-US" w:eastAsia="zh-CN" w:bidi="ar"/>
              </w:rPr>
              <w:t>（▲投标文件中提供有效的3C认证证书扫描件）</w:t>
            </w:r>
            <w:r>
              <w:rPr>
                <w:rFonts w:hint="eastAsia" w:ascii="宋体" w:hAnsi="宋体" w:eastAsia="宋体" w:cs="宋体"/>
                <w:bCs/>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书桌上方合理设计书架，每行合理位置设隔板一块；</w:t>
            </w:r>
          </w:p>
          <w:p w14:paraId="1D665C2D">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9.根据房型类别，合计设计床位编号样式及安装位置，如1，2，3，4，5或1号、2号.....等；</w:t>
            </w:r>
          </w:p>
          <w:p w14:paraId="4499A657">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10.</w:t>
            </w:r>
            <w:r>
              <w:rPr>
                <w:rFonts w:hint="eastAsia" w:ascii="宋体" w:hAnsi="宋体" w:eastAsia="宋体" w:cs="宋体"/>
                <w:color w:val="auto"/>
                <w:kern w:val="2"/>
                <w:sz w:val="21"/>
                <w:szCs w:val="21"/>
                <w:highlight w:val="none"/>
                <w:lang w:val="en-US" w:eastAsia="zh-CN" w:bidi="ar"/>
              </w:rPr>
              <w:t>参考图片：</w:t>
            </w:r>
          </w:p>
          <w:p w14:paraId="0D93434B">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2200275" cy="1504950"/>
                  <wp:effectExtent l="0" t="0" r="0"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icPr>
                        <pic:blipFill>
                          <a:blip r:embed="rId9"/>
                          <a:stretch>
                            <a:fillRect/>
                          </a:stretch>
                        </pic:blipFill>
                        <pic:spPr>
                          <a:xfrm>
                            <a:off x="0" y="0"/>
                            <a:ext cx="2200275" cy="1504950"/>
                          </a:xfrm>
                          <a:prstGeom prst="rect">
                            <a:avLst/>
                          </a:prstGeom>
                          <a:noFill/>
                          <a:ln w="9525">
                            <a:noFill/>
                          </a:ln>
                        </pic:spPr>
                      </pic:pic>
                    </a:graphicData>
                  </a:graphic>
                </wp:inline>
              </w:drawing>
            </w:r>
          </w:p>
        </w:tc>
      </w:tr>
      <w:tr w14:paraId="278D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7029D89">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810" w:type="dxa"/>
            <w:vAlign w:val="center"/>
          </w:tcPr>
          <w:p w14:paraId="340E25C4">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四人衣柜（五人间）</w:t>
            </w:r>
          </w:p>
        </w:tc>
        <w:tc>
          <w:tcPr>
            <w:tcW w:w="661" w:type="dxa"/>
            <w:vAlign w:val="center"/>
          </w:tcPr>
          <w:p w14:paraId="784C7175">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178</w:t>
            </w:r>
          </w:p>
        </w:tc>
        <w:tc>
          <w:tcPr>
            <w:tcW w:w="661" w:type="dxa"/>
            <w:vAlign w:val="center"/>
          </w:tcPr>
          <w:p w14:paraId="35D5DB7C">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组</w:t>
            </w:r>
          </w:p>
        </w:tc>
        <w:tc>
          <w:tcPr>
            <w:tcW w:w="6269" w:type="dxa"/>
            <w:vAlign w:val="center"/>
          </w:tcPr>
          <w:p w14:paraId="3C5D4D96">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1.参考规格：1600*600*2400mm（根据现场实际情况调整）；</w:t>
            </w:r>
          </w:p>
          <w:p w14:paraId="24222410">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2.板材：采用优质EO级实木多层板，同色封边，</w:t>
            </w:r>
            <w:r>
              <w:rPr>
                <w:rFonts w:hint="eastAsia" w:ascii="宋体" w:hAnsi="宋体" w:eastAsia="宋体" w:cs="宋体"/>
                <w:bCs/>
                <w:color w:val="auto"/>
                <w:kern w:val="2"/>
                <w:sz w:val="21"/>
                <w:szCs w:val="21"/>
                <w:highlight w:val="none"/>
                <w:lang w:val="en-US" w:eastAsia="zh-CN" w:bidi="ar"/>
              </w:rPr>
              <w:t>深度≥600mm。衣柜后背板厚度≥9mm，其他板材厚度≥16mm；</w:t>
            </w:r>
          </w:p>
          <w:p w14:paraId="30773420">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3.结合房型合理设计柜体款式及内部功能分区：四等分为四个柜子，内部合理隔断，内设挂衣杆1根，≥Φ19*1.0mm不锈钢圆管；</w:t>
            </w:r>
          </w:p>
          <w:p w14:paraId="1451E811">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4.柜门拉手采用铝合金材质，内嵌安装，配锁舌；</w:t>
            </w:r>
          </w:p>
          <w:p w14:paraId="6C2104EE">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5.下面设防潮架≥20*50*1.2mm方管，并作封闭防尘处理。如设计鞋架或其他顶部储物空间，采用≥Φ15*1.2 mm圆管、≥20*2mm扁铁，表面静电喷塑处理；</w:t>
            </w:r>
          </w:p>
          <w:p w14:paraId="3FC742F3">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6.根据房型类别，合理设计编号样式及安放位置（如：1,2,3,4,5或1号，2号…等）；</w:t>
            </w:r>
          </w:p>
          <w:p w14:paraId="112F7990">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7.参考图片：</w:t>
            </w:r>
          </w:p>
          <w:p w14:paraId="0BB6FC86">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1544320" cy="1855470"/>
                  <wp:effectExtent l="0" t="0" r="0" b="0"/>
                  <wp:docPr id="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6"/>
                          <pic:cNvPicPr>
                            <a:picLocks noChangeAspect="1"/>
                          </pic:cNvPicPr>
                        </pic:nvPicPr>
                        <pic:blipFill>
                          <a:blip r:embed="rId10"/>
                          <a:srcRect l="9339" t="5802" r="22250" b="4012"/>
                          <a:stretch>
                            <a:fillRect/>
                          </a:stretch>
                        </pic:blipFill>
                        <pic:spPr>
                          <a:xfrm>
                            <a:off x="0" y="0"/>
                            <a:ext cx="1544320" cy="1855470"/>
                          </a:xfrm>
                          <a:prstGeom prst="rect">
                            <a:avLst/>
                          </a:prstGeom>
                          <a:noFill/>
                          <a:ln w="9525">
                            <a:noFill/>
                          </a:ln>
                        </pic:spPr>
                      </pic:pic>
                    </a:graphicData>
                  </a:graphic>
                </wp:inline>
              </w:drawing>
            </w:r>
          </w:p>
        </w:tc>
      </w:tr>
      <w:tr w14:paraId="58287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5589005">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810" w:type="dxa"/>
            <w:vAlign w:val="center"/>
          </w:tcPr>
          <w:p w14:paraId="1E3BA6E9">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公寓椅</w:t>
            </w:r>
          </w:p>
        </w:tc>
        <w:tc>
          <w:tcPr>
            <w:tcW w:w="661" w:type="dxa"/>
            <w:vAlign w:val="center"/>
          </w:tcPr>
          <w:p w14:paraId="71B0D58A">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890</w:t>
            </w:r>
          </w:p>
        </w:tc>
        <w:tc>
          <w:tcPr>
            <w:tcW w:w="661" w:type="dxa"/>
            <w:vAlign w:val="center"/>
          </w:tcPr>
          <w:p w14:paraId="07D4C0B6">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把</w:t>
            </w:r>
          </w:p>
        </w:tc>
        <w:tc>
          <w:tcPr>
            <w:tcW w:w="6269" w:type="dxa"/>
            <w:vAlign w:val="center"/>
          </w:tcPr>
          <w:p w14:paraId="64D1B61A">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1.参考尺寸：常规；</w:t>
            </w:r>
          </w:p>
          <w:p w14:paraId="4538BEDA">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材质：主杆采用≥φ22mm*1.2mm优质钢管。座板、靠背采用≥10mm厚的多层板，面贴防火板。钢管焊接表面波纹均匀，焊接处无夹渣、气孔、焊瘤、焊丝咬边和飞溅，无脱焊，虚焊和焊空的现象。喷塑采用抛丸高速处理工艺。喷塑表面光亮平整，无颗粒渣点，颜色均匀。符合国家环保要求；</w:t>
            </w:r>
          </w:p>
          <w:p w14:paraId="34C7DC1B">
            <w:pPr>
              <w:keepNext w:val="0"/>
              <w:keepLines w:val="0"/>
              <w:pageBreakBefore w:val="0"/>
              <w:widowControl/>
              <w:suppressLineNumbers w:val="0"/>
              <w:wordWrap/>
              <w:topLinePunct w:val="0"/>
              <w:bidi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2.参考图片：</w:t>
            </w:r>
          </w:p>
          <w:p w14:paraId="121FE1B6">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1133475" cy="1438275"/>
                  <wp:effectExtent l="0" t="0" r="0" b="0"/>
                  <wp:docPr id="7"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IMG_256"/>
                          <pic:cNvPicPr>
                            <a:picLocks noChangeAspect="1"/>
                          </pic:cNvPicPr>
                        </pic:nvPicPr>
                        <pic:blipFill>
                          <a:blip r:embed="rId11"/>
                          <a:stretch>
                            <a:fillRect/>
                          </a:stretch>
                        </pic:blipFill>
                        <pic:spPr>
                          <a:xfrm>
                            <a:off x="0" y="0"/>
                            <a:ext cx="1133475" cy="1438275"/>
                          </a:xfrm>
                          <a:prstGeom prst="rect">
                            <a:avLst/>
                          </a:prstGeom>
                          <a:noFill/>
                          <a:ln w="9525">
                            <a:noFill/>
                          </a:ln>
                        </pic:spPr>
                      </pic:pic>
                    </a:graphicData>
                  </a:graphic>
                </wp:inline>
              </w:drawing>
            </w:r>
          </w:p>
        </w:tc>
      </w:tr>
      <w:tr w14:paraId="4E774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60" w:type="dxa"/>
            <w:gridSpan w:val="5"/>
            <w:vAlign w:val="center"/>
          </w:tcPr>
          <w:p w14:paraId="0D27E5D8">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27号楼宿舍平面图：</w:t>
            </w:r>
          </w:p>
          <w:p w14:paraId="4FEDDBB3">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 w:val="21"/>
                <w:szCs w:val="21"/>
                <w:highlight w:val="none"/>
              </w:rPr>
              <w:drawing>
                <wp:inline distT="0" distB="0" distL="114300" distR="114300">
                  <wp:extent cx="3081655" cy="1567180"/>
                  <wp:effectExtent l="0" t="0" r="4445" b="4445"/>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12"/>
                          <a:stretch>
                            <a:fillRect/>
                          </a:stretch>
                        </pic:blipFill>
                        <pic:spPr>
                          <a:xfrm>
                            <a:off x="0" y="0"/>
                            <a:ext cx="3081655" cy="1567180"/>
                          </a:xfrm>
                          <a:prstGeom prst="rect">
                            <a:avLst/>
                          </a:prstGeom>
                          <a:noFill/>
                          <a:ln>
                            <a:noFill/>
                          </a:ln>
                        </pic:spPr>
                      </pic:pic>
                    </a:graphicData>
                  </a:graphic>
                </wp:inline>
              </w:drawing>
            </w:r>
          </w:p>
          <w:p w14:paraId="2C13B6A4">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 w:val="21"/>
                <w:szCs w:val="21"/>
                <w:highlight w:val="none"/>
              </w:rPr>
              <w:drawing>
                <wp:inline distT="0" distB="0" distL="114300" distR="114300">
                  <wp:extent cx="2853055" cy="1238250"/>
                  <wp:effectExtent l="0" t="0" r="4445" b="0"/>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13"/>
                          <a:stretch>
                            <a:fillRect/>
                          </a:stretch>
                        </pic:blipFill>
                        <pic:spPr>
                          <a:xfrm>
                            <a:off x="0" y="0"/>
                            <a:ext cx="2853055" cy="1238250"/>
                          </a:xfrm>
                          <a:prstGeom prst="rect">
                            <a:avLst/>
                          </a:prstGeom>
                          <a:noFill/>
                          <a:ln>
                            <a:noFill/>
                          </a:ln>
                        </pic:spPr>
                      </pic:pic>
                    </a:graphicData>
                  </a:graphic>
                </wp:inline>
              </w:drawing>
            </w:r>
          </w:p>
        </w:tc>
      </w:tr>
    </w:tbl>
    <w:p w14:paraId="0B3855FB">
      <w:pPr>
        <w:adjustRightInd w:val="0"/>
        <w:snapToGrid w:val="0"/>
        <w:spacing w:line="288" w:lineRule="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注：</w:t>
      </w:r>
    </w:p>
    <w:p w14:paraId="389C1A97">
      <w:pPr>
        <w:adjustRightInd w:val="0"/>
        <w:snapToGrid w:val="0"/>
        <w:spacing w:line="288" w:lineRule="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1</w:t>
      </w:r>
      <w:r>
        <w:rPr>
          <w:rFonts w:hint="eastAsia" w:ascii="宋体" w:hAnsi="宋体" w:eastAsia="宋体" w:cs="Times New Roman"/>
          <w:b w:val="0"/>
          <w:bCs w:val="0"/>
          <w:color w:val="auto"/>
          <w:szCs w:val="21"/>
          <w:highlight w:val="none"/>
          <w:lang w:val="en-US" w:eastAsia="zh-CN"/>
        </w:rPr>
        <w:t>.</w:t>
      </w:r>
      <w:r>
        <w:rPr>
          <w:rFonts w:hint="eastAsia" w:ascii="宋体" w:hAnsi="宋体" w:eastAsia="宋体" w:cs="Times New Roman"/>
          <w:b w:val="0"/>
          <w:bCs w:val="0"/>
          <w:color w:val="auto"/>
          <w:szCs w:val="21"/>
          <w:highlight w:val="none"/>
        </w:rPr>
        <w:t>中标</w:t>
      </w:r>
      <w:r>
        <w:rPr>
          <w:rFonts w:hint="eastAsia" w:ascii="宋体" w:hAnsi="宋体" w:eastAsia="宋体" w:cs="Times New Roman"/>
          <w:b w:val="0"/>
          <w:bCs w:val="0"/>
          <w:color w:val="auto"/>
          <w:szCs w:val="21"/>
          <w:highlight w:val="none"/>
          <w:lang w:val="en-US" w:eastAsia="zh-CN"/>
        </w:rPr>
        <w:t>人</w:t>
      </w:r>
      <w:r>
        <w:rPr>
          <w:rFonts w:hint="eastAsia" w:ascii="宋体" w:hAnsi="宋体" w:eastAsia="宋体" w:cs="Times New Roman"/>
          <w:b w:val="0"/>
          <w:bCs w:val="0"/>
          <w:color w:val="auto"/>
          <w:szCs w:val="21"/>
          <w:highlight w:val="none"/>
        </w:rPr>
        <w:t>需要负责对27号楼的</w:t>
      </w:r>
      <w:r>
        <w:rPr>
          <w:rFonts w:hint="eastAsia" w:ascii="宋体" w:hAnsi="宋体" w:eastAsia="宋体" w:cs="Times New Roman"/>
          <w:b w:val="0"/>
          <w:bCs w:val="0"/>
          <w:color w:val="auto"/>
          <w:szCs w:val="21"/>
          <w:highlight w:val="none"/>
          <w:lang w:val="en-US" w:eastAsia="zh-CN"/>
        </w:rPr>
        <w:t>534</w:t>
      </w:r>
      <w:r>
        <w:rPr>
          <w:rFonts w:hint="eastAsia" w:ascii="宋体" w:hAnsi="宋体" w:eastAsia="宋体" w:cs="Times New Roman"/>
          <w:b w:val="0"/>
          <w:bCs w:val="0"/>
          <w:color w:val="auto"/>
          <w:szCs w:val="21"/>
          <w:highlight w:val="none"/>
        </w:rPr>
        <w:t>组已报废家具（包含床、书桌、柜子）进行拆除、清运；</w:t>
      </w:r>
    </w:p>
    <w:p w14:paraId="51960716">
      <w:pPr>
        <w:adjustRightInd w:val="0"/>
        <w:snapToGrid w:val="0"/>
        <w:spacing w:line="288" w:lineRule="auto"/>
        <w:rPr>
          <w:rFonts w:hint="eastAsia" w:ascii="宋体" w:hAnsi="宋体" w:eastAsia="宋体" w:cs="Times New Roman"/>
          <w:b w:val="0"/>
          <w:bCs w:val="0"/>
          <w:color w:val="auto"/>
          <w:szCs w:val="21"/>
          <w:highlight w:val="none"/>
          <w:lang w:eastAsia="zh-CN"/>
        </w:rPr>
      </w:pPr>
      <w:r>
        <w:rPr>
          <w:rFonts w:hint="eastAsia" w:ascii="宋体" w:hAnsi="宋体" w:eastAsia="宋体" w:cs="Times New Roman"/>
          <w:b w:val="0"/>
          <w:bCs w:val="0"/>
          <w:color w:val="auto"/>
          <w:szCs w:val="21"/>
          <w:highlight w:val="none"/>
        </w:rPr>
        <w:t>2</w:t>
      </w:r>
      <w:r>
        <w:rPr>
          <w:rFonts w:hint="eastAsia" w:ascii="宋体" w:hAnsi="宋体" w:eastAsia="宋体" w:cs="Times New Roman"/>
          <w:b w:val="0"/>
          <w:bCs w:val="0"/>
          <w:color w:val="auto"/>
          <w:szCs w:val="21"/>
          <w:highlight w:val="none"/>
          <w:lang w:val="en-US" w:eastAsia="zh-CN"/>
        </w:rPr>
        <w:t>.</w:t>
      </w:r>
      <w:r>
        <w:rPr>
          <w:rFonts w:hint="eastAsia" w:ascii="宋体" w:hAnsi="宋体" w:eastAsia="宋体" w:cs="Times New Roman"/>
          <w:b w:val="0"/>
          <w:bCs w:val="0"/>
          <w:color w:val="auto"/>
          <w:szCs w:val="21"/>
          <w:highlight w:val="none"/>
        </w:rPr>
        <w:t>中标人需要负责对27号楼的</w:t>
      </w:r>
      <w:r>
        <w:rPr>
          <w:rFonts w:hint="eastAsia" w:ascii="宋体" w:hAnsi="宋体" w:eastAsia="宋体" w:cs="Times New Roman"/>
          <w:b w:val="0"/>
          <w:bCs w:val="0"/>
          <w:color w:val="auto"/>
          <w:szCs w:val="21"/>
          <w:highlight w:val="none"/>
          <w:lang w:val="en-US" w:eastAsia="zh-CN"/>
        </w:rPr>
        <w:t>178</w:t>
      </w:r>
      <w:r>
        <w:rPr>
          <w:rFonts w:hint="eastAsia" w:ascii="宋体" w:hAnsi="宋体" w:eastAsia="宋体" w:cs="Times New Roman"/>
          <w:b w:val="0"/>
          <w:bCs w:val="0"/>
          <w:color w:val="auto"/>
          <w:szCs w:val="21"/>
          <w:highlight w:val="none"/>
        </w:rPr>
        <w:t>套二人位书桌（带柜）、</w:t>
      </w:r>
      <w:r>
        <w:rPr>
          <w:rFonts w:hint="eastAsia" w:ascii="宋体" w:hAnsi="宋体" w:eastAsia="宋体" w:cs="Times New Roman"/>
          <w:b w:val="0"/>
          <w:bCs w:val="0"/>
          <w:color w:val="auto"/>
          <w:szCs w:val="21"/>
          <w:highlight w:val="none"/>
          <w:lang w:val="en-US" w:eastAsia="zh-CN"/>
        </w:rPr>
        <w:t>178</w:t>
      </w:r>
      <w:r>
        <w:rPr>
          <w:rFonts w:hint="eastAsia" w:ascii="宋体" w:hAnsi="宋体" w:eastAsia="宋体" w:cs="Times New Roman"/>
          <w:b w:val="0"/>
          <w:bCs w:val="0"/>
          <w:color w:val="auto"/>
          <w:szCs w:val="21"/>
          <w:highlight w:val="none"/>
        </w:rPr>
        <w:t>张单人位公寓床进行分解拆除，保证拆卸的零件保存完好、标明相应位置，并全部运输到生活区车库</w:t>
      </w:r>
      <w:r>
        <w:rPr>
          <w:rFonts w:hint="eastAsia" w:ascii="宋体" w:hAnsi="宋体" w:eastAsia="宋体" w:cs="Times New Roman"/>
          <w:b w:val="0"/>
          <w:bCs w:val="0"/>
          <w:color w:val="auto"/>
          <w:szCs w:val="21"/>
          <w:highlight w:val="none"/>
          <w:lang w:eastAsia="zh-CN"/>
        </w:rPr>
        <w:t>；</w:t>
      </w:r>
    </w:p>
    <w:p w14:paraId="2C639540">
      <w:pPr>
        <w:adjustRightInd w:val="0"/>
        <w:snapToGrid w:val="0"/>
        <w:spacing w:line="288" w:lineRule="auto"/>
        <w:rPr>
          <w:rFonts w:hint="default"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3.以上费用均包含在本项目投标总价中。</w:t>
      </w:r>
    </w:p>
    <w:p w14:paraId="2A83C00D">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7EFCC019">
      <w:pPr>
        <w:adjustRightInd w:val="0"/>
        <w:snapToGrid w:val="0"/>
        <w:spacing w:line="288" w:lineRule="auto"/>
        <w:rPr>
          <w:rFonts w:hint="default" w:ascii="宋体" w:hAnsi="宋体" w:eastAsia="宋体" w:cs="Times New Roman"/>
          <w:b/>
          <w:bCs/>
          <w:color w:val="auto"/>
          <w:spacing w:val="-4"/>
          <w:szCs w:val="21"/>
          <w:highlight w:val="none"/>
          <w:lang w:val="en-US" w:eastAsia="zh-CN"/>
        </w:rPr>
      </w:pPr>
      <w:r>
        <w:rPr>
          <w:rFonts w:hint="eastAsia" w:ascii="宋体" w:hAnsi="宋体" w:eastAsia="宋体" w:cs="Times New Roman"/>
          <w:b/>
          <w:bCs/>
          <w:color w:val="auto"/>
          <w:spacing w:val="-4"/>
          <w:szCs w:val="21"/>
          <w:highlight w:val="none"/>
          <w:lang w:val="en-US" w:eastAsia="zh-CN"/>
        </w:rPr>
        <w:t>标项二：</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45A2F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55A6618">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14:paraId="3B096AC0">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14:paraId="6A2C9D00">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14:paraId="0A0478C4">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14:paraId="2789C92C">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14:paraId="2FECF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38A4836">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10" w:type="dxa"/>
            <w:vAlign w:val="center"/>
          </w:tcPr>
          <w:p w14:paraId="703C283B">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三人位公寓组合床（五人间）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加长床</w:t>
            </w:r>
            <w:r>
              <w:rPr>
                <w:rFonts w:hint="eastAsia" w:ascii="宋体" w:hAnsi="宋体" w:eastAsia="宋体" w:cs="宋体"/>
                <w:color w:val="auto"/>
                <w:sz w:val="21"/>
                <w:szCs w:val="21"/>
                <w:highlight w:val="none"/>
                <w:lang w:eastAsia="zh-CN"/>
              </w:rPr>
              <w:t>）</w:t>
            </w:r>
          </w:p>
          <w:p w14:paraId="3BB6BDD5">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核心产品</w:t>
            </w:r>
            <w:r>
              <w:rPr>
                <w:rFonts w:hint="eastAsia" w:ascii="宋体" w:hAnsi="宋体" w:eastAsia="宋体" w:cs="宋体"/>
                <w:b/>
                <w:bCs/>
                <w:color w:val="auto"/>
                <w:sz w:val="21"/>
                <w:szCs w:val="21"/>
                <w:highlight w:val="none"/>
                <w:lang w:eastAsia="zh-CN"/>
              </w:rPr>
              <w:t>）</w:t>
            </w:r>
          </w:p>
        </w:tc>
        <w:tc>
          <w:tcPr>
            <w:tcW w:w="661" w:type="dxa"/>
            <w:vAlign w:val="center"/>
          </w:tcPr>
          <w:p w14:paraId="34127FA4">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194</w:t>
            </w:r>
          </w:p>
        </w:tc>
        <w:tc>
          <w:tcPr>
            <w:tcW w:w="661" w:type="dxa"/>
            <w:vAlign w:val="center"/>
          </w:tcPr>
          <w:p w14:paraId="635EF810">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组</w:t>
            </w:r>
          </w:p>
        </w:tc>
        <w:tc>
          <w:tcPr>
            <w:tcW w:w="6269" w:type="dxa"/>
            <w:vAlign w:val="center"/>
          </w:tcPr>
          <w:p w14:paraId="09244884">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1.参考规格：4550*900*2900mm（含蚊帐架），根据现场实际情况调整；</w:t>
            </w:r>
          </w:p>
          <w:p w14:paraId="186F75B3">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2.立柱：采用≥50*80*1.2mm异型管，立柱底部端口安装优质工程塑料内塞；</w:t>
            </w:r>
          </w:p>
          <w:p w14:paraId="0E8E7959">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3.床挺：≥50*60*1.2mm异型管；</w:t>
            </w:r>
          </w:p>
          <w:p w14:paraId="0A10FA6B">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4.床头、床尾横管：整体框架由≥25*25*1.0mm方管、≥25*50*1.0mm方管组成，并安装一块优质EO级实木多层板，板材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高度≥320mm；</w:t>
            </w:r>
          </w:p>
          <w:p w14:paraId="2B181A6E">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5.床护栏：前护栏高度≥380mm；整体框架采用≥25mm*25mm*1.2mm优质方管，内镶优质EO级实木多层板，</w:t>
            </w:r>
            <w:r>
              <w:rPr>
                <w:rFonts w:hint="eastAsia" w:ascii="宋体" w:hAnsi="宋体" w:eastAsia="宋体" w:cs="宋体"/>
                <w:bCs/>
                <w:color w:val="auto"/>
                <w:kern w:val="2"/>
                <w:sz w:val="21"/>
                <w:szCs w:val="21"/>
                <w:highlight w:val="none"/>
                <w:lang w:val="en-US" w:eastAsia="zh-CN" w:bidi="ar"/>
              </w:rPr>
              <w:t>板材厚度≥16mm，</w:t>
            </w:r>
            <w:r>
              <w:rPr>
                <w:rFonts w:hint="eastAsia" w:ascii="宋体" w:hAnsi="宋体" w:eastAsia="宋体" w:cs="宋体"/>
                <w:color w:val="auto"/>
                <w:kern w:val="2"/>
                <w:sz w:val="21"/>
                <w:szCs w:val="21"/>
                <w:highlight w:val="none"/>
                <w:lang w:val="en-US" w:eastAsia="zh-CN" w:bidi="ar"/>
              </w:rPr>
              <w:t>并在合理位置设置安全通气观察窗。后护栏整体框架采用≥20*20*1.2mm优质方管，内镶优质EO级实木多层板，</w:t>
            </w:r>
            <w:r>
              <w:rPr>
                <w:rFonts w:hint="eastAsia" w:ascii="宋体" w:hAnsi="宋体" w:eastAsia="宋体" w:cs="宋体"/>
                <w:bCs/>
                <w:color w:val="auto"/>
                <w:kern w:val="2"/>
                <w:sz w:val="21"/>
                <w:szCs w:val="21"/>
                <w:highlight w:val="none"/>
                <w:lang w:val="en-US" w:eastAsia="zh-CN" w:bidi="ar"/>
              </w:rPr>
              <w:t>板材厚度≥16mm，</w:t>
            </w:r>
            <w:r>
              <w:rPr>
                <w:rFonts w:hint="eastAsia" w:ascii="宋体" w:hAnsi="宋体" w:eastAsia="宋体" w:cs="宋体"/>
                <w:color w:val="auto"/>
                <w:kern w:val="2"/>
                <w:sz w:val="21"/>
                <w:szCs w:val="21"/>
                <w:highlight w:val="none"/>
                <w:lang w:val="en-US" w:eastAsia="zh-CN" w:bidi="ar"/>
              </w:rPr>
              <w:t>高度≥320mm；</w:t>
            </w:r>
          </w:p>
          <w:p w14:paraId="5B4E0EB7">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6.走步梯：采用中梯样式，宽度≥450mm，钢架采用≥20*50*1.2mm方管。其他涉及板材采用优质EO级实木多层板，板材</w:t>
            </w:r>
            <w:r>
              <w:rPr>
                <w:rFonts w:hint="eastAsia" w:ascii="宋体" w:hAnsi="宋体" w:eastAsia="宋体" w:cs="宋体"/>
                <w:bCs/>
                <w:color w:val="auto"/>
                <w:kern w:val="2"/>
                <w:sz w:val="21"/>
                <w:szCs w:val="21"/>
                <w:highlight w:val="none"/>
                <w:lang w:val="en-US" w:eastAsia="zh-CN" w:bidi="ar"/>
              </w:rPr>
              <w:t>厚度≥18mm</w:t>
            </w:r>
            <w:r>
              <w:rPr>
                <w:rFonts w:hint="eastAsia" w:ascii="宋体" w:hAnsi="宋体" w:eastAsia="宋体" w:cs="宋体"/>
                <w:color w:val="auto"/>
                <w:kern w:val="2"/>
                <w:sz w:val="21"/>
                <w:szCs w:val="21"/>
                <w:highlight w:val="none"/>
                <w:lang w:val="en-US" w:eastAsia="zh-CN" w:bidi="ar"/>
              </w:rPr>
              <w:t>。合理分配台阶数，每级踏板大小一致，踏板表面需镶嵌防滑夜光条。合理设计中梯内部储物空间，若储物空间涉及柜门，配置铝合金长条形暗拉手和阻尼缓冲铰链；</w:t>
            </w:r>
          </w:p>
          <w:p w14:paraId="3CE73864">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7.蚊帐架：采用≥Φ19*1.0mm圆管，塑料三通连接件连接。合理设计，样式匹配整体风格，高度根据现场实际情况确定；</w:t>
            </w:r>
          </w:p>
          <w:p w14:paraId="47F83A3A">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8.床板：采用≥60*15mm厚的优质杉木板，拼接缝隙≤10mm；床板平铺钉在4根30*40mm的木档上；床板加固档：≥25*25*1.0mm方管，数量不少于3根；</w:t>
            </w:r>
          </w:p>
          <w:p w14:paraId="10CE9981">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9.床下组合桌柜：</w:t>
            </w:r>
          </w:p>
          <w:p w14:paraId="50FBDF4F">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bCs/>
                <w:color w:val="auto"/>
                <w:kern w:val="2"/>
                <w:sz w:val="21"/>
                <w:szCs w:val="21"/>
                <w:highlight w:val="none"/>
                <w:lang w:val="en-US" w:eastAsia="zh-CN" w:bidi="ar"/>
              </w:rPr>
              <w:t>具备衣柜、书桌、书架等功能，书桌与衣柜需独立分开；</w:t>
            </w:r>
          </w:p>
          <w:p w14:paraId="0FEBD602">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（2）板材均</w:t>
            </w:r>
            <w:r>
              <w:rPr>
                <w:rFonts w:hint="eastAsia" w:ascii="宋体" w:hAnsi="宋体" w:eastAsia="宋体" w:cs="宋体"/>
                <w:bCs/>
                <w:color w:val="auto"/>
                <w:kern w:val="2"/>
                <w:sz w:val="21"/>
                <w:szCs w:val="21"/>
                <w:highlight w:val="none"/>
                <w:lang w:val="en-US" w:eastAsia="zh-CN" w:bidi="ar"/>
              </w:rPr>
              <w:t>采用三聚氰胺饰面EO级实木多层板；</w:t>
            </w:r>
          </w:p>
          <w:p w14:paraId="770C2FD0">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bCs/>
                <w:color w:val="auto"/>
                <w:kern w:val="2"/>
                <w:sz w:val="21"/>
                <w:szCs w:val="21"/>
                <w:highlight w:val="none"/>
                <w:lang w:val="en-US" w:eastAsia="zh-CN" w:bidi="ar"/>
              </w:rPr>
              <w:t>书桌宽度≥900mm，深度≥600mm，桌面板材厚度≥18mm，其余板材厚度≥16mm。桌面挡板高度≥130mm，并在桌面挡板合理位置内嵌1个插排（≥2个2孔、≥2个3孔、≥1个USB接口）</w:t>
            </w:r>
            <w:r>
              <w:rPr>
                <w:rFonts w:hint="eastAsia" w:ascii="宋体" w:hAnsi="宋体" w:eastAsia="宋体" w:cs="宋体"/>
                <w:b/>
                <w:bCs w:val="0"/>
                <w:color w:val="auto"/>
                <w:kern w:val="2"/>
                <w:sz w:val="21"/>
                <w:szCs w:val="21"/>
                <w:highlight w:val="none"/>
                <w:lang w:val="en-US" w:eastAsia="zh-CN" w:bidi="ar"/>
              </w:rPr>
              <w:t>（▲投标文件中提供有效的3C认证证书扫描件）</w:t>
            </w:r>
            <w:r>
              <w:rPr>
                <w:rFonts w:hint="eastAsia" w:ascii="宋体" w:hAnsi="宋体" w:eastAsia="宋体" w:cs="宋体"/>
                <w:bCs/>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书桌上方合理设计书架，每行合理位置设隔板一块；</w:t>
            </w:r>
          </w:p>
          <w:p w14:paraId="175030AD">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r>
              <w:rPr>
                <w:rFonts w:hint="eastAsia" w:ascii="宋体" w:hAnsi="宋体" w:eastAsia="宋体" w:cs="宋体"/>
                <w:bCs/>
                <w:color w:val="auto"/>
                <w:kern w:val="2"/>
                <w:sz w:val="21"/>
                <w:szCs w:val="21"/>
                <w:highlight w:val="none"/>
                <w:lang w:val="en-US" w:eastAsia="zh-CN" w:bidi="ar"/>
              </w:rPr>
              <w:t>衣柜：宽度≥900mm，深度≥600mm。衣柜后背板厚度≥9mm，其他板材厚度≥16mm，合理设计上下两个功能区，上功能区配不锈钢材质挂衣杆。竖向双开门设计，配加强筋防止形变，柜门外立面四周边角倒角设计防磕碰，配优质阻尼缓冲功能铰链；</w:t>
            </w:r>
          </w:p>
          <w:p w14:paraId="0B231F9F">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（5）拉手：衣柜门拉手采用铝、塑复合长腰形拉手；抽屉拉手采用铝合金材质。安装方式为内嵌式拉手；</w:t>
            </w:r>
          </w:p>
          <w:p w14:paraId="3BB58F91">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（6）组合桌柜底部防潮架采用≥20*50*1.2mm方管制作，并作封闭防尘处理；</w:t>
            </w:r>
          </w:p>
          <w:p w14:paraId="63F8D3AD">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10.根据房型类别，合计设计床位编号样式及安装位置，如1，2，3，4，5或1号、2号.....等；</w:t>
            </w:r>
          </w:p>
          <w:p w14:paraId="73300786">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11.上下铺两张床为加长床，床体长度</w:t>
            </w:r>
            <w:r>
              <w:rPr>
                <w:rFonts w:hint="eastAsia" w:ascii="宋体" w:hAnsi="宋体" w:eastAsia="宋体" w:cs="宋体"/>
                <w:color w:val="auto"/>
                <w:kern w:val="2"/>
                <w:sz w:val="21"/>
                <w:szCs w:val="21"/>
                <w:highlight w:val="none"/>
                <w:lang w:val="en-US" w:eastAsia="zh-CN" w:bidi="ar"/>
              </w:rPr>
              <w:t>≥2100mm</w:t>
            </w:r>
            <w:r>
              <w:rPr>
                <w:rFonts w:hint="eastAsia" w:ascii="宋体" w:hAnsi="宋体" w:eastAsia="宋体" w:cs="宋体"/>
                <w:color w:val="auto"/>
                <w:kern w:val="0"/>
                <w:sz w:val="21"/>
                <w:szCs w:val="21"/>
                <w:highlight w:val="none"/>
                <w:lang w:val="en-US" w:eastAsia="zh-CN" w:bidi="ar"/>
              </w:rPr>
              <w:t>；</w:t>
            </w:r>
          </w:p>
          <w:p w14:paraId="30231812">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12.参考图片：</w:t>
            </w:r>
          </w:p>
          <w:p w14:paraId="7127558A">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2124075" cy="1514475"/>
                  <wp:effectExtent l="0" t="0" r="0" b="0"/>
                  <wp:docPr id="1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6"/>
                          <pic:cNvPicPr>
                            <a:picLocks noChangeAspect="1"/>
                          </pic:cNvPicPr>
                        </pic:nvPicPr>
                        <pic:blipFill>
                          <a:blip r:embed="rId8"/>
                          <a:stretch>
                            <a:fillRect/>
                          </a:stretch>
                        </pic:blipFill>
                        <pic:spPr>
                          <a:xfrm>
                            <a:off x="0" y="0"/>
                            <a:ext cx="2124075" cy="1514475"/>
                          </a:xfrm>
                          <a:prstGeom prst="rect">
                            <a:avLst/>
                          </a:prstGeom>
                          <a:noFill/>
                          <a:ln w="9525">
                            <a:noFill/>
                          </a:ln>
                        </pic:spPr>
                      </pic:pic>
                    </a:graphicData>
                  </a:graphic>
                </wp:inline>
              </w:drawing>
            </w:r>
          </w:p>
        </w:tc>
      </w:tr>
      <w:tr w14:paraId="4F536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57D068F">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810" w:type="dxa"/>
            <w:vAlign w:val="center"/>
          </w:tcPr>
          <w:p w14:paraId="3CBD3969">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二人位公寓组合床（五人间）</w:t>
            </w:r>
          </w:p>
        </w:tc>
        <w:tc>
          <w:tcPr>
            <w:tcW w:w="661" w:type="dxa"/>
            <w:vAlign w:val="center"/>
          </w:tcPr>
          <w:p w14:paraId="2D58FABE">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194</w:t>
            </w:r>
          </w:p>
        </w:tc>
        <w:tc>
          <w:tcPr>
            <w:tcW w:w="661" w:type="dxa"/>
            <w:vAlign w:val="center"/>
          </w:tcPr>
          <w:p w14:paraId="4678B9AF">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组</w:t>
            </w:r>
          </w:p>
        </w:tc>
        <w:tc>
          <w:tcPr>
            <w:tcW w:w="6269" w:type="dxa"/>
            <w:vAlign w:val="center"/>
          </w:tcPr>
          <w:p w14:paraId="53A71088">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1.参考规格：4550*900*2900mm（含蚊帐架），根据现场实际情况调整；</w:t>
            </w:r>
          </w:p>
          <w:p w14:paraId="753389EB">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2.立柱：采用≥50*80*1.2mm异型管，立柱底部端口安装优质工程塑料内塞；</w:t>
            </w:r>
          </w:p>
          <w:p w14:paraId="06633121">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3.床挺：≥50*60*1.2mm异型管；</w:t>
            </w:r>
          </w:p>
          <w:p w14:paraId="61D05FB5">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4.床头、床尾横管：整体框架由≥25*25*1.0mm方管、≥25*50*1.0mm方管组成，并安装一块优质EO级实木多层板，板材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高度≥320mm，安全、美观；</w:t>
            </w:r>
          </w:p>
          <w:p w14:paraId="5FCD1F3E">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5.床护栏：前护栏高度≥380mm；整体框架采用≥25mm*25mm*1.2mm优质方管，内镶优质EO级实木多层板，板材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并在合理位置设置安全通气观察窗。后护栏整体框架采用≥20*20*1.2mm优质方管，内镶优质EO级实木多层板，板材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高度≥320mm；</w:t>
            </w:r>
          </w:p>
          <w:p w14:paraId="5C054522">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6.走步梯：采用中梯样式，宽度≥450mm，钢架采用≥20*50*1.2mm方管。其他涉及板材采用优质EO级实木多层板，板材</w:t>
            </w:r>
            <w:r>
              <w:rPr>
                <w:rFonts w:hint="eastAsia" w:ascii="宋体" w:hAnsi="宋体" w:eastAsia="宋体" w:cs="宋体"/>
                <w:bCs/>
                <w:color w:val="auto"/>
                <w:kern w:val="2"/>
                <w:sz w:val="21"/>
                <w:szCs w:val="21"/>
                <w:highlight w:val="none"/>
                <w:lang w:val="en-US" w:eastAsia="zh-CN" w:bidi="ar"/>
              </w:rPr>
              <w:t>厚度≥18mm</w:t>
            </w:r>
            <w:r>
              <w:rPr>
                <w:rFonts w:hint="eastAsia" w:ascii="宋体" w:hAnsi="宋体" w:eastAsia="宋体" w:cs="宋体"/>
                <w:color w:val="auto"/>
                <w:kern w:val="2"/>
                <w:sz w:val="21"/>
                <w:szCs w:val="21"/>
                <w:highlight w:val="none"/>
                <w:lang w:val="en-US" w:eastAsia="zh-CN" w:bidi="ar"/>
              </w:rPr>
              <w:t>。合理分配台阶数，每级踏板大小一致，踏板表面需镶嵌防滑夜光条。合理设计中梯内部储物空间，若储物空间涉及柜门，配置铝合金长条形暗拉手和阻尼缓冲铰链；</w:t>
            </w:r>
          </w:p>
          <w:p w14:paraId="33BBAF71">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7.蚊帐架：采用≥Φ19*1.0mm圆管，塑料三通连接件连接。合理设计，样式匹配整体风格，高度根据现场实际情况确定；</w:t>
            </w:r>
          </w:p>
          <w:p w14:paraId="6F95C7D1">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8.床板：采用≥60*15mm厚的优质杉木板，拼接缝隙≤10mm；床板平铺钉在4根30*40mm的木档上；床板加固档：≥25*25*1.0mm方管，数量不少于3根；</w:t>
            </w:r>
          </w:p>
          <w:p w14:paraId="035B8E65">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8.床下书桌：</w:t>
            </w:r>
          </w:p>
          <w:p w14:paraId="3BAB1F3F">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bCs/>
                <w:color w:val="auto"/>
                <w:kern w:val="2"/>
                <w:sz w:val="21"/>
                <w:szCs w:val="21"/>
                <w:highlight w:val="none"/>
                <w:lang w:val="en-US" w:eastAsia="zh-CN" w:bidi="ar"/>
              </w:rPr>
              <w:t>具备书桌、书架等功能，两张书桌需独立分开；</w:t>
            </w:r>
          </w:p>
          <w:p w14:paraId="5EA50045">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（2）板材均</w:t>
            </w:r>
            <w:r>
              <w:rPr>
                <w:rFonts w:hint="eastAsia" w:ascii="宋体" w:hAnsi="宋体" w:eastAsia="宋体" w:cs="宋体"/>
                <w:bCs/>
                <w:color w:val="auto"/>
                <w:kern w:val="2"/>
                <w:sz w:val="21"/>
                <w:szCs w:val="21"/>
                <w:highlight w:val="none"/>
                <w:lang w:val="en-US" w:eastAsia="zh-CN" w:bidi="ar"/>
              </w:rPr>
              <w:t>采用三聚氰胺饰面EO级实木多层板；</w:t>
            </w:r>
          </w:p>
          <w:p w14:paraId="6DB10A7E">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bCs/>
                <w:color w:val="auto"/>
                <w:kern w:val="2"/>
                <w:sz w:val="21"/>
                <w:szCs w:val="21"/>
                <w:highlight w:val="none"/>
                <w:lang w:val="en-US" w:eastAsia="zh-CN" w:bidi="ar"/>
              </w:rPr>
              <w:t>书桌宽度≥900mm，深度≥600mm，桌面板材厚度≥18mm，其余板材厚度≥16mm。桌面挡板高度≥130mm，并在桌面挡板合理位置内嵌1个插排（≥2个2孔、≥2个3孔、≥1个USB接口）</w:t>
            </w:r>
            <w:r>
              <w:rPr>
                <w:rFonts w:hint="eastAsia" w:ascii="宋体" w:hAnsi="宋体" w:eastAsia="宋体" w:cs="宋体"/>
                <w:b/>
                <w:bCs w:val="0"/>
                <w:color w:val="auto"/>
                <w:kern w:val="2"/>
                <w:sz w:val="21"/>
                <w:szCs w:val="21"/>
                <w:highlight w:val="none"/>
                <w:lang w:val="en-US" w:eastAsia="zh-CN" w:bidi="ar"/>
              </w:rPr>
              <w:t>（▲投标文件中提供有效的3C认证证书扫描件）</w:t>
            </w:r>
            <w:r>
              <w:rPr>
                <w:rFonts w:hint="eastAsia" w:ascii="宋体" w:hAnsi="宋体" w:eastAsia="宋体" w:cs="宋体"/>
                <w:bCs/>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书桌上方合理设计书架，每行合理位置设隔板一块；</w:t>
            </w:r>
          </w:p>
          <w:p w14:paraId="33FAB603">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9.根据房型类别，合计设计床位编号样式及安装位置，如1，2，3，4，5或1号、2号.....等；</w:t>
            </w:r>
          </w:p>
          <w:p w14:paraId="1EC5284E">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10.</w:t>
            </w:r>
            <w:r>
              <w:rPr>
                <w:rFonts w:hint="eastAsia" w:ascii="宋体" w:hAnsi="宋体" w:eastAsia="宋体" w:cs="宋体"/>
                <w:color w:val="auto"/>
                <w:kern w:val="2"/>
                <w:sz w:val="21"/>
                <w:szCs w:val="21"/>
                <w:highlight w:val="none"/>
                <w:lang w:val="en-US" w:eastAsia="zh-CN" w:bidi="ar"/>
              </w:rPr>
              <w:t>参考图片：</w:t>
            </w:r>
          </w:p>
          <w:p w14:paraId="3994DEB6">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2002155" cy="1369695"/>
                  <wp:effectExtent l="0" t="0" r="7620" b="1905"/>
                  <wp:docPr id="1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IMG_256"/>
                          <pic:cNvPicPr>
                            <a:picLocks noChangeAspect="1"/>
                          </pic:cNvPicPr>
                        </pic:nvPicPr>
                        <pic:blipFill>
                          <a:blip r:embed="rId9"/>
                          <a:stretch>
                            <a:fillRect/>
                          </a:stretch>
                        </pic:blipFill>
                        <pic:spPr>
                          <a:xfrm>
                            <a:off x="0" y="0"/>
                            <a:ext cx="2002155" cy="1369695"/>
                          </a:xfrm>
                          <a:prstGeom prst="rect">
                            <a:avLst/>
                          </a:prstGeom>
                          <a:noFill/>
                          <a:ln w="9525">
                            <a:noFill/>
                          </a:ln>
                        </pic:spPr>
                      </pic:pic>
                    </a:graphicData>
                  </a:graphic>
                </wp:inline>
              </w:drawing>
            </w:r>
          </w:p>
        </w:tc>
      </w:tr>
      <w:tr w14:paraId="1AE6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56333F7">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810" w:type="dxa"/>
            <w:vAlign w:val="center"/>
          </w:tcPr>
          <w:p w14:paraId="3696560E">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四人衣柜（五人间）</w:t>
            </w:r>
          </w:p>
        </w:tc>
        <w:tc>
          <w:tcPr>
            <w:tcW w:w="661" w:type="dxa"/>
            <w:vAlign w:val="center"/>
          </w:tcPr>
          <w:p w14:paraId="45AB1BCE">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194</w:t>
            </w:r>
          </w:p>
        </w:tc>
        <w:tc>
          <w:tcPr>
            <w:tcW w:w="661" w:type="dxa"/>
            <w:vAlign w:val="center"/>
          </w:tcPr>
          <w:p w14:paraId="232694BC">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组</w:t>
            </w:r>
          </w:p>
        </w:tc>
        <w:tc>
          <w:tcPr>
            <w:tcW w:w="6269" w:type="dxa"/>
            <w:vAlign w:val="center"/>
          </w:tcPr>
          <w:p w14:paraId="0F0F5F80">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1.参考规格：1600*600*2400mm（根据现场实际情况调整）；</w:t>
            </w:r>
          </w:p>
          <w:p w14:paraId="35269FFD">
            <w:pPr>
              <w:keepNext w:val="0"/>
              <w:keepLines w:val="0"/>
              <w:pageBreakBefore w:val="0"/>
              <w:widowControl w:val="0"/>
              <w:numPr>
                <w:ilvl w:val="0"/>
                <w:numId w:val="0"/>
              </w:numPr>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2.板材：采用优质EO级实木多层板，同色封边，</w:t>
            </w:r>
            <w:r>
              <w:rPr>
                <w:rFonts w:hint="eastAsia" w:ascii="宋体" w:hAnsi="宋体" w:eastAsia="宋体" w:cs="宋体"/>
                <w:bCs/>
                <w:color w:val="auto"/>
                <w:kern w:val="2"/>
                <w:sz w:val="21"/>
                <w:szCs w:val="21"/>
                <w:highlight w:val="none"/>
                <w:lang w:val="en-US" w:eastAsia="zh-CN" w:bidi="ar"/>
              </w:rPr>
              <w:t>深度≥600mm。衣柜后背板厚度≥9mm，其他板材厚度≥16mm；</w:t>
            </w:r>
          </w:p>
          <w:p w14:paraId="6574E1A9">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3.结合房型合理设计柜体款式及内部功能分区：四等分为四个柜子，内部合理隔断，内设挂衣杆1根，≥Φ19*1.0mm不锈钢圆管；</w:t>
            </w:r>
          </w:p>
          <w:p w14:paraId="352CCBF5">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4.柜门拉手采用铝合金材质，内嵌安装，配锁舌；</w:t>
            </w:r>
          </w:p>
          <w:p w14:paraId="05A50BAF">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5.下面设防潮架≥20*50*1.2mm方管，并作封闭防尘处理。如设计鞋架或其他顶部储物空间，采用≥Φ15*1.2 mm圆管、≥20*2mm扁铁，表面静电喷塑处理；</w:t>
            </w:r>
          </w:p>
          <w:p w14:paraId="434467A0">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6.根据房型类别，合理设计编号样式及安放位置（如：1,2,3,4,5或1号，2号…等）；</w:t>
            </w:r>
          </w:p>
          <w:p w14:paraId="33267816">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7.参考图片：</w:t>
            </w:r>
          </w:p>
          <w:p w14:paraId="450F3217">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1544320" cy="1855470"/>
                  <wp:effectExtent l="0" t="0" r="8255" b="1905"/>
                  <wp:docPr id="17"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IMG_256"/>
                          <pic:cNvPicPr>
                            <a:picLocks noChangeAspect="1"/>
                          </pic:cNvPicPr>
                        </pic:nvPicPr>
                        <pic:blipFill>
                          <a:blip r:embed="rId10"/>
                          <a:srcRect l="9339" t="5802" r="22250" b="4012"/>
                          <a:stretch>
                            <a:fillRect/>
                          </a:stretch>
                        </pic:blipFill>
                        <pic:spPr>
                          <a:xfrm>
                            <a:off x="0" y="0"/>
                            <a:ext cx="1544320" cy="1855470"/>
                          </a:xfrm>
                          <a:prstGeom prst="rect">
                            <a:avLst/>
                          </a:prstGeom>
                          <a:noFill/>
                          <a:ln w="9525">
                            <a:noFill/>
                          </a:ln>
                        </pic:spPr>
                      </pic:pic>
                    </a:graphicData>
                  </a:graphic>
                </wp:inline>
              </w:drawing>
            </w:r>
          </w:p>
        </w:tc>
      </w:tr>
      <w:tr w14:paraId="1806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2415A13">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810" w:type="dxa"/>
            <w:vAlign w:val="center"/>
          </w:tcPr>
          <w:p w14:paraId="067A8B16">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公寓椅</w:t>
            </w:r>
          </w:p>
        </w:tc>
        <w:tc>
          <w:tcPr>
            <w:tcW w:w="661" w:type="dxa"/>
            <w:vAlign w:val="center"/>
          </w:tcPr>
          <w:p w14:paraId="036C4B1A">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970</w:t>
            </w:r>
          </w:p>
        </w:tc>
        <w:tc>
          <w:tcPr>
            <w:tcW w:w="661" w:type="dxa"/>
            <w:vAlign w:val="center"/>
          </w:tcPr>
          <w:p w14:paraId="455BEC53">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把</w:t>
            </w:r>
          </w:p>
        </w:tc>
        <w:tc>
          <w:tcPr>
            <w:tcW w:w="6269" w:type="dxa"/>
            <w:vAlign w:val="center"/>
          </w:tcPr>
          <w:p w14:paraId="2A30B20B">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1.参考尺寸：常规；</w:t>
            </w:r>
          </w:p>
          <w:p w14:paraId="1E19E3AD">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材质：主杆采用≥φ22mm*1.2mm优质钢管。座板、靠背采用≥10mm厚的多层板，面贴防火板。钢管焊接表面波纹均匀，焊接处无夹渣、气孔、焊瘤、焊丝咬边和飞溅，无脱焊，虚焊和焊空的现象。喷塑采用抛丸高速处理工艺。喷塑表面光亮平整，无颗粒渣点，颜色均匀。符合国家环保要求；</w:t>
            </w:r>
          </w:p>
          <w:p w14:paraId="4C043F64">
            <w:pPr>
              <w:keepNext w:val="0"/>
              <w:keepLines w:val="0"/>
              <w:pageBreakBefore w:val="0"/>
              <w:widowControl/>
              <w:suppressLineNumbers w:val="0"/>
              <w:wordWrap/>
              <w:topLinePunct w:val="0"/>
              <w:bidi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2.参考图片：</w:t>
            </w:r>
          </w:p>
          <w:p w14:paraId="71236AE1">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1133475" cy="1438275"/>
                  <wp:effectExtent l="0" t="0" r="0" b="0"/>
                  <wp:docPr id="18"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descr="IMG_256"/>
                          <pic:cNvPicPr>
                            <a:picLocks noChangeAspect="1"/>
                          </pic:cNvPicPr>
                        </pic:nvPicPr>
                        <pic:blipFill>
                          <a:blip r:embed="rId11"/>
                          <a:stretch>
                            <a:fillRect/>
                          </a:stretch>
                        </pic:blipFill>
                        <pic:spPr>
                          <a:xfrm>
                            <a:off x="0" y="0"/>
                            <a:ext cx="1133475" cy="1438275"/>
                          </a:xfrm>
                          <a:prstGeom prst="rect">
                            <a:avLst/>
                          </a:prstGeom>
                          <a:noFill/>
                          <a:ln w="9525">
                            <a:noFill/>
                          </a:ln>
                        </pic:spPr>
                      </pic:pic>
                    </a:graphicData>
                  </a:graphic>
                </wp:inline>
              </w:drawing>
            </w:r>
          </w:p>
        </w:tc>
      </w:tr>
      <w:tr w14:paraId="4EC2A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60" w:type="dxa"/>
            <w:gridSpan w:val="5"/>
            <w:vAlign w:val="center"/>
          </w:tcPr>
          <w:p w14:paraId="14B6B394">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28号楼宿舍平面图：</w:t>
            </w:r>
          </w:p>
          <w:p w14:paraId="67DA639C">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086100" cy="1571625"/>
                  <wp:effectExtent l="0" t="0" r="0" b="0"/>
                  <wp:docPr id="26"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descr="IMG_256"/>
                          <pic:cNvPicPr>
                            <a:picLocks noChangeAspect="1"/>
                          </pic:cNvPicPr>
                        </pic:nvPicPr>
                        <pic:blipFill>
                          <a:blip r:embed="rId14"/>
                          <a:stretch>
                            <a:fillRect/>
                          </a:stretch>
                        </pic:blipFill>
                        <pic:spPr>
                          <a:xfrm>
                            <a:off x="0" y="0"/>
                            <a:ext cx="3086100" cy="1571625"/>
                          </a:xfrm>
                          <a:prstGeom prst="rect">
                            <a:avLst/>
                          </a:prstGeom>
                          <a:noFill/>
                          <a:ln w="9525">
                            <a:noFill/>
                          </a:ln>
                        </pic:spPr>
                      </pic:pic>
                    </a:graphicData>
                  </a:graphic>
                </wp:inline>
              </w:drawing>
            </w:r>
            <w:r>
              <w:rPr>
                <w:rFonts w:hint="eastAsia" w:ascii="宋体" w:hAnsi="宋体" w:eastAsia="宋体" w:cs="宋体"/>
                <w:color w:val="auto"/>
                <w:kern w:val="2"/>
                <w:sz w:val="21"/>
                <w:szCs w:val="21"/>
                <w:highlight w:val="none"/>
                <w:lang w:val="en-US" w:eastAsia="zh-CN" w:bidi="ar"/>
              </w:rPr>
              <w:t xml:space="preserve"> </w:t>
            </w:r>
          </w:p>
          <w:p w14:paraId="6C0F3E5D">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2857500" cy="1238250"/>
                  <wp:effectExtent l="0" t="0" r="0" b="0"/>
                  <wp:docPr id="25" name="图片 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descr="IMG_257"/>
                          <pic:cNvPicPr>
                            <a:picLocks noChangeAspect="1"/>
                          </pic:cNvPicPr>
                        </pic:nvPicPr>
                        <pic:blipFill>
                          <a:blip r:embed="rId15"/>
                          <a:stretch>
                            <a:fillRect/>
                          </a:stretch>
                        </pic:blipFill>
                        <pic:spPr>
                          <a:xfrm>
                            <a:off x="0" y="0"/>
                            <a:ext cx="2857500" cy="1238250"/>
                          </a:xfrm>
                          <a:prstGeom prst="rect">
                            <a:avLst/>
                          </a:prstGeom>
                          <a:noFill/>
                          <a:ln w="9525">
                            <a:noFill/>
                          </a:ln>
                        </pic:spPr>
                      </pic:pic>
                    </a:graphicData>
                  </a:graphic>
                </wp:inline>
              </w:drawing>
            </w:r>
          </w:p>
          <w:p w14:paraId="1F8C7796">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lang w:val="en-US" w:eastAsia="zh-CN" w:bidi="ar"/>
              </w:rPr>
            </w:pPr>
          </w:p>
        </w:tc>
      </w:tr>
    </w:tbl>
    <w:p w14:paraId="33D463BE">
      <w:pPr>
        <w:adjustRightInd w:val="0"/>
        <w:snapToGrid w:val="0"/>
        <w:spacing w:line="288" w:lineRule="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注：</w:t>
      </w:r>
    </w:p>
    <w:p w14:paraId="607B008E">
      <w:pPr>
        <w:adjustRightInd w:val="0"/>
        <w:snapToGrid w:val="0"/>
        <w:spacing w:line="288" w:lineRule="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1</w:t>
      </w:r>
      <w:r>
        <w:rPr>
          <w:rFonts w:hint="eastAsia" w:ascii="宋体" w:hAnsi="宋体" w:eastAsia="宋体" w:cs="Times New Roman"/>
          <w:b w:val="0"/>
          <w:bCs w:val="0"/>
          <w:color w:val="auto"/>
          <w:szCs w:val="21"/>
          <w:highlight w:val="none"/>
          <w:lang w:val="en-US" w:eastAsia="zh-CN"/>
        </w:rPr>
        <w:t>.</w:t>
      </w:r>
      <w:r>
        <w:rPr>
          <w:rFonts w:hint="eastAsia" w:ascii="宋体" w:hAnsi="宋体" w:eastAsia="宋体" w:cs="Times New Roman"/>
          <w:b w:val="0"/>
          <w:bCs w:val="0"/>
          <w:color w:val="auto"/>
          <w:szCs w:val="21"/>
          <w:highlight w:val="none"/>
        </w:rPr>
        <w:t>中标</w:t>
      </w:r>
      <w:r>
        <w:rPr>
          <w:rFonts w:hint="eastAsia" w:ascii="宋体" w:hAnsi="宋体" w:eastAsia="宋体" w:cs="Times New Roman"/>
          <w:b w:val="0"/>
          <w:bCs w:val="0"/>
          <w:color w:val="auto"/>
          <w:szCs w:val="21"/>
          <w:highlight w:val="none"/>
          <w:lang w:val="en-US" w:eastAsia="zh-CN"/>
        </w:rPr>
        <w:t>人</w:t>
      </w:r>
      <w:r>
        <w:rPr>
          <w:rFonts w:hint="eastAsia" w:ascii="宋体" w:hAnsi="宋体" w:eastAsia="宋体" w:cs="Times New Roman"/>
          <w:b w:val="0"/>
          <w:bCs w:val="0"/>
          <w:color w:val="auto"/>
          <w:szCs w:val="21"/>
          <w:highlight w:val="none"/>
        </w:rPr>
        <w:t>需要负责对28号楼的</w:t>
      </w:r>
      <w:r>
        <w:rPr>
          <w:rFonts w:hint="eastAsia" w:ascii="宋体" w:hAnsi="宋体" w:eastAsia="宋体" w:cs="Times New Roman"/>
          <w:b w:val="0"/>
          <w:bCs w:val="0"/>
          <w:color w:val="auto"/>
          <w:szCs w:val="21"/>
          <w:highlight w:val="none"/>
          <w:lang w:val="en-US" w:eastAsia="zh-CN"/>
        </w:rPr>
        <w:t>582</w:t>
      </w:r>
      <w:r>
        <w:rPr>
          <w:rFonts w:hint="eastAsia" w:ascii="宋体" w:hAnsi="宋体" w:eastAsia="宋体" w:cs="Times New Roman"/>
          <w:b w:val="0"/>
          <w:bCs w:val="0"/>
          <w:color w:val="auto"/>
          <w:szCs w:val="21"/>
          <w:highlight w:val="none"/>
        </w:rPr>
        <w:t>组已报废家具（包含床、书桌、柜子）进行拆除、清运；</w:t>
      </w:r>
    </w:p>
    <w:p w14:paraId="0C59985F">
      <w:pPr>
        <w:adjustRightInd w:val="0"/>
        <w:snapToGrid w:val="0"/>
        <w:spacing w:line="288" w:lineRule="auto"/>
        <w:rPr>
          <w:rFonts w:hint="eastAsia" w:ascii="宋体" w:hAnsi="宋体" w:eastAsia="宋体" w:cs="Times New Roman"/>
          <w:b w:val="0"/>
          <w:bCs w:val="0"/>
          <w:color w:val="auto"/>
          <w:szCs w:val="21"/>
          <w:highlight w:val="none"/>
          <w:lang w:eastAsia="zh-CN"/>
        </w:rPr>
      </w:pPr>
      <w:r>
        <w:rPr>
          <w:rFonts w:hint="eastAsia" w:ascii="宋体" w:hAnsi="宋体" w:eastAsia="宋体" w:cs="Times New Roman"/>
          <w:b w:val="0"/>
          <w:bCs w:val="0"/>
          <w:color w:val="auto"/>
          <w:szCs w:val="21"/>
          <w:highlight w:val="none"/>
        </w:rPr>
        <w:t>2</w:t>
      </w:r>
      <w:r>
        <w:rPr>
          <w:rFonts w:hint="eastAsia" w:ascii="宋体" w:hAnsi="宋体" w:eastAsia="宋体" w:cs="Times New Roman"/>
          <w:b w:val="0"/>
          <w:bCs w:val="0"/>
          <w:color w:val="auto"/>
          <w:szCs w:val="21"/>
          <w:highlight w:val="none"/>
          <w:lang w:val="en-US" w:eastAsia="zh-CN"/>
        </w:rPr>
        <w:t>.</w:t>
      </w:r>
      <w:r>
        <w:rPr>
          <w:rFonts w:hint="eastAsia" w:ascii="宋体" w:hAnsi="宋体" w:eastAsia="宋体" w:cs="Times New Roman"/>
          <w:b w:val="0"/>
          <w:bCs w:val="0"/>
          <w:color w:val="auto"/>
          <w:szCs w:val="21"/>
          <w:highlight w:val="none"/>
        </w:rPr>
        <w:t>中标人需要负责对28号楼的</w:t>
      </w:r>
      <w:r>
        <w:rPr>
          <w:rFonts w:hint="eastAsia" w:ascii="宋体" w:hAnsi="宋体" w:eastAsia="宋体" w:cs="Times New Roman"/>
          <w:b w:val="0"/>
          <w:bCs w:val="0"/>
          <w:color w:val="auto"/>
          <w:szCs w:val="21"/>
          <w:highlight w:val="none"/>
          <w:lang w:val="en-US" w:eastAsia="zh-CN"/>
        </w:rPr>
        <w:t>194</w:t>
      </w:r>
      <w:r>
        <w:rPr>
          <w:rFonts w:hint="eastAsia" w:ascii="宋体" w:hAnsi="宋体" w:eastAsia="宋体" w:cs="Times New Roman"/>
          <w:b w:val="0"/>
          <w:bCs w:val="0"/>
          <w:color w:val="auto"/>
          <w:szCs w:val="21"/>
          <w:highlight w:val="none"/>
        </w:rPr>
        <w:t>套二人位书桌（带柜）、</w:t>
      </w:r>
      <w:r>
        <w:rPr>
          <w:rFonts w:hint="eastAsia" w:ascii="宋体" w:hAnsi="宋体" w:eastAsia="宋体" w:cs="Times New Roman"/>
          <w:b w:val="0"/>
          <w:bCs w:val="0"/>
          <w:color w:val="auto"/>
          <w:szCs w:val="21"/>
          <w:highlight w:val="none"/>
          <w:lang w:val="en-US" w:eastAsia="zh-CN"/>
        </w:rPr>
        <w:t>194</w:t>
      </w:r>
      <w:r>
        <w:rPr>
          <w:rFonts w:hint="eastAsia" w:ascii="宋体" w:hAnsi="宋体" w:eastAsia="宋体" w:cs="Times New Roman"/>
          <w:b w:val="0"/>
          <w:bCs w:val="0"/>
          <w:color w:val="auto"/>
          <w:szCs w:val="21"/>
          <w:highlight w:val="none"/>
        </w:rPr>
        <w:t>张单人位公寓床进行分解拆除，保证拆卸的零件保存完好、标明相应位置，并全部运输到生活区车库</w:t>
      </w:r>
      <w:r>
        <w:rPr>
          <w:rFonts w:hint="eastAsia" w:ascii="宋体" w:hAnsi="宋体" w:eastAsia="宋体" w:cs="Times New Roman"/>
          <w:b w:val="0"/>
          <w:bCs w:val="0"/>
          <w:color w:val="auto"/>
          <w:szCs w:val="21"/>
          <w:highlight w:val="none"/>
          <w:lang w:eastAsia="zh-CN"/>
        </w:rPr>
        <w:t>；</w:t>
      </w:r>
    </w:p>
    <w:p w14:paraId="54CBA371">
      <w:pPr>
        <w:adjustRightInd w:val="0"/>
        <w:snapToGrid w:val="0"/>
        <w:spacing w:line="288" w:lineRule="auto"/>
        <w:rPr>
          <w:rFonts w:hint="default"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3.以上费用均包含在本项目投标总价中。</w:t>
      </w:r>
    </w:p>
    <w:p w14:paraId="2A2E5C4C">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4F90FE91">
      <w:pPr>
        <w:adjustRightInd w:val="0"/>
        <w:snapToGrid w:val="0"/>
        <w:spacing w:line="288" w:lineRule="auto"/>
        <w:rPr>
          <w:rFonts w:hint="default" w:ascii="宋体" w:hAnsi="宋体" w:eastAsia="宋体" w:cs="Times New Roman"/>
          <w:b/>
          <w:bCs/>
          <w:color w:val="auto"/>
          <w:spacing w:val="-4"/>
          <w:szCs w:val="21"/>
          <w:highlight w:val="none"/>
          <w:lang w:val="en-US" w:eastAsia="zh-CN"/>
        </w:rPr>
      </w:pPr>
      <w:r>
        <w:rPr>
          <w:rFonts w:hint="eastAsia" w:ascii="宋体" w:hAnsi="宋体" w:eastAsia="宋体" w:cs="Times New Roman"/>
          <w:b/>
          <w:bCs/>
          <w:color w:val="auto"/>
          <w:spacing w:val="-4"/>
          <w:szCs w:val="21"/>
          <w:highlight w:val="none"/>
          <w:lang w:val="en-US" w:eastAsia="zh-CN"/>
        </w:rPr>
        <w:t>标项三：</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6CE01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3E56E62">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14:paraId="4DA14756">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14:paraId="23D18FBB">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14:paraId="76FCB706">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14:paraId="5AF4E7A1">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14:paraId="4993A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397152E">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10" w:type="dxa"/>
            <w:vAlign w:val="center"/>
          </w:tcPr>
          <w:p w14:paraId="32E30EA3">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三人位公寓组合床（五人间）</w:t>
            </w:r>
          </w:p>
          <w:p w14:paraId="150FEA7B">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（核心产品）</w:t>
            </w:r>
          </w:p>
        </w:tc>
        <w:tc>
          <w:tcPr>
            <w:tcW w:w="661" w:type="dxa"/>
            <w:vAlign w:val="center"/>
          </w:tcPr>
          <w:p w14:paraId="0A88DBDF">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137</w:t>
            </w:r>
          </w:p>
        </w:tc>
        <w:tc>
          <w:tcPr>
            <w:tcW w:w="661" w:type="dxa"/>
            <w:vAlign w:val="center"/>
          </w:tcPr>
          <w:p w14:paraId="0A48E356">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组</w:t>
            </w:r>
          </w:p>
        </w:tc>
        <w:tc>
          <w:tcPr>
            <w:tcW w:w="6269" w:type="dxa"/>
            <w:vAlign w:val="center"/>
          </w:tcPr>
          <w:p w14:paraId="755868FF">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1.参考规格：4450*900*2900mm（含蚊帐架），根据现场实际情况调整；</w:t>
            </w:r>
          </w:p>
          <w:p w14:paraId="7EFEE816">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2.立柱：采用≥50*80*1.2mm异型管，立柱底部端口安装优质工程塑料内塞；</w:t>
            </w:r>
          </w:p>
          <w:p w14:paraId="43161516">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3.床挺：≥50*60*1.2mm异型管；</w:t>
            </w:r>
          </w:p>
          <w:p w14:paraId="2116CD37">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4.床头、床尾横管：整体框架由≥25*25*1.0mm方管、≥25*50*1.0mm方管组成，并安装一块优质EO级实木多层板，板材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高度≥320mm；</w:t>
            </w:r>
          </w:p>
          <w:p w14:paraId="7E5ACEAF">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5.床护栏：前护栏高度≥380mm；整体框架采用≥25mm*25mm*1.2mm优质方管，内镶优质EO级实木多层板，</w:t>
            </w:r>
            <w:r>
              <w:rPr>
                <w:rFonts w:hint="eastAsia" w:ascii="宋体" w:hAnsi="宋体" w:eastAsia="宋体" w:cs="宋体"/>
                <w:bCs/>
                <w:color w:val="auto"/>
                <w:kern w:val="2"/>
                <w:sz w:val="21"/>
                <w:szCs w:val="21"/>
                <w:highlight w:val="none"/>
                <w:lang w:val="en-US" w:eastAsia="zh-CN" w:bidi="ar"/>
              </w:rPr>
              <w:t>板材厚度≥16mm，</w:t>
            </w:r>
            <w:r>
              <w:rPr>
                <w:rFonts w:hint="eastAsia" w:ascii="宋体" w:hAnsi="宋体" w:eastAsia="宋体" w:cs="宋体"/>
                <w:color w:val="auto"/>
                <w:kern w:val="2"/>
                <w:sz w:val="21"/>
                <w:szCs w:val="21"/>
                <w:highlight w:val="none"/>
                <w:lang w:val="en-US" w:eastAsia="zh-CN" w:bidi="ar"/>
              </w:rPr>
              <w:t>并在合理位置设置安全通气观察窗。后护栏整体框架采用≥20*20*1.2mm优质方管，内镶优质EO级实木多层板，</w:t>
            </w:r>
            <w:r>
              <w:rPr>
                <w:rFonts w:hint="eastAsia" w:ascii="宋体" w:hAnsi="宋体" w:eastAsia="宋体" w:cs="宋体"/>
                <w:bCs/>
                <w:color w:val="auto"/>
                <w:kern w:val="2"/>
                <w:sz w:val="21"/>
                <w:szCs w:val="21"/>
                <w:highlight w:val="none"/>
                <w:lang w:val="en-US" w:eastAsia="zh-CN" w:bidi="ar"/>
              </w:rPr>
              <w:t>板材厚度≥16mm，</w:t>
            </w:r>
            <w:r>
              <w:rPr>
                <w:rFonts w:hint="eastAsia" w:ascii="宋体" w:hAnsi="宋体" w:eastAsia="宋体" w:cs="宋体"/>
                <w:color w:val="auto"/>
                <w:kern w:val="2"/>
                <w:sz w:val="21"/>
                <w:szCs w:val="21"/>
                <w:highlight w:val="none"/>
                <w:lang w:val="en-US" w:eastAsia="zh-CN" w:bidi="ar"/>
              </w:rPr>
              <w:t>高度≥320mm；</w:t>
            </w:r>
          </w:p>
          <w:p w14:paraId="2F50F2E6">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6.走步梯：采用中梯样式，宽度≥450mm，钢架采用≥20*50*1.2mm方管。其他涉及板材采用优质EO级实木多层板，板材</w:t>
            </w:r>
            <w:r>
              <w:rPr>
                <w:rFonts w:hint="eastAsia" w:ascii="宋体" w:hAnsi="宋体" w:eastAsia="宋体" w:cs="宋体"/>
                <w:bCs/>
                <w:color w:val="auto"/>
                <w:kern w:val="2"/>
                <w:sz w:val="21"/>
                <w:szCs w:val="21"/>
                <w:highlight w:val="none"/>
                <w:lang w:val="en-US" w:eastAsia="zh-CN" w:bidi="ar"/>
              </w:rPr>
              <w:t>厚度≥18mm</w:t>
            </w:r>
            <w:r>
              <w:rPr>
                <w:rFonts w:hint="eastAsia" w:ascii="宋体" w:hAnsi="宋体" w:eastAsia="宋体" w:cs="宋体"/>
                <w:color w:val="auto"/>
                <w:kern w:val="2"/>
                <w:sz w:val="21"/>
                <w:szCs w:val="21"/>
                <w:highlight w:val="none"/>
                <w:lang w:val="en-US" w:eastAsia="zh-CN" w:bidi="ar"/>
              </w:rPr>
              <w:t>。合理分配台阶数，每级踏板大小一致，踏板表面需镶嵌防滑夜光条。合理设计中梯内部储物空间，若储物空间涉及柜门，配置铝合金长条形暗拉手和阻尼缓冲铰链；</w:t>
            </w:r>
          </w:p>
          <w:p w14:paraId="2A516B00">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7.蚊帐架：采用≥Φ19*1.0mm圆管，塑料三通连接件连接。合理设计，样式匹配整体风格，高度根据现场实际情况确定；</w:t>
            </w:r>
          </w:p>
          <w:p w14:paraId="5A5E06D7">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8.床板：采用≥60*15mm厚的优质杉木板，拼接缝隙≤10mm；床板平铺钉在4根30*40mm的木档上；床板加固档：≥25*25*1.0mm方管，数量不少于3根；</w:t>
            </w:r>
          </w:p>
          <w:p w14:paraId="23840D34">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9.床下组合桌柜：</w:t>
            </w:r>
          </w:p>
          <w:p w14:paraId="4DD279C6">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bCs/>
                <w:color w:val="auto"/>
                <w:kern w:val="2"/>
                <w:sz w:val="21"/>
                <w:szCs w:val="21"/>
                <w:highlight w:val="none"/>
                <w:lang w:val="en-US" w:eastAsia="zh-CN" w:bidi="ar"/>
              </w:rPr>
              <w:t>具备衣柜、书桌、书架等功能，书桌与衣柜需独立分开；</w:t>
            </w:r>
          </w:p>
          <w:p w14:paraId="069B89DB">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（2）板材均</w:t>
            </w:r>
            <w:r>
              <w:rPr>
                <w:rFonts w:hint="eastAsia" w:ascii="宋体" w:hAnsi="宋体" w:eastAsia="宋体" w:cs="宋体"/>
                <w:bCs/>
                <w:color w:val="auto"/>
                <w:kern w:val="2"/>
                <w:sz w:val="21"/>
                <w:szCs w:val="21"/>
                <w:highlight w:val="none"/>
                <w:lang w:val="en-US" w:eastAsia="zh-CN" w:bidi="ar"/>
              </w:rPr>
              <w:t>采用三聚氰胺饰面EO级实木多层板；</w:t>
            </w:r>
          </w:p>
          <w:p w14:paraId="0E762F55">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bCs/>
                <w:color w:val="auto"/>
                <w:kern w:val="2"/>
                <w:sz w:val="21"/>
                <w:szCs w:val="21"/>
                <w:highlight w:val="none"/>
                <w:lang w:val="en-US" w:eastAsia="zh-CN" w:bidi="ar"/>
              </w:rPr>
              <w:t>书桌宽度≥900mm，深度≥600mm，桌面板材厚度≥18mm，其余板材厚度≥16mm。桌面挡板高度≥130mm，并在桌面挡板合理位置内嵌1个插排（≥2个2孔、≥2个3孔、≥1个USB接口）</w:t>
            </w:r>
            <w:r>
              <w:rPr>
                <w:rFonts w:hint="eastAsia" w:ascii="宋体" w:hAnsi="宋体" w:eastAsia="宋体" w:cs="宋体"/>
                <w:b/>
                <w:bCs w:val="0"/>
                <w:color w:val="auto"/>
                <w:kern w:val="2"/>
                <w:sz w:val="21"/>
                <w:szCs w:val="21"/>
                <w:highlight w:val="none"/>
                <w:lang w:val="en-US" w:eastAsia="zh-CN" w:bidi="ar"/>
              </w:rPr>
              <w:t>（▲投标文件中提供有效的3C认证证书扫描件）</w:t>
            </w:r>
            <w:r>
              <w:rPr>
                <w:rFonts w:hint="eastAsia" w:ascii="宋体" w:hAnsi="宋体" w:eastAsia="宋体" w:cs="宋体"/>
                <w:bCs/>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书桌上方合理设计书架，每行合理位置设隔板一块；</w:t>
            </w:r>
          </w:p>
          <w:p w14:paraId="526B8DC9">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r>
              <w:rPr>
                <w:rFonts w:hint="eastAsia" w:ascii="宋体" w:hAnsi="宋体" w:eastAsia="宋体" w:cs="宋体"/>
                <w:bCs/>
                <w:color w:val="auto"/>
                <w:kern w:val="2"/>
                <w:sz w:val="21"/>
                <w:szCs w:val="21"/>
                <w:highlight w:val="none"/>
                <w:lang w:val="en-US" w:eastAsia="zh-CN" w:bidi="ar"/>
              </w:rPr>
              <w:t>衣柜：宽度≥900mm，深度≥600mm。衣柜后背板厚度≥9mm，其他板材厚度≥16mm，合理设计上下两个功能区，上功能区配不锈钢材质挂衣杆。竖向双开门设计，配加强筋防止形变，柜门外立面四周边角倒角设计防磕碰，配优质阻尼缓冲功能铰链；</w:t>
            </w:r>
          </w:p>
          <w:p w14:paraId="023CA4B8">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（5）拉手：衣柜门拉手采用铝、塑复合长腰形拉手；抽屉拉手采用铝合金材质。安装方式为内嵌式拉手；</w:t>
            </w:r>
          </w:p>
          <w:p w14:paraId="6185A368">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（6）组合桌柜底部防潮架采用≥20*50*1.2mm方管制作，并作封闭防尘处理；</w:t>
            </w:r>
          </w:p>
          <w:p w14:paraId="3B2E4429">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10.根据房型类别，合计设计床位编号样式及安装位置，如1，2，3，4，5或1号、2号.....等；</w:t>
            </w:r>
          </w:p>
          <w:p w14:paraId="52EC157A">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11.</w:t>
            </w:r>
            <w:r>
              <w:rPr>
                <w:rFonts w:hint="eastAsia" w:ascii="宋体" w:hAnsi="宋体" w:eastAsia="宋体" w:cs="宋体"/>
                <w:color w:val="auto"/>
                <w:kern w:val="2"/>
                <w:sz w:val="21"/>
                <w:szCs w:val="21"/>
                <w:highlight w:val="none"/>
                <w:lang w:val="en-US" w:eastAsia="zh-CN" w:bidi="ar"/>
              </w:rPr>
              <w:t>参考图片：</w:t>
            </w:r>
          </w:p>
          <w:p w14:paraId="46D5DFE0">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drawing>
                <wp:inline distT="0" distB="0" distL="114300" distR="114300">
                  <wp:extent cx="2124075" cy="1519555"/>
                  <wp:effectExtent l="0" t="0" r="0" b="444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8"/>
                          <a:stretch>
                            <a:fillRect/>
                          </a:stretch>
                        </pic:blipFill>
                        <pic:spPr>
                          <a:xfrm>
                            <a:off x="0" y="0"/>
                            <a:ext cx="2124075" cy="1519555"/>
                          </a:xfrm>
                          <a:prstGeom prst="rect">
                            <a:avLst/>
                          </a:prstGeom>
                          <a:noFill/>
                          <a:ln>
                            <a:noFill/>
                          </a:ln>
                        </pic:spPr>
                      </pic:pic>
                    </a:graphicData>
                  </a:graphic>
                </wp:inline>
              </w:drawing>
            </w:r>
          </w:p>
        </w:tc>
      </w:tr>
      <w:tr w14:paraId="60EAF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499BA81">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810" w:type="dxa"/>
            <w:vAlign w:val="center"/>
          </w:tcPr>
          <w:p w14:paraId="7281DDD2">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二人位公寓组合床（五人间）</w:t>
            </w:r>
          </w:p>
        </w:tc>
        <w:tc>
          <w:tcPr>
            <w:tcW w:w="661" w:type="dxa"/>
            <w:vAlign w:val="center"/>
          </w:tcPr>
          <w:p w14:paraId="79D54ECF">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137</w:t>
            </w:r>
          </w:p>
        </w:tc>
        <w:tc>
          <w:tcPr>
            <w:tcW w:w="661" w:type="dxa"/>
            <w:vAlign w:val="center"/>
          </w:tcPr>
          <w:p w14:paraId="46F53FA9">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组</w:t>
            </w:r>
          </w:p>
        </w:tc>
        <w:tc>
          <w:tcPr>
            <w:tcW w:w="6269" w:type="dxa"/>
            <w:vAlign w:val="center"/>
          </w:tcPr>
          <w:p w14:paraId="043120C4">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1.参考规格：4450*900*2900mm（含蚊帐架），根据现场实际情况调整；</w:t>
            </w:r>
          </w:p>
          <w:p w14:paraId="4960760D">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2.立柱：采用≥50*80*1.2mm异型管，立柱底部端口安装优质工程塑料内塞；</w:t>
            </w:r>
          </w:p>
          <w:p w14:paraId="7EAA6892">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3.床挺：≥50*60*1.2mm异型管；</w:t>
            </w:r>
          </w:p>
          <w:p w14:paraId="3B4FB715">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4.床头、床尾横管：整体框架由≥25*25*1.0mm方管、≥25*50*1.0mm方管组成，并安装一块优质EO级实木多层板，板材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高度≥320mm，安全、美观；</w:t>
            </w:r>
          </w:p>
          <w:p w14:paraId="05163FBD">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5.床护栏：前护栏高度≥380mm；整体框架采用≥25mm*25mm*1.2mm优质方管，内镶优质EO级实木多层板，板材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并在合理位置设置安全通气观察窗。后护栏整体框架采用≥20*20*1.2mm优质方管，内镶优质EO级实木多层板，板材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高度≥320mm；</w:t>
            </w:r>
          </w:p>
          <w:p w14:paraId="69B3E3B9">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6.走步梯：采用中梯样式，宽度≥450mm，钢架采用≥20*50*1.2mm方管。其他涉及板材采用优质EO级实木多层板，板材</w:t>
            </w:r>
            <w:r>
              <w:rPr>
                <w:rFonts w:hint="eastAsia" w:ascii="宋体" w:hAnsi="宋体" w:eastAsia="宋体" w:cs="宋体"/>
                <w:bCs/>
                <w:color w:val="auto"/>
                <w:kern w:val="2"/>
                <w:sz w:val="21"/>
                <w:szCs w:val="21"/>
                <w:highlight w:val="none"/>
                <w:lang w:val="en-US" w:eastAsia="zh-CN" w:bidi="ar"/>
              </w:rPr>
              <w:t>厚度≥18mm</w:t>
            </w:r>
            <w:r>
              <w:rPr>
                <w:rFonts w:hint="eastAsia" w:ascii="宋体" w:hAnsi="宋体" w:eastAsia="宋体" w:cs="宋体"/>
                <w:color w:val="auto"/>
                <w:kern w:val="2"/>
                <w:sz w:val="21"/>
                <w:szCs w:val="21"/>
                <w:highlight w:val="none"/>
                <w:lang w:val="en-US" w:eastAsia="zh-CN" w:bidi="ar"/>
              </w:rPr>
              <w:t>。合理分配台阶数，每级踏板大小一致，踏板表面需镶嵌防滑夜光条。合理设计中梯内部储物空间，若储物空间涉及柜门，配置铝合金长条形暗拉手和阻尼缓冲铰链；</w:t>
            </w:r>
          </w:p>
          <w:p w14:paraId="73C8A4EE">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7.蚊帐架：采用≥Φ19*1.0mm圆管，塑料三通连接件连接。合理设计，样式匹配整体风格，高度根据现场实际情况确定；</w:t>
            </w:r>
          </w:p>
          <w:p w14:paraId="38C9B346">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8.床板：采用≥60*15mm厚的优质杉木板，拼接缝隙≤10mm；床板平铺钉在4根30*40mm的木档上；床板加固档：≥25*25*1.0mm方管，数量不少于3根；</w:t>
            </w:r>
          </w:p>
          <w:p w14:paraId="3D18C7D5">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8.床下书桌：</w:t>
            </w:r>
          </w:p>
          <w:p w14:paraId="66EAEFC1">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bCs/>
                <w:color w:val="auto"/>
                <w:kern w:val="2"/>
                <w:sz w:val="21"/>
                <w:szCs w:val="21"/>
                <w:highlight w:val="none"/>
                <w:lang w:val="en-US" w:eastAsia="zh-CN" w:bidi="ar"/>
              </w:rPr>
              <w:t>具备书桌、书架等功能，两张书桌需独立分开；</w:t>
            </w:r>
          </w:p>
          <w:p w14:paraId="4BAEAED3">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（2）板材均</w:t>
            </w:r>
            <w:r>
              <w:rPr>
                <w:rFonts w:hint="eastAsia" w:ascii="宋体" w:hAnsi="宋体" w:eastAsia="宋体" w:cs="宋体"/>
                <w:bCs/>
                <w:color w:val="auto"/>
                <w:kern w:val="2"/>
                <w:sz w:val="21"/>
                <w:szCs w:val="21"/>
                <w:highlight w:val="none"/>
                <w:lang w:val="en-US" w:eastAsia="zh-CN" w:bidi="ar"/>
              </w:rPr>
              <w:t>采用三聚氰胺饰面EO级实木多层板；</w:t>
            </w:r>
          </w:p>
          <w:p w14:paraId="4BF6DCED">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bCs/>
                <w:color w:val="auto"/>
                <w:kern w:val="2"/>
                <w:sz w:val="21"/>
                <w:szCs w:val="21"/>
                <w:highlight w:val="none"/>
                <w:lang w:val="en-US" w:eastAsia="zh-CN" w:bidi="ar"/>
              </w:rPr>
              <w:t>书桌宽度≥900mm，深度≥600mm，桌面板材厚度≥18mm，其余板材厚度≥16mm。桌面挡板高度≥130mm，并在桌面挡板合理位置内嵌1个插排（≥2个2孔、≥2个3孔、≥1个USB接口）</w:t>
            </w:r>
            <w:r>
              <w:rPr>
                <w:rFonts w:hint="eastAsia" w:ascii="宋体" w:hAnsi="宋体" w:eastAsia="宋体" w:cs="宋体"/>
                <w:b/>
                <w:bCs w:val="0"/>
                <w:color w:val="auto"/>
                <w:kern w:val="2"/>
                <w:sz w:val="21"/>
                <w:szCs w:val="21"/>
                <w:highlight w:val="none"/>
                <w:lang w:val="en-US" w:eastAsia="zh-CN" w:bidi="ar"/>
              </w:rPr>
              <w:t>（▲投标文件中提供有效的3C认证证书扫描件）</w:t>
            </w:r>
            <w:r>
              <w:rPr>
                <w:rFonts w:hint="eastAsia" w:ascii="宋体" w:hAnsi="宋体" w:eastAsia="宋体" w:cs="宋体"/>
                <w:bCs/>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书桌上方合理设计书架，每行合理位置设隔板一块；</w:t>
            </w:r>
          </w:p>
          <w:p w14:paraId="3F4EDFCF">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9.根据房型类别，合计设计床位编号样式及安装位置，如1，2，3，4，5或1号、2号.....等；</w:t>
            </w:r>
          </w:p>
          <w:p w14:paraId="7EA6026E">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10.</w:t>
            </w:r>
            <w:r>
              <w:rPr>
                <w:rFonts w:hint="eastAsia" w:ascii="宋体" w:hAnsi="宋体" w:eastAsia="宋体" w:cs="宋体"/>
                <w:color w:val="auto"/>
                <w:kern w:val="2"/>
                <w:sz w:val="21"/>
                <w:szCs w:val="21"/>
                <w:highlight w:val="none"/>
                <w:lang w:val="en-US" w:eastAsia="zh-CN" w:bidi="ar"/>
              </w:rPr>
              <w:t>参考图片：</w:t>
            </w:r>
          </w:p>
          <w:p w14:paraId="3C38BCF6">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1912620" cy="1308100"/>
                  <wp:effectExtent l="0" t="0" r="1905" b="6350"/>
                  <wp:docPr id="9"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56"/>
                          <pic:cNvPicPr>
                            <a:picLocks noChangeAspect="1"/>
                          </pic:cNvPicPr>
                        </pic:nvPicPr>
                        <pic:blipFill>
                          <a:blip r:embed="rId16"/>
                          <a:stretch>
                            <a:fillRect/>
                          </a:stretch>
                        </pic:blipFill>
                        <pic:spPr>
                          <a:xfrm>
                            <a:off x="0" y="0"/>
                            <a:ext cx="1912620" cy="1308100"/>
                          </a:xfrm>
                          <a:prstGeom prst="rect">
                            <a:avLst/>
                          </a:prstGeom>
                          <a:noFill/>
                          <a:ln w="9525">
                            <a:noFill/>
                          </a:ln>
                        </pic:spPr>
                      </pic:pic>
                    </a:graphicData>
                  </a:graphic>
                </wp:inline>
              </w:drawing>
            </w:r>
          </w:p>
        </w:tc>
      </w:tr>
      <w:tr w14:paraId="7B00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500E7BC">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810" w:type="dxa"/>
            <w:vAlign w:val="center"/>
          </w:tcPr>
          <w:p w14:paraId="79E825AD">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三人位公寓组合床（特殊房型）</w:t>
            </w:r>
          </w:p>
        </w:tc>
        <w:tc>
          <w:tcPr>
            <w:tcW w:w="661" w:type="dxa"/>
            <w:vAlign w:val="center"/>
          </w:tcPr>
          <w:p w14:paraId="0C28D2C8">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661" w:type="dxa"/>
            <w:vAlign w:val="center"/>
          </w:tcPr>
          <w:p w14:paraId="3087C239">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组</w:t>
            </w:r>
          </w:p>
        </w:tc>
        <w:tc>
          <w:tcPr>
            <w:tcW w:w="6269" w:type="dxa"/>
            <w:vAlign w:val="center"/>
          </w:tcPr>
          <w:p w14:paraId="74C4D6C8">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1.参考规格：4450*900*2900mm（含蚊帐架），根据现场实际情况调整；</w:t>
            </w:r>
          </w:p>
          <w:p w14:paraId="181252EB">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2.立柱：采用≥50*80*1.2mm异型管，立柱底部端口安装优质工程塑料内塞；</w:t>
            </w:r>
          </w:p>
          <w:p w14:paraId="56179283">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3.床挺：≥50*60*1.2mm异型管；</w:t>
            </w:r>
          </w:p>
          <w:p w14:paraId="0AEACBCA">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4.床头、床尾横管：整体框架由≥25*25*1.0mm方管、≥25*50*1.0mm方管组成，并安装一块优质EO级实木多层板，板材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kern w:val="2"/>
                <w:sz w:val="21"/>
                <w:szCs w:val="21"/>
                <w:highlight w:val="none"/>
                <w:lang w:val="en-US" w:eastAsia="zh-CN" w:bidi="ar"/>
              </w:rPr>
              <w:t>高度≥320mm；</w:t>
            </w:r>
          </w:p>
          <w:p w14:paraId="3BCB344F">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5.床护栏：前护栏高度≥380mm；整体框架采用≥25mm*25mm*1.2mm优质方管，内镶优质EO级实木多层板，板材厚度≥16mm，并在合理位置设置安全通气观察窗。后护栏整体框架采用≥20*20*1.2mm优质方管，内镶优质EO级实木多层板，板材厚度≥16mm，高度≥320mm；</w:t>
            </w:r>
          </w:p>
          <w:p w14:paraId="161C4AC9">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6.走步梯：采用中梯样式，宽度≥450mm，钢架采用≥20*50*1.2mm方管。其他涉及板材采用优质EO级实木多层板，板材</w:t>
            </w:r>
            <w:r>
              <w:rPr>
                <w:rFonts w:hint="eastAsia" w:ascii="宋体" w:hAnsi="宋体" w:eastAsia="宋体" w:cs="宋体"/>
                <w:bCs/>
                <w:color w:val="auto"/>
                <w:kern w:val="2"/>
                <w:sz w:val="21"/>
                <w:szCs w:val="21"/>
                <w:highlight w:val="none"/>
                <w:lang w:val="en-US" w:eastAsia="zh-CN" w:bidi="ar"/>
              </w:rPr>
              <w:t>厚度≥18mm</w:t>
            </w:r>
            <w:r>
              <w:rPr>
                <w:rFonts w:hint="eastAsia" w:ascii="宋体" w:hAnsi="宋体" w:eastAsia="宋体" w:cs="宋体"/>
                <w:color w:val="auto"/>
                <w:kern w:val="2"/>
                <w:sz w:val="21"/>
                <w:szCs w:val="21"/>
                <w:highlight w:val="none"/>
                <w:lang w:val="en-US" w:eastAsia="zh-CN" w:bidi="ar"/>
              </w:rPr>
              <w:t>。合理分配台阶数，每级踏板大小一致，踏板表面需镶嵌防滑夜光条。合理设计中梯内部储物空间，若储物空间涉及柜门，配置铝合金长条形暗拉手和阻尼缓冲铰链；</w:t>
            </w:r>
          </w:p>
          <w:p w14:paraId="629E7F87">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7.蚊帐架：采用≥Φ19*1.0mm圆管，塑料三通连接件连接。合理设计，样式匹配整体风格，高度根据现场实际情况确定；</w:t>
            </w:r>
          </w:p>
          <w:p w14:paraId="7B7BE32A">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8.床板：采用≥60*15mm厚的优质杉木板，拼接缝隙≤10mm；床板平铺钉在4根30*40mm的木档上；床板加固档：≥25*25*1.0mm方管，数量不少于3根；</w:t>
            </w:r>
          </w:p>
          <w:p w14:paraId="070868A0">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9.床下书桌：</w:t>
            </w:r>
          </w:p>
          <w:p w14:paraId="23F17D37">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（1）具备书桌、书架等功能，两张书桌需独立分开；</w:t>
            </w:r>
          </w:p>
          <w:p w14:paraId="3A74B1A1">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（2）板材均采用三聚氰胺饰面EO级实木多层板；</w:t>
            </w:r>
          </w:p>
          <w:p w14:paraId="4C8959B9">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（3）书桌宽度≥900mm，深度≥600mm，桌面板材厚度≥18mm，其余板材厚度≥16mm。桌面挡板高度≥130mm，并在桌面挡板合理位置内嵌1个插排（≥2个2孔、≥2个3孔、≥1个USB接口）</w:t>
            </w:r>
            <w:r>
              <w:rPr>
                <w:rFonts w:hint="eastAsia" w:ascii="宋体" w:hAnsi="宋体" w:eastAsia="宋体" w:cs="宋体"/>
                <w:b/>
                <w:bCs w:val="0"/>
                <w:color w:val="auto"/>
                <w:kern w:val="2"/>
                <w:sz w:val="21"/>
                <w:szCs w:val="21"/>
                <w:highlight w:val="none"/>
                <w:lang w:val="en-US" w:eastAsia="zh-CN" w:bidi="ar"/>
              </w:rPr>
              <w:t>（▲投标文件中提供有效的3C认证证书扫描件）</w:t>
            </w:r>
            <w:r>
              <w:rPr>
                <w:rFonts w:hint="eastAsia" w:ascii="宋体" w:hAnsi="宋体" w:eastAsia="宋体" w:cs="宋体"/>
                <w:color w:val="auto"/>
                <w:kern w:val="2"/>
                <w:sz w:val="21"/>
                <w:szCs w:val="21"/>
                <w:highlight w:val="none"/>
                <w:lang w:val="en-US" w:eastAsia="zh-CN" w:bidi="ar"/>
              </w:rPr>
              <w:t>。书桌上方合理设计书架，每行合理位置设隔板一块；</w:t>
            </w:r>
          </w:p>
          <w:p w14:paraId="59615C7E">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10.根据房型类别，合计设计床位编号样式及安装位置，如1，2，3，4，5或1号、2号.....等；</w:t>
            </w:r>
          </w:p>
          <w:p w14:paraId="21695AA9">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11.参考图片：</w:t>
            </w:r>
          </w:p>
          <w:p w14:paraId="284411DC">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drawing>
                <wp:inline distT="0" distB="0" distL="114300" distR="114300">
                  <wp:extent cx="1816100" cy="1365250"/>
                  <wp:effectExtent l="0" t="0" r="3175" b="635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7"/>
                          <a:stretch>
                            <a:fillRect/>
                          </a:stretch>
                        </pic:blipFill>
                        <pic:spPr>
                          <a:xfrm>
                            <a:off x="0" y="0"/>
                            <a:ext cx="1816100" cy="1365250"/>
                          </a:xfrm>
                          <a:prstGeom prst="rect">
                            <a:avLst/>
                          </a:prstGeom>
                          <a:noFill/>
                          <a:ln>
                            <a:noFill/>
                          </a:ln>
                        </pic:spPr>
                      </pic:pic>
                    </a:graphicData>
                  </a:graphic>
                </wp:inline>
              </w:drawing>
            </w:r>
          </w:p>
        </w:tc>
      </w:tr>
      <w:tr w14:paraId="4F1F2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3241B86B">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810" w:type="dxa"/>
            <w:vAlign w:val="center"/>
          </w:tcPr>
          <w:p w14:paraId="35A01FEB">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单人位上床下桌组合（特殊房型）</w:t>
            </w:r>
          </w:p>
        </w:tc>
        <w:tc>
          <w:tcPr>
            <w:tcW w:w="661" w:type="dxa"/>
            <w:vAlign w:val="center"/>
          </w:tcPr>
          <w:p w14:paraId="623A607F">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661" w:type="dxa"/>
            <w:vAlign w:val="center"/>
          </w:tcPr>
          <w:p w14:paraId="41607D6A">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组</w:t>
            </w:r>
          </w:p>
        </w:tc>
        <w:tc>
          <w:tcPr>
            <w:tcW w:w="6269" w:type="dxa"/>
            <w:vAlign w:val="center"/>
          </w:tcPr>
          <w:p w14:paraId="13C6F5CA">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1.参考规格：2500*900*2900mm（含蚊帐架），根据现场实际情况调整；</w:t>
            </w:r>
          </w:p>
          <w:p w14:paraId="55894B0C">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2.立柱：采用≥50*80*1.2mm异型管，立柱底部端口安装优质工程塑料内塞；</w:t>
            </w:r>
          </w:p>
          <w:p w14:paraId="0A86A11D">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3.床挺：≥50*60*1.2mm异型管；</w:t>
            </w:r>
          </w:p>
          <w:p w14:paraId="38E2DDC8">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4.床头、床尾横管：整体框架由≥25*25*1.0mm方管、≥25*50*1.0mm方管组成，并安装一块优质EO级实木多层板，</w:t>
            </w:r>
            <w:r>
              <w:rPr>
                <w:rFonts w:hint="eastAsia" w:ascii="宋体" w:hAnsi="宋体" w:eastAsia="宋体" w:cs="宋体"/>
                <w:color w:val="auto"/>
                <w:kern w:val="2"/>
                <w:sz w:val="21"/>
                <w:szCs w:val="21"/>
                <w:highlight w:val="none"/>
                <w:lang w:val="en-US" w:eastAsia="zh-CN" w:bidi="ar"/>
              </w:rPr>
              <w:t>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sz w:val="21"/>
                <w:szCs w:val="21"/>
                <w:highlight w:val="none"/>
              </w:rPr>
              <w:t>高度≥320mm，安全、美观；</w:t>
            </w:r>
          </w:p>
          <w:p w14:paraId="0764BEEA">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5.床护栏：前护栏高度≥380mm；整体框架采用≥25mm*25mm*1.2mm优质方管，内镶优质EO级实木多层板，</w:t>
            </w:r>
            <w:r>
              <w:rPr>
                <w:rFonts w:hint="eastAsia" w:ascii="宋体" w:hAnsi="宋体" w:eastAsia="宋体" w:cs="宋体"/>
                <w:color w:val="auto"/>
                <w:kern w:val="2"/>
                <w:sz w:val="21"/>
                <w:szCs w:val="21"/>
                <w:highlight w:val="none"/>
                <w:lang w:val="en-US" w:eastAsia="zh-CN" w:bidi="ar"/>
              </w:rPr>
              <w:t>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sz w:val="21"/>
                <w:szCs w:val="21"/>
                <w:highlight w:val="none"/>
              </w:rPr>
              <w:t>并在合理位置设置安全通气观察窗。后护栏整体框架采用≥20*20*1.2mm优质方管，内镶优质EO级实木多层板，</w:t>
            </w:r>
            <w:r>
              <w:rPr>
                <w:rFonts w:hint="eastAsia" w:ascii="宋体" w:hAnsi="宋体" w:eastAsia="宋体" w:cs="宋体"/>
                <w:color w:val="auto"/>
                <w:kern w:val="2"/>
                <w:sz w:val="21"/>
                <w:szCs w:val="21"/>
                <w:highlight w:val="none"/>
                <w:lang w:val="en-US" w:eastAsia="zh-CN" w:bidi="ar"/>
              </w:rPr>
              <w:t>板材</w:t>
            </w:r>
            <w:r>
              <w:rPr>
                <w:rFonts w:hint="eastAsia" w:ascii="宋体" w:hAnsi="宋体" w:eastAsia="宋体" w:cs="宋体"/>
                <w:bCs/>
                <w:color w:val="auto"/>
                <w:kern w:val="2"/>
                <w:sz w:val="21"/>
                <w:szCs w:val="21"/>
                <w:highlight w:val="none"/>
                <w:lang w:val="en-US" w:eastAsia="zh-CN" w:bidi="ar"/>
              </w:rPr>
              <w:t>厚度≥16mm，</w:t>
            </w:r>
            <w:r>
              <w:rPr>
                <w:rFonts w:hint="eastAsia" w:ascii="宋体" w:hAnsi="宋体" w:eastAsia="宋体" w:cs="宋体"/>
                <w:color w:val="auto"/>
                <w:sz w:val="21"/>
                <w:szCs w:val="21"/>
                <w:highlight w:val="none"/>
              </w:rPr>
              <w:t>高度≥320mm；</w:t>
            </w:r>
          </w:p>
          <w:p w14:paraId="5470DA2F">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6.走步梯：采用中梯样式，宽度≥450mm，钢架采用≥20*50*1.2mm方管。其他涉及板材采用优质EO级实木多层板</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highlight w:val="none"/>
                <w:lang w:val="en-US" w:eastAsia="zh-CN" w:bidi="ar"/>
              </w:rPr>
              <w:t>板材</w:t>
            </w:r>
            <w:r>
              <w:rPr>
                <w:rFonts w:hint="eastAsia" w:ascii="宋体" w:hAnsi="宋体" w:eastAsia="宋体" w:cs="宋体"/>
                <w:bCs/>
                <w:color w:val="auto"/>
                <w:kern w:val="2"/>
                <w:sz w:val="21"/>
                <w:szCs w:val="21"/>
                <w:highlight w:val="none"/>
                <w:lang w:val="en-US" w:eastAsia="zh-CN" w:bidi="ar"/>
              </w:rPr>
              <w:t>厚度≥18mm，</w:t>
            </w:r>
            <w:r>
              <w:rPr>
                <w:rFonts w:hint="eastAsia" w:ascii="宋体" w:hAnsi="宋体" w:eastAsia="宋体" w:cs="宋体"/>
                <w:color w:val="auto"/>
                <w:sz w:val="21"/>
                <w:szCs w:val="21"/>
                <w:highlight w:val="none"/>
              </w:rPr>
              <w:t>。合理分配台阶数，每级踏板大小一致，踏板表面需镶嵌防滑夜光条。合理设计中梯内部储物空间，若储物空间涉及柜门，配置铝合金长条形暗拉手和阻尼缓冲铰链；</w:t>
            </w:r>
          </w:p>
          <w:p w14:paraId="446B642B">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7.蚊帐架：采用≥Φ19*1.0mm圆管，塑料三通连接件连接。合理设计，样式匹配整体风格，高度根据现场实际情况确定；</w:t>
            </w:r>
          </w:p>
          <w:p w14:paraId="309FB7E4">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8.床板：采用≥60*15mm厚的优质杉木板，拼接缝隙≤10mm；床板平铺钉在4根30*40mm的木档上；床板加固档：≥25*25*1.0mm方管，数量不少于3根；</w:t>
            </w:r>
          </w:p>
          <w:p w14:paraId="7E9FDBB8">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8.床下书桌：</w:t>
            </w:r>
          </w:p>
          <w:p w14:paraId="29F909C6">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（1）具备书桌、书架等功能，两张书桌需独立分开；</w:t>
            </w:r>
          </w:p>
          <w:p w14:paraId="78221562">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（2）板材均采用三聚氰胺饰面EO级实木多层板；</w:t>
            </w:r>
          </w:p>
          <w:p w14:paraId="608CC8A7">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（3）书桌宽度≥900mm，深度≥600mm，桌面板材厚度≥18mm，其余板材厚度≥16mm。桌面挡板高度≥130mm，并在桌面挡板合理位置内嵌1个插排（≥2个2孔、≥2个3孔、≥1个USB接口）</w:t>
            </w:r>
            <w:r>
              <w:rPr>
                <w:rFonts w:hint="eastAsia" w:ascii="宋体" w:hAnsi="宋体" w:eastAsia="宋体" w:cs="宋体"/>
                <w:b/>
                <w:bCs w:val="0"/>
                <w:color w:val="auto"/>
                <w:kern w:val="2"/>
                <w:sz w:val="21"/>
                <w:szCs w:val="21"/>
                <w:highlight w:val="none"/>
                <w:lang w:val="en-US" w:eastAsia="zh-CN" w:bidi="ar"/>
              </w:rPr>
              <w:t>（▲投标文件中提供有效的3C认证证书扫描件）</w:t>
            </w:r>
            <w:r>
              <w:rPr>
                <w:rFonts w:hint="eastAsia" w:ascii="宋体" w:hAnsi="宋体" w:eastAsia="宋体" w:cs="宋体"/>
                <w:color w:val="auto"/>
                <w:sz w:val="21"/>
                <w:szCs w:val="21"/>
                <w:highlight w:val="none"/>
              </w:rPr>
              <w:t>。书桌上方合理设计书架，每行合理位置设隔板一块；</w:t>
            </w:r>
          </w:p>
          <w:p w14:paraId="35CA1B24">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9.根据房型类别，合计设计床位编号样式及安装位置，如1，2，3，4，5或1号、2号.....等；</w:t>
            </w:r>
          </w:p>
          <w:p w14:paraId="34D3472A">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10.参考图片：</w:t>
            </w:r>
          </w:p>
          <w:p w14:paraId="7786FA36">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drawing>
                <wp:inline distT="0" distB="0" distL="114300" distR="114300">
                  <wp:extent cx="1489710" cy="1604645"/>
                  <wp:effectExtent l="0" t="0" r="5715" b="508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icPr>
                        <pic:blipFill>
                          <a:blip r:embed="rId18"/>
                          <a:stretch>
                            <a:fillRect/>
                          </a:stretch>
                        </pic:blipFill>
                        <pic:spPr>
                          <a:xfrm>
                            <a:off x="0" y="0"/>
                            <a:ext cx="1489710" cy="1604645"/>
                          </a:xfrm>
                          <a:prstGeom prst="rect">
                            <a:avLst/>
                          </a:prstGeom>
                          <a:noFill/>
                          <a:ln>
                            <a:noFill/>
                          </a:ln>
                        </pic:spPr>
                      </pic:pic>
                    </a:graphicData>
                  </a:graphic>
                </wp:inline>
              </w:drawing>
            </w:r>
          </w:p>
        </w:tc>
      </w:tr>
      <w:tr w14:paraId="725ED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5FAFAE9">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810" w:type="dxa"/>
            <w:vAlign w:val="center"/>
          </w:tcPr>
          <w:p w14:paraId="651B90DC">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四人衣柜（特殊房型）</w:t>
            </w:r>
          </w:p>
        </w:tc>
        <w:tc>
          <w:tcPr>
            <w:tcW w:w="661" w:type="dxa"/>
            <w:vAlign w:val="center"/>
          </w:tcPr>
          <w:p w14:paraId="6F9440D7">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661" w:type="dxa"/>
            <w:vAlign w:val="center"/>
          </w:tcPr>
          <w:p w14:paraId="35136B97">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组</w:t>
            </w:r>
          </w:p>
        </w:tc>
        <w:tc>
          <w:tcPr>
            <w:tcW w:w="6269" w:type="dxa"/>
            <w:vAlign w:val="center"/>
          </w:tcPr>
          <w:p w14:paraId="38349EFD">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1.参考规格：2400*600*2400mm（根据现场实际情况调整）</w:t>
            </w:r>
            <w:r>
              <w:rPr>
                <w:rFonts w:hint="eastAsia" w:ascii="宋体" w:hAnsi="宋体" w:eastAsia="宋体" w:cs="宋体"/>
                <w:color w:val="auto"/>
                <w:sz w:val="21"/>
                <w:szCs w:val="21"/>
                <w:highlight w:val="none"/>
                <w:lang w:eastAsia="zh-CN"/>
              </w:rPr>
              <w:t>；</w:t>
            </w:r>
          </w:p>
          <w:p w14:paraId="77BB7E64">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2.板材：采用优质EO级实木多层板，同色封边，深度≥600mm。衣柜后背板厚度≥9mm，其他板材厚度≥16mm；</w:t>
            </w:r>
          </w:p>
          <w:p w14:paraId="62585564">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3.结合房型合理设计柜体款式及内部功能分区：四等分为四个柜子，内部合理隔断，内设挂衣杆1根，≥Φ19*1.0mm不锈钢圆管；</w:t>
            </w:r>
          </w:p>
          <w:p w14:paraId="64340080">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4.柜门拉手采用铝合金材质，内嵌安装，配锁舌；</w:t>
            </w:r>
          </w:p>
          <w:p w14:paraId="4F15837C">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5.下面设防潮架≥20*50*1.2mm方管，并作封闭防尘处理。如设计鞋架或其他顶部储物空间，采用≥Φ15*1.2 mm圆管、≥20*2mm扁铁，表面静电喷塑处理；</w:t>
            </w:r>
          </w:p>
          <w:p w14:paraId="028B3A33">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6.根据房型类别，合理设计编号样式及安放位置（如：1,2,3,4,5或1号，2号…等）；</w:t>
            </w:r>
          </w:p>
          <w:p w14:paraId="7C89EFF4">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7.参考图片：</w:t>
            </w:r>
          </w:p>
          <w:p w14:paraId="44E4DFC1">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drawing>
                <wp:inline distT="0" distB="0" distL="114300" distR="114300">
                  <wp:extent cx="1222375" cy="1363980"/>
                  <wp:effectExtent l="0" t="0" r="6350" b="762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19"/>
                          <a:srcRect l="10890" t="5926" r="22621" b="18746"/>
                          <a:stretch>
                            <a:fillRect/>
                          </a:stretch>
                        </pic:blipFill>
                        <pic:spPr>
                          <a:xfrm>
                            <a:off x="0" y="0"/>
                            <a:ext cx="1222375" cy="1363980"/>
                          </a:xfrm>
                          <a:prstGeom prst="rect">
                            <a:avLst/>
                          </a:prstGeom>
                          <a:noFill/>
                          <a:ln>
                            <a:noFill/>
                          </a:ln>
                        </pic:spPr>
                      </pic:pic>
                    </a:graphicData>
                  </a:graphic>
                </wp:inline>
              </w:drawing>
            </w:r>
          </w:p>
        </w:tc>
      </w:tr>
      <w:tr w14:paraId="3D550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F017EE9">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810" w:type="dxa"/>
            <w:vAlign w:val="center"/>
          </w:tcPr>
          <w:p w14:paraId="6F08A286">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四人衣柜（五人间）</w:t>
            </w:r>
          </w:p>
        </w:tc>
        <w:tc>
          <w:tcPr>
            <w:tcW w:w="661" w:type="dxa"/>
            <w:vAlign w:val="center"/>
          </w:tcPr>
          <w:p w14:paraId="73BCBBC3">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137</w:t>
            </w:r>
          </w:p>
        </w:tc>
        <w:tc>
          <w:tcPr>
            <w:tcW w:w="661" w:type="dxa"/>
            <w:vAlign w:val="center"/>
          </w:tcPr>
          <w:p w14:paraId="2A16EAB0">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个</w:t>
            </w:r>
          </w:p>
        </w:tc>
        <w:tc>
          <w:tcPr>
            <w:tcW w:w="6269" w:type="dxa"/>
            <w:vAlign w:val="center"/>
          </w:tcPr>
          <w:p w14:paraId="29FD3D62">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1.参考规格：1600*600*2400mm（根据现场实际情况调整）；</w:t>
            </w:r>
          </w:p>
          <w:p w14:paraId="7E469CDB">
            <w:pPr>
              <w:keepNext w:val="0"/>
              <w:keepLines w:val="0"/>
              <w:pageBreakBefore w:val="0"/>
              <w:widowControl w:val="0"/>
              <w:suppressLineNumbers w:val="0"/>
              <w:wordWrap/>
              <w:topLinePunct w:val="0"/>
              <w:bidi w:val="0"/>
              <w:spacing w:before="0" w:beforeAutospacing="0" w:after="0" w:afterAutospacing="0" w:line="288" w:lineRule="auto"/>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2.板材：采用优质EO级实木多层板，同色封边，</w:t>
            </w:r>
            <w:r>
              <w:rPr>
                <w:rFonts w:hint="eastAsia" w:ascii="宋体" w:hAnsi="宋体" w:eastAsia="宋体" w:cs="宋体"/>
                <w:bCs/>
                <w:color w:val="auto"/>
                <w:kern w:val="2"/>
                <w:sz w:val="21"/>
                <w:szCs w:val="21"/>
                <w:highlight w:val="none"/>
                <w:lang w:val="en-US" w:eastAsia="zh-CN" w:bidi="ar"/>
              </w:rPr>
              <w:t>深度≥600mm。衣柜后背板厚度≥9mm，其他板材厚度≥16mm；</w:t>
            </w:r>
          </w:p>
          <w:p w14:paraId="46468A06">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3.结合房型合理设计柜体款式及内部功能分区：四等分为四个柜子，内部合理隔断，内设挂衣杆1根，≥Φ19*1.0mm不锈钢圆管；</w:t>
            </w:r>
          </w:p>
          <w:p w14:paraId="1D8ECEB0">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4.柜门拉手采用铝合金材质，内嵌安装，配锁舌；</w:t>
            </w:r>
          </w:p>
          <w:p w14:paraId="0689446C">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5.下面设防潮架≥20*50*1.2mm方管，并作封闭防尘处理。如设计鞋架或其他顶部储物空间，采用≥Φ15*1.2 mm圆管、≥20*2mm扁铁，表面静电喷塑处理；</w:t>
            </w:r>
          </w:p>
          <w:p w14:paraId="49CC02C8">
            <w:pPr>
              <w:keepNext w:val="0"/>
              <w:keepLines w:val="0"/>
              <w:pageBreakBefore w:val="0"/>
              <w:widowControl w:val="0"/>
              <w:suppressLineNumbers w:val="0"/>
              <w:wordWrap/>
              <w:topLinePunct w:val="0"/>
              <w:bidi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6.根据房型类别，合理设计编号样式及安放位置（如：1,2,3,4,5或1号，2号…等）；</w:t>
            </w:r>
          </w:p>
          <w:p w14:paraId="2B6DC1EA">
            <w:pPr>
              <w:keepNext w:val="0"/>
              <w:keepLines w:val="0"/>
              <w:pageBreakBefore w:val="0"/>
              <w:widowControl w:val="0"/>
              <w:suppressLineNumbers w:val="0"/>
              <w:wordWrap/>
              <w:topLinePunct w:val="0"/>
              <w:bidi w:val="0"/>
              <w:adjustRightInd w:val="0"/>
              <w:snapToGrid w:val="0"/>
              <w:spacing w:before="0" w:beforeAutospacing="0" w:after="0" w:afterAutospacing="0" w:line="288"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7.参考图片：</w:t>
            </w:r>
          </w:p>
          <w:p w14:paraId="68F9517B">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1223645" cy="1473200"/>
                  <wp:effectExtent l="0" t="0" r="5080" b="3175"/>
                  <wp:docPr id="13"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descr="IMG_256"/>
                          <pic:cNvPicPr>
                            <a:picLocks noChangeAspect="1"/>
                          </pic:cNvPicPr>
                        </pic:nvPicPr>
                        <pic:blipFill>
                          <a:blip r:embed="rId20"/>
                          <a:stretch>
                            <a:fillRect/>
                          </a:stretch>
                        </pic:blipFill>
                        <pic:spPr>
                          <a:xfrm>
                            <a:off x="0" y="0"/>
                            <a:ext cx="1223645" cy="1473200"/>
                          </a:xfrm>
                          <a:prstGeom prst="rect">
                            <a:avLst/>
                          </a:prstGeom>
                          <a:noFill/>
                          <a:ln w="9525">
                            <a:noFill/>
                          </a:ln>
                        </pic:spPr>
                      </pic:pic>
                    </a:graphicData>
                  </a:graphic>
                </wp:inline>
              </w:drawing>
            </w:r>
          </w:p>
        </w:tc>
      </w:tr>
      <w:tr w14:paraId="1223E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28C4A57">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810" w:type="dxa"/>
            <w:vAlign w:val="center"/>
          </w:tcPr>
          <w:p w14:paraId="1A11A44E">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公寓椅</w:t>
            </w:r>
          </w:p>
        </w:tc>
        <w:tc>
          <w:tcPr>
            <w:tcW w:w="661" w:type="dxa"/>
            <w:vAlign w:val="center"/>
          </w:tcPr>
          <w:p w14:paraId="61E2E395">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725</w:t>
            </w:r>
          </w:p>
        </w:tc>
        <w:tc>
          <w:tcPr>
            <w:tcW w:w="661" w:type="dxa"/>
            <w:vAlign w:val="center"/>
          </w:tcPr>
          <w:p w14:paraId="7E991109">
            <w:pPr>
              <w:keepNext w:val="0"/>
              <w:keepLines w:val="0"/>
              <w:pageBreakBefore w:val="0"/>
              <w:suppressLineNumbers w:val="0"/>
              <w:wordWrap/>
              <w:topLinePunct w:val="0"/>
              <w:bidi w:val="0"/>
              <w:adjustRightInd w:val="0"/>
              <w:snapToGrid w:val="0"/>
              <w:spacing w:before="0" w:beforeAutospacing="0" w:after="0" w:afterAutospacing="0" w:line="288"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把</w:t>
            </w:r>
          </w:p>
        </w:tc>
        <w:tc>
          <w:tcPr>
            <w:tcW w:w="6269" w:type="dxa"/>
            <w:vAlign w:val="center"/>
          </w:tcPr>
          <w:p w14:paraId="54CB1F90">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1.参考尺寸：常规；</w:t>
            </w:r>
          </w:p>
          <w:p w14:paraId="272ADD84">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材质：主杆采用≥φ22mm*1.2mm优质钢管。座板、靠背采用≥10mm厚的多层板，面贴防火板。钢管焊接表面波纹均匀，焊接处无夹渣、气孔、焊瘤、焊丝咬边和飞溅，无脱焊，虚焊和焊空的现象。喷塑采用抛丸高速处理工艺。喷塑表面光亮平整，无颗粒渣点，颜色均匀。符合国家环保要求；</w:t>
            </w:r>
          </w:p>
          <w:p w14:paraId="7EA392B6">
            <w:pPr>
              <w:keepNext w:val="0"/>
              <w:keepLines w:val="0"/>
              <w:pageBreakBefore w:val="0"/>
              <w:widowControl/>
              <w:suppressLineNumbers w:val="0"/>
              <w:wordWrap/>
              <w:topLinePunct w:val="0"/>
              <w:bidi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2.参考图片：</w:t>
            </w:r>
          </w:p>
          <w:p w14:paraId="0A5076A3">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930275" cy="1180465"/>
                  <wp:effectExtent l="0" t="0" r="3175" b="635"/>
                  <wp:docPr id="14"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descr="IMG_256"/>
                          <pic:cNvPicPr>
                            <a:picLocks noChangeAspect="1"/>
                          </pic:cNvPicPr>
                        </pic:nvPicPr>
                        <pic:blipFill>
                          <a:blip r:embed="rId21"/>
                          <a:stretch>
                            <a:fillRect/>
                          </a:stretch>
                        </pic:blipFill>
                        <pic:spPr>
                          <a:xfrm>
                            <a:off x="0" y="0"/>
                            <a:ext cx="930275" cy="1180465"/>
                          </a:xfrm>
                          <a:prstGeom prst="rect">
                            <a:avLst/>
                          </a:prstGeom>
                          <a:noFill/>
                          <a:ln w="9525">
                            <a:noFill/>
                          </a:ln>
                        </pic:spPr>
                      </pic:pic>
                    </a:graphicData>
                  </a:graphic>
                </wp:inline>
              </w:drawing>
            </w:r>
          </w:p>
        </w:tc>
      </w:tr>
      <w:tr w14:paraId="4FD36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60" w:type="dxa"/>
            <w:gridSpan w:val="5"/>
            <w:vAlign w:val="center"/>
          </w:tcPr>
          <w:p w14:paraId="44D4076B">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32号楼宿舍平面图：</w:t>
            </w:r>
          </w:p>
          <w:p w14:paraId="498E88F0">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drawing>
                <wp:inline distT="0" distB="0" distL="114300" distR="114300">
                  <wp:extent cx="2976880" cy="1824355"/>
                  <wp:effectExtent l="0" t="0" r="4445" b="4445"/>
                  <wp:docPr id="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
                          <pic:cNvPicPr>
                            <a:picLocks noChangeAspect="1"/>
                          </pic:cNvPicPr>
                        </pic:nvPicPr>
                        <pic:blipFill>
                          <a:blip r:embed="rId22"/>
                          <a:stretch>
                            <a:fillRect/>
                          </a:stretch>
                        </pic:blipFill>
                        <pic:spPr>
                          <a:xfrm>
                            <a:off x="0" y="0"/>
                            <a:ext cx="2976880" cy="1824355"/>
                          </a:xfrm>
                          <a:prstGeom prst="rect">
                            <a:avLst/>
                          </a:prstGeom>
                          <a:noFill/>
                          <a:ln>
                            <a:noFill/>
                          </a:ln>
                        </pic:spPr>
                      </pic:pic>
                    </a:graphicData>
                  </a:graphic>
                </wp:inline>
              </w:drawing>
            </w:r>
          </w:p>
          <w:p w14:paraId="32D78A31">
            <w:pPr>
              <w:keepNext w:val="0"/>
              <w:keepLines w:val="0"/>
              <w:pageBreakBefore w:val="0"/>
              <w:widowControl w:val="0"/>
              <w:suppressLineNumbers w:val="0"/>
              <w:wordWrap/>
              <w:topLinePunct w:val="0"/>
              <w:bidi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 w:val="21"/>
                <w:szCs w:val="21"/>
                <w:highlight w:val="none"/>
              </w:rPr>
              <w:drawing>
                <wp:inline distT="0" distB="0" distL="114300" distR="114300">
                  <wp:extent cx="3057525" cy="1519555"/>
                  <wp:effectExtent l="0" t="0" r="0" b="4445"/>
                  <wp:docPr id="2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pic:cNvPicPr>
                            <a:picLocks noChangeAspect="1"/>
                          </pic:cNvPicPr>
                        </pic:nvPicPr>
                        <pic:blipFill>
                          <a:blip r:embed="rId23"/>
                          <a:stretch>
                            <a:fillRect/>
                          </a:stretch>
                        </pic:blipFill>
                        <pic:spPr>
                          <a:xfrm>
                            <a:off x="0" y="0"/>
                            <a:ext cx="3057525" cy="1519555"/>
                          </a:xfrm>
                          <a:prstGeom prst="rect">
                            <a:avLst/>
                          </a:prstGeom>
                          <a:noFill/>
                          <a:ln>
                            <a:noFill/>
                          </a:ln>
                        </pic:spPr>
                      </pic:pic>
                    </a:graphicData>
                  </a:graphic>
                </wp:inline>
              </w:drawing>
            </w:r>
          </w:p>
        </w:tc>
      </w:tr>
    </w:tbl>
    <w:p w14:paraId="6B74C5BB">
      <w:pPr>
        <w:adjustRightInd w:val="0"/>
        <w:snapToGrid w:val="0"/>
        <w:spacing w:line="288" w:lineRule="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注：</w:t>
      </w:r>
    </w:p>
    <w:p w14:paraId="6A940720">
      <w:pPr>
        <w:adjustRightInd w:val="0"/>
        <w:snapToGrid w:val="0"/>
        <w:spacing w:line="288" w:lineRule="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1</w:t>
      </w:r>
      <w:r>
        <w:rPr>
          <w:rFonts w:hint="eastAsia" w:ascii="宋体" w:hAnsi="宋体" w:eastAsia="宋体" w:cs="Times New Roman"/>
          <w:b w:val="0"/>
          <w:bCs w:val="0"/>
          <w:color w:val="auto"/>
          <w:szCs w:val="21"/>
          <w:highlight w:val="none"/>
          <w:lang w:val="en-US" w:eastAsia="zh-CN"/>
        </w:rPr>
        <w:t>.</w:t>
      </w:r>
      <w:r>
        <w:rPr>
          <w:rFonts w:hint="eastAsia" w:ascii="宋体" w:hAnsi="宋体" w:eastAsia="宋体" w:cs="Times New Roman"/>
          <w:b w:val="0"/>
          <w:bCs w:val="0"/>
          <w:color w:val="auto"/>
          <w:szCs w:val="21"/>
          <w:highlight w:val="none"/>
        </w:rPr>
        <w:t>中标</w:t>
      </w:r>
      <w:r>
        <w:rPr>
          <w:rFonts w:hint="eastAsia" w:ascii="宋体" w:hAnsi="宋体" w:eastAsia="宋体" w:cs="Times New Roman"/>
          <w:b w:val="0"/>
          <w:bCs w:val="0"/>
          <w:color w:val="auto"/>
          <w:szCs w:val="21"/>
          <w:highlight w:val="none"/>
          <w:lang w:val="en-US" w:eastAsia="zh-CN"/>
        </w:rPr>
        <w:t>人</w:t>
      </w:r>
      <w:r>
        <w:rPr>
          <w:rFonts w:hint="eastAsia" w:ascii="宋体" w:hAnsi="宋体" w:eastAsia="宋体" w:cs="Times New Roman"/>
          <w:b w:val="0"/>
          <w:bCs w:val="0"/>
          <w:color w:val="auto"/>
          <w:szCs w:val="21"/>
          <w:highlight w:val="none"/>
        </w:rPr>
        <w:t>需要负责对32号楼的</w:t>
      </w:r>
      <w:r>
        <w:rPr>
          <w:rFonts w:hint="eastAsia" w:ascii="宋体" w:hAnsi="宋体" w:eastAsia="宋体" w:cs="Times New Roman"/>
          <w:b w:val="0"/>
          <w:bCs w:val="0"/>
          <w:color w:val="auto"/>
          <w:szCs w:val="21"/>
          <w:highlight w:val="none"/>
          <w:lang w:val="en-US" w:eastAsia="zh-CN"/>
        </w:rPr>
        <w:t>435</w:t>
      </w:r>
      <w:r>
        <w:rPr>
          <w:rFonts w:hint="eastAsia" w:ascii="宋体" w:hAnsi="宋体" w:eastAsia="宋体" w:cs="Times New Roman"/>
          <w:b w:val="0"/>
          <w:bCs w:val="0"/>
          <w:color w:val="auto"/>
          <w:szCs w:val="21"/>
          <w:highlight w:val="none"/>
        </w:rPr>
        <w:t>组已报废家具进行拆除、清运；</w:t>
      </w:r>
    </w:p>
    <w:p w14:paraId="1AE0B76A">
      <w:pPr>
        <w:adjustRightInd w:val="0"/>
        <w:snapToGrid w:val="0"/>
        <w:spacing w:line="288" w:lineRule="auto"/>
        <w:rPr>
          <w:rFonts w:hint="eastAsia" w:ascii="宋体" w:hAnsi="宋体" w:eastAsia="宋体" w:cs="Times New Roman"/>
          <w:b w:val="0"/>
          <w:bCs w:val="0"/>
          <w:color w:val="auto"/>
          <w:szCs w:val="21"/>
          <w:highlight w:val="none"/>
          <w:lang w:eastAsia="zh-CN"/>
        </w:rPr>
      </w:pPr>
      <w:r>
        <w:rPr>
          <w:rFonts w:hint="eastAsia" w:ascii="宋体" w:hAnsi="宋体" w:eastAsia="宋体" w:cs="Times New Roman"/>
          <w:b w:val="0"/>
          <w:bCs w:val="0"/>
          <w:color w:val="auto"/>
          <w:szCs w:val="21"/>
          <w:highlight w:val="none"/>
        </w:rPr>
        <w:t>2</w:t>
      </w:r>
      <w:r>
        <w:rPr>
          <w:rFonts w:hint="eastAsia" w:ascii="宋体" w:hAnsi="宋体" w:eastAsia="宋体" w:cs="Times New Roman"/>
          <w:b w:val="0"/>
          <w:bCs w:val="0"/>
          <w:color w:val="auto"/>
          <w:szCs w:val="21"/>
          <w:highlight w:val="none"/>
          <w:lang w:val="en-US" w:eastAsia="zh-CN"/>
        </w:rPr>
        <w:t>.</w:t>
      </w:r>
      <w:r>
        <w:rPr>
          <w:rFonts w:hint="eastAsia" w:ascii="宋体" w:hAnsi="宋体" w:eastAsia="宋体" w:cs="Times New Roman"/>
          <w:b w:val="0"/>
          <w:bCs w:val="0"/>
          <w:color w:val="auto"/>
          <w:szCs w:val="21"/>
          <w:highlight w:val="none"/>
        </w:rPr>
        <w:t>中标人需要负责对32号楼的145套二人位书桌（带柜）、145张单人位公寓床进行分解拆除，保证拆卸的零件保存完好、标明相应位置，并全部运输到生活区车库</w:t>
      </w:r>
      <w:r>
        <w:rPr>
          <w:rFonts w:hint="eastAsia" w:ascii="宋体" w:hAnsi="宋体" w:eastAsia="宋体" w:cs="Times New Roman"/>
          <w:b w:val="0"/>
          <w:bCs w:val="0"/>
          <w:color w:val="auto"/>
          <w:szCs w:val="21"/>
          <w:highlight w:val="none"/>
          <w:lang w:eastAsia="zh-CN"/>
        </w:rPr>
        <w:t>；</w:t>
      </w:r>
    </w:p>
    <w:p w14:paraId="76102D42">
      <w:pPr>
        <w:adjustRightInd w:val="0"/>
        <w:snapToGrid w:val="0"/>
        <w:spacing w:line="288" w:lineRule="auto"/>
        <w:rPr>
          <w:rFonts w:hint="default"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3.以上费用均包含在本项目投标总价中。</w:t>
      </w:r>
    </w:p>
    <w:p w14:paraId="582BA122">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3575CB53">
      <w:pPr>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4.样品：</w:t>
      </w:r>
    </w:p>
    <w:p w14:paraId="0B4E4BA2">
      <w:pPr>
        <w:autoSpaceDE w:val="0"/>
        <w:spacing w:line="288" w:lineRule="auto"/>
        <w:ind w:firstLine="422" w:firstLineChars="200"/>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t>（1）投标人需提供以下样品（▲样品不得出现投标供应商的名称、商标）：</w:t>
      </w:r>
    </w:p>
    <w:tbl>
      <w:tblPr>
        <w:tblStyle w:val="23"/>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8"/>
        <w:gridCol w:w="2439"/>
        <w:gridCol w:w="1079"/>
        <w:gridCol w:w="1094"/>
        <w:gridCol w:w="3708"/>
      </w:tblGrid>
      <w:tr w14:paraId="11487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308" w:type="dxa"/>
            <w:vAlign w:val="center"/>
          </w:tcPr>
          <w:p w14:paraId="13B2AA3E">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439" w:type="dxa"/>
            <w:vAlign w:val="center"/>
          </w:tcPr>
          <w:p w14:paraId="0DFA651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品名</w:t>
            </w:r>
          </w:p>
        </w:tc>
        <w:tc>
          <w:tcPr>
            <w:tcW w:w="1079" w:type="dxa"/>
            <w:vAlign w:val="center"/>
          </w:tcPr>
          <w:p w14:paraId="4875DB4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094" w:type="dxa"/>
            <w:vAlign w:val="center"/>
          </w:tcPr>
          <w:p w14:paraId="2B9F2E6C">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单位</w:t>
            </w:r>
          </w:p>
        </w:tc>
        <w:tc>
          <w:tcPr>
            <w:tcW w:w="3708" w:type="dxa"/>
            <w:vAlign w:val="center"/>
          </w:tcPr>
          <w:p w14:paraId="4DD227FF">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43F84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08" w:type="dxa"/>
            <w:vAlign w:val="center"/>
          </w:tcPr>
          <w:p w14:paraId="72D7332E">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439" w:type="dxa"/>
            <w:vAlign w:val="center"/>
          </w:tcPr>
          <w:p w14:paraId="018120F7">
            <w:pPr>
              <w:keepNext w:val="0"/>
              <w:keepLines w:val="0"/>
              <w:suppressLineNumbers w:val="0"/>
              <w:autoSpaceDE w:val="0"/>
              <w:adjustRightInd w:val="0"/>
              <w:snapToGrid w:val="0"/>
              <w:spacing w:before="0" w:beforeAutospacing="0" w:after="0" w:afterAutospacing="0"/>
              <w:ind w:left="0" w:right="0"/>
              <w:jc w:val="center"/>
              <w:rPr>
                <w:rFonts w:hint="eastAsia"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rPr>
              <w:t>三人位公寓组合床（五人间）</w:t>
            </w:r>
          </w:p>
        </w:tc>
        <w:tc>
          <w:tcPr>
            <w:tcW w:w="1079" w:type="dxa"/>
            <w:vAlign w:val="center"/>
          </w:tcPr>
          <w:p w14:paraId="68FA5E5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1094" w:type="dxa"/>
            <w:vAlign w:val="center"/>
          </w:tcPr>
          <w:p w14:paraId="234E4CB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w:t>
            </w:r>
          </w:p>
        </w:tc>
        <w:tc>
          <w:tcPr>
            <w:tcW w:w="3708" w:type="dxa"/>
            <w:vMerge w:val="restart"/>
            <w:vAlign w:val="center"/>
          </w:tcPr>
          <w:p w14:paraId="206E6AD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因三人位公寓组合床（五人间）与三人位公寓组合床（五人间）（加长床）仅长度区别，故样品尺寸均以三人位公寓组合床（五人间）为准。其余具体要求同采购需求。</w:t>
            </w:r>
          </w:p>
        </w:tc>
      </w:tr>
      <w:tr w14:paraId="4861F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08" w:type="dxa"/>
            <w:vAlign w:val="center"/>
          </w:tcPr>
          <w:p w14:paraId="7DC0214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tc>
        <w:tc>
          <w:tcPr>
            <w:tcW w:w="2439" w:type="dxa"/>
            <w:vAlign w:val="center"/>
          </w:tcPr>
          <w:p w14:paraId="31466D53">
            <w:pPr>
              <w:keepNext w:val="0"/>
              <w:keepLines w:val="0"/>
              <w:suppressLineNumbers w:val="0"/>
              <w:autoSpaceDE w:val="0"/>
              <w:adjustRightInd w:val="0"/>
              <w:snapToGrid w:val="0"/>
              <w:spacing w:before="0" w:beforeAutospacing="0" w:after="0" w:afterAutospacing="0"/>
              <w:ind w:left="0" w:right="0"/>
              <w:jc w:val="center"/>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四人衣柜（五人间）</w:t>
            </w:r>
          </w:p>
        </w:tc>
        <w:tc>
          <w:tcPr>
            <w:tcW w:w="1079" w:type="dxa"/>
            <w:vAlign w:val="center"/>
          </w:tcPr>
          <w:p w14:paraId="69E8031D">
            <w:pPr>
              <w:keepNext w:val="0"/>
              <w:keepLines w:val="0"/>
              <w:widowControl w:val="0"/>
              <w:suppressLineNumbers w:val="0"/>
              <w:adjustRightInd w:val="0"/>
              <w:snapToGrid w:val="0"/>
              <w:spacing w:before="0" w:beforeAutospacing="0" w:after="0" w:afterAutospacing="0"/>
              <w:ind w:left="0" w:leftChars="0" w:right="0" w:rightChars="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kern w:val="2"/>
                <w:sz w:val="21"/>
                <w:szCs w:val="21"/>
                <w:highlight w:val="none"/>
                <w:lang w:val="en-US" w:eastAsia="zh-CN" w:bidi="ar"/>
              </w:rPr>
              <w:t>1</w:t>
            </w:r>
          </w:p>
        </w:tc>
        <w:tc>
          <w:tcPr>
            <w:tcW w:w="1094" w:type="dxa"/>
            <w:vAlign w:val="center"/>
          </w:tcPr>
          <w:p w14:paraId="1B0A4AEF">
            <w:pPr>
              <w:keepNext w:val="0"/>
              <w:keepLines w:val="0"/>
              <w:widowControl w:val="0"/>
              <w:suppressLineNumbers w:val="0"/>
              <w:adjustRightInd w:val="0"/>
              <w:snapToGrid w:val="0"/>
              <w:spacing w:before="0" w:beforeAutospacing="0" w:after="0" w:afterAutospacing="0"/>
              <w:ind w:left="0" w:leftChars="0" w:right="0" w:rightChars="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kern w:val="2"/>
                <w:sz w:val="21"/>
                <w:szCs w:val="21"/>
                <w:highlight w:val="none"/>
                <w:lang w:val="en-US" w:eastAsia="zh-CN" w:bidi="ar"/>
              </w:rPr>
              <w:t>套</w:t>
            </w:r>
          </w:p>
        </w:tc>
        <w:tc>
          <w:tcPr>
            <w:tcW w:w="3708" w:type="dxa"/>
            <w:vMerge w:val="continue"/>
            <w:vAlign w:val="center"/>
          </w:tcPr>
          <w:p w14:paraId="4A9D2B79">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rPr>
            </w:pPr>
          </w:p>
        </w:tc>
      </w:tr>
      <w:tr w14:paraId="7BC7E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08" w:type="dxa"/>
            <w:vAlign w:val="center"/>
          </w:tcPr>
          <w:p w14:paraId="2CC0D5EA">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tc>
        <w:tc>
          <w:tcPr>
            <w:tcW w:w="2439" w:type="dxa"/>
            <w:vAlign w:val="center"/>
          </w:tcPr>
          <w:p w14:paraId="406F3A9D">
            <w:pPr>
              <w:keepNext w:val="0"/>
              <w:keepLines w:val="0"/>
              <w:suppressLineNumbers w:val="0"/>
              <w:autoSpaceDE w:val="0"/>
              <w:adjustRightInd w:val="0"/>
              <w:snapToGrid w:val="0"/>
              <w:spacing w:before="0" w:beforeAutospacing="0" w:after="0" w:afterAutospacing="0"/>
              <w:ind w:left="0" w:right="0"/>
              <w:jc w:val="center"/>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公寓椅</w:t>
            </w:r>
          </w:p>
        </w:tc>
        <w:tc>
          <w:tcPr>
            <w:tcW w:w="1079" w:type="dxa"/>
            <w:vAlign w:val="center"/>
          </w:tcPr>
          <w:p w14:paraId="73BE2675">
            <w:pPr>
              <w:keepNext w:val="0"/>
              <w:keepLines w:val="0"/>
              <w:widowControl w:val="0"/>
              <w:suppressLineNumbers w:val="0"/>
              <w:adjustRightInd w:val="0"/>
              <w:snapToGrid w:val="0"/>
              <w:spacing w:before="0" w:beforeAutospacing="0" w:after="0" w:afterAutospacing="0"/>
              <w:ind w:left="0" w:leftChars="0" w:right="0" w:rightChars="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kern w:val="2"/>
                <w:sz w:val="21"/>
                <w:szCs w:val="21"/>
                <w:highlight w:val="none"/>
                <w:lang w:val="en-US" w:eastAsia="zh-CN" w:bidi="ar"/>
              </w:rPr>
              <w:t>1</w:t>
            </w:r>
          </w:p>
        </w:tc>
        <w:tc>
          <w:tcPr>
            <w:tcW w:w="1094" w:type="dxa"/>
            <w:vAlign w:val="center"/>
          </w:tcPr>
          <w:p w14:paraId="22982B18">
            <w:pPr>
              <w:keepNext w:val="0"/>
              <w:keepLines w:val="0"/>
              <w:widowControl w:val="0"/>
              <w:suppressLineNumbers w:val="0"/>
              <w:adjustRightInd w:val="0"/>
              <w:snapToGrid w:val="0"/>
              <w:spacing w:before="0" w:beforeAutospacing="0" w:after="0" w:afterAutospacing="0"/>
              <w:ind w:left="0" w:leftChars="0" w:right="0" w:rightChars="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kern w:val="2"/>
                <w:sz w:val="21"/>
                <w:szCs w:val="21"/>
                <w:highlight w:val="none"/>
                <w:lang w:val="en-US" w:eastAsia="zh-CN" w:bidi="ar"/>
              </w:rPr>
              <w:t>套</w:t>
            </w:r>
          </w:p>
        </w:tc>
        <w:tc>
          <w:tcPr>
            <w:tcW w:w="3708" w:type="dxa"/>
            <w:vMerge w:val="continue"/>
            <w:vAlign w:val="center"/>
          </w:tcPr>
          <w:p w14:paraId="7F1C42FA">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auto"/>
                <w:szCs w:val="21"/>
                <w:highlight w:val="none"/>
              </w:rPr>
            </w:pPr>
          </w:p>
        </w:tc>
      </w:tr>
    </w:tbl>
    <w:p w14:paraId="5131BE69">
      <w:pPr>
        <w:autoSpaceDE w:val="0"/>
        <w:spacing w:line="288" w:lineRule="auto"/>
        <w:ind w:firstLine="420" w:firstLineChars="200"/>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注：</w:t>
      </w:r>
    </w:p>
    <w:p w14:paraId="2ADCFC4B">
      <w:pPr>
        <w:autoSpaceDE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宋体"/>
          <w:bCs/>
          <w:color w:val="auto"/>
          <w:szCs w:val="21"/>
          <w:highlight w:val="none"/>
          <w:lang w:bidi="ar"/>
        </w:rPr>
        <w:t>（2）样品递交时间：202</w:t>
      </w:r>
      <w:r>
        <w:rPr>
          <w:rFonts w:hint="eastAsia" w:ascii="宋体" w:hAnsi="宋体" w:eastAsia="宋体" w:cs="宋体"/>
          <w:bCs/>
          <w:color w:val="auto"/>
          <w:szCs w:val="21"/>
          <w:highlight w:val="none"/>
          <w:lang w:val="en-US" w:eastAsia="zh-CN" w:bidi="ar"/>
        </w:rPr>
        <w:t>5</w:t>
      </w:r>
      <w:r>
        <w:rPr>
          <w:rFonts w:hint="eastAsia" w:ascii="宋体" w:hAnsi="宋体" w:eastAsia="宋体" w:cs="宋体"/>
          <w:bCs/>
          <w:color w:val="auto"/>
          <w:szCs w:val="21"/>
          <w:highlight w:val="none"/>
          <w:lang w:bidi="ar"/>
        </w:rPr>
        <w:t>年</w:t>
      </w:r>
      <w:r>
        <w:rPr>
          <w:rFonts w:hint="eastAsia" w:ascii="宋体" w:hAnsi="宋体" w:eastAsia="宋体" w:cs="宋体"/>
          <w:bCs/>
          <w:color w:val="auto"/>
          <w:szCs w:val="21"/>
          <w:highlight w:val="none"/>
          <w:lang w:val="en-US" w:eastAsia="zh-CN" w:bidi="ar"/>
        </w:rPr>
        <w:t>6月15日9:30:00</w:t>
      </w:r>
      <w:r>
        <w:rPr>
          <w:rFonts w:hint="eastAsia" w:ascii="宋体" w:hAnsi="宋体" w:eastAsia="宋体" w:cs="宋体"/>
          <w:bCs/>
          <w:color w:val="auto"/>
          <w:szCs w:val="21"/>
          <w:highlight w:val="none"/>
          <w:lang w:bidi="ar"/>
        </w:rPr>
        <w:t>至1</w:t>
      </w:r>
      <w:r>
        <w:rPr>
          <w:rFonts w:hint="eastAsia" w:ascii="宋体" w:hAnsi="宋体" w:eastAsia="宋体" w:cs="宋体"/>
          <w:bCs/>
          <w:color w:val="auto"/>
          <w:szCs w:val="21"/>
          <w:highlight w:val="none"/>
          <w:lang w:val="en-US" w:eastAsia="zh-CN" w:bidi="ar"/>
        </w:rPr>
        <w:t>5</w:t>
      </w:r>
      <w:r>
        <w:rPr>
          <w:rFonts w:hint="eastAsia" w:ascii="宋体" w:hAnsi="宋体" w:eastAsia="宋体" w:cs="宋体"/>
          <w:bCs/>
          <w:color w:val="auto"/>
          <w:szCs w:val="21"/>
          <w:highlight w:val="none"/>
          <w:lang w:bidi="ar"/>
        </w:rPr>
        <w:t>:00:00，递交地点：</w:t>
      </w:r>
      <w:r>
        <w:rPr>
          <w:rFonts w:hint="eastAsia" w:ascii="宋体" w:hAnsi="宋体" w:eastAsia="宋体" w:cs="宋体"/>
          <w:bCs/>
          <w:color w:val="auto"/>
          <w:szCs w:val="21"/>
          <w:highlight w:val="none"/>
          <w:lang w:val="en-US" w:eastAsia="zh-CN" w:bidi="ar"/>
        </w:rPr>
        <w:t>杭州市钱塘区白杨街道2号大街1158号杭州电子科技大学生活区1餐厅3楼（无电梯，投标人自行考虑搬运问题）</w:t>
      </w:r>
      <w:r>
        <w:rPr>
          <w:rFonts w:hint="eastAsia" w:ascii="宋体" w:hAnsi="宋体" w:eastAsia="宋体" w:cs="宋体"/>
          <w:bCs/>
          <w:color w:val="auto"/>
          <w:szCs w:val="21"/>
          <w:highlight w:val="none"/>
          <w:lang w:bidi="ar"/>
        </w:rPr>
        <w:t>，逾期送达将予以拒收，收样联系人：俞炳，13252390857。</w:t>
      </w:r>
    </w:p>
    <w:p w14:paraId="79DF02B5">
      <w:pPr>
        <w:autoSpaceDE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宋体"/>
          <w:bCs/>
          <w:color w:val="auto"/>
          <w:szCs w:val="21"/>
          <w:highlight w:val="none"/>
          <w:lang w:bidi="ar"/>
        </w:rPr>
        <w:t>（3）中标人的样品将被封存作为货物验收的实物质量验收标准，未中标人的样品在采购活动结束后3个工作日内自行撤回。</w:t>
      </w:r>
    </w:p>
    <w:p w14:paraId="545A871F">
      <w:pPr>
        <w:autoSpaceDE w:val="0"/>
        <w:spacing w:line="288" w:lineRule="auto"/>
        <w:ind w:firstLine="420" w:firstLineChars="200"/>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▲（4）未提供样品或样品提供不全的，投标无效。</w:t>
      </w:r>
    </w:p>
    <w:p w14:paraId="08EA7671">
      <w:pPr>
        <w:autoSpaceDE w:val="0"/>
        <w:spacing w:line="288" w:lineRule="auto"/>
        <w:ind w:firstLine="420" w:firstLineChars="200"/>
        <w:rPr>
          <w:rFonts w:hint="default"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eastAsia="zh-CN" w:bidi="ar"/>
        </w:rPr>
        <w:t>▲（</w:t>
      </w:r>
      <w:r>
        <w:rPr>
          <w:rFonts w:hint="eastAsia" w:ascii="宋体" w:hAnsi="宋体" w:eastAsia="宋体" w:cs="宋体"/>
          <w:bCs/>
          <w:color w:val="auto"/>
          <w:szCs w:val="21"/>
          <w:highlight w:val="none"/>
          <w:lang w:val="en-US" w:eastAsia="zh-CN" w:bidi="ar"/>
        </w:rPr>
        <w:t>5</w:t>
      </w:r>
      <w:r>
        <w:rPr>
          <w:rFonts w:hint="eastAsia" w:ascii="宋体" w:hAnsi="宋体" w:eastAsia="宋体" w:cs="宋体"/>
          <w:bCs/>
          <w:color w:val="auto"/>
          <w:szCs w:val="21"/>
          <w:highlight w:val="none"/>
          <w:lang w:eastAsia="zh-CN" w:bidi="ar"/>
        </w:rPr>
        <w:t>）</w:t>
      </w:r>
      <w:r>
        <w:rPr>
          <w:rFonts w:hint="eastAsia" w:ascii="宋体" w:hAnsi="宋体" w:eastAsia="宋体" w:cs="宋体"/>
          <w:bCs/>
          <w:color w:val="auto"/>
          <w:szCs w:val="21"/>
          <w:highlight w:val="none"/>
          <w:lang w:val="en-US" w:eastAsia="zh-CN" w:bidi="ar"/>
        </w:rPr>
        <w:t>如同时投标多个标项，样品可不重复提供。</w:t>
      </w:r>
    </w:p>
    <w:p w14:paraId="78FB8F73">
      <w:pPr>
        <w:ind w:firstLine="420" w:firstLineChars="200"/>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w:t>
      </w:r>
      <w:r>
        <w:rPr>
          <w:rFonts w:hint="eastAsia" w:ascii="宋体" w:hAnsi="宋体" w:eastAsia="宋体" w:cs="宋体"/>
          <w:bCs/>
          <w:color w:val="auto"/>
          <w:szCs w:val="21"/>
          <w:highlight w:val="none"/>
          <w:lang w:val="en-US" w:eastAsia="zh-CN" w:bidi="ar"/>
        </w:rPr>
        <w:t>6</w:t>
      </w:r>
      <w:r>
        <w:rPr>
          <w:rFonts w:hint="eastAsia" w:ascii="宋体" w:hAnsi="宋体" w:eastAsia="宋体" w:cs="宋体"/>
          <w:bCs/>
          <w:color w:val="auto"/>
          <w:szCs w:val="21"/>
          <w:highlight w:val="none"/>
          <w:lang w:bidi="ar"/>
        </w:rPr>
        <w:t>）特别提醒：供应商同意评审专家对提供的样品进行破坏性测试，如有损坏，采购人不提供赔偿。</w:t>
      </w:r>
    </w:p>
    <w:p w14:paraId="7B908ED5">
      <w:pPr>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杭州电子科技大学学生公寓家具</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2024年7月（含）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r w14:paraId="2DCDE8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932D5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500-1000</w:t>
                  </w:r>
                </w:p>
              </w:tc>
              <w:tc>
                <w:tcPr>
                  <w:tcW w:w="3070" w:type="dxa"/>
                  <w:tcMar>
                    <w:top w:w="0" w:type="dxa"/>
                    <w:left w:w="108" w:type="dxa"/>
                    <w:bottom w:w="0" w:type="dxa"/>
                    <w:right w:w="108" w:type="dxa"/>
                  </w:tcMar>
                  <w:vAlign w:val="center"/>
                </w:tcPr>
                <w:p w14:paraId="406570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bl>
          <w:p w14:paraId="1960F6C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hint="default"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hint="default" w:ascii="宋体" w:hAnsi="宋体" w:eastAsia="宋体"/>
                <w:color w:val="auto"/>
                <w:szCs w:val="21"/>
                <w:highlight w:val="none"/>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7583A3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p>
          <w:p w14:paraId="3D68FB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中小企业声明函（若属于中小企业）</w:t>
            </w:r>
          </w:p>
          <w:p w14:paraId="62CBB7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属于监狱企业的证明文件（若属于监狱企业）</w:t>
            </w:r>
          </w:p>
          <w:p w14:paraId="578D562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残疾人福利性单位声明函（若属于残疾人福利性单位）</w:t>
            </w:r>
          </w:p>
          <w:p w14:paraId="3877AA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联合协议、分包意向协议（如有）</w:t>
            </w:r>
          </w:p>
          <w:p w14:paraId="3F923D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r w14:paraId="19CBE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9FDC67A">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olor w:val="auto"/>
                <w:szCs w:val="21"/>
                <w:highlight w:val="none"/>
              </w:rPr>
            </w:pPr>
            <w:r>
              <w:rPr>
                <w:rFonts w:hint="eastAsia" w:ascii="宋体" w:hAnsi="宋体" w:eastAsia="宋体" w:cs="宋体"/>
                <w:color w:val="auto"/>
                <w:kern w:val="2"/>
                <w:sz w:val="21"/>
                <w:szCs w:val="21"/>
                <w:highlight w:val="none"/>
                <w:lang w:val="en-US" w:eastAsia="zh-CN" w:bidi="ar"/>
              </w:rPr>
              <w:t>（十六）</w:t>
            </w:r>
          </w:p>
        </w:tc>
        <w:tc>
          <w:tcPr>
            <w:tcW w:w="1701" w:type="dxa"/>
            <w:vAlign w:val="center"/>
          </w:tcPr>
          <w:p w14:paraId="2844A24F">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olor w:val="auto"/>
                <w:szCs w:val="21"/>
                <w:highlight w:val="none"/>
              </w:rPr>
            </w:pPr>
            <w:r>
              <w:rPr>
                <w:rFonts w:hint="eastAsia" w:ascii="宋体" w:hAnsi="宋体" w:eastAsia="宋体" w:cs="宋体"/>
                <w:color w:val="auto"/>
                <w:kern w:val="2"/>
                <w:sz w:val="21"/>
                <w:szCs w:val="21"/>
                <w:highlight w:val="none"/>
                <w:lang w:val="en-US" w:eastAsia="zh-CN" w:bidi="ar"/>
              </w:rPr>
              <w:t>其他说明</w:t>
            </w:r>
          </w:p>
        </w:tc>
        <w:tc>
          <w:tcPr>
            <w:tcW w:w="6663" w:type="dxa"/>
            <w:vAlign w:val="center"/>
          </w:tcPr>
          <w:p w14:paraId="6CC6CE7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1.本项目涉及内容较多，交付期短，为保证项目的顺利进行，该项目采取分标项采购。</w:t>
            </w:r>
          </w:p>
          <w:p w14:paraId="7C0EC1DF">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olor w:val="auto"/>
                <w:szCs w:val="21"/>
                <w:highlight w:val="none"/>
              </w:rPr>
            </w:pPr>
            <w:r>
              <w:rPr>
                <w:rFonts w:hint="eastAsia" w:ascii="宋体" w:hAnsi="宋体" w:eastAsia="宋体" w:cs="宋体"/>
                <w:color w:val="auto"/>
                <w:kern w:val="2"/>
                <w:sz w:val="21"/>
                <w:szCs w:val="21"/>
                <w:highlight w:val="none"/>
                <w:lang w:val="en-US" w:eastAsia="zh-CN" w:bidi="ar"/>
              </w:rPr>
              <w:t>2.为保证项目的顺利进行，本项目采取兼投不兼中原则。供应商可投其中任一标项，也可各标项均投，每个供应商只允许中标一个标项，本项目评审顺序为标项一、标项二、标项三。标项一的中标候选人将不被推荐为标项二、三的中标候选人，标项二的中标候选人将不被推荐为标项一、三的中标候选人，标项三的中标候选人将不被推荐为标项一、二的中标候选人。</w:t>
            </w:r>
          </w:p>
        </w:tc>
      </w:tr>
    </w:tbl>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杭州电子科技大学学生公寓家具</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115437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B5878F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565D68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682ECC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504FF1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76977C6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14:paraId="3F4B13D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09C211F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2B8D8C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r w14:paraId="173D23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3B40AE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500-1000</w:t>
            </w:r>
          </w:p>
        </w:tc>
        <w:tc>
          <w:tcPr>
            <w:tcW w:w="3070" w:type="dxa"/>
            <w:tcMar>
              <w:top w:w="0" w:type="dxa"/>
              <w:left w:w="108" w:type="dxa"/>
              <w:bottom w:w="0" w:type="dxa"/>
              <w:right w:w="108" w:type="dxa"/>
            </w:tcMar>
            <w:vAlign w:val="center"/>
          </w:tcPr>
          <w:p w14:paraId="46AC00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2024年7月（含）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747DD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2"/>
    <w:p w14:paraId="5A973184">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79E3587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3875F7BB">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招标文件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15D04C36">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4501DE1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49FA18C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招标文件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，供应商相应的投标产品须提供国家确定的认证机构出具的、处于有效期之内的节能产品认证证书。</w:t>
      </w:r>
    </w:p>
    <w:p w14:paraId="6FA43B2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5C320AD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47D396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w:t>
      </w:r>
    </w:p>
    <w:p w14:paraId="50816DB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CC0DF5D">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6FDFD56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0E45A2FF">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35E61AA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558A294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3.7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38FDA472">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val="en-US" w:eastAsia="zh-CN"/>
        </w:rPr>
        <w:t>3.8 供应商</w:t>
      </w:r>
      <w:r>
        <w:rPr>
          <w:rFonts w:hint="eastAsia" w:ascii="宋体" w:hAnsi="宋体" w:eastAsia="宋体" w:cs="宋体"/>
          <w:i w:val="0"/>
          <w:iCs w:val="0"/>
          <w:color w:val="auto"/>
          <w:sz w:val="21"/>
          <w:szCs w:val="21"/>
          <w:highlight w:val="none"/>
          <w:u w:val="single"/>
        </w:rPr>
        <w:t>提供的《中小企业声明函》中，企业数据（如从业人员，营业收入，资产总额）有误的，</w:t>
      </w:r>
      <w:r>
        <w:rPr>
          <w:rFonts w:hint="eastAsia" w:ascii="宋体" w:hAnsi="宋体" w:eastAsia="宋体" w:cs="宋体"/>
          <w:i w:val="0"/>
          <w:iCs w:val="0"/>
          <w:color w:val="auto"/>
          <w:sz w:val="21"/>
          <w:szCs w:val="21"/>
          <w:highlight w:val="none"/>
          <w:u w:val="single"/>
          <w:lang w:val="en-US" w:eastAsia="zh-CN"/>
        </w:rPr>
        <w:t>采购组织机构或</w:t>
      </w:r>
      <w:r>
        <w:rPr>
          <w:rFonts w:hint="eastAsia" w:ascii="宋体" w:hAnsi="宋体" w:eastAsia="宋体" w:cs="宋体"/>
          <w:i w:val="0"/>
          <w:iCs w:val="0"/>
          <w:color w:val="auto"/>
          <w:sz w:val="21"/>
          <w:szCs w:val="21"/>
          <w:highlight w:val="none"/>
          <w:u w:val="single"/>
        </w:rPr>
        <w:t>评标委员会可以要求供应商进行澄清、说明。</w:t>
      </w:r>
      <w:r>
        <w:rPr>
          <w:rFonts w:hint="eastAsia" w:ascii="宋体" w:hAnsi="宋体" w:eastAsia="宋体" w:cs="宋体"/>
          <w:i w:val="0"/>
          <w:iCs w:val="0"/>
          <w:color w:val="auto"/>
          <w:sz w:val="21"/>
          <w:szCs w:val="21"/>
          <w:highlight w:val="none"/>
          <w:u w:val="single"/>
          <w:lang w:val="en-US" w:eastAsia="zh-CN"/>
        </w:rPr>
        <w:t>但</w:t>
      </w:r>
      <w:r>
        <w:rPr>
          <w:rFonts w:hint="eastAsia" w:ascii="宋体" w:hAnsi="宋体" w:eastAsia="宋体" w:cs="宋体"/>
          <w:i w:val="0"/>
          <w:iCs w:val="0"/>
          <w:color w:val="auto"/>
          <w:sz w:val="21"/>
          <w:szCs w:val="21"/>
          <w:highlight w:val="none"/>
          <w:u w:val="single"/>
        </w:rPr>
        <w:t>《中小企业声明函》</w:t>
      </w:r>
      <w:r>
        <w:rPr>
          <w:rFonts w:hint="eastAsia" w:ascii="宋体" w:hAnsi="宋体" w:eastAsia="宋体" w:cs="宋体"/>
          <w:i w:val="0"/>
          <w:iCs w:val="0"/>
          <w:color w:val="auto"/>
          <w:sz w:val="21"/>
          <w:szCs w:val="21"/>
          <w:highlight w:val="none"/>
          <w:u w:val="single"/>
          <w:lang w:val="en-US" w:eastAsia="zh-CN"/>
        </w:rPr>
        <w:t>出现下列情形的，</w:t>
      </w:r>
      <w:r>
        <w:rPr>
          <w:rFonts w:hint="eastAsia" w:ascii="宋体" w:hAnsi="宋体" w:eastAsia="宋体" w:cs="宋体"/>
          <w:i w:val="0"/>
          <w:iCs w:val="0"/>
          <w:color w:val="auto"/>
          <w:sz w:val="21"/>
          <w:szCs w:val="21"/>
          <w:highlight w:val="none"/>
          <w:u w:val="single"/>
        </w:rPr>
        <w:t>《中小企业声明函》无效</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不享受《政府采购促进中小企业发展管理办法》规定的中小企业扶持政策</w:t>
      </w:r>
      <w:r>
        <w:rPr>
          <w:rFonts w:hint="eastAsia" w:ascii="宋体" w:hAnsi="宋体" w:eastAsia="宋体" w:cs="宋体"/>
          <w:i w:val="0"/>
          <w:iCs w:val="0"/>
          <w:color w:val="auto"/>
          <w:sz w:val="21"/>
          <w:szCs w:val="21"/>
          <w:highlight w:val="none"/>
          <w:u w:val="single"/>
          <w:lang w:eastAsia="zh-CN"/>
        </w:rPr>
        <w:t>：</w:t>
      </w:r>
    </w:p>
    <w:p w14:paraId="1167E81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1</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内容未包括全部采购标的；</w:t>
      </w:r>
    </w:p>
    <w:p w14:paraId="6C3BAD54">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（2）</w:t>
      </w:r>
      <w:r>
        <w:rPr>
          <w:rFonts w:hint="eastAsia" w:ascii="宋体" w:hAnsi="宋体" w:eastAsia="宋体" w:cs="宋体"/>
          <w:i w:val="0"/>
          <w:iCs w:val="0"/>
          <w:color w:val="auto"/>
          <w:sz w:val="21"/>
          <w:szCs w:val="21"/>
          <w:highlight w:val="none"/>
          <w:u w:val="single"/>
        </w:rPr>
        <w:t>未填写</w:t>
      </w:r>
      <w:r>
        <w:rPr>
          <w:rFonts w:hint="eastAsia" w:ascii="宋体" w:hAnsi="宋体" w:eastAsia="宋体" w:cs="宋体"/>
          <w:i w:val="0"/>
          <w:iCs w:val="0"/>
          <w:color w:val="auto"/>
          <w:sz w:val="21"/>
          <w:szCs w:val="21"/>
          <w:highlight w:val="none"/>
          <w:u w:val="single"/>
          <w:lang w:val="en-US" w:eastAsia="zh-CN"/>
        </w:rPr>
        <w:t>标的所属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或者填写</w:t>
      </w:r>
      <w:r>
        <w:rPr>
          <w:rFonts w:hint="eastAsia" w:ascii="宋体" w:hAnsi="宋体" w:eastAsia="宋体" w:cs="宋体"/>
          <w:i w:val="0"/>
          <w:iCs w:val="0"/>
          <w:color w:val="auto"/>
          <w:sz w:val="21"/>
          <w:szCs w:val="21"/>
          <w:highlight w:val="none"/>
          <w:u w:val="single"/>
          <w:lang w:val="en-US" w:eastAsia="zh-CN"/>
        </w:rPr>
        <w:t>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val="en-US" w:eastAsia="zh-CN"/>
        </w:rPr>
        <w:t>与招标文件明确的所属行业不一致；</w:t>
      </w:r>
    </w:p>
    <w:p w14:paraId="0B26647C">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3</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未填写</w:t>
      </w:r>
      <w:r>
        <w:rPr>
          <w:rFonts w:hint="eastAsia" w:ascii="宋体" w:hAnsi="宋体" w:eastAsia="宋体" w:cs="宋体"/>
          <w:i w:val="0"/>
          <w:iCs w:val="0"/>
          <w:color w:val="auto"/>
          <w:sz w:val="21"/>
          <w:szCs w:val="21"/>
          <w:highlight w:val="none"/>
          <w:u w:val="single"/>
        </w:rPr>
        <w:t>企业类型</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填写的企业类型不明确</w:t>
      </w:r>
      <w:r>
        <w:rPr>
          <w:rFonts w:hint="eastAsia" w:ascii="宋体" w:hAnsi="宋体" w:eastAsia="宋体" w:cs="宋体"/>
          <w:i w:val="0"/>
          <w:iCs w:val="0"/>
          <w:color w:val="auto"/>
          <w:sz w:val="21"/>
          <w:szCs w:val="21"/>
          <w:highlight w:val="none"/>
          <w:u w:val="single"/>
        </w:rPr>
        <w:t>或</w:t>
      </w:r>
      <w:r>
        <w:rPr>
          <w:rFonts w:hint="eastAsia" w:ascii="宋体" w:hAnsi="宋体" w:eastAsia="宋体" w:cs="宋体"/>
          <w:i w:val="0"/>
          <w:iCs w:val="0"/>
          <w:color w:val="auto"/>
          <w:sz w:val="21"/>
          <w:szCs w:val="21"/>
          <w:highlight w:val="none"/>
          <w:u w:val="single"/>
          <w:lang w:val="en-US" w:eastAsia="zh-CN"/>
        </w:rPr>
        <w:t>填写</w:t>
      </w:r>
      <w:r>
        <w:rPr>
          <w:rFonts w:hint="eastAsia" w:ascii="宋体" w:hAnsi="宋体" w:eastAsia="宋体" w:cs="宋体"/>
          <w:i w:val="0"/>
          <w:iCs w:val="0"/>
          <w:color w:val="auto"/>
          <w:sz w:val="21"/>
          <w:szCs w:val="21"/>
          <w:highlight w:val="none"/>
          <w:u w:val="single"/>
        </w:rPr>
        <w:t>的企业类型与实际不符</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即：</w:t>
      </w:r>
      <w:r>
        <w:rPr>
          <w:rFonts w:hint="eastAsia" w:ascii="宋体" w:hAnsi="宋体" w:eastAsia="宋体" w:cs="宋体"/>
          <w:i w:val="0"/>
          <w:iCs w:val="0"/>
          <w:color w:val="auto"/>
          <w:sz w:val="21"/>
          <w:szCs w:val="21"/>
          <w:highlight w:val="none"/>
          <w:u w:val="single"/>
        </w:rPr>
        <w:t>企业类型（中型企业、小型企业</w:t>
      </w:r>
      <w:r>
        <w:rPr>
          <w:rFonts w:hint="eastAsia" w:ascii="宋体" w:hAnsi="宋体" w:eastAsia="宋体" w:cs="宋体"/>
          <w:i w:val="0"/>
          <w:iCs w:val="0"/>
          <w:color w:val="auto"/>
          <w:sz w:val="21"/>
          <w:szCs w:val="21"/>
          <w:highlight w:val="none"/>
          <w:u w:val="single"/>
          <w:lang w:val="en-US" w:eastAsia="zh-CN"/>
        </w:rPr>
        <w:t>或</w:t>
      </w:r>
      <w:r>
        <w:rPr>
          <w:rFonts w:hint="eastAsia" w:ascii="宋体" w:hAnsi="宋体" w:eastAsia="宋体" w:cs="宋体"/>
          <w:i w:val="0"/>
          <w:iCs w:val="0"/>
          <w:color w:val="auto"/>
          <w:sz w:val="21"/>
          <w:szCs w:val="21"/>
          <w:highlight w:val="none"/>
          <w:u w:val="single"/>
        </w:rPr>
        <w:t>微型企业）填写错误</w:t>
      </w:r>
      <w:r>
        <w:rPr>
          <w:rFonts w:hint="eastAsia" w:ascii="宋体" w:hAnsi="宋体" w:eastAsia="宋体" w:cs="宋体"/>
          <w:i w:val="0"/>
          <w:iCs w:val="0"/>
          <w:color w:val="auto"/>
          <w:sz w:val="21"/>
          <w:szCs w:val="21"/>
          <w:highlight w:val="none"/>
          <w:u w:val="single"/>
          <w:lang w:eastAsia="zh-CN"/>
        </w:rPr>
        <w:t>）。</w:t>
      </w:r>
    </w:p>
    <w:p w14:paraId="19F3386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供应商声明的类型获得了本不应获得的利益（价格扣除或者资格审查通过）</w:t>
      </w:r>
      <w:r>
        <w:rPr>
          <w:rFonts w:hint="eastAsia" w:ascii="宋体" w:hAnsi="宋体" w:eastAsia="宋体" w:cs="宋体"/>
          <w:i w:val="0"/>
          <w:iCs w:val="0"/>
          <w:color w:val="auto"/>
          <w:sz w:val="21"/>
          <w:szCs w:val="21"/>
          <w:highlight w:val="none"/>
          <w:u w:val="single"/>
        </w:rPr>
        <w:t>，属于提供虚假材料。构成“</w:t>
      </w:r>
      <w:r>
        <w:rPr>
          <w:rFonts w:hint="eastAsia" w:ascii="宋体" w:hAnsi="宋体" w:eastAsia="宋体" w:cs="宋体"/>
          <w:i w:val="0"/>
          <w:iCs w:val="0"/>
          <w:color w:val="auto"/>
          <w:sz w:val="21"/>
          <w:szCs w:val="21"/>
          <w:highlight w:val="none"/>
          <w:u w:val="single"/>
          <w:lang w:val="en-US" w:eastAsia="zh-CN"/>
        </w:rPr>
        <w:t>提供</w:t>
      </w:r>
      <w:r>
        <w:rPr>
          <w:rFonts w:hint="eastAsia" w:ascii="宋体" w:hAnsi="宋体" w:eastAsia="宋体" w:cs="宋体"/>
          <w:i w:val="0"/>
          <w:iCs w:val="0"/>
          <w:color w:val="auto"/>
          <w:sz w:val="21"/>
          <w:szCs w:val="21"/>
          <w:highlight w:val="none"/>
          <w:u w:val="single"/>
        </w:rPr>
        <w:t>虚假材料谋取中标的”，依法承担法律责任。</w:t>
      </w:r>
    </w:p>
    <w:p w14:paraId="4993FD8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175C04F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5360C5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607F047E">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4B4764B">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5B139B56">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7"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0327EE7B">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7"/>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7B944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767" w:type="dxa"/>
            <w:noWrap w:val="0"/>
            <w:vAlign w:val="center"/>
          </w:tcPr>
          <w:p w14:paraId="216EC9C9">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654" w:type="dxa"/>
            <w:noWrap w:val="0"/>
            <w:vAlign w:val="center"/>
          </w:tcPr>
          <w:p w14:paraId="39E03CD7">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072" w:type="dxa"/>
            <w:noWrap w:val="0"/>
            <w:vAlign w:val="center"/>
          </w:tcPr>
          <w:p w14:paraId="4A21E583">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14:paraId="658E2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noWrap w:val="0"/>
            <w:vAlign w:val="center"/>
          </w:tcPr>
          <w:p w14:paraId="3DDE0CDC">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价格分（30）</w:t>
            </w:r>
          </w:p>
        </w:tc>
      </w:tr>
      <w:tr w14:paraId="7ACE7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1767" w:type="dxa"/>
            <w:noWrap w:val="0"/>
            <w:vAlign w:val="center"/>
          </w:tcPr>
          <w:p w14:paraId="0C8B9C2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w:t>
            </w:r>
          </w:p>
        </w:tc>
        <w:tc>
          <w:tcPr>
            <w:tcW w:w="654" w:type="dxa"/>
            <w:noWrap w:val="0"/>
            <w:vAlign w:val="center"/>
          </w:tcPr>
          <w:p w14:paraId="1723972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30</w:t>
            </w:r>
          </w:p>
        </w:tc>
        <w:tc>
          <w:tcPr>
            <w:tcW w:w="7072" w:type="dxa"/>
            <w:noWrap w:val="0"/>
            <w:vAlign w:val="center"/>
          </w:tcPr>
          <w:p w14:paraId="2F4E7778">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价格分采用低价优先法计算，即满足招标文件要求且投标价格最低的投标报价为评标基准价，其他投标人的价格分按照下列公式计算：</w:t>
            </w:r>
          </w:p>
          <w:p w14:paraId="442AD03E">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价格分=（评标基准价/投标报价）×30%×100</w:t>
            </w:r>
          </w:p>
        </w:tc>
      </w:tr>
      <w:tr w14:paraId="0D5A1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noWrap w:val="0"/>
            <w:vAlign w:val="center"/>
          </w:tcPr>
          <w:p w14:paraId="63C28373">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商务分（</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p>
        </w:tc>
      </w:tr>
      <w:tr w14:paraId="380E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noWrap w:val="0"/>
            <w:vAlign w:val="center"/>
          </w:tcPr>
          <w:p w14:paraId="0117E5CC">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业绩</w:t>
            </w:r>
          </w:p>
        </w:tc>
        <w:tc>
          <w:tcPr>
            <w:tcW w:w="654" w:type="dxa"/>
            <w:noWrap w:val="0"/>
            <w:vAlign w:val="center"/>
          </w:tcPr>
          <w:p w14:paraId="6E0C2615">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rPr>
              <w:t>3</w:t>
            </w:r>
          </w:p>
        </w:tc>
        <w:tc>
          <w:tcPr>
            <w:tcW w:w="7072" w:type="dxa"/>
            <w:noWrap w:val="0"/>
            <w:vAlign w:val="center"/>
          </w:tcPr>
          <w:p w14:paraId="44EE213B">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【客观分】投标人自20</w:t>
            </w: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年1月1日以来（以合同签订时间为准）同类合同业绩（同时提供完整合同扫描件、中标通知书扫描件、合同对应的业主评价（评价内容须为</w:t>
            </w:r>
            <w:r>
              <w:rPr>
                <w:rFonts w:hint="eastAsia" w:ascii="宋体" w:hAnsi="宋体" w:eastAsia="宋体" w:cs="宋体"/>
                <w:color w:val="auto"/>
                <w:sz w:val="21"/>
                <w:szCs w:val="21"/>
                <w:highlight w:val="none"/>
                <w:lang w:val="en-US" w:eastAsia="zh-CN"/>
              </w:rPr>
              <w:t>优秀</w:t>
            </w:r>
            <w:r>
              <w:rPr>
                <w:rFonts w:hint="eastAsia" w:ascii="宋体" w:hAnsi="宋体" w:eastAsia="宋体" w:cs="宋体"/>
                <w:color w:val="auto"/>
                <w:sz w:val="21"/>
                <w:szCs w:val="21"/>
                <w:highlight w:val="none"/>
              </w:rPr>
              <w:t>及以上）扫描件的，视为1份有效业绩）：每提供1份合同业绩得1分，最高得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r>
      <w:tr w14:paraId="38165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noWrap w:val="0"/>
            <w:vAlign w:val="center"/>
          </w:tcPr>
          <w:p w14:paraId="3083BC36">
            <w:pPr>
              <w:keepNext w:val="0"/>
              <w:keepLines w:val="0"/>
              <w:suppressLineNumbers w:val="0"/>
              <w:spacing w:before="0" w:beforeAutospacing="0" w:after="0" w:afterAutospacing="0" w:line="240" w:lineRule="auto"/>
              <w:ind w:left="0" w:right="0"/>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投标人信誉</w:t>
            </w:r>
          </w:p>
        </w:tc>
        <w:tc>
          <w:tcPr>
            <w:tcW w:w="654" w:type="dxa"/>
            <w:noWrap w:val="0"/>
            <w:vAlign w:val="center"/>
          </w:tcPr>
          <w:p w14:paraId="6AC13E53">
            <w:pPr>
              <w:keepNext w:val="0"/>
              <w:keepLines w:val="0"/>
              <w:suppressLineNumbers w:val="0"/>
              <w:spacing w:before="0" w:beforeAutospacing="0" w:after="0" w:afterAutospacing="0" w:line="240" w:lineRule="auto"/>
              <w:ind w:left="0" w:right="0"/>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w:t>
            </w:r>
          </w:p>
        </w:tc>
        <w:tc>
          <w:tcPr>
            <w:tcW w:w="7072" w:type="dxa"/>
            <w:noWrap w:val="0"/>
            <w:vAlign w:val="center"/>
          </w:tcPr>
          <w:p w14:paraId="26DAEBCB">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【客观分】投标人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或制造商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具有有的质量管理体系、环境管理体系、职业健康与安全管理体系认证</w:t>
            </w:r>
            <w:r>
              <w:rPr>
                <w:rFonts w:hint="eastAsia" w:ascii="宋体" w:hAnsi="宋体" w:eastAsia="宋体" w:cs="宋体"/>
                <w:color w:val="auto"/>
                <w:sz w:val="21"/>
                <w:szCs w:val="21"/>
                <w:highlight w:val="none"/>
                <w:lang w:val="en-US" w:eastAsia="zh-CN"/>
              </w:rPr>
              <w:t>证书的</w:t>
            </w:r>
            <w:r>
              <w:rPr>
                <w:rFonts w:hint="eastAsia" w:ascii="宋体" w:hAnsi="宋体" w:eastAsia="宋体" w:cs="宋体"/>
                <w:color w:val="auto"/>
                <w:sz w:val="21"/>
                <w:szCs w:val="21"/>
                <w:highlight w:val="none"/>
              </w:rPr>
              <w:t>，每提供一份得1分，最多得3分（提供证书扫描件、国家认证认可监督管理委员会官网（http://www.cnca.gov.cn/）查询截图，不提供不得分）。</w:t>
            </w:r>
          </w:p>
        </w:tc>
      </w:tr>
      <w:tr w14:paraId="786CA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noWrap w:val="0"/>
            <w:vAlign w:val="center"/>
          </w:tcPr>
          <w:p w14:paraId="22088E02">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政策功能</w:t>
            </w:r>
          </w:p>
        </w:tc>
        <w:tc>
          <w:tcPr>
            <w:tcW w:w="654" w:type="dxa"/>
            <w:noWrap w:val="0"/>
            <w:vAlign w:val="center"/>
          </w:tcPr>
          <w:p w14:paraId="3F83C115">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2</w:t>
            </w:r>
          </w:p>
        </w:tc>
        <w:tc>
          <w:tcPr>
            <w:tcW w:w="7072" w:type="dxa"/>
            <w:noWrap w:val="0"/>
            <w:vAlign w:val="center"/>
          </w:tcPr>
          <w:p w14:paraId="43F600B1">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【客观分】投标产品属于品目清单范围且提供国家确定的认证机构出具的有效的环境标志产品认证证书（扫描件加盖公章）的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每有1份</w:t>
            </w:r>
            <w:r>
              <w:rPr>
                <w:rFonts w:hint="eastAsia" w:ascii="宋体" w:hAnsi="宋体" w:eastAsia="宋体" w:cs="宋体"/>
                <w:color w:val="auto"/>
                <w:sz w:val="21"/>
                <w:szCs w:val="21"/>
                <w:highlight w:val="none"/>
              </w:rPr>
              <w:t>得1分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最高得2分</w:t>
            </w:r>
            <w:r>
              <w:rPr>
                <w:rFonts w:hint="eastAsia" w:ascii="宋体" w:hAnsi="宋体" w:eastAsia="宋体" w:cs="宋体"/>
                <w:color w:val="auto"/>
                <w:sz w:val="21"/>
                <w:szCs w:val="21"/>
                <w:highlight w:val="none"/>
              </w:rPr>
              <w:t>。</w:t>
            </w:r>
          </w:p>
        </w:tc>
      </w:tr>
      <w:tr w14:paraId="0E9FB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noWrap w:val="0"/>
            <w:vAlign w:val="center"/>
          </w:tcPr>
          <w:p w14:paraId="23008E42">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技术分（6</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w:t>
            </w:r>
          </w:p>
        </w:tc>
      </w:tr>
      <w:tr w14:paraId="64F57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1767" w:type="dxa"/>
            <w:noWrap w:val="0"/>
            <w:vAlign w:val="center"/>
          </w:tcPr>
          <w:p w14:paraId="660C4A7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技术响应程度</w:t>
            </w:r>
          </w:p>
        </w:tc>
        <w:tc>
          <w:tcPr>
            <w:tcW w:w="654" w:type="dxa"/>
            <w:noWrap w:val="0"/>
            <w:vAlign w:val="center"/>
          </w:tcPr>
          <w:p w14:paraId="51714F00">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18</w:t>
            </w:r>
          </w:p>
        </w:tc>
        <w:tc>
          <w:tcPr>
            <w:tcW w:w="7072" w:type="dxa"/>
            <w:noWrap w:val="0"/>
            <w:vAlign w:val="center"/>
          </w:tcPr>
          <w:p w14:paraId="36552E02">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14:paraId="7065B1F3">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不符合（负偏离）技术要求中标注“▲”条款（不可偏离）的投标无效；</w:t>
            </w:r>
          </w:p>
          <w:p w14:paraId="7934E158">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满足招标文件明确的全部技术条款要求的该项得满分；</w:t>
            </w:r>
          </w:p>
          <w:p w14:paraId="6E4FB040">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技术条款低于技术要求（负偏离）的每项扣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68C7FAB5">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项及以上的视为采购人不能接受的附加条件。</w:t>
            </w:r>
          </w:p>
        </w:tc>
      </w:tr>
      <w:tr w14:paraId="018CA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67" w:type="dxa"/>
            <w:vMerge w:val="restart"/>
            <w:noWrap w:val="0"/>
            <w:vAlign w:val="center"/>
          </w:tcPr>
          <w:p w14:paraId="54E4ED85">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技术方案</w:t>
            </w:r>
          </w:p>
        </w:tc>
        <w:tc>
          <w:tcPr>
            <w:tcW w:w="654" w:type="dxa"/>
            <w:noWrap w:val="0"/>
            <w:vAlign w:val="center"/>
          </w:tcPr>
          <w:p w14:paraId="7D7575D1">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7072" w:type="dxa"/>
            <w:noWrap w:val="0"/>
            <w:vAlign w:val="center"/>
          </w:tcPr>
          <w:p w14:paraId="6B747B27">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eastAsia="宋体" w:cs="宋体"/>
                <w:color w:val="auto"/>
                <w:spacing w:val="-6"/>
                <w:kern w:val="2"/>
                <w:sz w:val="21"/>
                <w:szCs w:val="21"/>
                <w:highlight w:val="none"/>
                <w:lang w:val="en-US" w:eastAsia="zh-CN" w:bidi="ar"/>
              </w:rPr>
              <w:t>投标人整体项目实施方案的完整性、可行性、有效性，</w:t>
            </w:r>
            <w:r>
              <w:rPr>
                <w:rFonts w:hint="eastAsia" w:ascii="宋体" w:hAnsi="宋体" w:eastAsia="宋体" w:cs="宋体"/>
                <w:color w:val="auto"/>
                <w:kern w:val="2"/>
                <w:sz w:val="21"/>
                <w:szCs w:val="21"/>
                <w:highlight w:val="none"/>
                <w:lang w:val="en-US" w:eastAsia="zh-CN" w:bidi="ar"/>
              </w:rPr>
              <w:t>投标人具体项目技术团队，生产实施方案、品质管理管控过程等情况</w:t>
            </w:r>
            <w:r>
              <w:rPr>
                <w:rFonts w:hint="eastAsia" w:ascii="宋体" w:hAnsi="宋体" w:eastAsia="宋体" w:cs="宋体"/>
                <w:color w:val="auto"/>
                <w:spacing w:val="-6"/>
                <w:kern w:val="2"/>
                <w:sz w:val="21"/>
                <w:szCs w:val="21"/>
                <w:highlight w:val="none"/>
                <w:lang w:val="en-US" w:eastAsia="zh-CN" w:bidi="ar"/>
              </w:rPr>
              <w:t>（评分范围：5,4,3,2,1,0）。</w:t>
            </w:r>
          </w:p>
        </w:tc>
      </w:tr>
      <w:tr w14:paraId="5ABAE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67" w:type="dxa"/>
            <w:vMerge w:val="continue"/>
            <w:noWrap w:val="0"/>
            <w:vAlign w:val="center"/>
          </w:tcPr>
          <w:p w14:paraId="18D0F38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noWrap w:val="0"/>
            <w:vAlign w:val="center"/>
          </w:tcPr>
          <w:p w14:paraId="5FE5AAC5">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072" w:type="dxa"/>
            <w:noWrap w:val="0"/>
            <w:vAlign w:val="center"/>
          </w:tcPr>
          <w:p w14:paraId="00399CCC">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【主观分】投标人针对本项目产品的整体深化设计情况，在满足采购需求的前提下，是否有进一步的设计深化（评分范围：3,2,1,0）。</w:t>
            </w:r>
          </w:p>
        </w:tc>
      </w:tr>
      <w:tr w14:paraId="5082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67" w:type="dxa"/>
            <w:noWrap w:val="0"/>
            <w:vAlign w:val="center"/>
          </w:tcPr>
          <w:p w14:paraId="0DD6B724">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主材整体情况</w:t>
            </w:r>
          </w:p>
        </w:tc>
        <w:tc>
          <w:tcPr>
            <w:tcW w:w="654" w:type="dxa"/>
            <w:noWrap w:val="0"/>
            <w:vAlign w:val="center"/>
          </w:tcPr>
          <w:p w14:paraId="51BD734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072" w:type="dxa"/>
            <w:noWrap w:val="0"/>
            <w:vAlign w:val="center"/>
          </w:tcPr>
          <w:p w14:paraId="3326ACA1">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【主观分】本项目产品所用主材整体情况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包括主材来源，主材环保性的保障措施</w:t>
            </w:r>
            <w:r>
              <w:rPr>
                <w:rFonts w:hint="eastAsia" w:ascii="宋体" w:hAnsi="宋体" w:eastAsia="宋体" w:cs="宋体"/>
                <w:color w:val="auto"/>
                <w:sz w:val="21"/>
                <w:szCs w:val="21"/>
                <w:highlight w:val="none"/>
              </w:rPr>
              <w:t>（评分范围：3,2,1,0）。</w:t>
            </w:r>
          </w:p>
        </w:tc>
      </w:tr>
      <w:tr w14:paraId="67F51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67" w:type="dxa"/>
            <w:noWrap w:val="0"/>
            <w:vAlign w:val="center"/>
          </w:tcPr>
          <w:p w14:paraId="7AAD6A95">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拟投入设备</w:t>
            </w:r>
          </w:p>
        </w:tc>
        <w:tc>
          <w:tcPr>
            <w:tcW w:w="654" w:type="dxa"/>
            <w:noWrap w:val="0"/>
            <w:vAlign w:val="center"/>
          </w:tcPr>
          <w:p w14:paraId="6DCDEB63">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w:t>
            </w:r>
          </w:p>
        </w:tc>
        <w:tc>
          <w:tcPr>
            <w:tcW w:w="7072" w:type="dxa"/>
            <w:noWrap w:val="0"/>
            <w:vAlign w:val="center"/>
          </w:tcPr>
          <w:p w14:paraId="3BC3C3D1">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投标人（或生产厂家）具有与本项目采购产品生产相关的设备的（包括但不限于下列设备），得0.3分，最高得6分（提供设备购置发票扫描件或设备租赁发票扫描件，不提供不得分，同款设备不重复计分）：</w:t>
            </w:r>
          </w:p>
          <w:p w14:paraId="48E7BB46">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纤激光切割机、机器人焊接系统、手持式激光焊机、双弯机、数控六面钻、高速电脑裁板锯、自动纵锯修边机、加工中心、数控榫头机、榫槽机、导轨式液压升降平台、中央集尘器、活性炭离线脱附催化燃烧设备、缩管机、涂装废水处理设备、热压机、等离子废气净化器、干式喷漆柜、无尘面漆喷漆设备KEF-UV滚涂线、电子开料锯、高频拼板机、封边机、横截锯机、下轴精密纵锯机、开式可倾压力机、仿形铣钻孔机、立式双轴铣床、铝型材数控双头精密切割锯、隔膜自动压滤机、砂光机、冲床、抛丸机、数控榫卯机、智能喷涂生产线、大气污染防治设备。</w:t>
            </w:r>
          </w:p>
        </w:tc>
      </w:tr>
      <w:tr w14:paraId="48117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1767" w:type="dxa"/>
            <w:noWrap w:val="0"/>
            <w:vAlign w:val="center"/>
          </w:tcPr>
          <w:p w14:paraId="2557469C">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安装调试</w:t>
            </w:r>
          </w:p>
        </w:tc>
        <w:tc>
          <w:tcPr>
            <w:tcW w:w="654" w:type="dxa"/>
            <w:noWrap w:val="0"/>
            <w:vAlign w:val="center"/>
          </w:tcPr>
          <w:p w14:paraId="31D2C0CE">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4</w:t>
            </w:r>
          </w:p>
        </w:tc>
        <w:tc>
          <w:tcPr>
            <w:tcW w:w="7072" w:type="dxa"/>
            <w:noWrap w:val="0"/>
            <w:vAlign w:val="center"/>
          </w:tcPr>
          <w:p w14:paraId="78C92236">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【主观分】安装、调试方法或方案的详细完整度、合理可行性（评分范围：4,3,2,1,0）。</w:t>
            </w:r>
          </w:p>
        </w:tc>
      </w:tr>
      <w:tr w14:paraId="3B514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1767" w:type="dxa"/>
            <w:noWrap w:val="0"/>
            <w:vAlign w:val="center"/>
          </w:tcPr>
          <w:p w14:paraId="7F0CC8D4">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交付检测</w:t>
            </w:r>
          </w:p>
        </w:tc>
        <w:tc>
          <w:tcPr>
            <w:tcW w:w="654" w:type="dxa"/>
            <w:noWrap w:val="0"/>
            <w:vAlign w:val="center"/>
          </w:tcPr>
          <w:p w14:paraId="005C071D">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p>
        </w:tc>
        <w:tc>
          <w:tcPr>
            <w:tcW w:w="7072" w:type="dxa"/>
            <w:noWrap w:val="0"/>
            <w:vAlign w:val="center"/>
          </w:tcPr>
          <w:p w14:paraId="0671E4EE">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【主观分】</w:t>
            </w:r>
            <w:r>
              <w:rPr>
                <w:rFonts w:hint="eastAsia" w:ascii="宋体" w:hAnsi="宋体" w:eastAsia="宋体" w:cs="宋体"/>
                <w:color w:val="auto"/>
                <w:sz w:val="21"/>
                <w:szCs w:val="21"/>
                <w:highlight w:val="none"/>
                <w:lang w:val="en-US" w:eastAsia="zh-CN"/>
              </w:rPr>
              <w:t>货物交付时是否能够提供所有货物的成品检测报告、主材检测报告，采购人抽检显示的检测结果与投标人检测报告结果不一致时，投标人的针对性解决方案（评分范围：4,3,2,1,0）。</w:t>
            </w:r>
          </w:p>
        </w:tc>
      </w:tr>
      <w:tr w14:paraId="746E2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67" w:type="dxa"/>
            <w:noWrap w:val="0"/>
            <w:vAlign w:val="center"/>
          </w:tcPr>
          <w:p w14:paraId="55AAE0ED">
            <w:pPr>
              <w:keepNext w:val="0"/>
              <w:keepLines w:val="0"/>
              <w:suppressLineNumbers w:val="0"/>
              <w:spacing w:before="0" w:beforeAutospacing="0" w:after="0" w:afterAutospacing="0" w:line="240" w:lineRule="auto"/>
              <w:ind w:left="0" w:right="0"/>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售后服务</w:t>
            </w:r>
          </w:p>
        </w:tc>
        <w:tc>
          <w:tcPr>
            <w:tcW w:w="654" w:type="dxa"/>
            <w:noWrap w:val="0"/>
            <w:vAlign w:val="center"/>
          </w:tcPr>
          <w:p w14:paraId="3A32BF5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kern w:val="2"/>
                <w:sz w:val="21"/>
                <w:szCs w:val="21"/>
                <w:highlight w:val="none"/>
                <w:lang w:val="en-US" w:eastAsia="zh-CN" w:bidi="ar"/>
              </w:rPr>
              <w:t>4</w:t>
            </w:r>
          </w:p>
        </w:tc>
        <w:tc>
          <w:tcPr>
            <w:tcW w:w="7072" w:type="dxa"/>
            <w:noWrap w:val="0"/>
            <w:vAlign w:val="center"/>
          </w:tcPr>
          <w:p w14:paraId="3F44DAA6">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【主观分】投标人提供的详细完整的“三包”措施及售后服务措施和方案（包括服务措施、产品质量保证、回访、技术培训等）情况（评分范围：4,3,2,1,0）。</w:t>
            </w:r>
          </w:p>
        </w:tc>
      </w:tr>
      <w:tr w14:paraId="0F64B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67" w:type="dxa"/>
            <w:vMerge w:val="restart"/>
            <w:noWrap w:val="0"/>
            <w:vAlign w:val="center"/>
          </w:tcPr>
          <w:p w14:paraId="2FCAB1C7">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样品分</w:t>
            </w:r>
          </w:p>
        </w:tc>
        <w:tc>
          <w:tcPr>
            <w:tcW w:w="654" w:type="dxa"/>
            <w:noWrap w:val="0"/>
            <w:vAlign w:val="center"/>
          </w:tcPr>
          <w:p w14:paraId="03CF685C">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3</w:t>
            </w:r>
          </w:p>
        </w:tc>
        <w:tc>
          <w:tcPr>
            <w:tcW w:w="7072" w:type="dxa"/>
            <w:noWrap w:val="0"/>
            <w:vAlign w:val="center"/>
          </w:tcPr>
          <w:p w14:paraId="68812CD1">
            <w:pPr>
              <w:keepNext w:val="0"/>
              <w:keepLines w:val="0"/>
              <w:numPr>
                <w:ilvl w:val="0"/>
                <w:numId w:val="0"/>
              </w:numPr>
              <w:suppressLineNumbers w:val="0"/>
              <w:spacing w:before="0" w:beforeAutospacing="0" w:after="0" w:afterAutospacing="0" w:line="240" w:lineRule="auto"/>
              <w:ind w:left="0" w:right="-107" w:rightChars="-5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【主观分】</w:t>
            </w:r>
          </w:p>
          <w:p w14:paraId="685B9132">
            <w:pPr>
              <w:keepNext w:val="0"/>
              <w:keepLines w:val="0"/>
              <w:numPr>
                <w:ilvl w:val="0"/>
                <w:numId w:val="0"/>
              </w:numPr>
              <w:suppressLineNumbers w:val="0"/>
              <w:spacing w:before="0" w:beforeAutospacing="0" w:after="0" w:afterAutospacing="0" w:line="240" w:lineRule="auto"/>
              <w:ind w:left="0" w:right="-107" w:rightChars="-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样品制作工艺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评分范围：3,2,1,0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4AE1B5A9">
            <w:pPr>
              <w:keepNext w:val="0"/>
              <w:keepLines w:val="0"/>
              <w:suppressLineNumbers w:val="0"/>
              <w:spacing w:before="0" w:beforeAutospacing="0" w:after="0" w:afterAutospacing="0" w:line="240" w:lineRule="auto"/>
              <w:ind w:left="0" w:right="-107" w:rightChars="-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1.榫及零件结合应牢固；薄木和其他材料贴面的拼贴应严密、平整，不允许有脱胶、明显透胶、鼓泡、凹陷、压痕以及表面划伤、麻点、裂痕、崩角和刃口；</w:t>
            </w:r>
          </w:p>
          <w:p w14:paraId="7A4263C4">
            <w:pPr>
              <w:keepNext w:val="0"/>
              <w:keepLines w:val="0"/>
              <w:suppressLineNumbers w:val="0"/>
              <w:spacing w:before="0" w:beforeAutospacing="0" w:after="0" w:afterAutospacing="0" w:line="240" w:lineRule="auto"/>
              <w:ind w:left="0" w:right="-107" w:rightChars="-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2.贴面的纹理、图案、颜色应对称相似；各种配件结合处应无崩茬或松动；不得有少件、漏钉、透钉，安装、扎实程度等。</w:t>
            </w:r>
          </w:p>
        </w:tc>
      </w:tr>
      <w:tr w14:paraId="465B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noWrap w:val="0"/>
            <w:vAlign w:val="center"/>
          </w:tcPr>
          <w:p w14:paraId="7910180F">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p>
        </w:tc>
        <w:tc>
          <w:tcPr>
            <w:tcW w:w="654" w:type="dxa"/>
            <w:noWrap w:val="0"/>
            <w:vAlign w:val="center"/>
          </w:tcPr>
          <w:p w14:paraId="0E529A98">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3</w:t>
            </w:r>
          </w:p>
        </w:tc>
        <w:tc>
          <w:tcPr>
            <w:tcW w:w="7072" w:type="dxa"/>
            <w:noWrap w:val="0"/>
            <w:vAlign w:val="center"/>
          </w:tcPr>
          <w:p w14:paraId="7EE4722F">
            <w:pPr>
              <w:keepNext w:val="0"/>
              <w:keepLines w:val="0"/>
              <w:numPr>
                <w:ilvl w:val="0"/>
                <w:numId w:val="0"/>
              </w:numPr>
              <w:suppressLineNumbers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【主观分】</w:t>
            </w:r>
          </w:p>
          <w:p w14:paraId="391892A3">
            <w:pPr>
              <w:keepNext w:val="0"/>
              <w:keepLines w:val="0"/>
              <w:numPr>
                <w:ilvl w:val="0"/>
                <w:numId w:val="0"/>
              </w:numPr>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涂饰要求（评分范围：</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2,1,0）：</w:t>
            </w:r>
          </w:p>
          <w:p w14:paraId="683E5F14">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1.正视面（包括面板）涂层应平整光滑、清晰，涂膜实干后应无明显木孔沉陷；其他部位表面涂层手感应光滑，无明显粒子、涨边和不平整，涂膜实干后允许有木孔沉陷；</w:t>
            </w:r>
          </w:p>
          <w:p w14:paraId="7DBBD299">
            <w:pPr>
              <w:keepNext w:val="0"/>
              <w:keepLines w:val="0"/>
              <w:suppressLineNumbers w:val="0"/>
              <w:spacing w:before="0" w:beforeAutospacing="0" w:after="0" w:afterAutospacing="0" w:line="240" w:lineRule="auto"/>
              <w:ind w:left="0" w:right="-107" w:rightChars="-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2.涂层不得有皱皮、发粘和漏漆现象。应无明显加工痕迹、划痕、白点、鼓泡、油臼、流挂、缩孔、刷毛、积粉和杂渣；表面平整度、光泽度、防虫、防腐处理；</w:t>
            </w:r>
          </w:p>
          <w:p w14:paraId="3373E080">
            <w:pPr>
              <w:keepNext w:val="0"/>
              <w:keepLines w:val="0"/>
              <w:suppressLineNumbers w:val="0"/>
              <w:spacing w:before="0" w:beforeAutospacing="0" w:after="0" w:afterAutospacing="0" w:line="240" w:lineRule="auto"/>
              <w:ind w:left="0" w:right="-107" w:rightChars="-51"/>
              <w:rPr>
                <w:rFonts w:hint="eastAsia" w:ascii="宋体" w:hAnsi="宋体" w:eastAsia="宋体" w:cs="宋体"/>
                <w:color w:val="auto"/>
                <w:spacing w:val="-4"/>
                <w:sz w:val="21"/>
                <w:szCs w:val="21"/>
                <w:highlight w:val="none"/>
              </w:rPr>
            </w:pPr>
            <w:r>
              <w:rPr>
                <w:rFonts w:hint="eastAsia" w:ascii="宋体" w:hAnsi="宋体" w:eastAsia="宋体" w:cs="宋体"/>
                <w:color w:val="auto"/>
                <w:sz w:val="21"/>
                <w:szCs w:val="21"/>
                <w:highlight w:val="none"/>
              </w:rPr>
              <w:t>3.无刺激性异味。</w:t>
            </w:r>
          </w:p>
        </w:tc>
      </w:tr>
      <w:tr w14:paraId="352BC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noWrap w:val="0"/>
            <w:vAlign w:val="center"/>
          </w:tcPr>
          <w:p w14:paraId="43B2A85B">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p>
        </w:tc>
        <w:tc>
          <w:tcPr>
            <w:tcW w:w="654" w:type="dxa"/>
            <w:noWrap w:val="0"/>
            <w:vAlign w:val="center"/>
          </w:tcPr>
          <w:p w14:paraId="41AD57CC">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3</w:t>
            </w:r>
          </w:p>
        </w:tc>
        <w:tc>
          <w:tcPr>
            <w:tcW w:w="7072" w:type="dxa"/>
            <w:noWrap w:val="0"/>
            <w:vAlign w:val="center"/>
          </w:tcPr>
          <w:p w14:paraId="1472E3DB">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w:t>
            </w:r>
          </w:p>
          <w:p w14:paraId="10BD67FC">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三、样品材质（除五金件外）（评分范围：3,2,1,0）：</w:t>
            </w:r>
          </w:p>
          <w:p w14:paraId="20CE33EA">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木质或钢铁质材料（木质干燥、坚实，无腐烂、缺损、裂缝；钢材应无锈斑、裂缝、叠缝，外露端口表面应封闭，焊接处应无脱焊、虚焊、焊穿、错位，无夹渣、气孔、焊瘤、焊丝头）</w:t>
            </w:r>
            <w:r>
              <w:rPr>
                <w:rFonts w:hint="eastAsia" w:ascii="宋体" w:hAnsi="宋体" w:eastAsia="宋体" w:cs="宋体"/>
                <w:color w:val="auto"/>
                <w:sz w:val="21"/>
                <w:szCs w:val="21"/>
                <w:highlight w:val="none"/>
                <w:lang w:eastAsia="zh-CN"/>
              </w:rPr>
              <w:t>。</w:t>
            </w:r>
          </w:p>
        </w:tc>
      </w:tr>
      <w:tr w14:paraId="74400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noWrap w:val="0"/>
            <w:vAlign w:val="center"/>
          </w:tcPr>
          <w:p w14:paraId="1CC0DB7F">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p>
        </w:tc>
        <w:tc>
          <w:tcPr>
            <w:tcW w:w="654" w:type="dxa"/>
            <w:noWrap w:val="0"/>
            <w:vAlign w:val="center"/>
          </w:tcPr>
          <w:p w14:paraId="75011088">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3</w:t>
            </w:r>
          </w:p>
        </w:tc>
        <w:tc>
          <w:tcPr>
            <w:tcW w:w="7072" w:type="dxa"/>
            <w:noWrap w:val="0"/>
            <w:vAlign w:val="center"/>
          </w:tcPr>
          <w:p w14:paraId="034352DC">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w:t>
            </w:r>
          </w:p>
          <w:p w14:paraId="4D473B83">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四、外观式样及其它性能</w:t>
            </w:r>
            <w:r>
              <w:rPr>
                <w:rFonts w:hint="eastAsia" w:ascii="宋体" w:hAnsi="宋体" w:eastAsia="宋体" w:cs="宋体"/>
                <w:color w:val="auto"/>
                <w:sz w:val="21"/>
                <w:szCs w:val="21"/>
                <w:highlight w:val="none"/>
                <w:lang w:val="en-US" w:eastAsia="zh-CN"/>
              </w:rPr>
              <w:t>情况（评分范围：3,2,1,0）</w:t>
            </w:r>
            <w:r>
              <w:rPr>
                <w:rFonts w:hint="eastAsia" w:ascii="宋体" w:hAnsi="宋体" w:eastAsia="宋体" w:cs="宋体"/>
                <w:color w:val="auto"/>
                <w:sz w:val="21"/>
                <w:szCs w:val="21"/>
                <w:highlight w:val="none"/>
              </w:rPr>
              <w:t>：</w:t>
            </w:r>
          </w:p>
          <w:p w14:paraId="7BBF3CC7">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1.样品的</w:t>
            </w:r>
            <w:r>
              <w:rPr>
                <w:rFonts w:hint="eastAsia" w:ascii="宋体" w:hAnsi="宋体" w:eastAsia="宋体" w:cs="宋体"/>
                <w:color w:val="auto"/>
                <w:sz w:val="21"/>
                <w:szCs w:val="21"/>
                <w:highlight w:val="none"/>
                <w:lang w:val="en-US" w:eastAsia="zh-CN"/>
              </w:rPr>
              <w:t>尺寸、</w:t>
            </w:r>
            <w:r>
              <w:rPr>
                <w:rFonts w:hint="eastAsia" w:ascii="宋体" w:hAnsi="宋体" w:eastAsia="宋体" w:cs="宋体"/>
                <w:color w:val="auto"/>
                <w:sz w:val="21"/>
                <w:szCs w:val="21"/>
                <w:highlight w:val="none"/>
              </w:rPr>
              <w:t>外观、款式、整体效果；</w:t>
            </w:r>
          </w:p>
          <w:p w14:paraId="3ADB2323">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2.样品其它性能</w:t>
            </w:r>
            <w:r>
              <w:rPr>
                <w:rFonts w:hint="eastAsia" w:ascii="宋体" w:hAnsi="宋体" w:eastAsia="宋体" w:cs="宋体"/>
                <w:color w:val="auto"/>
                <w:sz w:val="21"/>
                <w:szCs w:val="21"/>
                <w:highlight w:val="none"/>
                <w:lang w:val="en-US" w:eastAsia="zh-CN"/>
              </w:rPr>
              <w:t>情况</w:t>
            </w:r>
            <w:r>
              <w:rPr>
                <w:rFonts w:hint="eastAsia" w:ascii="宋体" w:hAnsi="宋体" w:eastAsia="宋体" w:cs="宋体"/>
                <w:color w:val="auto"/>
                <w:sz w:val="21"/>
                <w:szCs w:val="21"/>
                <w:highlight w:val="none"/>
              </w:rPr>
              <w:t>：样品在实用性、创新性、舒适性、匹配性、先进性、成熟性、安全性、可维护性及结构是否合理等方面的</w:t>
            </w:r>
            <w:r>
              <w:rPr>
                <w:rFonts w:hint="eastAsia" w:ascii="宋体" w:hAnsi="宋体" w:eastAsia="宋体" w:cs="宋体"/>
                <w:color w:val="auto"/>
                <w:sz w:val="21"/>
                <w:szCs w:val="21"/>
                <w:highlight w:val="none"/>
                <w:lang w:val="en-US" w:eastAsia="zh-CN"/>
              </w:rPr>
              <w:t>情况</w:t>
            </w:r>
            <w:r>
              <w:rPr>
                <w:rFonts w:hint="eastAsia" w:ascii="宋体" w:hAnsi="宋体" w:eastAsia="宋体" w:cs="宋体"/>
                <w:color w:val="auto"/>
                <w:sz w:val="21"/>
                <w:szCs w:val="21"/>
                <w:highlight w:val="none"/>
              </w:rPr>
              <w:t>。</w:t>
            </w:r>
          </w:p>
        </w:tc>
      </w:tr>
      <w:tr w14:paraId="74C6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noWrap w:val="0"/>
            <w:vAlign w:val="center"/>
          </w:tcPr>
          <w:p w14:paraId="22784228">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p>
        </w:tc>
        <w:tc>
          <w:tcPr>
            <w:tcW w:w="654" w:type="dxa"/>
            <w:noWrap w:val="0"/>
            <w:vAlign w:val="center"/>
          </w:tcPr>
          <w:p w14:paraId="78838BF5">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3</w:t>
            </w:r>
          </w:p>
        </w:tc>
        <w:tc>
          <w:tcPr>
            <w:tcW w:w="7072" w:type="dxa"/>
            <w:noWrap w:val="0"/>
            <w:vAlign w:val="center"/>
          </w:tcPr>
          <w:p w14:paraId="5066F7A7">
            <w:pPr>
              <w:keepNext w:val="0"/>
              <w:keepLines w:val="0"/>
              <w:numPr>
                <w:ilvl w:val="0"/>
                <w:numId w:val="0"/>
              </w:numPr>
              <w:suppressLineNumbers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【主观分】</w:t>
            </w:r>
          </w:p>
          <w:p w14:paraId="04B6E277">
            <w:pPr>
              <w:keepNext w:val="0"/>
              <w:keepLines w:val="0"/>
              <w:numPr>
                <w:ilvl w:val="0"/>
                <w:numId w:val="0"/>
              </w:numPr>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五金配件（评分范围：3,2,1,0）：</w:t>
            </w:r>
          </w:p>
          <w:p w14:paraId="45F1A4C8">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五金配件（拉手、铝合金连接头、铰链、抽屉滑轨、塑料件、螺丝紧固件等应材质优良，无臼点、无锈迹、发亮、硬度达标及使用时开关柔顺无杂音，无阻害；是否按采购文件中的要求提供）。</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r>
        <w:rPr>
          <w:rFonts w:hint="eastAsia" w:ascii="宋体" w:hAnsi="宋体" w:eastAsia="宋体" w:cs="Times New Roman"/>
          <w:b/>
          <w:color w:val="auto"/>
          <w:szCs w:val="21"/>
          <w:highlight w:val="none"/>
        </w:rPr>
        <w:t>本项目专门面向中小企业采购，不再执行价格评审优惠的扶持政策。</w:t>
      </w:r>
    </w:p>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032DC66C">
      <w:pPr>
        <w:spacing w:line="288" w:lineRule="auto"/>
        <w:ind w:firstLine="562" w:firstLineChars="20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6ED2EDC">
      <w:pPr>
        <w:spacing w:line="288" w:lineRule="auto"/>
        <w:ind w:firstLine="420" w:firstLineChars="200"/>
        <w:jc w:val="right"/>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 xml:space="preserve">合同编号_________________ </w:t>
      </w:r>
    </w:p>
    <w:p w14:paraId="163AD724">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确认书号：</w:t>
      </w:r>
    </w:p>
    <w:p w14:paraId="4A715020">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项目编号：QSZB-Z(H)-B25164(GK)</w:t>
      </w:r>
    </w:p>
    <w:p w14:paraId="35211B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甲方（采购人）：杭州电子科技大学  </w:t>
      </w:r>
    </w:p>
    <w:p w14:paraId="403591E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乙方（供应商）： </w:t>
      </w:r>
    </w:p>
    <w:p w14:paraId="2516D688">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采购代理机构（鉴证方）：</w:t>
      </w:r>
      <w:r>
        <w:rPr>
          <w:rFonts w:hint="eastAsia" w:ascii="宋体" w:hAnsi="宋体" w:eastAsia="宋体" w:cs="宋体"/>
          <w:color w:val="auto"/>
          <w:kern w:val="0"/>
          <w:szCs w:val="21"/>
          <w:highlight w:val="none"/>
        </w:rPr>
        <w:t xml:space="preserve">             </w:t>
      </w:r>
    </w:p>
    <w:p w14:paraId="5868DAB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为了保护甲乙双方合法权益，根据项目</w:t>
      </w:r>
      <w:r>
        <w:rPr>
          <w:rFonts w:hint="eastAsia" w:ascii="宋体" w:hAnsi="宋体" w:eastAsia="宋体" w:cs="宋体"/>
          <w:color w:val="auto"/>
          <w:kern w:val="0"/>
          <w:szCs w:val="21"/>
          <w:highlight w:val="none"/>
          <w:u w:val="single"/>
          <w:lang w:val="en-US" w:eastAsia="zh-CN"/>
        </w:rPr>
        <w:t>学生公寓家具</w:t>
      </w:r>
      <w:r>
        <w:rPr>
          <w:rFonts w:hint="eastAsia" w:ascii="宋体" w:hAnsi="宋体" w:eastAsia="宋体" w:cs="宋体"/>
          <w:color w:val="auto"/>
          <w:kern w:val="0"/>
          <w:szCs w:val="21"/>
          <w:highlight w:val="none"/>
        </w:rPr>
        <w:t>（项目编号</w:t>
      </w:r>
      <w:r>
        <w:rPr>
          <w:rFonts w:hint="eastAsia" w:ascii="宋体" w:hAnsi="宋体" w:eastAsia="宋体" w:cs="宋体"/>
          <w:color w:val="auto"/>
          <w:kern w:val="0"/>
          <w:szCs w:val="21"/>
          <w:highlight w:val="none"/>
          <w:u w:val="single"/>
          <w:lang w:eastAsia="zh-CN"/>
        </w:rPr>
        <w:t>QSZB-Z(H)-B25164(GK)</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公开招标</w:t>
      </w:r>
      <w:r>
        <w:rPr>
          <w:rFonts w:hint="eastAsia" w:ascii="宋体" w:hAnsi="宋体" w:eastAsia="宋体" w:cs="宋体"/>
          <w:color w:val="auto"/>
          <w:kern w:val="0"/>
          <w:szCs w:val="21"/>
          <w:highlight w:val="none"/>
        </w:rPr>
        <w:t>的中标（成交）结果，签署本合同，以资共同遵守。</w:t>
      </w:r>
    </w:p>
    <w:p w14:paraId="70B6BD6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合同总价（元，人民币）：小写￥              ，大写：</w:t>
            </w:r>
          </w:p>
        </w:tc>
      </w:tr>
    </w:tbl>
    <w:p w14:paraId="04111CE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二、供货范围</w:t>
      </w:r>
    </w:p>
    <w:p w14:paraId="190FD9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合同供货范围包括所有合同货物、相关的技术资料。</w:t>
      </w:r>
    </w:p>
    <w:p w14:paraId="65FAA6E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三、质保期、履约保证金与货款结算</w:t>
      </w:r>
    </w:p>
    <w:p w14:paraId="16BBD84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质保期：自验收合格之日起，整机质保期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年，其中</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（配件名称）质保</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2.履约保证金（如无则删除本条款）</w:t>
      </w: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合同总金额的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货款结算（根据项目要求、采购文件、采购结果，按以下方式选择填写）：</w:t>
      </w:r>
    </w:p>
    <w:p w14:paraId="2BAAE82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spacing w:val="-6"/>
          <w:kern w:val="0"/>
          <w:szCs w:val="21"/>
          <w:highlight w:val="none"/>
        </w:rPr>
        <w:t>1</w:t>
      </w:r>
      <w:r>
        <w:rPr>
          <w:rFonts w:hint="eastAsia" w:ascii="宋体" w:hAnsi="宋体" w:eastAsia="宋体" w:cs="宋体"/>
          <w:color w:val="auto"/>
          <w:kern w:val="0"/>
          <w:szCs w:val="21"/>
          <w:highlight w:val="none"/>
        </w:rPr>
        <w:t>）预付款方式：</w:t>
      </w:r>
    </w:p>
    <w:p w14:paraId="079E370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bookmarkStart w:id="53" w:name="OLE_LINK9"/>
      <w:bookmarkStart w:id="54" w:name="OLE_LINK10"/>
      <w:bookmarkStart w:id="55" w:name="OLE_LINK8"/>
      <w:bookmarkStart w:id="56" w:name="OLE_LINK7"/>
      <w:r>
        <w:rPr>
          <w:rFonts w:hint="eastAsia" w:ascii="宋体" w:hAnsi="宋体" w:eastAsia="宋体" w:cs="宋体"/>
          <w:color w:val="auto"/>
          <w:szCs w:val="21"/>
          <w:highlight w:val="none"/>
        </w:rPr>
        <w:t>根据</w:t>
      </w:r>
      <w:bookmarkStart w:id="57" w:name="OLE_LINK6"/>
      <w:bookmarkStart w:id="58" w:name="OLE_LINK5"/>
      <w:r>
        <w:rPr>
          <w:rFonts w:hint="eastAsia" w:ascii="宋体" w:hAnsi="宋体" w:eastAsia="宋体" w:cs="宋体"/>
          <w:color w:val="auto"/>
          <w:szCs w:val="21"/>
          <w:highlight w:val="none"/>
        </w:rPr>
        <w:t>《浙江省财政厅关于进一步发挥政府采购政策功能全力推动经济稳进提质的通知》</w:t>
      </w:r>
      <w:bookmarkEnd w:id="57"/>
      <w:bookmarkEnd w:id="58"/>
      <w:r>
        <w:rPr>
          <w:rFonts w:hint="eastAsia" w:ascii="宋体" w:hAnsi="宋体" w:eastAsia="宋体" w:cs="宋体"/>
          <w:color w:val="auto"/>
          <w:szCs w:val="21"/>
          <w:highlight w:val="none"/>
        </w:rPr>
        <w:t>《浙江省财政厅关于进一步加大政府采购支持中小企业力度助力扎实稳住经济的通知》等规范要求原则上不低于合同金额的40％，不高于合同金额的70%</w:t>
      </w:r>
      <w:bookmarkEnd w:id="53"/>
      <w:bookmarkEnd w:id="54"/>
      <w:bookmarkEnd w:id="55"/>
      <w:bookmarkEnd w:id="56"/>
      <w:r>
        <w:rPr>
          <w:rFonts w:hint="eastAsia" w:ascii="宋体" w:hAnsi="宋体" w:eastAsia="宋体" w:cs="宋体"/>
          <w:color w:val="auto"/>
          <w:kern w:val="0"/>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w:t>
      </w:r>
    </w:p>
    <w:p w14:paraId="0F61141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原则上不低于合同金额的30％，不高于合同金额的60%</w:t>
      </w:r>
      <w:r>
        <w:rPr>
          <w:rFonts w:hint="eastAsia" w:ascii="宋体" w:hAnsi="宋体" w:eastAsia="宋体" w:cs="宋体"/>
          <w:color w:val="auto"/>
          <w:kern w:val="0"/>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w:t>
      </w:r>
    </w:p>
    <w:p w14:paraId="2AB838C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③在签订合同时，乙方明确表示主动要求降低预付款比例的，可降低预付款比例（预付款保函同步调整）。</w:t>
      </w:r>
    </w:p>
    <w:p w14:paraId="1AB041C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（2）签订合同时乙方明确表示无需预付款或乙方为大型企业的，可以采用以下付款方式：</w:t>
      </w:r>
    </w:p>
    <w:p w14:paraId="7E854C4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hint="eastAsia" w:ascii="宋体" w:hAnsi="宋体" w:eastAsia="宋体" w:cs="宋体"/>
          <w:bCs/>
          <w:color w:val="auto"/>
          <w:kern w:val="0"/>
          <w:szCs w:val="21"/>
          <w:highlight w:val="none"/>
        </w:rPr>
        <w:t>货到分期付款：</w:t>
      </w:r>
      <w:r>
        <w:rPr>
          <w:rFonts w:hint="eastAsia" w:ascii="宋体" w:hAnsi="宋体" w:eastAsia="宋体" w:cs="宋体"/>
          <w:color w:val="auto"/>
          <w:kern w:val="0"/>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②货到一次性支付：</w:t>
      </w:r>
    </w:p>
    <w:p w14:paraId="3858389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③其它支付形式：                 </w:t>
      </w:r>
    </w:p>
    <w:p w14:paraId="785FA7C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单位名称：杭州电子科技大学。税号：12330000470009026T</w:t>
      </w:r>
    </w:p>
    <w:p w14:paraId="61288A8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开户银行：工行杭州高新支行。账号：1202026209008806216</w:t>
      </w:r>
    </w:p>
    <w:p w14:paraId="61033DB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四、知识产权 </w:t>
      </w:r>
    </w:p>
    <w:p w14:paraId="57063C3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9" w:name="_Hlk155103594"/>
    </w:p>
    <w:bookmarkEnd w:id="59"/>
    <w:p w14:paraId="0D755F6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五、转包或分包</w:t>
      </w:r>
    </w:p>
    <w:p w14:paraId="03EEB8D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六、货物交付</w:t>
      </w:r>
    </w:p>
    <w:p w14:paraId="61891480">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交货期：接</w:t>
      </w:r>
      <w:r>
        <w:rPr>
          <w:rFonts w:hint="eastAsia" w:ascii="宋体" w:hAnsi="宋体" w:eastAsia="宋体" w:cs="宋体"/>
          <w:color w:val="auto"/>
          <w:kern w:val="0"/>
          <w:szCs w:val="21"/>
          <w:highlight w:val="none"/>
          <w:lang w:val="en-US" w:eastAsia="zh-CN"/>
        </w:rPr>
        <w:t>甲方</w:t>
      </w:r>
      <w:r>
        <w:rPr>
          <w:rFonts w:hint="eastAsia" w:ascii="宋体" w:hAnsi="宋体" w:eastAsia="宋体" w:cs="宋体"/>
          <w:color w:val="auto"/>
          <w:kern w:val="0"/>
          <w:szCs w:val="21"/>
          <w:highlight w:val="none"/>
        </w:rPr>
        <w:t>通知之日起7日内拆旧完成。采购产品于合同签订之日起45日内生产完成，并在接到甲方通知之日起15日内安装完成并交付。</w:t>
      </w:r>
    </w:p>
    <w:p w14:paraId="19CFAF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交货方式：</w:t>
      </w:r>
      <w:bookmarkStart w:id="60" w:name="_Hlk155602651"/>
      <w:r>
        <w:rPr>
          <w:rFonts w:hint="eastAsia" w:ascii="宋体" w:hAnsi="宋体" w:eastAsia="宋体" w:cs="宋体"/>
          <w:color w:val="auto"/>
          <w:kern w:val="0"/>
          <w:szCs w:val="21"/>
          <w:highlight w:val="none"/>
        </w:rPr>
        <w:t>　　　送货上门　　</w:t>
      </w:r>
      <w:bookmarkStart w:id="61" w:name="_Hlk155602451"/>
      <w:r>
        <w:rPr>
          <w:rFonts w:hint="eastAsia" w:ascii="宋体" w:hAnsi="宋体" w:eastAsia="宋体" w:cs="宋体"/>
          <w:color w:val="auto"/>
          <w:kern w:val="0"/>
          <w:szCs w:val="21"/>
          <w:highlight w:val="none"/>
        </w:rPr>
        <w:t>。</w:t>
      </w:r>
      <w:bookmarkEnd w:id="60"/>
      <w:bookmarkEnd w:id="61"/>
    </w:p>
    <w:p w14:paraId="42ADE7A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交货地点：</w:t>
      </w:r>
      <w:bookmarkStart w:id="62" w:name="_Hlk155602663"/>
      <w:r>
        <w:rPr>
          <w:rFonts w:hint="eastAsia" w:ascii="宋体" w:hAnsi="宋体" w:eastAsia="宋体" w:cs="宋体"/>
          <w:color w:val="auto"/>
          <w:kern w:val="0"/>
          <w:szCs w:val="21"/>
          <w:highlight w:val="none"/>
        </w:rPr>
        <w:t xml:space="preserve"> 　　甲方指定地点　 。</w:t>
      </w:r>
      <w:bookmarkEnd w:id="62"/>
    </w:p>
    <w:p w14:paraId="237CB7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联系人及电话：</w:t>
      </w:r>
      <w:bookmarkStart w:id="63" w:name="_Hlk155181628"/>
      <w:r>
        <w:rPr>
          <w:rFonts w:hint="eastAsia" w:ascii="宋体" w:hAnsi="宋体" w:eastAsia="宋体" w:cs="宋体"/>
          <w:color w:val="auto"/>
          <w:kern w:val="0"/>
          <w:szCs w:val="21"/>
          <w:highlight w:val="none"/>
        </w:rPr>
        <w:t>甲方 姓名_________联系电话</w:t>
      </w:r>
      <w:r>
        <w:rPr>
          <w:rFonts w:hint="eastAsia" w:ascii="宋体" w:hAnsi="宋体" w:eastAsia="宋体" w:cs="宋体"/>
          <w:color w:val="auto"/>
          <w:kern w:val="0"/>
          <w:szCs w:val="21"/>
          <w:highlight w:val="none"/>
          <w:u w:val="single"/>
        </w:rPr>
        <w:t xml:space="preserve">（办公电话及手机号） </w:t>
      </w:r>
      <w:r>
        <w:rPr>
          <w:rFonts w:hint="eastAsia" w:ascii="宋体" w:hAnsi="宋体" w:eastAsia="宋体" w:cs="宋体"/>
          <w:color w:val="auto"/>
          <w:kern w:val="0"/>
          <w:szCs w:val="21"/>
          <w:highlight w:val="none"/>
        </w:rPr>
        <w:t>；乙方 姓名 __________联系电话</w:t>
      </w:r>
      <w:r>
        <w:rPr>
          <w:rFonts w:hint="eastAsia" w:ascii="宋体" w:hAnsi="宋体" w:eastAsia="宋体" w:cs="宋体"/>
          <w:color w:val="auto"/>
          <w:kern w:val="0"/>
          <w:szCs w:val="21"/>
          <w:highlight w:val="none"/>
          <w:u w:val="single"/>
        </w:rPr>
        <w:t xml:space="preserve">（办公电话及手机号） </w:t>
      </w:r>
      <w:bookmarkEnd w:id="63"/>
      <w:r>
        <w:rPr>
          <w:rFonts w:hint="eastAsia" w:ascii="宋体" w:hAnsi="宋体" w:eastAsia="宋体" w:cs="宋体"/>
          <w:color w:val="auto"/>
          <w:kern w:val="0"/>
          <w:szCs w:val="21"/>
          <w:highlight w:val="none"/>
        </w:rPr>
        <w:t>。</w:t>
      </w:r>
    </w:p>
    <w:p w14:paraId="3652BA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七、安装与验收</w:t>
      </w:r>
    </w:p>
    <w:p w14:paraId="5FA2C7D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最终验收：货物经安装调试完成且符合技术要求后，甲方负责在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4" w:name="_Hlk155181772"/>
    </w:p>
    <w:bookmarkEnd w:id="64"/>
    <w:p w14:paraId="2240999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八、质量保证与售后服务</w:t>
      </w:r>
    </w:p>
    <w:p w14:paraId="4B1F2B8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w:t>
      </w:r>
      <w:bookmarkStart w:id="65" w:name="_Hlk154577956"/>
      <w:r>
        <w:rPr>
          <w:rFonts w:hint="eastAsia" w:ascii="宋体" w:hAnsi="宋体" w:eastAsia="宋体" w:cs="宋体"/>
          <w:color w:val="auto"/>
          <w:kern w:val="0"/>
          <w:szCs w:val="21"/>
          <w:highlight w:val="none"/>
        </w:rPr>
        <w:t>应按采购文件规定的货物性能、技术要求、质量标准向甲方提供</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月后生产的，全新未经使用的，符合国家法律规定和技术规格、质量标准的出厂原装合格产品。</w:t>
      </w:r>
      <w:bookmarkEnd w:id="65"/>
    </w:p>
    <w:p w14:paraId="73647DE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售后服务</w:t>
      </w:r>
    </w:p>
    <w:p w14:paraId="5A5C516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2.1远程技术支持：乙方应具有稳定的技术支持队伍和完善的服务支持网络，提供</w:t>
      </w:r>
      <w:r>
        <w:rPr>
          <w:rFonts w:hint="eastAsia" w:ascii="宋体" w:hAnsi="宋体" w:eastAsia="宋体" w:cs="宋体"/>
          <w:color w:val="auto"/>
          <w:kern w:val="0"/>
          <w:szCs w:val="21"/>
          <w:highlight w:val="none"/>
          <w:u w:val="single"/>
        </w:rPr>
        <w:t xml:space="preserve"> 7×24小时 </w:t>
      </w:r>
      <w:r>
        <w:rPr>
          <w:rFonts w:hint="eastAsia" w:ascii="宋体" w:hAnsi="宋体" w:eastAsia="宋体" w:cs="宋体"/>
          <w:color w:val="auto"/>
          <w:kern w:val="0"/>
          <w:szCs w:val="21"/>
          <w:highlight w:val="none"/>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2.2现场技术支持：对于通过电话、邮件等远程技术支持不能解决的问题，乙方应在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小时内派遣相关人员赶赴现场，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小时内维修完毕；发生紧急抢修事故的，乙方应在接到甲方通知后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小时内到达现场抢修，并于到达现场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小时之内排除故障。乙方未在约定时间内修复的或同一货物经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次维修后仍不能稳定、可靠</w:t>
      </w:r>
      <w:r>
        <w:rPr>
          <w:rFonts w:hint="eastAsia" w:ascii="宋体" w:hAnsi="宋体" w:eastAsia="宋体" w:cs="宋体"/>
          <w:color w:val="auto"/>
          <w:kern w:val="0"/>
          <w:szCs w:val="21"/>
          <w:highlight w:val="none"/>
          <w:lang w:val="en-US" w:eastAsia="zh-CN"/>
        </w:rPr>
        <w:t>使用</w:t>
      </w:r>
      <w:r>
        <w:rPr>
          <w:rFonts w:hint="eastAsia" w:ascii="宋体" w:hAnsi="宋体" w:eastAsia="宋体" w:cs="宋体"/>
          <w:color w:val="auto"/>
          <w:kern w:val="0"/>
          <w:szCs w:val="21"/>
          <w:highlight w:val="none"/>
        </w:rPr>
        <w:t>的，甲方有权要求乙方免费更换。</w:t>
      </w:r>
    </w:p>
    <w:p w14:paraId="2592E7F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九、保密条款</w:t>
      </w:r>
    </w:p>
    <w:p w14:paraId="3809072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十、违约责任</w:t>
      </w:r>
    </w:p>
    <w:p w14:paraId="04F9E46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甲方无故逾期验收和办理货款支付手续的，每逾期一日，应按逾期付款总额</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向乙方支付违约金。</w:t>
      </w:r>
    </w:p>
    <w:p w14:paraId="460FC2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乙方逾期交货完工的，每逾期一日，应按合同总价</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向甲方支付违约金。逾期超过约定日期</w:t>
      </w:r>
      <w:r>
        <w:rPr>
          <w:rFonts w:hint="eastAsia" w:ascii="宋体" w:hAnsi="宋体" w:eastAsia="宋体" w:cs="宋体"/>
          <w:color w:val="auto"/>
          <w:kern w:val="0"/>
          <w:szCs w:val="21"/>
          <w:highlight w:val="none"/>
          <w:u w:val="single"/>
        </w:rPr>
        <w:t xml:space="preserve"> 10 </w:t>
      </w:r>
      <w:r>
        <w:rPr>
          <w:rFonts w:hint="eastAsia" w:ascii="宋体" w:hAnsi="宋体" w:eastAsia="宋体" w:cs="宋体"/>
          <w:color w:val="auto"/>
          <w:kern w:val="0"/>
          <w:szCs w:val="21"/>
          <w:highlight w:val="none"/>
        </w:rPr>
        <w:t>个工作日不能交货完工的，甲方有权解除本合同，并要求乙方支付合同总价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乙方未能按约定要求履行保修义务的，</w:t>
      </w:r>
      <w:bookmarkStart w:id="66" w:name="_Hlk154755811"/>
      <w:r>
        <w:rPr>
          <w:rFonts w:hint="eastAsia" w:ascii="宋体" w:hAnsi="宋体" w:eastAsia="宋体" w:cs="宋体"/>
          <w:color w:val="auto"/>
          <w:kern w:val="0"/>
          <w:szCs w:val="21"/>
          <w:highlight w:val="none"/>
        </w:rPr>
        <w:t>每发生一次应向甲方支付</w:t>
      </w:r>
      <w:r>
        <w:rPr>
          <w:rFonts w:hint="eastAsia" w:ascii="宋体" w:hAnsi="宋体" w:eastAsia="宋体" w:cs="宋体"/>
          <w:color w:val="auto"/>
          <w:kern w:val="0"/>
          <w:szCs w:val="21"/>
          <w:highlight w:val="none"/>
          <w:u w:val="single"/>
          <w:lang w:val="en-US" w:eastAsia="zh-CN"/>
        </w:rPr>
        <w:t>1000</w:t>
      </w:r>
      <w:r>
        <w:rPr>
          <w:rFonts w:hint="eastAsia" w:ascii="宋体" w:hAnsi="宋体" w:eastAsia="宋体" w:cs="宋体"/>
          <w:color w:val="auto"/>
          <w:kern w:val="0"/>
          <w:szCs w:val="21"/>
          <w:highlight w:val="none"/>
        </w:rPr>
        <w:t>元的违约金，同时，甲方有权委托第三方进行保修，所产生的费用由乙方承担。</w:t>
      </w:r>
      <w:bookmarkEnd w:id="66"/>
      <w:r>
        <w:rPr>
          <w:rFonts w:hint="eastAsia" w:ascii="宋体" w:hAnsi="宋体" w:eastAsia="宋体" w:cs="宋体"/>
          <w:color w:val="auto"/>
          <w:kern w:val="0"/>
          <w:szCs w:val="21"/>
          <w:highlight w:val="none"/>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 xml:space="preserve">因乙方其他违约行为导致甲方解除合同的，乙方应向甲方支付合同总价 </w:t>
      </w:r>
      <w:r>
        <w:rPr>
          <w:rFonts w:hint="eastAsia" w:ascii="宋体" w:hAnsi="宋体" w:eastAsia="宋体" w:cs="宋体"/>
          <w:color w:val="auto"/>
          <w:kern w:val="0"/>
          <w:szCs w:val="21"/>
          <w:highlight w:val="none"/>
          <w:u w:val="single"/>
        </w:rPr>
        <w:t>5 %</w:t>
      </w:r>
      <w:r>
        <w:rPr>
          <w:rFonts w:hint="eastAsia" w:ascii="宋体" w:hAnsi="宋体" w:eastAsia="宋体" w:cs="宋体"/>
          <w:color w:val="auto"/>
          <w:kern w:val="0"/>
          <w:szCs w:val="21"/>
          <w:highlight w:val="none"/>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十一、不可抗力</w:t>
      </w:r>
    </w:p>
    <w:p w14:paraId="1DED66C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十二、法律适用与争议解决</w:t>
      </w:r>
    </w:p>
    <w:p w14:paraId="2C77E6E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十三、合同生效及其他</w:t>
      </w:r>
    </w:p>
    <w:p w14:paraId="5CAF751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本次采购过程中形成的招标（非招标）文件、投标（响应）文件、澄清承诺、补充协议、附件等</w:t>
      </w:r>
      <w:r>
        <w:rPr>
          <w:rFonts w:hint="eastAsia" w:ascii="宋体" w:hAnsi="宋体" w:eastAsia="宋体" w:cs="宋体"/>
          <w:color w:val="auto"/>
          <w:kern w:val="0"/>
          <w:szCs w:val="21"/>
          <w:highlight w:val="none"/>
          <w:lang w:val="zh-CN"/>
        </w:rPr>
        <w:t>为本合同的组成部分，并构成一个整体，需综合解释、相互补充。如果</w:t>
      </w:r>
      <w:r>
        <w:rPr>
          <w:rFonts w:hint="eastAsia" w:ascii="宋体" w:hAnsi="宋体" w:eastAsia="宋体" w:cs="宋体"/>
          <w:color w:val="auto"/>
          <w:kern w:val="0"/>
          <w:szCs w:val="21"/>
          <w:highlight w:val="none"/>
        </w:rPr>
        <w:t>上述</w:t>
      </w:r>
      <w:r>
        <w:rPr>
          <w:rFonts w:hint="eastAsia" w:ascii="宋体" w:hAnsi="宋体" w:eastAsia="宋体" w:cs="宋体"/>
          <w:color w:val="auto"/>
          <w:kern w:val="0"/>
          <w:szCs w:val="21"/>
          <w:highlight w:val="none"/>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（1）本合同及其补充合同、变更协议；</w:t>
      </w:r>
    </w:p>
    <w:p w14:paraId="68417E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（2）中标（成交）通知书；</w:t>
      </w:r>
    </w:p>
    <w:p w14:paraId="191C4F83">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（3）投标（</w:t>
      </w:r>
      <w:r>
        <w:rPr>
          <w:rFonts w:hint="eastAsia" w:ascii="宋体" w:hAnsi="宋体" w:eastAsia="宋体" w:cs="宋体"/>
          <w:color w:val="auto"/>
          <w:kern w:val="0"/>
          <w:szCs w:val="21"/>
          <w:highlight w:val="none"/>
          <w:lang w:val="zh-CN"/>
        </w:rPr>
        <w:t>响应）文件（含澄清或者说明文件）；</w:t>
      </w:r>
    </w:p>
    <w:p w14:paraId="7A2B1438">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（4）招标（非招标）</w:t>
      </w:r>
      <w:r>
        <w:rPr>
          <w:rFonts w:hint="eastAsia" w:ascii="宋体" w:hAnsi="宋体" w:eastAsia="宋体" w:cs="宋体"/>
          <w:color w:val="auto"/>
          <w:kern w:val="0"/>
          <w:szCs w:val="21"/>
          <w:highlight w:val="none"/>
          <w:lang w:val="zh-CN"/>
        </w:rPr>
        <w:t>文件（含澄清或者修改文件）；</w:t>
      </w:r>
    </w:p>
    <w:p w14:paraId="78A43767">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（5）</w:t>
      </w:r>
      <w:r>
        <w:rPr>
          <w:rFonts w:hint="eastAsia" w:ascii="宋体" w:hAnsi="宋体" w:eastAsia="宋体" w:cs="宋体"/>
          <w:snapToGrid w:val="0"/>
          <w:color w:val="auto"/>
          <w:szCs w:val="21"/>
          <w:highlight w:val="none"/>
          <w:lang w:val="zh-CN"/>
        </w:rPr>
        <w:t>其他相关采购文件。</w:t>
      </w:r>
    </w:p>
    <w:p w14:paraId="5C87C50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5.</w:t>
      </w:r>
      <w:r>
        <w:rPr>
          <w:rFonts w:hint="eastAsia" w:ascii="宋体" w:hAnsi="宋体" w:eastAsia="宋体" w:cs="宋体"/>
          <w:color w:val="auto"/>
          <w:kern w:val="0"/>
          <w:szCs w:val="21"/>
          <w:highlight w:val="none"/>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color w:val="auto"/>
          <w:kern w:val="0"/>
          <w:szCs w:val="21"/>
          <w:highlight w:val="none"/>
        </w:rPr>
      </w:pPr>
    </w:p>
    <w:p w14:paraId="77A0E00A">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538" w:hRule="atLeast"/>
          <w:jc w:val="center"/>
        </w:trPr>
        <w:tc>
          <w:tcPr>
            <w:tcW w:w="5073" w:type="dxa"/>
            <w:vAlign w:val="center"/>
          </w:tcPr>
          <w:p w14:paraId="6F9F8C6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56D93DC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委托代理人</w:t>
            </w:r>
            <w:r>
              <w:rPr>
                <w:rFonts w:hint="eastAsia" w:ascii="宋体" w:hAnsi="宋体" w:eastAsia="宋体" w:cs="宋体"/>
                <w:color w:val="auto"/>
                <w:kern w:val="0"/>
                <w:szCs w:val="21"/>
                <w:highlight w:val="none"/>
              </w:rPr>
              <w:t>：</w:t>
            </w:r>
          </w:p>
          <w:p w14:paraId="53AA975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527C2D2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或委托代理人</w:t>
            </w:r>
            <w:r>
              <w:rPr>
                <w:rFonts w:hint="eastAsia" w:ascii="宋体" w:hAnsi="宋体" w:eastAsia="宋体" w:cs="宋体"/>
                <w:color w:val="auto"/>
                <w:kern w:val="0"/>
                <w:szCs w:val="21"/>
                <w:highlight w:val="none"/>
              </w:rPr>
              <w:t>：</w:t>
            </w:r>
          </w:p>
          <w:p w14:paraId="00DD47D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2BCC72C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08D227E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51BF4E5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14B04C9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62AE2FE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283B985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1150D2A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64ADD9E2">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7C8C9A0D">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p w14:paraId="38FED49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0B32C267">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w:t>
      </w:r>
    </w:p>
    <w:p w14:paraId="358591AA">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中小企业声明函（若属于中小企业）</w:t>
      </w:r>
    </w:p>
    <w:p w14:paraId="7E565AFC">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属于监狱企业的证明文件（若属于监狱企业）</w:t>
      </w:r>
    </w:p>
    <w:p w14:paraId="50ECF0DA">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残疾人福利性单位声明函（若属于残疾人福利性单位）</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联合协议、分包意向协议（如有）</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2024年7月（含）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标的</w:t>
      </w:r>
      <w:r>
        <w:rPr>
          <w:rFonts w:hint="eastAsia" w:ascii="宋体" w:hAnsi="宋体" w:eastAsia="宋体" w:cs="宋体"/>
          <w:color w:val="auto"/>
          <w:szCs w:val="21"/>
          <w:highlight w:val="none"/>
        </w:rPr>
        <w:t>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0E71DE98">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w:t>
      </w:r>
    </w:p>
    <w:p w14:paraId="6301A089">
      <w:pPr>
        <w:adjustRightInd w:val="0"/>
        <w:snapToGrid w:val="0"/>
        <w:spacing w:line="288" w:lineRule="auto"/>
        <w:jc w:val="center"/>
        <w:outlineLvl w:val="2"/>
        <w:rPr>
          <w:rFonts w:ascii="宋体" w:hAnsi="宋体" w:eastAsia="宋体" w:cs="宋体"/>
          <w:b/>
          <w:i w:val="0"/>
          <w:iCs w:val="0"/>
          <w:color w:val="auto"/>
          <w:spacing w:val="-6"/>
          <w:szCs w:val="21"/>
          <w:highlight w:val="none"/>
        </w:rPr>
      </w:pPr>
    </w:p>
    <w:p w14:paraId="7EEC3401">
      <w:pPr>
        <w:adjustRightInd w:val="0"/>
        <w:snapToGrid w:val="0"/>
        <w:spacing w:line="288" w:lineRule="auto"/>
        <w:jc w:val="center"/>
        <w:outlineLvl w:val="2"/>
        <w:rPr>
          <w:rFonts w:ascii="宋体" w:hAnsi="宋体" w:eastAsia="宋体" w:cs="宋体"/>
          <w:b/>
          <w:i w:val="0"/>
          <w:iCs w:val="0"/>
          <w:color w:val="auto"/>
          <w:spacing w:val="-6"/>
          <w:szCs w:val="21"/>
          <w:highlight w:val="none"/>
        </w:rPr>
      </w:pPr>
      <w:r>
        <w:rPr>
          <w:rFonts w:ascii="宋体" w:hAnsi="宋体" w:eastAsia="宋体" w:cs="宋体"/>
          <w:b/>
          <w:i w:val="0"/>
          <w:iCs w:val="0"/>
          <w:color w:val="auto"/>
          <w:spacing w:val="-6"/>
          <w:szCs w:val="21"/>
          <w:highlight w:val="none"/>
        </w:rPr>
        <w:t>中小企业声明函（货物）</w:t>
      </w:r>
      <w:r>
        <w:rPr>
          <w:rFonts w:hint="eastAsia" w:ascii="宋体" w:hAnsi="宋体" w:eastAsia="宋体" w:cs="宋体"/>
          <w:b/>
          <w:i w:val="0"/>
          <w:iCs w:val="0"/>
          <w:color w:val="auto"/>
          <w:spacing w:val="-6"/>
          <w:szCs w:val="21"/>
          <w:highlight w:val="none"/>
          <w:lang w:eastAsia="zh-CN"/>
        </w:rPr>
        <w:t>（</w:t>
      </w:r>
      <w:r>
        <w:rPr>
          <w:rFonts w:hint="eastAsia" w:ascii="宋体" w:hAnsi="宋体" w:eastAsia="宋体" w:cs="宋体"/>
          <w:b/>
          <w:i w:val="0"/>
          <w:iCs w:val="0"/>
          <w:color w:val="auto"/>
          <w:spacing w:val="-6"/>
          <w:szCs w:val="21"/>
          <w:highlight w:val="none"/>
          <w:lang w:val="en-US" w:eastAsia="zh-CN"/>
        </w:rPr>
        <w:t>标项一</w:t>
      </w:r>
      <w:r>
        <w:rPr>
          <w:rFonts w:hint="eastAsia" w:ascii="宋体" w:hAnsi="宋体" w:eastAsia="宋体" w:cs="宋体"/>
          <w:b/>
          <w:i w:val="0"/>
          <w:iCs w:val="0"/>
          <w:color w:val="auto"/>
          <w:spacing w:val="-6"/>
          <w:szCs w:val="21"/>
          <w:highlight w:val="none"/>
          <w:lang w:eastAsia="zh-CN"/>
        </w:rPr>
        <w:t>）</w:t>
      </w:r>
      <w:r>
        <w:rPr>
          <w:rFonts w:hint="eastAsia" w:ascii="宋体" w:hAnsi="宋体" w:eastAsia="宋体" w:cs="宋体"/>
          <w:b/>
          <w:i w:val="0"/>
          <w:iCs w:val="0"/>
          <w:color w:val="auto"/>
          <w:spacing w:val="-6"/>
          <w:szCs w:val="21"/>
          <w:highlight w:val="none"/>
        </w:rPr>
        <w:t>（若属于中小企业）</w:t>
      </w:r>
    </w:p>
    <w:p w14:paraId="10DB378A">
      <w:pPr>
        <w:adjustRightInd w:val="0"/>
        <w:snapToGrid w:val="0"/>
        <w:spacing w:line="288" w:lineRule="auto"/>
        <w:ind w:firstLine="498" w:firstLineChars="236"/>
        <w:rPr>
          <w:rFonts w:ascii="宋体" w:hAnsi="宋体" w:eastAsia="宋体" w:cs="Times New Roman"/>
          <w:b/>
          <w:i w:val="0"/>
          <w:iCs w:val="0"/>
          <w:color w:val="auto"/>
          <w:szCs w:val="21"/>
          <w:highlight w:val="none"/>
        </w:rPr>
      </w:pPr>
    </w:p>
    <w:p w14:paraId="38761C59">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lang w:val="en-US" w:eastAsia="zh-CN"/>
        </w:rPr>
        <w:t>学生公寓家具</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14:paraId="67C0FA83">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三人位公寓组合床（五人间）（加长床）</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01444C59">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二人位公寓组合床（五人间）</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04E9554C">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四人衣柜（五人间）</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0AC0EE72">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公寓椅</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val="en-US" w:eastAsia="zh-CN"/>
        </w:rPr>
        <w:t>。</w:t>
      </w:r>
    </w:p>
    <w:p w14:paraId="7B703F75">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14:paraId="68D9E760">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14:paraId="1099C404">
      <w:pPr>
        <w:adjustRightInd w:val="0"/>
        <w:snapToGrid w:val="0"/>
        <w:spacing w:line="288" w:lineRule="auto"/>
        <w:ind w:firstLine="495" w:firstLineChars="236"/>
        <w:rPr>
          <w:rFonts w:ascii="宋体" w:hAnsi="宋体" w:eastAsia="宋体" w:cs="Times New Roman"/>
          <w:i w:val="0"/>
          <w:iCs w:val="0"/>
          <w:color w:val="auto"/>
          <w:szCs w:val="21"/>
          <w:highlight w:val="none"/>
        </w:rPr>
      </w:pPr>
    </w:p>
    <w:p w14:paraId="59671D8B">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14:paraId="4B73F129">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日期：</w:t>
      </w:r>
    </w:p>
    <w:p w14:paraId="5188BD0B">
      <w:pPr>
        <w:adjustRightInd w:val="0"/>
        <w:snapToGrid w:val="0"/>
        <w:spacing w:line="288" w:lineRule="auto"/>
        <w:ind w:firstLine="495" w:firstLineChars="236"/>
        <w:rPr>
          <w:rFonts w:ascii="宋体" w:hAnsi="宋体" w:eastAsia="宋体" w:cs="Times New Roman"/>
          <w:i w:val="0"/>
          <w:iCs w:val="0"/>
          <w:color w:val="auto"/>
          <w:szCs w:val="21"/>
          <w:highlight w:val="none"/>
        </w:rPr>
      </w:pPr>
    </w:p>
    <w:p w14:paraId="7B27A6B2">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rPr>
        <w:t>注：</w:t>
      </w:r>
    </w:p>
    <w:p w14:paraId="35D3AF9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2E45E6AC">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4AC34EB5">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7B4EA1E8">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07CF4903">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4A0EF522">
      <w:pPr>
        <w:adjustRightInd w:val="0"/>
        <w:snapToGrid w:val="0"/>
        <w:spacing w:line="288" w:lineRule="auto"/>
        <w:ind w:firstLine="495" w:firstLineChars="236"/>
        <w:rPr>
          <w:rFonts w:ascii="宋体" w:hAnsi="宋体" w:eastAsia="宋体" w:cs="宋体"/>
          <w:i w:val="0"/>
          <w:iCs w:val="0"/>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5CB426E3">
      <w:pPr>
        <w:widowControl/>
        <w:adjustRightInd w:val="0"/>
        <w:snapToGrid w:val="0"/>
        <w:spacing w:line="288" w:lineRule="auto"/>
        <w:ind w:firstLine="495" w:firstLineChars="236"/>
        <w:jc w:val="left"/>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br w:type="page"/>
      </w:r>
    </w:p>
    <w:p w14:paraId="5B534C8C">
      <w:pPr>
        <w:adjustRightInd w:val="0"/>
        <w:snapToGrid w:val="0"/>
        <w:spacing w:line="288" w:lineRule="auto"/>
        <w:jc w:val="center"/>
        <w:outlineLvl w:val="2"/>
        <w:rPr>
          <w:rFonts w:ascii="宋体" w:hAnsi="宋体" w:eastAsia="宋体" w:cs="宋体"/>
          <w:b/>
          <w:i w:val="0"/>
          <w:iCs w:val="0"/>
          <w:color w:val="auto"/>
          <w:spacing w:val="-6"/>
          <w:szCs w:val="21"/>
          <w:highlight w:val="none"/>
        </w:rPr>
      </w:pPr>
      <w:r>
        <w:rPr>
          <w:rFonts w:ascii="宋体" w:hAnsi="宋体" w:eastAsia="宋体" w:cs="宋体"/>
          <w:b/>
          <w:i w:val="0"/>
          <w:iCs w:val="0"/>
          <w:color w:val="auto"/>
          <w:spacing w:val="-6"/>
          <w:szCs w:val="21"/>
          <w:highlight w:val="none"/>
        </w:rPr>
        <w:t>中小企业声明函（货物）</w:t>
      </w:r>
      <w:r>
        <w:rPr>
          <w:rFonts w:hint="eastAsia" w:ascii="宋体" w:hAnsi="宋体" w:eastAsia="宋体" w:cs="宋体"/>
          <w:b/>
          <w:i w:val="0"/>
          <w:iCs w:val="0"/>
          <w:color w:val="auto"/>
          <w:spacing w:val="-6"/>
          <w:szCs w:val="21"/>
          <w:highlight w:val="none"/>
          <w:lang w:eastAsia="zh-CN"/>
        </w:rPr>
        <w:t>（</w:t>
      </w:r>
      <w:r>
        <w:rPr>
          <w:rFonts w:hint="eastAsia" w:ascii="宋体" w:hAnsi="宋体" w:eastAsia="宋体" w:cs="宋体"/>
          <w:b/>
          <w:i w:val="0"/>
          <w:iCs w:val="0"/>
          <w:color w:val="auto"/>
          <w:spacing w:val="-6"/>
          <w:szCs w:val="21"/>
          <w:highlight w:val="none"/>
          <w:lang w:val="en-US" w:eastAsia="zh-CN"/>
        </w:rPr>
        <w:t>标项二</w:t>
      </w:r>
      <w:r>
        <w:rPr>
          <w:rFonts w:hint="eastAsia" w:ascii="宋体" w:hAnsi="宋体" w:eastAsia="宋体" w:cs="宋体"/>
          <w:b/>
          <w:i w:val="0"/>
          <w:iCs w:val="0"/>
          <w:color w:val="auto"/>
          <w:spacing w:val="-6"/>
          <w:szCs w:val="21"/>
          <w:highlight w:val="none"/>
          <w:lang w:eastAsia="zh-CN"/>
        </w:rPr>
        <w:t>）</w:t>
      </w:r>
      <w:r>
        <w:rPr>
          <w:rFonts w:hint="eastAsia" w:ascii="宋体" w:hAnsi="宋体" w:eastAsia="宋体" w:cs="宋体"/>
          <w:b/>
          <w:i w:val="0"/>
          <w:iCs w:val="0"/>
          <w:color w:val="auto"/>
          <w:spacing w:val="-6"/>
          <w:szCs w:val="21"/>
          <w:highlight w:val="none"/>
        </w:rPr>
        <w:t>（若属于中小企业）</w:t>
      </w:r>
    </w:p>
    <w:p w14:paraId="4DEDAFD8">
      <w:pPr>
        <w:adjustRightInd w:val="0"/>
        <w:snapToGrid w:val="0"/>
        <w:spacing w:line="288" w:lineRule="auto"/>
        <w:ind w:firstLine="498" w:firstLineChars="236"/>
        <w:rPr>
          <w:rFonts w:ascii="宋体" w:hAnsi="宋体" w:eastAsia="宋体" w:cs="Times New Roman"/>
          <w:b/>
          <w:i w:val="0"/>
          <w:iCs w:val="0"/>
          <w:color w:val="auto"/>
          <w:szCs w:val="21"/>
          <w:highlight w:val="none"/>
        </w:rPr>
      </w:pPr>
    </w:p>
    <w:p w14:paraId="04E93EB3">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lang w:val="en-US" w:eastAsia="zh-CN"/>
        </w:rPr>
        <w:t>学生公寓家具</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14:paraId="396DDE1B">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三人位公寓组合床（五人间）（加长床）</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70BC0204">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二人位公寓组合床（五人间）</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08021533">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四人衣柜（五人间）</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388ECB8A">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公寓椅</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val="en-US" w:eastAsia="zh-CN"/>
        </w:rPr>
        <w:t>。</w:t>
      </w:r>
    </w:p>
    <w:p w14:paraId="2ACC21F9">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14:paraId="7F59478D">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14:paraId="22570F39">
      <w:pPr>
        <w:adjustRightInd w:val="0"/>
        <w:snapToGrid w:val="0"/>
        <w:spacing w:line="288" w:lineRule="auto"/>
        <w:ind w:firstLine="495" w:firstLineChars="236"/>
        <w:rPr>
          <w:rFonts w:ascii="宋体" w:hAnsi="宋体" w:eastAsia="宋体" w:cs="Times New Roman"/>
          <w:i w:val="0"/>
          <w:iCs w:val="0"/>
          <w:color w:val="auto"/>
          <w:szCs w:val="21"/>
          <w:highlight w:val="none"/>
        </w:rPr>
      </w:pPr>
    </w:p>
    <w:p w14:paraId="144555CD">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14:paraId="3811AD05">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日期：</w:t>
      </w:r>
    </w:p>
    <w:p w14:paraId="52DDA52A">
      <w:pPr>
        <w:adjustRightInd w:val="0"/>
        <w:snapToGrid w:val="0"/>
        <w:spacing w:line="288" w:lineRule="auto"/>
        <w:ind w:firstLine="495" w:firstLineChars="236"/>
        <w:rPr>
          <w:rFonts w:ascii="宋体" w:hAnsi="宋体" w:eastAsia="宋体" w:cs="Times New Roman"/>
          <w:i w:val="0"/>
          <w:iCs w:val="0"/>
          <w:color w:val="auto"/>
          <w:szCs w:val="21"/>
          <w:highlight w:val="none"/>
        </w:rPr>
      </w:pPr>
    </w:p>
    <w:p w14:paraId="6541D014">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rPr>
        <w:t>注：</w:t>
      </w:r>
    </w:p>
    <w:p w14:paraId="33C12BD0">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7A96780A">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328E6238">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4BA2C77B">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0112329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2CF70C11">
      <w:pPr>
        <w:adjustRightInd w:val="0"/>
        <w:snapToGrid w:val="0"/>
        <w:spacing w:line="288" w:lineRule="auto"/>
        <w:ind w:firstLine="495" w:firstLineChars="236"/>
        <w:rPr>
          <w:rFonts w:ascii="宋体" w:hAnsi="宋体" w:eastAsia="宋体" w:cs="宋体"/>
          <w:i w:val="0"/>
          <w:iCs w:val="0"/>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59968E63">
      <w:pPr>
        <w:widowControl/>
        <w:adjustRightInd w:val="0"/>
        <w:snapToGrid w:val="0"/>
        <w:spacing w:line="288" w:lineRule="auto"/>
        <w:ind w:firstLine="495" w:firstLineChars="236"/>
        <w:jc w:val="left"/>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br w:type="page"/>
      </w:r>
    </w:p>
    <w:p w14:paraId="0007F783">
      <w:pPr>
        <w:adjustRightInd w:val="0"/>
        <w:snapToGrid w:val="0"/>
        <w:spacing w:line="288" w:lineRule="auto"/>
        <w:jc w:val="center"/>
        <w:outlineLvl w:val="2"/>
        <w:rPr>
          <w:rFonts w:ascii="宋体" w:hAnsi="宋体" w:eastAsia="宋体" w:cs="宋体"/>
          <w:b/>
          <w:i w:val="0"/>
          <w:iCs w:val="0"/>
          <w:color w:val="auto"/>
          <w:spacing w:val="-6"/>
          <w:szCs w:val="21"/>
          <w:highlight w:val="none"/>
        </w:rPr>
      </w:pPr>
      <w:r>
        <w:rPr>
          <w:rFonts w:ascii="宋体" w:hAnsi="宋体" w:eastAsia="宋体" w:cs="宋体"/>
          <w:b/>
          <w:i w:val="0"/>
          <w:iCs w:val="0"/>
          <w:color w:val="auto"/>
          <w:spacing w:val="-6"/>
          <w:szCs w:val="21"/>
          <w:highlight w:val="none"/>
        </w:rPr>
        <w:t>中小企业声明函（货物）</w:t>
      </w:r>
      <w:r>
        <w:rPr>
          <w:rFonts w:hint="eastAsia" w:ascii="宋体" w:hAnsi="宋体" w:eastAsia="宋体" w:cs="宋体"/>
          <w:b/>
          <w:i w:val="0"/>
          <w:iCs w:val="0"/>
          <w:color w:val="auto"/>
          <w:spacing w:val="-6"/>
          <w:szCs w:val="21"/>
          <w:highlight w:val="none"/>
          <w:lang w:eastAsia="zh-CN"/>
        </w:rPr>
        <w:t>（</w:t>
      </w:r>
      <w:r>
        <w:rPr>
          <w:rFonts w:hint="eastAsia" w:ascii="宋体" w:hAnsi="宋体" w:eastAsia="宋体" w:cs="宋体"/>
          <w:b/>
          <w:i w:val="0"/>
          <w:iCs w:val="0"/>
          <w:color w:val="auto"/>
          <w:spacing w:val="-6"/>
          <w:szCs w:val="21"/>
          <w:highlight w:val="none"/>
          <w:lang w:val="en-US" w:eastAsia="zh-CN"/>
        </w:rPr>
        <w:t>标项三</w:t>
      </w:r>
      <w:r>
        <w:rPr>
          <w:rFonts w:hint="eastAsia" w:ascii="宋体" w:hAnsi="宋体" w:eastAsia="宋体" w:cs="宋体"/>
          <w:b/>
          <w:i w:val="0"/>
          <w:iCs w:val="0"/>
          <w:color w:val="auto"/>
          <w:spacing w:val="-6"/>
          <w:szCs w:val="21"/>
          <w:highlight w:val="none"/>
          <w:lang w:eastAsia="zh-CN"/>
        </w:rPr>
        <w:t>）</w:t>
      </w:r>
      <w:r>
        <w:rPr>
          <w:rFonts w:hint="eastAsia" w:ascii="宋体" w:hAnsi="宋体" w:eastAsia="宋体" w:cs="宋体"/>
          <w:b/>
          <w:i w:val="0"/>
          <w:iCs w:val="0"/>
          <w:color w:val="auto"/>
          <w:spacing w:val="-6"/>
          <w:szCs w:val="21"/>
          <w:highlight w:val="none"/>
        </w:rPr>
        <w:t>（若属于中小企业）</w:t>
      </w:r>
    </w:p>
    <w:p w14:paraId="187DA07B">
      <w:pPr>
        <w:adjustRightInd w:val="0"/>
        <w:snapToGrid w:val="0"/>
        <w:spacing w:line="288" w:lineRule="auto"/>
        <w:ind w:firstLine="498" w:firstLineChars="236"/>
        <w:rPr>
          <w:rFonts w:ascii="宋体" w:hAnsi="宋体" w:eastAsia="宋体" w:cs="Times New Roman"/>
          <w:b/>
          <w:i w:val="0"/>
          <w:iCs w:val="0"/>
          <w:color w:val="auto"/>
          <w:szCs w:val="21"/>
          <w:highlight w:val="none"/>
        </w:rPr>
      </w:pPr>
    </w:p>
    <w:p w14:paraId="205458FC">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lang w:val="en-US" w:eastAsia="zh-CN"/>
        </w:rPr>
        <w:t>学生公寓家具</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14:paraId="5DEBF48C">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三人位公寓组合床（五人间）</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25591758">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二人位公寓组合床（五人间）</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370FB351">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三人位公寓组合床（特殊房型）</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0DC5D3D4">
      <w:pPr>
        <w:adjustRightInd w:val="0"/>
        <w:snapToGrid w:val="0"/>
        <w:spacing w:line="288" w:lineRule="auto"/>
        <w:ind w:firstLine="495" w:firstLineChars="236"/>
        <w:rPr>
          <w:rFonts w:hint="eastAsia" w:ascii="宋体" w:hAnsi="宋体" w:eastAsia="宋体" w:cs="Times New Roman"/>
          <w:i w:val="0"/>
          <w:iCs w:val="0"/>
          <w:color w:val="auto"/>
          <w:szCs w:val="21"/>
          <w:highlight w:val="none"/>
          <w:u w:val="single"/>
          <w:lang w:eastAsia="zh-CN"/>
        </w:rPr>
      </w:pP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单人位上床下桌组合（特殊房型）</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u w:val="none"/>
          <w:lang w:eastAsia="zh-CN"/>
        </w:rPr>
        <w:t>；</w:t>
      </w:r>
    </w:p>
    <w:p w14:paraId="0684A9E6">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四人衣柜（特殊房型）</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14:paraId="6A87F2CF">
      <w:pPr>
        <w:adjustRightInd w:val="0"/>
        <w:snapToGrid w:val="0"/>
        <w:spacing w:line="288" w:lineRule="auto"/>
        <w:ind w:firstLine="495" w:firstLineChars="236"/>
        <w:rPr>
          <w:rFonts w:hint="eastAsia" w:ascii="宋体" w:hAnsi="宋体" w:eastAsia="宋体" w:cs="Times New Roman"/>
          <w:i w:val="0"/>
          <w:iCs w:val="0"/>
          <w:color w:val="auto"/>
          <w:szCs w:val="21"/>
          <w:highlight w:val="none"/>
          <w:u w:val="none"/>
          <w:lang w:eastAsia="zh-CN"/>
        </w:rPr>
      </w:pPr>
      <w:r>
        <w:rPr>
          <w:rFonts w:hint="eastAsia" w:ascii="宋体" w:hAnsi="宋体" w:eastAsia="宋体" w:cs="Times New Roman"/>
          <w:i w:val="0"/>
          <w:iCs w:val="0"/>
          <w:color w:val="auto"/>
          <w:szCs w:val="21"/>
          <w:highlight w:val="none"/>
          <w:u w:val="single"/>
          <w:lang w:val="en-US" w:eastAsia="zh-CN"/>
        </w:rPr>
        <w:t>6</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四人衣柜（五人间）</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u w:val="none"/>
          <w:lang w:eastAsia="zh-CN"/>
        </w:rPr>
        <w:t>；</w:t>
      </w:r>
    </w:p>
    <w:p w14:paraId="079F123C">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hint="eastAsia" w:ascii="宋体" w:hAnsi="宋体" w:eastAsia="宋体" w:cs="Times New Roman"/>
          <w:i w:val="0"/>
          <w:iCs w:val="0"/>
          <w:color w:val="auto"/>
          <w:szCs w:val="21"/>
          <w:highlight w:val="none"/>
          <w:u w:val="single"/>
          <w:lang w:val="en-US" w:eastAsia="zh-CN"/>
        </w:rPr>
        <w:t>7</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公寓椅</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val="en-US" w:eastAsia="zh-CN"/>
        </w:rPr>
        <w:t>。</w:t>
      </w:r>
    </w:p>
    <w:p w14:paraId="7B3E647C">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14:paraId="6794D35C">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14:paraId="079A3690">
      <w:pPr>
        <w:adjustRightInd w:val="0"/>
        <w:snapToGrid w:val="0"/>
        <w:spacing w:line="288" w:lineRule="auto"/>
        <w:ind w:firstLine="495" w:firstLineChars="236"/>
        <w:rPr>
          <w:rFonts w:ascii="宋体" w:hAnsi="宋体" w:eastAsia="宋体" w:cs="Times New Roman"/>
          <w:i w:val="0"/>
          <w:iCs w:val="0"/>
          <w:color w:val="auto"/>
          <w:szCs w:val="21"/>
          <w:highlight w:val="none"/>
        </w:rPr>
      </w:pPr>
    </w:p>
    <w:p w14:paraId="174EBDBC">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14:paraId="4568A3A9">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日期：</w:t>
      </w:r>
    </w:p>
    <w:p w14:paraId="49B2A065">
      <w:pPr>
        <w:adjustRightInd w:val="0"/>
        <w:snapToGrid w:val="0"/>
        <w:spacing w:line="288" w:lineRule="auto"/>
        <w:ind w:firstLine="495" w:firstLineChars="236"/>
        <w:rPr>
          <w:rFonts w:ascii="宋体" w:hAnsi="宋体" w:eastAsia="宋体" w:cs="Times New Roman"/>
          <w:i w:val="0"/>
          <w:iCs w:val="0"/>
          <w:color w:val="auto"/>
          <w:szCs w:val="21"/>
          <w:highlight w:val="none"/>
        </w:rPr>
      </w:pPr>
    </w:p>
    <w:p w14:paraId="3B60F0B3">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rPr>
        <w:t>注：</w:t>
      </w:r>
    </w:p>
    <w:p w14:paraId="6C809846">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405EB7E5">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2285A57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24D980A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36A5432B">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6B3E7775">
      <w:pPr>
        <w:adjustRightInd w:val="0"/>
        <w:snapToGrid w:val="0"/>
        <w:spacing w:line="288" w:lineRule="auto"/>
        <w:ind w:firstLine="495" w:firstLineChars="236"/>
        <w:rPr>
          <w:rFonts w:ascii="宋体" w:hAnsi="宋体" w:eastAsia="宋体" w:cs="宋体"/>
          <w:i w:val="0"/>
          <w:iCs w:val="0"/>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107AE6AC">
      <w:pPr>
        <w:widowControl/>
        <w:adjustRightInd w:val="0"/>
        <w:snapToGrid w:val="0"/>
        <w:spacing w:line="288" w:lineRule="auto"/>
        <w:ind w:firstLine="495" w:firstLineChars="236"/>
        <w:jc w:val="left"/>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br w:type="page"/>
      </w:r>
    </w:p>
    <w:p w14:paraId="1FC6464D">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属于监狱企业的证明文件（若属于监狱企业）</w:t>
      </w:r>
    </w:p>
    <w:p w14:paraId="000732DD">
      <w:pPr>
        <w:adjustRightInd w:val="0"/>
        <w:snapToGrid w:val="0"/>
        <w:spacing w:line="288" w:lineRule="auto"/>
        <w:rPr>
          <w:rFonts w:ascii="宋体" w:hAnsi="宋体" w:eastAsia="宋体" w:cs="宋体"/>
          <w:color w:val="auto"/>
          <w:kern w:val="0"/>
          <w:szCs w:val="21"/>
          <w:highlight w:val="none"/>
        </w:rPr>
      </w:pPr>
    </w:p>
    <w:p w14:paraId="69592DA6">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50B0C51B">
      <w:pPr>
        <w:adjustRightInd w:val="0"/>
        <w:snapToGrid w:val="0"/>
        <w:spacing w:line="288" w:lineRule="auto"/>
        <w:rPr>
          <w:rFonts w:ascii="宋体" w:hAnsi="宋体" w:eastAsia="宋体"/>
          <w:color w:val="auto"/>
          <w:szCs w:val="21"/>
          <w:highlight w:val="none"/>
        </w:rPr>
      </w:pPr>
    </w:p>
    <w:p w14:paraId="2E5B7F32">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66F7230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7B00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0A532A25">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7598A0E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残疾人福利性单位声明函（若属于残疾人福利性单位）</w:t>
      </w:r>
    </w:p>
    <w:p w14:paraId="74E9DF21">
      <w:pPr>
        <w:adjustRightInd w:val="0"/>
        <w:snapToGrid w:val="0"/>
        <w:spacing w:line="288" w:lineRule="auto"/>
        <w:rPr>
          <w:rFonts w:ascii="宋体" w:hAnsi="宋体" w:eastAsia="宋体" w:cs="Times New Roman"/>
          <w:b/>
          <w:color w:val="auto"/>
          <w:spacing w:val="6"/>
          <w:szCs w:val="21"/>
          <w:highlight w:val="none"/>
        </w:rPr>
      </w:pPr>
    </w:p>
    <w:p w14:paraId="1161E5EA">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3BDD5A11">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39573B56">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521BB1A7">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2CCFD10A">
      <w:pPr>
        <w:adjustRightInd w:val="0"/>
        <w:snapToGrid w:val="0"/>
        <w:spacing w:line="288" w:lineRule="auto"/>
        <w:rPr>
          <w:rFonts w:ascii="宋体" w:hAnsi="宋体" w:eastAsia="宋体"/>
          <w:color w:val="auto"/>
          <w:szCs w:val="21"/>
          <w:highlight w:val="none"/>
        </w:rPr>
      </w:pPr>
    </w:p>
    <w:p w14:paraId="3878ED8F">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425273EE">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一、享受政府采购支持政策的残疾人福利性单位应当同时满足以下条件：</w:t>
      </w:r>
    </w:p>
    <w:p w14:paraId="20131A7C">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（一）安置的残疾人占本单位在职职工人数的比例不低于25%（含25%），并且安置的残疾人人数不少于10人（含10人）；</w:t>
      </w:r>
    </w:p>
    <w:p w14:paraId="6D9B342B">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（二）依法与安置的每位残疾人签订了一年以上（含一年）的劳动合同或服务协议；</w:t>
      </w:r>
    </w:p>
    <w:p w14:paraId="5A0F39AD">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（三）为安置的每位残疾人按月足额缴纳了基本养老保险、基本医疗保险、失业保险、工伤保险和生育保险等社会保险费；</w:t>
      </w:r>
    </w:p>
    <w:p w14:paraId="31DE626E">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14:paraId="1930B79B">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14:paraId="5702C9A2">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BAA8E8A">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二、符合条件的残疾人福利性单位在参加政府采购活动时，应当提供财库</w:t>
      </w:r>
      <w:r>
        <w:rPr>
          <w:rFonts w:ascii="宋体" w:hAnsi="宋体" w:eastAsia="宋体" w:cs="Times New Roman"/>
          <w:color w:val="auto"/>
          <w:kern w:val="0"/>
          <w:sz w:val="21"/>
          <w:szCs w:val="21"/>
          <w:highlight w:val="none"/>
          <w:lang w:val="en-US" w:eastAsia="zh-CN" w:bidi="ar-SA"/>
        </w:rPr>
        <w:t>[2017]141号</w:t>
      </w:r>
      <w:r>
        <w:rPr>
          <w:rFonts w:hint="eastAsia" w:ascii="宋体" w:hAnsi="宋体" w:eastAsia="宋体" w:cs="Times New Roman"/>
          <w:color w:val="auto"/>
          <w:kern w:val="0"/>
          <w:sz w:val="21"/>
          <w:szCs w:val="21"/>
          <w:highlight w:val="none"/>
          <w:lang w:val="en-US" w:eastAsia="zh-CN" w:bidi="ar-SA"/>
        </w:rPr>
        <w:t>文件规定的《残疾人福利性单位声明函》，并对声明的真实性负责。</w:t>
      </w:r>
    </w:p>
    <w:p w14:paraId="4EEAB61F">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三、在政府采购活动中，残疾人福利性单位视同小型、微型企业，享受预留份额、评审中价格扣除等促进中小企业发展的政府采购政策。</w:t>
      </w:r>
    </w:p>
    <w:p w14:paraId="0E83517F">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残疾人福利性单位属于小型、微型企业的，不重复享受政策。</w:t>
      </w:r>
    </w:p>
    <w:p w14:paraId="424E0A2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杭州电子科技大学学生公寓家具</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QSZB-Z(H)-B25164(GK)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杭州电子科技大学学生公寓家具</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QSZB-Z(H)-B25164(GK)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2024年7月（含）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2024年7月（含）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学生公寓家具</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QSZB-Z(H)-B25164(GK)</w:t>
      </w:r>
    </w:p>
    <w:p w14:paraId="18EDFD72">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3E61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标的</w:t>
      </w:r>
      <w:r>
        <w:rPr>
          <w:rFonts w:hint="eastAsia" w:ascii="宋体" w:hAnsi="宋体" w:eastAsia="宋体" w:cs="宋体"/>
          <w:b/>
          <w:color w:val="auto"/>
          <w:spacing w:val="-6"/>
          <w:szCs w:val="21"/>
          <w:highlight w:val="none"/>
        </w:rPr>
        <w:t>配置清单</w:t>
      </w:r>
      <w:r>
        <w:rPr>
          <w:rFonts w:hint="eastAsia" w:ascii="宋体" w:hAnsi="宋体" w:eastAsia="宋体" w:cs="宋体"/>
          <w:color w:val="auto"/>
          <w:spacing w:val="-6"/>
          <w:szCs w:val="21"/>
          <w:highlight w:val="none"/>
        </w:rPr>
        <w:t>（不含报价）</w:t>
      </w:r>
    </w:p>
    <w:p w14:paraId="30260F2B">
      <w:pPr>
        <w:adjustRightInd w:val="0"/>
        <w:snapToGrid w:val="0"/>
        <w:spacing w:line="288" w:lineRule="auto"/>
        <w:rPr>
          <w:rFonts w:hint="eastAsia" w:ascii="宋体" w:hAnsi="宋体" w:eastAsia="宋体" w:cs="宋体"/>
          <w:color w:val="auto"/>
          <w:spacing w:val="-6"/>
          <w:szCs w:val="21"/>
          <w:highlight w:val="none"/>
          <w:lang w:val="en-US" w:eastAsia="zh-CN"/>
        </w:rPr>
      </w:pPr>
      <w:r>
        <w:rPr>
          <w:rFonts w:hint="eastAsia" w:ascii="宋体" w:hAnsi="宋体" w:eastAsia="宋体" w:cs="宋体"/>
          <w:color w:val="auto"/>
          <w:spacing w:val="-6"/>
          <w:szCs w:val="21"/>
          <w:highlight w:val="none"/>
          <w:lang w:val="en-US" w:eastAsia="zh-CN"/>
        </w:rPr>
        <w:t>标项：</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ascii="宋体" w:hAnsi="宋体" w:eastAsia="宋体" w:cs="宋体"/>
          <w:color w:val="auto"/>
          <w:spacing w:val="-6"/>
          <w:szCs w:val="21"/>
          <w:highlight w:val="none"/>
        </w:rPr>
      </w:pPr>
    </w:p>
    <w:p w14:paraId="0AC09C55">
      <w:pPr>
        <w:adjustRightInd w:val="0"/>
        <w:snapToGrid w:val="0"/>
        <w:spacing w:line="36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注：</w:t>
      </w:r>
    </w:p>
    <w:p w14:paraId="54D3D16A">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highlight w:val="none"/>
        </w:rPr>
      </w:pPr>
      <w:r>
        <w:rPr>
          <w:rFonts w:hint="eastAsia" w:ascii="宋体" w:hAnsi="宋体" w:eastAsia="宋体" w:cs="宋体"/>
          <w:bCs/>
          <w:color w:val="auto"/>
          <w:spacing w:val="-6"/>
          <w:szCs w:val="21"/>
          <w:highlight w:val="none"/>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highlight w:val="none"/>
        </w:rPr>
      </w:pPr>
    </w:p>
    <w:p w14:paraId="4019593B">
      <w:pPr>
        <w:adjustRightInd w:val="0"/>
        <w:snapToGrid w:val="0"/>
        <w:spacing w:line="288" w:lineRule="auto"/>
        <w:rPr>
          <w:rFonts w:hint="eastAsia" w:ascii="宋体" w:hAnsi="宋体" w:eastAsia="宋体" w:cs="Times New Roman"/>
          <w:b/>
          <w:bCs/>
          <w:color w:val="auto"/>
          <w:spacing w:val="-6"/>
          <w:szCs w:val="21"/>
          <w:highlight w:val="none"/>
        </w:rPr>
      </w:pPr>
    </w:p>
    <w:p w14:paraId="6027D0A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9776EE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14:paraId="4244FB24">
      <w:pPr>
        <w:adjustRightInd w:val="0"/>
        <w:snapToGrid w:val="0"/>
        <w:spacing w:line="288" w:lineRule="auto"/>
        <w:rPr>
          <w:rFonts w:ascii="宋体" w:hAnsi="宋体" w:eastAsia="宋体" w:cs="宋体"/>
          <w:color w:val="auto"/>
          <w:szCs w:val="21"/>
          <w:highlight w:val="none"/>
        </w:rPr>
      </w:pPr>
    </w:p>
    <w:p w14:paraId="3CF17650">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14:paraId="4A3D20F3">
      <w:pPr>
        <w:adjustRightInd w:val="0"/>
        <w:snapToGrid w:val="0"/>
        <w:spacing w:line="288" w:lineRule="auto"/>
        <w:rPr>
          <w:rFonts w:ascii="宋体" w:hAnsi="宋体" w:eastAsia="宋体" w:cs="宋体"/>
          <w:b/>
          <w:color w:val="auto"/>
          <w:spacing w:val="-6"/>
          <w:szCs w:val="21"/>
          <w:highlight w:val="none"/>
        </w:rPr>
      </w:pPr>
    </w:p>
    <w:p w14:paraId="5906704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14:paraId="7E107322">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14:paraId="7AA3B0DC">
      <w:pPr>
        <w:adjustRightInd w:val="0"/>
        <w:snapToGrid w:val="0"/>
        <w:spacing w:line="288" w:lineRule="auto"/>
        <w:rPr>
          <w:rFonts w:ascii="宋体" w:hAnsi="宋体" w:eastAsia="宋体" w:cs="宋体"/>
          <w:b/>
          <w:color w:val="auto"/>
          <w:spacing w:val="-6"/>
          <w:szCs w:val="21"/>
          <w:highlight w:val="none"/>
        </w:rPr>
      </w:pPr>
    </w:p>
    <w:p w14:paraId="5F957607">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14:paraId="4DCA850A">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highlight w:val="none"/>
        </w:rPr>
      </w:pPr>
    </w:p>
    <w:p w14:paraId="278CC9F6">
      <w:pPr>
        <w:adjustRightInd w:val="0"/>
        <w:snapToGrid w:val="0"/>
        <w:spacing w:line="288" w:lineRule="auto"/>
        <w:rPr>
          <w:rFonts w:ascii="宋体" w:hAnsi="宋体" w:eastAsia="宋体" w:cs="Times New Roman"/>
          <w:b/>
          <w:color w:val="auto"/>
          <w:szCs w:val="21"/>
          <w:highlight w:val="none"/>
        </w:rPr>
      </w:pPr>
    </w:p>
    <w:p w14:paraId="3E31F522">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highlight w:val="none"/>
        </w:rPr>
      </w:pPr>
    </w:p>
    <w:p w14:paraId="455EFF2B">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highlight w:val="none"/>
        </w:rPr>
      </w:pP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学生公寓家具</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QSZB-Z(H)-B25164(GK)</w:t>
      </w:r>
    </w:p>
    <w:p w14:paraId="53A765F8">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标    项</w:t>
      </w:r>
      <w:r>
        <w:rPr>
          <w:rFonts w:hint="eastAsia" w:ascii="宋体" w:hAnsi="宋体" w:eastAsia="宋体" w:cs="Times New Roman"/>
          <w:bCs/>
          <w:color w:val="auto"/>
          <w:spacing w:val="-6"/>
          <w:szCs w:val="21"/>
          <w:highlight w:val="none"/>
          <w:lang w:eastAsia="zh-CN"/>
        </w:rPr>
        <w:t>：</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67" w:name="_Hlk177717733"/>
            <w:r>
              <w:rPr>
                <w:rFonts w:hint="eastAsia" w:ascii="宋体" w:hAnsi="宋体" w:eastAsia="宋体" w:cs="宋体"/>
                <w:b/>
                <w:bCs/>
                <w:color w:val="auto"/>
                <w:sz w:val="21"/>
                <w:szCs w:val="21"/>
                <w:highlight w:val="none"/>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67"/>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0C631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5FEFE1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14:paraId="74C0703D">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C04E49"/>
    <w:rsid w:val="01F81427"/>
    <w:rsid w:val="021C1CE7"/>
    <w:rsid w:val="02290C40"/>
    <w:rsid w:val="03295346"/>
    <w:rsid w:val="03F93561"/>
    <w:rsid w:val="044216AA"/>
    <w:rsid w:val="04916F64"/>
    <w:rsid w:val="04A10193"/>
    <w:rsid w:val="04E244F7"/>
    <w:rsid w:val="05D34727"/>
    <w:rsid w:val="05D9297D"/>
    <w:rsid w:val="06F74A7E"/>
    <w:rsid w:val="07650D44"/>
    <w:rsid w:val="076B03C1"/>
    <w:rsid w:val="07DB5C37"/>
    <w:rsid w:val="08931933"/>
    <w:rsid w:val="08955458"/>
    <w:rsid w:val="08D95AF8"/>
    <w:rsid w:val="09594501"/>
    <w:rsid w:val="0A8F0E99"/>
    <w:rsid w:val="0B4A1776"/>
    <w:rsid w:val="0BD50265"/>
    <w:rsid w:val="0BEC010D"/>
    <w:rsid w:val="0C0517B1"/>
    <w:rsid w:val="0C786503"/>
    <w:rsid w:val="0C985E05"/>
    <w:rsid w:val="0D1A04C9"/>
    <w:rsid w:val="0D363F3D"/>
    <w:rsid w:val="0DA43FD6"/>
    <w:rsid w:val="0DCB77B4"/>
    <w:rsid w:val="0DF201AC"/>
    <w:rsid w:val="0E01168C"/>
    <w:rsid w:val="0E7049BB"/>
    <w:rsid w:val="0E8C0D7B"/>
    <w:rsid w:val="0F8120BC"/>
    <w:rsid w:val="10125409"/>
    <w:rsid w:val="10757130"/>
    <w:rsid w:val="112B34AD"/>
    <w:rsid w:val="11FF5827"/>
    <w:rsid w:val="121F704C"/>
    <w:rsid w:val="12BB167C"/>
    <w:rsid w:val="12CE31C0"/>
    <w:rsid w:val="12DA4FF8"/>
    <w:rsid w:val="13A02164"/>
    <w:rsid w:val="16F37CEB"/>
    <w:rsid w:val="18090C43"/>
    <w:rsid w:val="18FB5F15"/>
    <w:rsid w:val="19A10528"/>
    <w:rsid w:val="1A904B71"/>
    <w:rsid w:val="1B321622"/>
    <w:rsid w:val="1B8D003A"/>
    <w:rsid w:val="1D511AFF"/>
    <w:rsid w:val="1E452027"/>
    <w:rsid w:val="1EEB1A56"/>
    <w:rsid w:val="1F9C38D3"/>
    <w:rsid w:val="1FAF67D1"/>
    <w:rsid w:val="1FCD442A"/>
    <w:rsid w:val="1FD920F9"/>
    <w:rsid w:val="20766E26"/>
    <w:rsid w:val="20767551"/>
    <w:rsid w:val="212705BE"/>
    <w:rsid w:val="216B7513"/>
    <w:rsid w:val="216C47A8"/>
    <w:rsid w:val="21DB64E2"/>
    <w:rsid w:val="221C4C30"/>
    <w:rsid w:val="223C4D2B"/>
    <w:rsid w:val="22A70B6C"/>
    <w:rsid w:val="22AD65CC"/>
    <w:rsid w:val="23C14303"/>
    <w:rsid w:val="23FF4622"/>
    <w:rsid w:val="24E552EA"/>
    <w:rsid w:val="25A217AC"/>
    <w:rsid w:val="25BF34E6"/>
    <w:rsid w:val="265E11E3"/>
    <w:rsid w:val="266E252C"/>
    <w:rsid w:val="27432BC1"/>
    <w:rsid w:val="27F0275A"/>
    <w:rsid w:val="28580092"/>
    <w:rsid w:val="28BC23D4"/>
    <w:rsid w:val="2A426494"/>
    <w:rsid w:val="2AA10ED5"/>
    <w:rsid w:val="2ADA0518"/>
    <w:rsid w:val="2C921974"/>
    <w:rsid w:val="2CB27C5D"/>
    <w:rsid w:val="2D6618E1"/>
    <w:rsid w:val="2DBE14C9"/>
    <w:rsid w:val="2E2B31E3"/>
    <w:rsid w:val="2E853C05"/>
    <w:rsid w:val="2ED77388"/>
    <w:rsid w:val="2F380CDF"/>
    <w:rsid w:val="2F5E167A"/>
    <w:rsid w:val="2F5F7C65"/>
    <w:rsid w:val="2F6A64D8"/>
    <w:rsid w:val="30616EA9"/>
    <w:rsid w:val="30D54712"/>
    <w:rsid w:val="31A44D82"/>
    <w:rsid w:val="32BE120D"/>
    <w:rsid w:val="330C0EF9"/>
    <w:rsid w:val="33506DE6"/>
    <w:rsid w:val="34004E73"/>
    <w:rsid w:val="35194EAC"/>
    <w:rsid w:val="35A54CED"/>
    <w:rsid w:val="35CA7EAA"/>
    <w:rsid w:val="37534CA7"/>
    <w:rsid w:val="3791218C"/>
    <w:rsid w:val="37D824F1"/>
    <w:rsid w:val="39B918B5"/>
    <w:rsid w:val="3A3C272F"/>
    <w:rsid w:val="3B0C4DFA"/>
    <w:rsid w:val="3C431E60"/>
    <w:rsid w:val="3C4D26C6"/>
    <w:rsid w:val="3C760652"/>
    <w:rsid w:val="3D044EFC"/>
    <w:rsid w:val="3E6946AD"/>
    <w:rsid w:val="3EB60CB3"/>
    <w:rsid w:val="3EC436F9"/>
    <w:rsid w:val="3EF42F18"/>
    <w:rsid w:val="3F740895"/>
    <w:rsid w:val="3FB93DC6"/>
    <w:rsid w:val="402A691C"/>
    <w:rsid w:val="415A4B84"/>
    <w:rsid w:val="417F7D23"/>
    <w:rsid w:val="419956FA"/>
    <w:rsid w:val="422E66F3"/>
    <w:rsid w:val="4275164D"/>
    <w:rsid w:val="42E571C8"/>
    <w:rsid w:val="430A3262"/>
    <w:rsid w:val="4383143C"/>
    <w:rsid w:val="44265D88"/>
    <w:rsid w:val="45D61E3A"/>
    <w:rsid w:val="46A824B9"/>
    <w:rsid w:val="46BB170B"/>
    <w:rsid w:val="46D22C08"/>
    <w:rsid w:val="47056396"/>
    <w:rsid w:val="472152DF"/>
    <w:rsid w:val="47510906"/>
    <w:rsid w:val="476E0442"/>
    <w:rsid w:val="47A02113"/>
    <w:rsid w:val="495D70F7"/>
    <w:rsid w:val="498C1364"/>
    <w:rsid w:val="4B7D5F80"/>
    <w:rsid w:val="4BF40741"/>
    <w:rsid w:val="4C5E019B"/>
    <w:rsid w:val="4E6D7288"/>
    <w:rsid w:val="4F64249F"/>
    <w:rsid w:val="4F6E1200"/>
    <w:rsid w:val="4FCD544B"/>
    <w:rsid w:val="4FEE189E"/>
    <w:rsid w:val="500B7C38"/>
    <w:rsid w:val="52E80614"/>
    <w:rsid w:val="5345653C"/>
    <w:rsid w:val="53F038EA"/>
    <w:rsid w:val="54124779"/>
    <w:rsid w:val="5422457B"/>
    <w:rsid w:val="5435659E"/>
    <w:rsid w:val="547E4F21"/>
    <w:rsid w:val="549F2962"/>
    <w:rsid w:val="54E01333"/>
    <w:rsid w:val="54FA44CC"/>
    <w:rsid w:val="5713274F"/>
    <w:rsid w:val="57405764"/>
    <w:rsid w:val="590713FB"/>
    <w:rsid w:val="59BA69E3"/>
    <w:rsid w:val="5A661DF4"/>
    <w:rsid w:val="5AAE5D05"/>
    <w:rsid w:val="5ACF0178"/>
    <w:rsid w:val="5B023998"/>
    <w:rsid w:val="5B440230"/>
    <w:rsid w:val="5B900F50"/>
    <w:rsid w:val="5C3E17F9"/>
    <w:rsid w:val="5C483ABC"/>
    <w:rsid w:val="5D052980"/>
    <w:rsid w:val="5D3A6920"/>
    <w:rsid w:val="5D8135CC"/>
    <w:rsid w:val="5DF10A2F"/>
    <w:rsid w:val="5E8048B9"/>
    <w:rsid w:val="5ED57F57"/>
    <w:rsid w:val="5EF534F9"/>
    <w:rsid w:val="600446EC"/>
    <w:rsid w:val="600D2EE6"/>
    <w:rsid w:val="601A3A76"/>
    <w:rsid w:val="615E6136"/>
    <w:rsid w:val="61D4087B"/>
    <w:rsid w:val="621760F6"/>
    <w:rsid w:val="62246B60"/>
    <w:rsid w:val="628A2B7E"/>
    <w:rsid w:val="631B1643"/>
    <w:rsid w:val="644F1ACD"/>
    <w:rsid w:val="64607B88"/>
    <w:rsid w:val="64751744"/>
    <w:rsid w:val="64ED2342"/>
    <w:rsid w:val="65BD0D59"/>
    <w:rsid w:val="67060D39"/>
    <w:rsid w:val="67FF1998"/>
    <w:rsid w:val="680D1D99"/>
    <w:rsid w:val="68393486"/>
    <w:rsid w:val="69431270"/>
    <w:rsid w:val="6A7F4F75"/>
    <w:rsid w:val="6ACA16F9"/>
    <w:rsid w:val="6B16774A"/>
    <w:rsid w:val="6B446834"/>
    <w:rsid w:val="6B4F341C"/>
    <w:rsid w:val="6BB942D4"/>
    <w:rsid w:val="6BC846BD"/>
    <w:rsid w:val="6C206AC0"/>
    <w:rsid w:val="6C467142"/>
    <w:rsid w:val="6C8C09E4"/>
    <w:rsid w:val="6CB03B45"/>
    <w:rsid w:val="6CBC11B2"/>
    <w:rsid w:val="6DB57C1B"/>
    <w:rsid w:val="6ECE2681"/>
    <w:rsid w:val="6ED12033"/>
    <w:rsid w:val="6FB20E03"/>
    <w:rsid w:val="718A0C20"/>
    <w:rsid w:val="72340F9C"/>
    <w:rsid w:val="72534367"/>
    <w:rsid w:val="730D5D09"/>
    <w:rsid w:val="74FB3285"/>
    <w:rsid w:val="763243C9"/>
    <w:rsid w:val="77112544"/>
    <w:rsid w:val="774152C9"/>
    <w:rsid w:val="79305CF5"/>
    <w:rsid w:val="793070F8"/>
    <w:rsid w:val="79D825C1"/>
    <w:rsid w:val="7ACD7751"/>
    <w:rsid w:val="7B2E3BC3"/>
    <w:rsid w:val="7B5D131E"/>
    <w:rsid w:val="7B707527"/>
    <w:rsid w:val="7C9D37FB"/>
    <w:rsid w:val="7D950234"/>
    <w:rsid w:val="7DB41B16"/>
    <w:rsid w:val="7DEB79E2"/>
    <w:rsid w:val="7DFC5027"/>
    <w:rsid w:val="7E002D54"/>
    <w:rsid w:val="7F6438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67</Pages>
  <Words>42237</Words>
  <Characters>46167</Characters>
  <Lines>1</Lines>
  <Paragraphs>1</Paragraphs>
  <TotalTime>8</TotalTime>
  <ScaleCrop>false</ScaleCrop>
  <LinksUpToDate>false</LinksUpToDate>
  <CharactersWithSpaces>47216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俞炳</cp:lastModifiedBy>
  <cp:lastPrinted>2025-05-22T00:52:00Z</cp:lastPrinted>
  <dcterms:modified xsi:type="dcterms:W3CDTF">2025-05-25T03:39:02Z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576A4876527B448390C0E2B6F3AEBF97_13</vt:lpwstr>
  </property>
  <property fmtid="{D5CDD505-2E9C-101B-9397-08002B2CF9AE}" pid="4" name="KSOTemplateDocerSaveRecord">
    <vt:lpwstr>eyJoZGlkIjoiNDA1NjJhY2YzNGY0NzY5M2ZmM2Y0ZjcwMmY2ODQ2YTYiLCJ1c2VySWQiOiIxNjEzNTQ4OTc4In0=</vt:lpwstr>
  </property>
</Properties>
</file>