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科创教育数字化平台</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科创教育数字化平台</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QSZB-Z(F)-B23410(CS)</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[2023]54951号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pgBorders>
            <w:top w:val="none" w:sz="0" w:space="0"/>
            <w:left w:val="none" w:sz="0" w:space="0"/>
            <w:bottom w:val="none" w:sz="0" w:space="0"/>
            <w:right w:val="none" w:sz="0" w:space="0"/>
          </w:pgBorders>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科创教育数字化平台</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2023年</w:t>
      </w:r>
      <w:r>
        <w:rPr>
          <w:rFonts w:hint="eastAsia"/>
          <w:b/>
          <w:color w:val="auto"/>
          <w:sz w:val="21"/>
          <w:szCs w:val="21"/>
          <w:highlight w:val="none"/>
          <w:u w:val="single"/>
          <w:lang w:eastAsia="zh-CN"/>
        </w:rPr>
        <w:t>11月3日9:00:00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621"/>
      <w:bookmarkStart w:id="1" w:name="_Toc35393790"/>
      <w:bookmarkStart w:id="2" w:name="_Toc28359002"/>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QSZB-Z(F)-B23410(CS)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科创教育数字化平台</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预算金额（元）：</w:t>
      </w:r>
      <w:r>
        <w:rPr>
          <w:rFonts w:hint="eastAsia"/>
          <w:color w:val="auto"/>
          <w:sz w:val="21"/>
          <w:szCs w:val="21"/>
          <w:highlight w:val="none"/>
          <w:lang w:val="en-US" w:eastAsia="zh-CN"/>
        </w:rPr>
        <w:t>600000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最高限价（元）：600000</w:t>
      </w:r>
    </w:p>
    <w:p>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z w:val="21"/>
          <w:szCs w:val="21"/>
          <w:highlight w:val="none"/>
          <w:lang w:val="en-US" w:eastAsia="zh-CN"/>
        </w:rPr>
        <w:t>自合同签订之日起90日历天内完成系统设计、开发、上线，通过初验后试运行30日历天，并通过终验。</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eastAsia="zh-CN"/>
              </w:rPr>
              <w:t>科创教育数字化平台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val="en-US" w:eastAsia="zh-CN"/>
              </w:rPr>
              <w:t>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否</w:t>
            </w:r>
          </w:p>
        </w:tc>
      </w:tr>
    </w:tbl>
    <w:p>
      <w:pPr>
        <w:adjustRightInd w:val="0"/>
        <w:snapToGrid w:val="0"/>
        <w:spacing w:line="288" w:lineRule="auto"/>
        <w:rPr>
          <w:b/>
          <w:color w:val="auto"/>
          <w:sz w:val="21"/>
          <w:szCs w:val="21"/>
          <w:highlight w:val="none"/>
        </w:rPr>
      </w:pPr>
      <w:bookmarkStart w:id="5" w:name="_Toc35393622"/>
      <w:bookmarkStart w:id="6" w:name="_Toc28359003"/>
      <w:bookmarkStart w:id="7" w:name="_Toc28359080"/>
      <w:bookmarkStart w:id="8" w:name="_Toc35393791"/>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81"/>
      <w:bookmarkStart w:id="10" w:name="_Toc28359004"/>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本项目整体专门面向中小企业采购。服务由中小企业承接，即提供服务的人员为中小企业依照《中华人民共和国劳动合同法》订立劳动合同的从业人员）。监狱企业、残疾人福利性单位视同小型、微型企业</w:t>
      </w:r>
      <w:r>
        <w:rPr>
          <w:rFonts w:hint="eastAsia" w:cs="Times New Roman"/>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35393793"/>
      <w:bookmarkStart w:id="14" w:name="_Toc28359082"/>
      <w:bookmarkStart w:id="15" w:name="_Toc28359005"/>
      <w:bookmarkStart w:id="16" w:name="_Toc35393624"/>
      <w:r>
        <w:rPr>
          <w:rFonts w:hint="eastAsia"/>
          <w:color w:val="auto"/>
          <w:sz w:val="21"/>
          <w:szCs w:val="21"/>
          <w:highlight w:val="none"/>
        </w:rPr>
        <w:t>时间：2023年</w:t>
      </w:r>
      <w:r>
        <w:rPr>
          <w:rFonts w:hint="eastAsia"/>
          <w:color w:val="auto"/>
          <w:sz w:val="21"/>
          <w:szCs w:val="21"/>
          <w:highlight w:val="none"/>
          <w:lang w:val="en-US" w:eastAsia="zh-CN"/>
        </w:rPr>
        <w:t>10</w:t>
      </w:r>
      <w:r>
        <w:rPr>
          <w:rFonts w:hint="eastAsia"/>
          <w:color w:val="auto"/>
          <w:sz w:val="21"/>
          <w:szCs w:val="21"/>
          <w:highlight w:val="none"/>
        </w:rPr>
        <w:t>月</w:t>
      </w:r>
      <w:r>
        <w:rPr>
          <w:rFonts w:hint="eastAsia"/>
          <w:color w:val="auto"/>
          <w:sz w:val="21"/>
          <w:szCs w:val="21"/>
          <w:highlight w:val="none"/>
          <w:lang w:val="en-US" w:eastAsia="zh-CN"/>
        </w:rPr>
        <w:t>23</w:t>
      </w:r>
      <w:r>
        <w:rPr>
          <w:rFonts w:hint="eastAsia"/>
          <w:color w:val="auto"/>
          <w:sz w:val="21"/>
          <w:szCs w:val="21"/>
          <w:highlight w:val="none"/>
        </w:rPr>
        <w:t>日至2023年</w:t>
      </w:r>
      <w:r>
        <w:rPr>
          <w:rFonts w:hint="eastAsia"/>
          <w:color w:val="auto"/>
          <w:sz w:val="21"/>
          <w:szCs w:val="21"/>
          <w:highlight w:val="none"/>
          <w:lang w:eastAsia="zh-CN"/>
        </w:rPr>
        <w:t>11月3日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截止时间：2023年</w:t>
      </w:r>
      <w:r>
        <w:rPr>
          <w:rFonts w:hint="eastAsia"/>
          <w:bCs/>
          <w:color w:val="auto"/>
          <w:sz w:val="21"/>
          <w:szCs w:val="21"/>
          <w:highlight w:val="none"/>
          <w:lang w:eastAsia="zh-CN"/>
        </w:rPr>
        <w:t>11月3日9:00:00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28359007"/>
      <w:bookmarkStart w:id="18" w:name="_Toc28359084"/>
      <w:bookmarkStart w:id="19" w:name="_Toc35393625"/>
      <w:bookmarkStart w:id="20" w:name="_Toc3539379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开启时间：2023年</w:t>
      </w:r>
      <w:r>
        <w:rPr>
          <w:rFonts w:hint="eastAsia"/>
          <w:bCs/>
          <w:color w:val="auto"/>
          <w:sz w:val="21"/>
          <w:szCs w:val="21"/>
          <w:highlight w:val="none"/>
          <w:lang w:eastAsia="zh-CN"/>
        </w:rPr>
        <w:t>11月3日9:00:00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8</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10</w:t>
      </w:r>
      <w:bookmarkStart w:id="45" w:name="_GoBack"/>
      <w:bookmarkEnd w:id="45"/>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35393796"/>
      <w:bookmarkStart w:id="24" w:name="_Toc35393627"/>
      <w:bookmarkStart w:id="25" w:name="_Toc28359008"/>
      <w:bookmarkStart w:id="26"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赵</w:t>
      </w:r>
      <w:r>
        <w:rPr>
          <w:rFonts w:hint="eastAsia"/>
          <w:color w:val="auto"/>
          <w:sz w:val="21"/>
          <w:szCs w:val="21"/>
          <w:highlight w:val="none"/>
        </w:rPr>
        <w:t>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项目联系方式（询问）：18258222262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名称：杭州电子科技大学国有资产与实验室管理处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联系人：亓老师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监督投诉电话：0571-87713574</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政策咨询：何一平、冯华，0571-87058424、87055741</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预算金额未达100万元的采购项目，由采购人处理采购争议。</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8" w:name="_Hlk45005599"/>
            <w:r>
              <w:rPr>
                <w:rFonts w:hint="eastAsia"/>
                <w:b/>
                <w:bCs/>
                <w:color w:val="auto"/>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资格</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default" w:eastAsia="宋体" w:cs="Times New Roman"/>
                <w:b/>
                <w:bCs/>
                <w:color w:val="auto"/>
                <w:sz w:val="21"/>
                <w:szCs w:val="21"/>
                <w:highlight w:val="none"/>
                <w:lang w:val="en-US" w:eastAsia="zh-CN"/>
              </w:rPr>
            </w:pPr>
            <w:r>
              <w:rPr>
                <w:rFonts w:hint="eastAsia" w:cs="Times New Roman"/>
                <w:b/>
                <w:bCs/>
                <w:color w:val="auto"/>
                <w:sz w:val="21"/>
                <w:szCs w:val="21"/>
                <w:highlight w:val="none"/>
              </w:rPr>
              <w:t>采购标的对应的中小企业划分标准所属行业：</w:t>
            </w:r>
            <w:r>
              <w:rPr>
                <w:rFonts w:hint="eastAsia" w:cs="Times New Roman"/>
                <w:b/>
                <w:bCs/>
                <w:color w:val="auto"/>
                <w:sz w:val="21"/>
                <w:szCs w:val="21"/>
                <w:highlight w:val="none"/>
                <w:lang w:val="en-US" w:eastAsia="zh-CN"/>
              </w:rPr>
              <w:t>软件和信息技术服务业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cs="Times New Roman"/>
                <w:b/>
                <w:color w:val="auto"/>
                <w:spacing w:val="-6"/>
                <w:sz w:val="21"/>
                <w:szCs w:val="21"/>
                <w:highlight w:val="none"/>
              </w:rPr>
            </w:pPr>
            <w:r>
              <w:rPr>
                <w:rFonts w:hint="eastAsia" w:ascii="宋体" w:hAnsi="宋体" w:eastAsia="宋体" w:cs="Times New Roman"/>
                <w:b/>
                <w:color w:val="auto"/>
                <w:spacing w:val="-6"/>
                <w:kern w:val="2"/>
                <w:sz w:val="21"/>
                <w:szCs w:val="21"/>
                <w:highlight w:val="none"/>
                <w:lang w:val="en-US" w:eastAsia="zh-CN"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1.合同签订后一周内，成交供应商向采购人提交合同总价1%的履约保证金，履约保证金在合同履约期间无违约情形的，项目验收结束后，于一周内退还（不计息）；</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1.合同生效以及具备实施条件后7个工作日内，且供应商已向采购人提交银行、保险公司等金融机构出具的预付款保函的，采购人向供应商支付合同总价的40%；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2</w:t>
            </w:r>
            <w:r>
              <w:rPr>
                <w:rFonts w:hint="eastAsia"/>
                <w:color w:val="auto"/>
                <w:spacing w:val="-6"/>
                <w:kern w:val="0"/>
                <w:sz w:val="21"/>
                <w:szCs w:val="21"/>
                <w:highlight w:val="none"/>
              </w:rPr>
              <w:t>.在签订合同时，供应商明确表示无需预付款或者主动要求降低预付款比例的，可降低预付款比例（预付款保函同步调整）。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3</w:t>
            </w:r>
            <w:r>
              <w:rPr>
                <w:rFonts w:hint="eastAsia"/>
                <w:color w:val="auto"/>
                <w:spacing w:val="-6"/>
                <w:kern w:val="0"/>
                <w:sz w:val="21"/>
                <w:szCs w:val="21"/>
                <w:highlight w:val="none"/>
              </w:rPr>
              <w:t>.供应商明确表示无需预付款时，付款方式按以下要求执行：经采购人初步验收后5个工作日内，采购人向供应商支付合同总价的75%；供应商安装调试完毕并经采购人验收合格后，采购人向供应商支付合同总价的25%。</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4.</w:t>
            </w:r>
            <w:r>
              <w:rPr>
                <w:rFonts w:hint="eastAsia"/>
                <w:color w:val="auto"/>
                <w:spacing w:val="-6"/>
                <w:kern w:val="0"/>
                <w:sz w:val="21"/>
                <w:szCs w:val="21"/>
                <w:highlight w:val="none"/>
              </w:rPr>
              <w:t>成交方需提供增值税专用发票，开票信息如下：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3"/>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30"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color w:val="auto"/>
                <w:sz w:val="21"/>
                <w:szCs w:val="21"/>
                <w:highlight w:val="none"/>
                <w:lang w:eastAsia="zh-CN"/>
              </w:rPr>
              <w:t>自合同签订之日起90日历天内完成系统设计、开发、上线，通过初验后试运行30日历天，并通过终验。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1.质保期</w:t>
            </w:r>
            <w:r>
              <w:rPr>
                <w:rFonts w:hint="default"/>
                <w:color w:val="auto"/>
                <w:sz w:val="21"/>
                <w:szCs w:val="21"/>
                <w:highlight w:val="none"/>
              </w:rPr>
              <w:t>内</w:t>
            </w:r>
            <w:r>
              <w:rPr>
                <w:rFonts w:hint="eastAsia"/>
                <w:color w:val="auto"/>
                <w:sz w:val="21"/>
                <w:szCs w:val="21"/>
                <w:highlight w:val="none"/>
                <w:lang w:val="en-US" w:eastAsia="zh-CN"/>
              </w:rPr>
              <w:t>供应商应</w:t>
            </w:r>
            <w:r>
              <w:rPr>
                <w:rFonts w:hint="default"/>
                <w:color w:val="auto"/>
                <w:sz w:val="21"/>
                <w:szCs w:val="21"/>
                <w:highlight w:val="none"/>
              </w:rPr>
              <w:t>提供免费的售后服务，包括邮件、电话、远程维护、现场服务等方式。</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2.</w:t>
            </w:r>
            <w:r>
              <w:rPr>
                <w:rFonts w:hint="default"/>
                <w:color w:val="auto"/>
                <w:sz w:val="21"/>
                <w:szCs w:val="21"/>
                <w:highlight w:val="none"/>
              </w:rPr>
              <w:t>项目运维期间供应商应提供7*24小时技术服务，提供电话支持、远程维护、现场维护等多种服务方式。同时，为了保证售后服务质量，供应商应定期对项目的运行情况进行检查。</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default"/>
                <w:color w:val="auto"/>
                <w:sz w:val="21"/>
                <w:szCs w:val="21"/>
                <w:highlight w:val="none"/>
              </w:rPr>
              <w:t>服务响应时间</w:t>
            </w:r>
            <w:r>
              <w:rPr>
                <w:rFonts w:hint="eastAsia"/>
                <w:color w:val="auto"/>
                <w:sz w:val="21"/>
                <w:szCs w:val="21"/>
                <w:highlight w:val="none"/>
                <w:lang w:eastAsia="zh-CN"/>
              </w:rPr>
              <w:t>：</w:t>
            </w:r>
            <w:r>
              <w:rPr>
                <w:rFonts w:hint="default"/>
                <w:color w:val="auto"/>
                <w:sz w:val="21"/>
                <w:szCs w:val="21"/>
                <w:highlight w:val="none"/>
              </w:rPr>
              <w:t>在系统（设备）出现故障2小时内给予响应，如不能解决，在故障发生的2小时内，派技术人员到现场，6小时内解决问题。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.6供应商在响应文件中应提供安装调试计划、对安装场地和环境的要求。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5</w:t>
            </w:r>
            <w:r>
              <w:rPr>
                <w:rFonts w:hint="eastAsia"/>
                <w:color w:val="auto"/>
                <w:sz w:val="21"/>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6</w:t>
            </w:r>
            <w:r>
              <w:rPr>
                <w:rFonts w:hint="default"/>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上述内容的实现方式、时间、地点、人数应在响应文件中详细说明。</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r>
        <w:rPr>
          <w:rFonts w:hint="eastAsia"/>
          <w:color w:val="auto"/>
          <w:sz w:val="21"/>
          <w:szCs w:val="21"/>
          <w:highlight w:val="none"/>
        </w:rPr>
        <w:t>如技术要求中未注明需执行的国家相关标准、行业标准、地方标准或者其他标准、规范的，执行最新标准、规范。</w:t>
      </w:r>
    </w:p>
    <w:p>
      <w:pPr>
        <w:adjustRightInd w:val="0"/>
        <w:snapToGrid w:val="0"/>
        <w:spacing w:line="288" w:lineRule="auto"/>
        <w:rPr>
          <w:rFonts w:hint="eastAsia"/>
          <w:b/>
          <w:bCs/>
          <w:color w:val="auto"/>
          <w:sz w:val="21"/>
          <w:szCs w:val="21"/>
          <w:highlight w:val="none"/>
        </w:rPr>
      </w:pPr>
      <w:r>
        <w:rPr>
          <w:b/>
          <w:bCs/>
          <w:color w:val="auto"/>
          <w:sz w:val="21"/>
          <w:szCs w:val="21"/>
          <w:highlight w:val="none"/>
        </w:rPr>
        <w:t>2</w:t>
      </w:r>
      <w:r>
        <w:rPr>
          <w:rFonts w:hint="eastAsia"/>
          <w:b/>
          <w:bCs/>
          <w:color w:val="auto"/>
          <w:sz w:val="21"/>
          <w:szCs w:val="21"/>
          <w:highlight w:val="none"/>
        </w:rPr>
        <w:t>.需实现的功能或者目标：</w:t>
      </w:r>
    </w:p>
    <w:p>
      <w:pPr>
        <w:adjustRightInd w:val="0"/>
        <w:snapToGrid w:val="0"/>
        <w:spacing w:line="288" w:lineRule="auto"/>
        <w:ind w:firstLine="422" w:firstLineChars="200"/>
        <w:rPr>
          <w:rFonts w:hint="eastAsia" w:eastAsia="宋体" w:cs="Times New Roman"/>
          <w:b/>
          <w:bCs/>
          <w:color w:val="auto"/>
          <w:sz w:val="21"/>
          <w:szCs w:val="21"/>
          <w:highlight w:val="none"/>
          <w:lang w:eastAsia="zh-CN"/>
        </w:rPr>
      </w:pPr>
      <w:r>
        <w:rPr>
          <w:rFonts w:hint="eastAsia" w:cs="Times New Roman"/>
          <w:b/>
          <w:bCs/>
          <w:color w:val="auto"/>
          <w:sz w:val="21"/>
          <w:szCs w:val="21"/>
          <w:highlight w:val="none"/>
          <w:lang w:val="en-US" w:eastAsia="zh-CN"/>
        </w:rPr>
        <w:t xml:space="preserve">2.1 </w:t>
      </w:r>
      <w:r>
        <w:rPr>
          <w:rFonts w:hint="eastAsia" w:cs="Times New Roman"/>
          <w:b/>
          <w:bCs/>
          <w:color w:val="auto"/>
          <w:sz w:val="21"/>
          <w:szCs w:val="21"/>
          <w:highlight w:val="none"/>
        </w:rPr>
        <w:t>项目背景</w:t>
      </w:r>
      <w:r>
        <w:rPr>
          <w:rFonts w:hint="eastAsia" w:cs="Times New Roman"/>
          <w:b/>
          <w:bCs/>
          <w:color w:val="auto"/>
          <w:sz w:val="21"/>
          <w:szCs w:val="21"/>
          <w:highlight w:val="none"/>
          <w:lang w:eastAsia="zh-CN"/>
        </w:rPr>
        <w:t>：</w:t>
      </w:r>
    </w:p>
    <w:p>
      <w:pPr>
        <w:adjustRightInd w:val="0"/>
        <w:snapToGrid w:val="0"/>
        <w:spacing w:line="288" w:lineRule="auto"/>
        <w:ind w:firstLine="420" w:firstLineChars="200"/>
        <w:rPr>
          <w:rFonts w:hint="eastAsia" w:cs="Times New Roman"/>
          <w:b w:val="0"/>
          <w:bCs w:val="0"/>
          <w:color w:val="auto"/>
          <w:sz w:val="21"/>
          <w:szCs w:val="21"/>
          <w:highlight w:val="none"/>
        </w:rPr>
      </w:pPr>
      <w:r>
        <w:rPr>
          <w:rFonts w:hint="eastAsia" w:cs="Times New Roman"/>
          <w:b w:val="0"/>
          <w:bCs w:val="0"/>
          <w:color w:val="auto"/>
          <w:sz w:val="21"/>
          <w:szCs w:val="21"/>
          <w:highlight w:val="none"/>
        </w:rPr>
        <w:t>随着科技的快速发展和信息化时代的到来，科创教育（科学创新教育）在培养未来创新型人才、推动科学研究和技术创新方面发挥着关键作用。近年来余杭区在教育局、高校、各中小学、企业等多方协同努力下，逐步形成具有余杭特色的“全域覆盖、递进实施、三强发力、推波助澜”的区域科创教育体系。然而，目前在推进科创教育工作进程中任然面临着一些挑战，包括资源分配不均、信息滞后以及评价标准不统一等问题。基于以上背景，余杭区即将启动“余杭科创教育数字化平台建设”项目，旨在搭建“互联网+”科创教育在线社区平台，整合和提供科创教育资源，推动数字化区域科创教育生态系统的发展。</w:t>
      </w:r>
    </w:p>
    <w:p>
      <w:pPr>
        <w:adjustRightInd w:val="0"/>
        <w:snapToGrid w:val="0"/>
        <w:spacing w:line="288" w:lineRule="auto"/>
        <w:ind w:firstLine="422" w:firstLineChars="200"/>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2.2 项目目标：</w:t>
      </w:r>
    </w:p>
    <w:p>
      <w:pPr>
        <w:adjustRightInd w:val="0"/>
        <w:snapToGrid w:val="0"/>
        <w:spacing w:line="288" w:lineRule="auto"/>
        <w:ind w:firstLine="420" w:firstLineChars="200"/>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（1）统筹科创教育管理与发展规划：</w:t>
      </w:r>
    </w:p>
    <w:p>
      <w:pPr>
        <w:adjustRightInd w:val="0"/>
        <w:snapToGrid w:val="0"/>
        <w:spacing w:line="288" w:lineRule="auto"/>
        <w:ind w:firstLine="420" w:firstLineChars="200"/>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余杭科创教育数字化平台将统筹区域内各类科创教育资源，实现区域内资源整合和共享。构建起能够服务于全区学校、教师和学生等多主体的科创教育平台，提供多样化的教育和培训机会。扩大科创教育课程覆盖范围，突破校域限制，加快区域科创教育整体发展进程。制定严格的数据安全政策和隐私保护措施，确保学生和教师的数据安全。</w:t>
      </w:r>
    </w:p>
    <w:p>
      <w:pPr>
        <w:adjustRightInd w:val="0"/>
        <w:snapToGrid w:val="0"/>
        <w:spacing w:line="288" w:lineRule="auto"/>
        <w:ind w:firstLine="420" w:firstLineChars="200"/>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（2）规范科创教育信息发布与收集：</w:t>
      </w:r>
    </w:p>
    <w:p>
      <w:pPr>
        <w:adjustRightInd w:val="0"/>
        <w:snapToGrid w:val="0"/>
        <w:spacing w:line="288" w:lineRule="auto"/>
        <w:ind w:firstLine="420" w:firstLineChars="200"/>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通过搭建信息共享数字化平台，优化科创教育信息收集和发布共享流程，打破信息传播壁垒，实现高效的科创教育信息收集与共享。包括但不限于区内或市内科创教育相关的竞赛、展示交流、教师教研活动等信息发布。规范信息采集标准和流程，确保科创教育平台能够高效、准确地收集各类教育数据，包括学生表现、教师反馈、教育资源使用情况等，逐步形成区域科创教育大数据系统。</w:t>
      </w:r>
    </w:p>
    <w:p>
      <w:pPr>
        <w:adjustRightInd w:val="0"/>
        <w:snapToGrid w:val="0"/>
        <w:spacing w:line="288" w:lineRule="auto"/>
        <w:ind w:firstLine="420" w:firstLineChars="200"/>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（3）构建科创教育科学评价体系：</w:t>
      </w:r>
    </w:p>
    <w:p>
      <w:pPr>
        <w:adjustRightInd w:val="0"/>
        <w:snapToGrid w:val="0"/>
        <w:spacing w:line="288" w:lineRule="auto"/>
        <w:ind w:firstLine="420" w:firstLineChars="200"/>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通过制定标准化的科创教育质量评估和提升机制，以确保区内学校、教师和学生获得高质量的科创教育评价和反馈。在平台的跟踪、记录和评估的基础上，提供实时数据分析和报告。通过深入挖掘教育数据，洞察学生学习趋势、教学方法有效性和资源利用情况等，帮助教育工作者做出更加科学的教学决策以用来改进教育实践，不断改进科创教育课程和资源，以提高教育质量。</w:t>
      </w:r>
    </w:p>
    <w:p>
      <w:pPr>
        <w:adjustRightInd w:val="0"/>
        <w:snapToGrid w:val="0"/>
        <w:spacing w:line="288" w:lineRule="auto"/>
        <w:rPr>
          <w:rFonts w:hint="eastAsia"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余杭科创教育数字化平台需要分别面向科创教育基地的管理员、学校/基地教师及广大学生家长提供一套支持移动端、</w:t>
      </w:r>
      <w:r>
        <w:rPr>
          <w:rFonts w:hint="eastAsia" w:ascii="宋体" w:hAnsi="宋体" w:eastAsia="宋体" w:cs="宋体"/>
          <w:color w:val="auto"/>
          <w:sz w:val="21"/>
          <w:szCs w:val="21"/>
          <w:highlight w:val="none"/>
          <w:lang w:eastAsia="zh-CN"/>
        </w:rPr>
        <w:t>web端</w:t>
      </w:r>
      <w:r>
        <w:rPr>
          <w:rFonts w:hint="eastAsia" w:ascii="宋体" w:hAnsi="宋体" w:eastAsia="宋体" w:cs="宋体"/>
          <w:color w:val="auto"/>
          <w:sz w:val="21"/>
          <w:szCs w:val="21"/>
          <w:highlight w:val="none"/>
        </w:rPr>
        <w:t>的数字化系统平台。该平台支持管理员在后台进行课程、活动发布与管理，支持教师的课程管理相关功能，支持学生家长在平台上进行报名选课、上课、课后作业发布等操作。具体需求如下：</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3.1移动端系统功能</w:t>
      </w:r>
      <w:r>
        <w:rPr>
          <w:rFonts w:hint="eastAsia" w:cs="宋体"/>
          <w:b/>
          <w:bCs/>
          <w:color w:val="auto"/>
          <w:kern w:val="2"/>
          <w:sz w:val="21"/>
          <w:szCs w:val="21"/>
          <w:highlight w:val="none"/>
          <w:lang w:val="en-US" w:eastAsia="zh-CN" w:bidi="ar-SA"/>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8"/>
          <w:highlight w:val="none"/>
          <w:lang w:val="en-US" w:eastAsia="zh-CN" w:bidi="ar-SA"/>
        </w:rPr>
      </w:pPr>
      <w:r>
        <w:rPr>
          <w:rFonts w:hint="eastAsia" w:ascii="宋体" w:hAnsi="宋体" w:eastAsia="宋体" w:cs="宋体"/>
          <w:b/>
          <w:bCs/>
          <w:color w:val="auto"/>
          <w:kern w:val="2"/>
          <w:sz w:val="21"/>
          <w:szCs w:val="28"/>
          <w:highlight w:val="none"/>
          <w:lang w:val="en-US" w:eastAsia="zh-CN" w:bidi="ar-SA"/>
        </w:rPr>
        <w:t>3.1.1</w:t>
      </w:r>
      <w:r>
        <w:rPr>
          <w:rFonts w:hint="eastAsia" w:cs="宋体"/>
          <w:b/>
          <w:bCs/>
          <w:color w:val="auto"/>
          <w:kern w:val="2"/>
          <w:sz w:val="21"/>
          <w:szCs w:val="28"/>
          <w:highlight w:val="none"/>
          <w:lang w:val="en-US" w:eastAsia="zh-CN" w:bidi="ar-SA"/>
        </w:rPr>
        <w:t xml:space="preserve"> </w:t>
      </w:r>
      <w:r>
        <w:rPr>
          <w:rFonts w:hint="eastAsia" w:ascii="宋体" w:hAnsi="宋体" w:eastAsia="宋体" w:cs="宋体"/>
          <w:b/>
          <w:bCs/>
          <w:color w:val="auto"/>
          <w:kern w:val="2"/>
          <w:sz w:val="21"/>
          <w:szCs w:val="28"/>
          <w:highlight w:val="none"/>
          <w:lang w:val="en-US" w:eastAsia="zh-CN" w:bidi="ar-SA"/>
        </w:rPr>
        <w:t>个人空间</w:t>
      </w:r>
      <w:r>
        <w:rPr>
          <w:rFonts w:hint="eastAsia" w:cs="宋体"/>
          <w:b/>
          <w:bCs/>
          <w:color w:val="auto"/>
          <w:kern w:val="2"/>
          <w:sz w:val="21"/>
          <w:szCs w:val="28"/>
          <w:highlight w:val="none"/>
          <w:lang w:val="en-US" w:eastAsia="zh-CN" w:bidi="ar-SA"/>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1</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用户登录</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支持用户在移动端进行账号密码登录。</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2</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用户注册</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支持用户在移动端/进行账号注册及相关信息设置。</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3</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个人信息查看</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支持用户查看个人信息，包括基本信息、账号信息等。</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4</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我的消息</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支持用户在移动端/查看消息，包括课程类消息、账号类消息及活动类消息。</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8"/>
          <w:highlight w:val="none"/>
          <w:lang w:val="en-US" w:eastAsia="zh-CN" w:bidi="ar-SA"/>
        </w:rPr>
      </w:pPr>
      <w:r>
        <w:rPr>
          <w:rFonts w:hint="eastAsia" w:ascii="宋体" w:hAnsi="宋体" w:eastAsia="宋体" w:cs="宋体"/>
          <w:b/>
          <w:bCs/>
          <w:color w:val="auto"/>
          <w:kern w:val="2"/>
          <w:sz w:val="21"/>
          <w:szCs w:val="28"/>
          <w:highlight w:val="none"/>
          <w:lang w:val="en-US" w:eastAsia="zh-CN" w:bidi="ar-SA"/>
        </w:rPr>
        <w:t>3.1.2</w:t>
      </w:r>
      <w:r>
        <w:rPr>
          <w:rFonts w:hint="eastAsia" w:cs="宋体"/>
          <w:b/>
          <w:bCs/>
          <w:color w:val="auto"/>
          <w:kern w:val="2"/>
          <w:sz w:val="21"/>
          <w:szCs w:val="28"/>
          <w:highlight w:val="none"/>
          <w:lang w:val="en-US" w:eastAsia="zh-CN" w:bidi="ar-SA"/>
        </w:rPr>
        <w:t xml:space="preserve"> </w:t>
      </w:r>
      <w:r>
        <w:rPr>
          <w:rFonts w:hint="eastAsia" w:ascii="宋体" w:hAnsi="宋体" w:eastAsia="宋体" w:cs="宋体"/>
          <w:b/>
          <w:bCs/>
          <w:color w:val="auto"/>
          <w:kern w:val="2"/>
          <w:sz w:val="21"/>
          <w:szCs w:val="28"/>
          <w:highlight w:val="none"/>
          <w:lang w:val="en-US" w:eastAsia="zh-CN" w:bidi="ar-SA"/>
        </w:rPr>
        <w:t>课程查询</w:t>
      </w:r>
      <w:r>
        <w:rPr>
          <w:rFonts w:hint="eastAsia" w:cs="宋体"/>
          <w:b/>
          <w:bCs/>
          <w:color w:val="auto"/>
          <w:kern w:val="2"/>
          <w:sz w:val="21"/>
          <w:szCs w:val="28"/>
          <w:highlight w:val="none"/>
          <w:lang w:val="en-US" w:eastAsia="zh-CN" w:bidi="ar-SA"/>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1</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信息公告栏</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支持在页面上进行对近期课程、活动的轮播图展示，点击后可跳转对应课程、活动详情页。</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cs="宋体"/>
          <w:b/>
          <w:bCs/>
          <w:color w:val="auto"/>
          <w:sz w:val="21"/>
          <w:szCs w:val="21"/>
          <w:highlight w:val="none"/>
          <w:lang w:eastAsia="zh-CN"/>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2</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课程列表</w:t>
      </w:r>
      <w:r>
        <w:rPr>
          <w:rFonts w:hint="eastAsia" w:cs="宋体"/>
          <w:b/>
          <w:bCs/>
          <w:color w:val="auto"/>
          <w:sz w:val="21"/>
          <w:szCs w:val="21"/>
          <w:highlight w:val="none"/>
          <w:lang w:eastAsia="zh-CN"/>
        </w:rPr>
        <w:t>：</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sz w:val="21"/>
          <w:szCs w:val="21"/>
          <w:highlight w:val="none"/>
        </w:rPr>
      </w:pPr>
      <w:r>
        <w:rPr>
          <w:rFonts w:hint="eastAsia"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支持用户在我的课程中查看学生课程情况：包括学生成绩、提交作业及课堂表现；支持查看课程详情；支持查看课程留言：包括留言编辑及留言回复。</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sz w:val="21"/>
          <w:szCs w:val="21"/>
          <w:highlight w:val="none"/>
        </w:rPr>
      </w:pPr>
      <w:r>
        <w:rPr>
          <w:rFonts w:hint="eastAsia"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支持查看课程报名状态及对报名进行取消等操作。</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3</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活动列表</w:t>
      </w:r>
      <w:r>
        <w:rPr>
          <w:rFonts w:hint="eastAsia" w:cs="宋体"/>
          <w:b/>
          <w:bCs/>
          <w:color w:val="auto"/>
          <w:sz w:val="21"/>
          <w:szCs w:val="21"/>
          <w:highlight w:val="none"/>
          <w:lang w:eastAsia="zh-CN"/>
        </w:rPr>
        <w:t>：</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支持展示交流活动的我要报名及课程详情功能，其中我要报名功能包括报名状态查询及报名取消等操作。</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支持竞赛活动的竞赛活动详情功能；支持竞赛活动成果展示功能：包括竞赛活动成果补充上传等操作。</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3.2</w:t>
      </w:r>
      <w:r>
        <w:rPr>
          <w:rFonts w:hint="eastAsia" w:cs="宋体"/>
          <w:b/>
          <w:bCs/>
          <w:color w:val="auto"/>
          <w:kern w:val="2"/>
          <w:sz w:val="21"/>
          <w:szCs w:val="21"/>
          <w:highlight w:val="none"/>
          <w:lang w:val="en-US" w:eastAsia="zh-CN" w:bidi="ar-SA"/>
        </w:rPr>
        <w:t xml:space="preserve"> </w:t>
      </w:r>
      <w:r>
        <w:rPr>
          <w:rFonts w:hint="eastAsia" w:ascii="宋体" w:hAnsi="宋体" w:eastAsia="宋体" w:cs="宋体"/>
          <w:b/>
          <w:bCs/>
          <w:color w:val="auto"/>
          <w:kern w:val="2"/>
          <w:sz w:val="21"/>
          <w:szCs w:val="21"/>
          <w:highlight w:val="none"/>
          <w:lang w:val="en-US" w:eastAsia="zh-CN" w:bidi="ar-SA"/>
        </w:rPr>
        <w:t>Web端系统功能</w:t>
      </w:r>
      <w:r>
        <w:rPr>
          <w:rFonts w:hint="eastAsia" w:cs="宋体"/>
          <w:b/>
          <w:bCs/>
          <w:color w:val="auto"/>
          <w:kern w:val="2"/>
          <w:sz w:val="21"/>
          <w:szCs w:val="21"/>
          <w:highlight w:val="none"/>
          <w:lang w:val="en-US" w:eastAsia="zh-CN" w:bidi="ar-SA"/>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8"/>
          <w:highlight w:val="none"/>
          <w:lang w:val="en-US" w:eastAsia="zh-CN" w:bidi="ar-SA"/>
        </w:rPr>
      </w:pPr>
      <w:r>
        <w:rPr>
          <w:rFonts w:hint="eastAsia" w:ascii="宋体" w:hAnsi="宋体" w:eastAsia="宋体" w:cs="宋体"/>
          <w:b/>
          <w:bCs/>
          <w:color w:val="auto"/>
          <w:kern w:val="2"/>
          <w:sz w:val="21"/>
          <w:szCs w:val="28"/>
          <w:highlight w:val="none"/>
          <w:lang w:val="en-US" w:eastAsia="zh-CN" w:bidi="ar-SA"/>
        </w:rPr>
        <w:t>3.2.1</w:t>
      </w:r>
      <w:r>
        <w:rPr>
          <w:rFonts w:hint="eastAsia" w:cs="宋体"/>
          <w:b/>
          <w:bCs/>
          <w:color w:val="auto"/>
          <w:kern w:val="2"/>
          <w:sz w:val="21"/>
          <w:szCs w:val="28"/>
          <w:highlight w:val="none"/>
          <w:lang w:val="en-US" w:eastAsia="zh-CN" w:bidi="ar-SA"/>
        </w:rPr>
        <w:t xml:space="preserve"> </w:t>
      </w:r>
      <w:r>
        <w:rPr>
          <w:rFonts w:hint="eastAsia" w:ascii="宋体" w:hAnsi="宋体" w:eastAsia="宋体" w:cs="宋体"/>
          <w:b/>
          <w:bCs/>
          <w:color w:val="auto"/>
          <w:kern w:val="2"/>
          <w:sz w:val="21"/>
          <w:szCs w:val="28"/>
          <w:highlight w:val="none"/>
          <w:lang w:val="en-US" w:eastAsia="zh-CN" w:bidi="ar-SA"/>
        </w:rPr>
        <w:t>课程管理</w:t>
      </w:r>
      <w:r>
        <w:rPr>
          <w:rFonts w:hint="eastAsia" w:cs="宋体"/>
          <w:b/>
          <w:bCs/>
          <w:color w:val="auto"/>
          <w:kern w:val="2"/>
          <w:sz w:val="21"/>
          <w:szCs w:val="28"/>
          <w:highlight w:val="none"/>
          <w:lang w:val="en-US" w:eastAsia="zh-CN" w:bidi="ar-SA"/>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1</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课程操作</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支持对课程进行课程发布、课程修改、课程删除、课程新增等操作。</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2</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课程列表</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支持课程信息查看及条件筛选器。</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3</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教师关联</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支持教师课程关联等操作。</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lang w:eastAsia="zh-CN"/>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4</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课程详情</w:t>
      </w:r>
      <w:r>
        <w:rPr>
          <w:rFonts w:hint="eastAsia" w:cs="宋体"/>
          <w:b/>
          <w:bCs/>
          <w:color w:val="auto"/>
          <w:sz w:val="21"/>
          <w:szCs w:val="21"/>
          <w:highlight w:val="none"/>
          <w:lang w:eastAsia="zh-CN"/>
        </w:rPr>
        <w:t>：</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通过课次列表页跳转到每次课的上课情况，支持对上课过程进行管理：包括上课签到、作业布置、学生课程表现标记、学生作业查询、学生课堂打分等操作。</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支持查询学生的上课情况总览、课程总成绩评分等。</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支持公告查询及公告发布</w:t>
      </w:r>
      <w:r>
        <w:rPr>
          <w:rFonts w:hint="eastAsia" w:cs="宋体"/>
          <w:color w:val="auto"/>
          <w:sz w:val="21"/>
          <w:szCs w:val="21"/>
          <w:highlight w:val="none"/>
          <w:lang w:eastAsia="zh-CN"/>
        </w:rPr>
        <w:t>。</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rPr>
        <w:t>支持课程资源上传、课程资源查询及课程资源的多媒体展示功能。</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5）</w:t>
      </w:r>
      <w:r>
        <w:rPr>
          <w:rFonts w:hint="eastAsia" w:ascii="宋体" w:hAnsi="宋体" w:eastAsia="宋体" w:cs="宋体"/>
          <w:color w:val="auto"/>
          <w:sz w:val="21"/>
          <w:szCs w:val="21"/>
          <w:highlight w:val="none"/>
        </w:rPr>
        <w:t>支持查看报名学生管理操作：包括学生检索、学生标签过滤、学生摇号等操作；支持待课学生管理操作：包括学生确认并通知、支付状态查询等操作。</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8"/>
          <w:highlight w:val="none"/>
          <w:lang w:val="en-US" w:eastAsia="zh-CN" w:bidi="ar-SA"/>
        </w:rPr>
      </w:pPr>
      <w:r>
        <w:rPr>
          <w:rFonts w:hint="eastAsia" w:ascii="宋体" w:hAnsi="宋体" w:eastAsia="宋体" w:cs="宋体"/>
          <w:b/>
          <w:bCs/>
          <w:color w:val="auto"/>
          <w:kern w:val="2"/>
          <w:sz w:val="21"/>
          <w:szCs w:val="28"/>
          <w:highlight w:val="none"/>
          <w:lang w:val="en-US" w:eastAsia="zh-CN" w:bidi="ar-SA"/>
        </w:rPr>
        <w:t>3.2.2</w:t>
      </w:r>
      <w:r>
        <w:rPr>
          <w:rFonts w:hint="eastAsia" w:cs="宋体"/>
          <w:b/>
          <w:bCs/>
          <w:color w:val="auto"/>
          <w:kern w:val="2"/>
          <w:sz w:val="21"/>
          <w:szCs w:val="28"/>
          <w:highlight w:val="none"/>
          <w:lang w:val="en-US" w:eastAsia="zh-CN" w:bidi="ar-SA"/>
        </w:rPr>
        <w:t xml:space="preserve"> </w:t>
      </w:r>
      <w:r>
        <w:rPr>
          <w:rFonts w:hint="eastAsia" w:ascii="宋体" w:hAnsi="宋体" w:eastAsia="宋体" w:cs="宋体"/>
          <w:b/>
          <w:bCs/>
          <w:color w:val="auto"/>
          <w:kern w:val="2"/>
          <w:sz w:val="21"/>
          <w:szCs w:val="28"/>
          <w:highlight w:val="none"/>
          <w:lang w:val="en-US" w:eastAsia="zh-CN" w:bidi="ar-SA"/>
        </w:rPr>
        <w:t>活动管理</w:t>
      </w:r>
      <w:r>
        <w:rPr>
          <w:rFonts w:hint="eastAsia" w:cs="宋体"/>
          <w:b/>
          <w:bCs/>
          <w:color w:val="auto"/>
          <w:kern w:val="2"/>
          <w:sz w:val="21"/>
          <w:szCs w:val="28"/>
          <w:highlight w:val="none"/>
          <w:lang w:val="en-US" w:eastAsia="zh-CN" w:bidi="ar-SA"/>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lang w:eastAsia="zh-CN"/>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1</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展示交流活动管理</w:t>
      </w:r>
      <w:r>
        <w:rPr>
          <w:rFonts w:hint="eastAsia" w:cs="宋体"/>
          <w:b/>
          <w:bCs/>
          <w:color w:val="auto"/>
          <w:sz w:val="21"/>
          <w:szCs w:val="21"/>
          <w:highlight w:val="none"/>
          <w:lang w:eastAsia="zh-CN"/>
        </w:rPr>
        <w:t>：</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支持查看展示交流活动详情功能：包括学校报名纵览、学生报名纵览等操作；支持展示交流活动多条件筛选查询功能；支持学校后台报名功能。</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支持活动发布、活动编辑、活动删除等操作</w:t>
      </w: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提供证明材料</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lang w:eastAsia="zh-CN"/>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2</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培训活动管理</w:t>
      </w:r>
      <w:r>
        <w:rPr>
          <w:rFonts w:hint="eastAsia" w:cs="宋体"/>
          <w:b/>
          <w:bCs/>
          <w:color w:val="auto"/>
          <w:sz w:val="21"/>
          <w:szCs w:val="21"/>
          <w:highlight w:val="none"/>
          <w:lang w:eastAsia="zh-CN"/>
        </w:rPr>
        <w:t>：</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支持查看培训活动详情功能；支持培训教师添加功能：包括手动添加、批量导入、导入模版下载等操作。</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支持活动发布、活动编辑、活动删除等操作。</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lang w:eastAsia="zh-CN"/>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3</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竞赛活动管理</w:t>
      </w:r>
      <w:r>
        <w:rPr>
          <w:rFonts w:hint="eastAsia" w:cs="宋体"/>
          <w:b/>
          <w:bCs/>
          <w:color w:val="auto"/>
          <w:sz w:val="21"/>
          <w:szCs w:val="21"/>
          <w:highlight w:val="none"/>
          <w:lang w:eastAsia="zh-CN"/>
        </w:rPr>
        <w:t>：</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支持竞赛活动报名功能：包括报名状态查询、后台立即报名等操作；支持队伍管理功能：包括队伍新增、队伍编辑、学生关联、教师关联等；支持竞赛活动详情查询功能：包括查看报名队伍列表、查看竞赛活动结果、竞赛相关奖项管理等。</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支持活动发布、活动编辑、活动删除等操作；支持对报名方式的相关设置：包括开放学校学校报名、后台管理员添加报名队伍等。</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8"/>
          <w:highlight w:val="none"/>
          <w:lang w:val="en-US" w:eastAsia="zh-CN" w:bidi="ar-SA"/>
        </w:rPr>
      </w:pPr>
      <w:r>
        <w:rPr>
          <w:rFonts w:hint="eastAsia" w:ascii="宋体" w:hAnsi="宋体" w:eastAsia="宋体" w:cs="宋体"/>
          <w:b/>
          <w:bCs/>
          <w:color w:val="auto"/>
          <w:kern w:val="2"/>
          <w:sz w:val="21"/>
          <w:szCs w:val="28"/>
          <w:highlight w:val="none"/>
          <w:lang w:val="en-US" w:eastAsia="zh-CN" w:bidi="ar-SA"/>
        </w:rPr>
        <w:t>3.2.3</w:t>
      </w:r>
      <w:r>
        <w:rPr>
          <w:rFonts w:hint="eastAsia" w:cs="宋体"/>
          <w:b/>
          <w:bCs/>
          <w:color w:val="auto"/>
          <w:kern w:val="2"/>
          <w:sz w:val="21"/>
          <w:szCs w:val="28"/>
          <w:highlight w:val="none"/>
          <w:lang w:val="en-US" w:eastAsia="zh-CN" w:bidi="ar-SA"/>
        </w:rPr>
        <w:t xml:space="preserve"> </w:t>
      </w:r>
      <w:r>
        <w:rPr>
          <w:rFonts w:hint="eastAsia" w:ascii="宋体" w:hAnsi="宋体" w:eastAsia="宋体" w:cs="宋体"/>
          <w:b/>
          <w:bCs/>
          <w:color w:val="auto"/>
          <w:kern w:val="2"/>
          <w:sz w:val="21"/>
          <w:szCs w:val="28"/>
          <w:highlight w:val="none"/>
          <w:lang w:val="en-US" w:eastAsia="zh-CN" w:bidi="ar-SA"/>
        </w:rPr>
        <w:t>学校管理</w:t>
      </w:r>
      <w:r>
        <w:rPr>
          <w:rFonts w:hint="eastAsia" w:cs="宋体"/>
          <w:b/>
          <w:bCs/>
          <w:color w:val="auto"/>
          <w:kern w:val="2"/>
          <w:sz w:val="21"/>
          <w:szCs w:val="28"/>
          <w:highlight w:val="none"/>
          <w:lang w:val="en-US" w:eastAsia="zh-CN" w:bidi="ar-SA"/>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1</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学校列表</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支持学校列表查询及条件检索。</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学校</w:t>
      </w:r>
      <w:r>
        <w:rPr>
          <w:rFonts w:hint="eastAsia" w:ascii="宋体" w:hAnsi="宋体" w:eastAsia="宋体" w:cs="宋体"/>
          <w:b/>
          <w:bCs/>
          <w:color w:val="auto"/>
          <w:sz w:val="21"/>
          <w:szCs w:val="21"/>
          <w:highlight w:val="none"/>
        </w:rPr>
        <w:t>管理</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支持对学校组织的新建、修改、删除等；支持教师与学校的关联操作</w:t>
      </w: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提供证明材料</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班级</w:t>
      </w:r>
      <w:r>
        <w:rPr>
          <w:rFonts w:hint="eastAsia" w:ascii="宋体" w:hAnsi="宋体" w:eastAsia="宋体" w:cs="宋体"/>
          <w:b/>
          <w:bCs/>
          <w:color w:val="auto"/>
          <w:sz w:val="21"/>
          <w:szCs w:val="21"/>
          <w:highlight w:val="none"/>
        </w:rPr>
        <w:t>管理</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支持对学校组织</w:t>
      </w:r>
      <w:r>
        <w:rPr>
          <w:rFonts w:hint="eastAsia" w:ascii="宋体" w:hAnsi="宋体" w:eastAsia="宋体" w:cs="宋体"/>
          <w:color w:val="auto"/>
          <w:sz w:val="21"/>
          <w:szCs w:val="21"/>
          <w:highlight w:val="none"/>
          <w:lang w:val="en-US" w:eastAsia="zh-CN"/>
        </w:rPr>
        <w:t>下的班级进行</w:t>
      </w:r>
      <w:r>
        <w:rPr>
          <w:rFonts w:hint="eastAsia" w:ascii="宋体" w:hAnsi="宋体" w:eastAsia="宋体" w:cs="宋体"/>
          <w:color w:val="auto"/>
          <w:sz w:val="21"/>
          <w:szCs w:val="21"/>
          <w:highlight w:val="none"/>
        </w:rPr>
        <w:t>新建、修改、删除等；支持</w:t>
      </w:r>
      <w:r>
        <w:rPr>
          <w:rFonts w:hint="eastAsia" w:ascii="宋体" w:hAnsi="宋体" w:eastAsia="宋体" w:cs="宋体"/>
          <w:color w:val="auto"/>
          <w:sz w:val="21"/>
          <w:szCs w:val="21"/>
          <w:highlight w:val="none"/>
          <w:lang w:val="en-US" w:eastAsia="zh-CN"/>
        </w:rPr>
        <w:t>班级</w:t>
      </w:r>
      <w:r>
        <w:rPr>
          <w:rFonts w:hint="eastAsia" w:ascii="宋体" w:hAnsi="宋体" w:eastAsia="宋体" w:cs="宋体"/>
          <w:color w:val="auto"/>
          <w:sz w:val="21"/>
          <w:szCs w:val="21"/>
          <w:highlight w:val="none"/>
        </w:rPr>
        <w:t>与</w:t>
      </w:r>
      <w:r>
        <w:rPr>
          <w:rFonts w:hint="eastAsia" w:ascii="宋体" w:hAnsi="宋体" w:eastAsia="宋体" w:cs="宋体"/>
          <w:color w:val="auto"/>
          <w:sz w:val="21"/>
          <w:szCs w:val="21"/>
          <w:highlight w:val="none"/>
          <w:lang w:val="en-US" w:eastAsia="zh-CN"/>
        </w:rPr>
        <w:t>学生</w:t>
      </w:r>
      <w:r>
        <w:rPr>
          <w:rFonts w:hint="eastAsia" w:ascii="宋体" w:hAnsi="宋体" w:eastAsia="宋体" w:cs="宋体"/>
          <w:color w:val="auto"/>
          <w:sz w:val="21"/>
          <w:szCs w:val="21"/>
          <w:highlight w:val="none"/>
        </w:rPr>
        <w:t>的关联操作。</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val="en-US" w:eastAsia="zh-CN"/>
        </w:rPr>
        <w:t>（4）</w:t>
      </w:r>
      <w:r>
        <w:rPr>
          <w:rFonts w:hint="eastAsia" w:ascii="宋体" w:hAnsi="宋体" w:eastAsia="宋体" w:cs="宋体"/>
          <w:b/>
          <w:bCs/>
          <w:color w:val="auto"/>
          <w:sz w:val="21"/>
          <w:szCs w:val="21"/>
          <w:highlight w:val="none"/>
          <w:lang w:val="en-US" w:eastAsia="zh-CN"/>
        </w:rPr>
        <w:t>教师</w:t>
      </w:r>
      <w:r>
        <w:rPr>
          <w:rFonts w:hint="eastAsia" w:ascii="宋体" w:hAnsi="宋体" w:eastAsia="宋体" w:cs="宋体"/>
          <w:b/>
          <w:bCs/>
          <w:color w:val="auto"/>
          <w:sz w:val="21"/>
          <w:szCs w:val="21"/>
          <w:highlight w:val="none"/>
        </w:rPr>
        <w:t>管理</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支持对学校组织</w:t>
      </w:r>
      <w:r>
        <w:rPr>
          <w:rFonts w:hint="eastAsia" w:ascii="宋体" w:hAnsi="宋体" w:eastAsia="宋体" w:cs="宋体"/>
          <w:color w:val="auto"/>
          <w:sz w:val="21"/>
          <w:szCs w:val="21"/>
          <w:highlight w:val="none"/>
          <w:lang w:val="en-US" w:eastAsia="zh-CN"/>
        </w:rPr>
        <w:t>下的教师进行</w:t>
      </w:r>
      <w:r>
        <w:rPr>
          <w:rFonts w:hint="eastAsia" w:ascii="宋体" w:hAnsi="宋体" w:eastAsia="宋体" w:cs="宋体"/>
          <w:color w:val="auto"/>
          <w:sz w:val="21"/>
          <w:szCs w:val="21"/>
          <w:highlight w:val="none"/>
        </w:rPr>
        <w:t>新建、修改、删除等；支持</w:t>
      </w:r>
      <w:r>
        <w:rPr>
          <w:rFonts w:hint="eastAsia" w:ascii="宋体" w:hAnsi="宋体" w:eastAsia="宋体" w:cs="宋体"/>
          <w:color w:val="auto"/>
          <w:sz w:val="21"/>
          <w:szCs w:val="21"/>
          <w:highlight w:val="none"/>
          <w:lang w:val="en-US" w:eastAsia="zh-CN"/>
        </w:rPr>
        <w:t>教师</w:t>
      </w:r>
      <w:r>
        <w:rPr>
          <w:rFonts w:hint="eastAsia" w:ascii="宋体" w:hAnsi="宋体" w:eastAsia="宋体" w:cs="宋体"/>
          <w:color w:val="auto"/>
          <w:sz w:val="21"/>
          <w:szCs w:val="21"/>
          <w:highlight w:val="none"/>
        </w:rPr>
        <w:t>与</w:t>
      </w:r>
      <w:r>
        <w:rPr>
          <w:rFonts w:hint="eastAsia" w:ascii="宋体" w:hAnsi="宋体" w:eastAsia="宋体" w:cs="宋体"/>
          <w:color w:val="auto"/>
          <w:sz w:val="21"/>
          <w:szCs w:val="21"/>
          <w:highlight w:val="none"/>
          <w:lang w:val="en-US" w:eastAsia="zh-CN"/>
        </w:rPr>
        <w:t>班级</w:t>
      </w:r>
      <w:r>
        <w:rPr>
          <w:rFonts w:hint="eastAsia" w:ascii="宋体" w:hAnsi="宋体" w:eastAsia="宋体" w:cs="宋体"/>
          <w:color w:val="auto"/>
          <w:sz w:val="21"/>
          <w:szCs w:val="21"/>
          <w:highlight w:val="none"/>
        </w:rPr>
        <w:t>的关联操作。</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8"/>
          <w:highlight w:val="none"/>
          <w:lang w:val="en-US" w:eastAsia="zh-CN" w:bidi="ar-SA"/>
        </w:rPr>
      </w:pPr>
      <w:r>
        <w:rPr>
          <w:rFonts w:hint="eastAsia" w:ascii="宋体" w:hAnsi="宋体" w:eastAsia="宋体" w:cs="宋体"/>
          <w:b/>
          <w:bCs/>
          <w:color w:val="auto"/>
          <w:kern w:val="2"/>
          <w:sz w:val="21"/>
          <w:szCs w:val="28"/>
          <w:highlight w:val="none"/>
          <w:lang w:val="en-US" w:eastAsia="zh-CN" w:bidi="ar-SA"/>
        </w:rPr>
        <w:t>3.2.4</w:t>
      </w:r>
      <w:r>
        <w:rPr>
          <w:rFonts w:hint="eastAsia" w:cs="宋体"/>
          <w:b/>
          <w:bCs/>
          <w:color w:val="auto"/>
          <w:kern w:val="2"/>
          <w:sz w:val="21"/>
          <w:szCs w:val="28"/>
          <w:highlight w:val="none"/>
          <w:lang w:val="en-US" w:eastAsia="zh-CN" w:bidi="ar-SA"/>
        </w:rPr>
        <w:t xml:space="preserve"> </w:t>
      </w:r>
      <w:r>
        <w:rPr>
          <w:rFonts w:hint="eastAsia" w:ascii="宋体" w:hAnsi="宋体" w:eastAsia="宋体" w:cs="宋体"/>
          <w:b/>
          <w:bCs/>
          <w:color w:val="auto"/>
          <w:kern w:val="2"/>
          <w:sz w:val="21"/>
          <w:szCs w:val="28"/>
          <w:highlight w:val="none"/>
          <w:lang w:val="en-US" w:eastAsia="zh-CN" w:bidi="ar-SA"/>
        </w:rPr>
        <w:t>系统管理</w:t>
      </w:r>
      <w:r>
        <w:rPr>
          <w:rFonts w:hint="eastAsia" w:cs="宋体"/>
          <w:b/>
          <w:bCs/>
          <w:color w:val="auto"/>
          <w:kern w:val="2"/>
          <w:sz w:val="21"/>
          <w:szCs w:val="28"/>
          <w:highlight w:val="none"/>
          <w:lang w:val="en-US" w:eastAsia="zh-CN" w:bidi="ar-SA"/>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1</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人员管理</w:t>
      </w:r>
      <w:r>
        <w:rPr>
          <w:rFonts w:hint="eastAsia" w:cs="宋体"/>
          <w:b/>
          <w:bCs/>
          <w:color w:val="auto"/>
          <w:sz w:val="21"/>
          <w:szCs w:val="21"/>
          <w:highlight w:val="none"/>
          <w:lang w:eastAsia="zh-CN"/>
        </w:rPr>
        <w:t>：</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支持基地教员新增功能；支持基地教员列表查询；支持基地教员的密码重置功能；</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支持学校教员新增功能：包括基本信息设置、教师身份设置、所获荣誉设置等；支持教员的修改、删除、账号激活功能；支持教员的列表查询功能。</w:t>
      </w:r>
    </w:p>
    <w:p>
      <w:pPr>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 w:val="21"/>
          <w:szCs w:val="22"/>
          <w:highlight w:val="none"/>
        </w:rPr>
      </w:pP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支持学生账户查询、学生账户状态变更等功能。</w:t>
      </w:r>
    </w:p>
    <w:p>
      <w:pPr>
        <w:spacing w:line="288" w:lineRule="auto"/>
        <w:ind w:firstLine="422" w:firstLineChars="200"/>
        <w:rPr>
          <w:rFonts w:hint="eastAsia"/>
          <w:lang w:val="en-US" w:eastAsia="zh-CN"/>
        </w:rPr>
      </w:pPr>
      <w:r>
        <w:rPr>
          <w:rFonts w:hint="eastAsia"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角色管理</w:t>
      </w:r>
      <w:r>
        <w:rPr>
          <w:rFonts w:hint="eastAsia" w:cs="宋体"/>
          <w:b/>
          <w:bCs/>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角色的新增、查询、修改、删除管理，支持对不同</w:t>
      </w:r>
      <w:r>
        <w:rPr>
          <w:rFonts w:hint="eastAsia" w:ascii="宋体" w:hAnsi="宋体" w:eastAsia="宋体" w:cs="宋体"/>
          <w:color w:val="auto"/>
          <w:sz w:val="21"/>
          <w:szCs w:val="21"/>
          <w:highlight w:val="none"/>
        </w:rPr>
        <w:t>角色</w:t>
      </w:r>
      <w:r>
        <w:rPr>
          <w:rFonts w:hint="eastAsia" w:ascii="宋体" w:hAnsi="宋体" w:eastAsia="宋体" w:cs="宋体"/>
          <w:color w:val="auto"/>
          <w:sz w:val="21"/>
          <w:szCs w:val="21"/>
          <w:highlight w:val="none"/>
          <w:lang w:val="en-US" w:eastAsia="zh-CN"/>
        </w:rPr>
        <w:t>的菜单分配和权限点配置</w:t>
      </w: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提供证明材料</w:t>
      </w:r>
      <w:r>
        <w:rPr>
          <w:rFonts w:hint="eastAsia" w:cs="宋体"/>
          <w:b/>
          <w:bCs/>
          <w:color w:val="auto"/>
          <w:sz w:val="21"/>
          <w:szCs w:val="21"/>
          <w:highlight w:val="none"/>
          <w:lang w:eastAsia="zh-CN"/>
        </w:rPr>
        <w:t>）</w:t>
      </w:r>
      <w:r>
        <w:rPr>
          <w:rFonts w:hint="eastAsia" w:cs="宋体"/>
          <w:color w:val="auto"/>
          <w:sz w:val="21"/>
          <w:szCs w:val="21"/>
          <w:highlight w:val="none"/>
          <w:lang w:val="en-US" w:eastAsia="zh-CN"/>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lang w:val="en-US"/>
        </w:rPr>
      </w:pPr>
      <w:r>
        <w:rPr>
          <w:rFonts w:hint="eastAsia"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菜单管理</w:t>
      </w:r>
      <w:r>
        <w:rPr>
          <w:rFonts w:hint="eastAsia" w:cs="宋体"/>
          <w:b/>
          <w:bCs/>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菜单的新增、查询、修改、删除管理，支持对不同菜单绑定不同角色；</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4</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操作日志</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支持系统内操作相关日志查看。</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8"/>
          <w:highlight w:val="none"/>
          <w:lang w:val="en-US" w:eastAsia="zh-CN" w:bidi="ar-SA"/>
        </w:rPr>
        <w:t>3.2.</w:t>
      </w:r>
      <w:r>
        <w:rPr>
          <w:rFonts w:hint="eastAsia" w:cs="宋体"/>
          <w:b/>
          <w:bCs/>
          <w:color w:val="auto"/>
          <w:kern w:val="2"/>
          <w:sz w:val="21"/>
          <w:szCs w:val="28"/>
          <w:highlight w:val="none"/>
          <w:lang w:val="en-US" w:eastAsia="zh-CN" w:bidi="ar-SA"/>
        </w:rPr>
        <w:t xml:space="preserve">5 </w:t>
      </w:r>
      <w:r>
        <w:rPr>
          <w:rFonts w:hint="eastAsia" w:ascii="宋体" w:hAnsi="宋体" w:eastAsia="宋体" w:cs="宋体"/>
          <w:b/>
          <w:bCs/>
          <w:color w:val="auto"/>
          <w:kern w:val="2"/>
          <w:sz w:val="21"/>
          <w:szCs w:val="28"/>
          <w:highlight w:val="none"/>
          <w:lang w:val="en-US" w:eastAsia="zh-CN" w:bidi="ar-SA"/>
        </w:rPr>
        <w:t>个人空间</w:t>
      </w:r>
      <w:r>
        <w:rPr>
          <w:rFonts w:hint="eastAsia" w:cs="宋体"/>
          <w:b/>
          <w:bCs/>
          <w:color w:val="auto"/>
          <w:kern w:val="2"/>
          <w:sz w:val="21"/>
          <w:szCs w:val="28"/>
          <w:highlight w:val="none"/>
          <w:lang w:val="en-US" w:eastAsia="zh-CN" w:bidi="ar-SA"/>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1</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登录/注销</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支持用户在</w:t>
      </w:r>
      <w:r>
        <w:rPr>
          <w:rFonts w:hint="eastAsia" w:ascii="宋体" w:hAnsi="宋体" w:eastAsia="宋体" w:cs="宋体"/>
          <w:color w:val="auto"/>
          <w:sz w:val="21"/>
          <w:szCs w:val="21"/>
          <w:highlight w:val="none"/>
          <w:lang w:val="en-US"/>
        </w:rPr>
        <w:t>web</w:t>
      </w:r>
      <w:r>
        <w:rPr>
          <w:rFonts w:hint="eastAsia" w:ascii="宋体" w:hAnsi="宋体" w:eastAsia="宋体" w:cs="宋体"/>
          <w:color w:val="auto"/>
          <w:sz w:val="21"/>
          <w:szCs w:val="21"/>
          <w:highlight w:val="none"/>
        </w:rPr>
        <w:t>端进行账号密码登录及账号注销。</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2</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密码修改</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支持用户在</w:t>
      </w:r>
      <w:r>
        <w:rPr>
          <w:rFonts w:hint="eastAsia" w:ascii="宋体" w:hAnsi="宋体" w:eastAsia="宋体" w:cs="宋体"/>
          <w:color w:val="auto"/>
          <w:sz w:val="21"/>
          <w:szCs w:val="21"/>
          <w:highlight w:val="none"/>
          <w:lang w:val="en-US"/>
        </w:rPr>
        <w:t>web</w:t>
      </w:r>
      <w:r>
        <w:rPr>
          <w:rFonts w:hint="eastAsia" w:ascii="宋体" w:hAnsi="宋体" w:eastAsia="宋体" w:cs="宋体"/>
          <w:color w:val="auto"/>
          <w:sz w:val="21"/>
          <w:szCs w:val="21"/>
          <w:highlight w:val="none"/>
        </w:rPr>
        <w:t>端修改账号密码。</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3</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我的消息</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支持用户在</w:t>
      </w:r>
      <w:r>
        <w:rPr>
          <w:rFonts w:hint="eastAsia" w:ascii="宋体" w:hAnsi="宋体" w:eastAsia="宋体" w:cs="宋体"/>
          <w:color w:val="auto"/>
          <w:sz w:val="21"/>
          <w:szCs w:val="21"/>
          <w:highlight w:val="none"/>
          <w:lang w:val="en-US"/>
        </w:rPr>
        <w:t>web</w:t>
      </w:r>
      <w:r>
        <w:rPr>
          <w:rFonts w:hint="eastAsia" w:ascii="宋体" w:hAnsi="宋体" w:eastAsia="宋体" w:cs="宋体"/>
          <w:color w:val="auto"/>
          <w:sz w:val="21"/>
          <w:szCs w:val="21"/>
          <w:highlight w:val="none"/>
        </w:rPr>
        <w:t>端查看消息，包括课程类消息、账号类消息及活动类消息。</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cs="宋体"/>
          <w:b/>
          <w:bCs/>
          <w:color w:val="auto"/>
          <w:kern w:val="2"/>
          <w:sz w:val="21"/>
          <w:szCs w:val="28"/>
          <w:highlight w:val="none"/>
          <w:lang w:val="en-US" w:eastAsia="zh-CN" w:bidi="ar-SA"/>
        </w:rPr>
      </w:pPr>
      <w:r>
        <w:rPr>
          <w:rFonts w:hint="eastAsia" w:ascii="宋体" w:hAnsi="宋体" w:eastAsia="宋体" w:cs="宋体"/>
          <w:b/>
          <w:bCs/>
          <w:color w:val="auto"/>
          <w:kern w:val="2"/>
          <w:sz w:val="21"/>
          <w:szCs w:val="28"/>
          <w:highlight w:val="none"/>
          <w:lang w:val="en-US" w:eastAsia="zh-CN" w:bidi="ar-SA"/>
        </w:rPr>
        <w:t>3.2.</w:t>
      </w:r>
      <w:r>
        <w:rPr>
          <w:rFonts w:hint="eastAsia" w:cs="宋体"/>
          <w:b/>
          <w:bCs/>
          <w:color w:val="auto"/>
          <w:kern w:val="2"/>
          <w:sz w:val="21"/>
          <w:szCs w:val="28"/>
          <w:highlight w:val="none"/>
          <w:lang w:val="en-US" w:eastAsia="zh-CN" w:bidi="ar-SA"/>
        </w:rPr>
        <w:t xml:space="preserve">6 </w:t>
      </w:r>
      <w:r>
        <w:rPr>
          <w:rFonts w:hint="eastAsia" w:ascii="宋体" w:hAnsi="宋体" w:eastAsia="宋体" w:cs="宋体"/>
          <w:b/>
          <w:bCs/>
          <w:color w:val="auto"/>
          <w:kern w:val="2"/>
          <w:sz w:val="21"/>
          <w:szCs w:val="28"/>
          <w:highlight w:val="none"/>
          <w:lang w:val="en-US" w:eastAsia="zh-CN" w:bidi="ar-SA"/>
        </w:rPr>
        <w:t>数据看板</w:t>
      </w:r>
      <w:r>
        <w:rPr>
          <w:rFonts w:hint="eastAsia" w:cs="宋体"/>
          <w:b/>
          <w:bCs/>
          <w:color w:val="auto"/>
          <w:kern w:val="2"/>
          <w:sz w:val="21"/>
          <w:szCs w:val="28"/>
          <w:highlight w:val="none"/>
          <w:lang w:val="en-US" w:eastAsia="zh-CN" w:bidi="ar-SA"/>
        </w:rPr>
        <w:t>：</w:t>
      </w:r>
    </w:p>
    <w:p>
      <w:pPr>
        <w:pStyle w:val="4"/>
        <w:ind w:firstLine="422" w:firstLineChars="200"/>
        <w:rPr>
          <w:rFonts w:hint="default" w:eastAsia="宋体"/>
          <w:lang w:val="en-US" w:eastAsia="zh-CN"/>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1</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课程数据看板</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支持按照学校作为对象展示课程数据：开课总门数、总班级数、总课时数，教师数；报名学生人数人次、完课学生人数人次；支持按照时间、学校进行筛选；支持数据导出</w:t>
      </w:r>
      <w:r>
        <w:rPr>
          <w:rFonts w:hint="eastAsia" w:cs="宋体"/>
          <w:color w:val="auto"/>
          <w:sz w:val="21"/>
          <w:szCs w:val="21"/>
          <w:highlight w:val="none"/>
          <w:lang w:val="en-US" w:eastAsia="zh-CN"/>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2</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活动数据看板</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支持按照活动作为对象展示活动数据：活动举办次数、报名参观人数人次；支持按照时间进行筛选；支持数据导出。</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3</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赛事荣誉看板</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支持按照竞赛作为对象展示数据：赛事赛项信息、各级奖项统计、教师荣誉；支持按照时间进行筛选；支持数据导出。</w:t>
      </w:r>
    </w:p>
    <w:p>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default"/>
          <w:color w:val="auto"/>
          <w:sz w:val="21"/>
          <w:szCs w:val="21"/>
          <w:highlight w:val="none"/>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4</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老师数据看板</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支持按照教师为对象展示数据：开课门数、总班级数、总课时数；报名学生人数人次、完课学生人数人次、教师荣誉数据、教师学生竞赛数据；支持按照时间、学校、老师个人进行筛选；支持数据导出。</w:t>
      </w:r>
    </w:p>
    <w:p>
      <w:pPr>
        <w:pStyle w:val="4"/>
        <w:ind w:firstLine="422" w:firstLineChars="200"/>
        <w:rPr>
          <w:rFonts w:hint="eastAsia"/>
        </w:rPr>
      </w:pPr>
      <w:r>
        <w:rPr>
          <w:rFonts w:hint="eastAsia" w:cs="宋体"/>
          <w:b/>
          <w:bCs/>
          <w:color w:val="auto"/>
          <w:sz w:val="21"/>
          <w:szCs w:val="21"/>
          <w:highlight w:val="none"/>
          <w:lang w:eastAsia="zh-CN"/>
        </w:rPr>
        <w:t>（</w:t>
      </w:r>
      <w:r>
        <w:rPr>
          <w:rFonts w:hint="eastAsia" w:cs="宋体"/>
          <w:b/>
          <w:bCs/>
          <w:color w:val="auto"/>
          <w:sz w:val="21"/>
          <w:szCs w:val="21"/>
          <w:highlight w:val="none"/>
          <w:lang w:val="en-US" w:eastAsia="zh-CN"/>
        </w:rPr>
        <w:t>5</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学生数据看板</w:t>
      </w:r>
      <w:r>
        <w:rPr>
          <w:rFonts w:hint="eastAsia" w:cs="宋体"/>
          <w:b/>
          <w:bCs/>
          <w:color w:val="auto"/>
          <w:sz w:val="21"/>
          <w:szCs w:val="21"/>
          <w:highlight w:val="none"/>
          <w:lang w:eastAsia="zh-CN"/>
        </w:rPr>
        <w:t>：</w:t>
      </w:r>
      <w:r>
        <w:rPr>
          <w:rFonts w:hint="eastAsia" w:ascii="宋体" w:hAnsi="宋体" w:eastAsia="宋体" w:cs="宋体"/>
          <w:color w:val="auto"/>
          <w:sz w:val="21"/>
          <w:szCs w:val="21"/>
          <w:highlight w:val="none"/>
        </w:rPr>
        <w:t>支持按照学生为对象展示数据：报名课程数、完课课程数及评价情况、学生竞赛数据；支持按照时间进行筛选；支持数据导出。</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32"/>
          <w:highlight w:val="none"/>
          <w:lang w:val="en-US" w:eastAsia="zh-CN" w:bidi="ar-SA"/>
        </w:rPr>
      </w:pPr>
      <w:r>
        <w:rPr>
          <w:rFonts w:hint="eastAsia" w:ascii="宋体" w:hAnsi="宋体" w:eastAsia="宋体" w:cs="宋体"/>
          <w:b/>
          <w:bCs/>
          <w:color w:val="auto"/>
          <w:kern w:val="2"/>
          <w:sz w:val="21"/>
          <w:szCs w:val="21"/>
          <w:highlight w:val="none"/>
          <w:lang w:val="en-US" w:eastAsia="zh-CN" w:bidi="ar-SA"/>
        </w:rPr>
        <w:t>3.3</w:t>
      </w:r>
      <w:r>
        <w:rPr>
          <w:rFonts w:hint="eastAsia" w:cs="宋体"/>
          <w:b/>
          <w:bCs/>
          <w:color w:val="auto"/>
          <w:kern w:val="2"/>
          <w:sz w:val="21"/>
          <w:szCs w:val="21"/>
          <w:highlight w:val="none"/>
          <w:lang w:val="en-US" w:eastAsia="zh-CN" w:bidi="ar-SA"/>
        </w:rPr>
        <w:t xml:space="preserve"> </w:t>
      </w:r>
      <w:r>
        <w:rPr>
          <w:rFonts w:hint="eastAsia" w:ascii="宋体" w:hAnsi="宋体" w:eastAsia="宋体" w:cs="宋体"/>
          <w:b/>
          <w:bCs/>
          <w:color w:val="auto"/>
          <w:kern w:val="2"/>
          <w:sz w:val="21"/>
          <w:szCs w:val="32"/>
          <w:highlight w:val="none"/>
          <w:lang w:val="en-US" w:eastAsia="zh-CN" w:bidi="ar-SA"/>
        </w:rPr>
        <w:t>等保测评</w:t>
      </w:r>
      <w:r>
        <w:rPr>
          <w:rFonts w:hint="eastAsia" w:cs="宋体"/>
          <w:b/>
          <w:bCs/>
          <w:color w:val="auto"/>
          <w:kern w:val="2"/>
          <w:sz w:val="21"/>
          <w:szCs w:val="32"/>
          <w:highlight w:val="none"/>
          <w:lang w:val="en-US" w:eastAsia="zh-CN" w:bidi="ar-SA"/>
        </w:rPr>
        <w:t>：</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本项目需进行等保二级测评。</w:t>
      </w:r>
      <w:r>
        <w:rPr>
          <w:rFonts w:hint="eastAsia" w:cs="宋体"/>
          <w:color w:val="auto"/>
          <w:sz w:val="21"/>
          <w:szCs w:val="21"/>
          <w:highlight w:val="none"/>
          <w:lang w:val="en-US" w:eastAsia="zh-CN"/>
        </w:rPr>
        <w:t>供应商应通过</w:t>
      </w:r>
      <w:r>
        <w:rPr>
          <w:rFonts w:hint="eastAsia" w:ascii="宋体" w:hAnsi="宋体" w:eastAsia="宋体" w:cs="宋体"/>
          <w:color w:val="auto"/>
          <w:sz w:val="21"/>
          <w:szCs w:val="21"/>
          <w:highlight w:val="none"/>
        </w:rPr>
        <w:t>符合相关规定的测评机构，整合梳理信息系统情况，开展信息安全等级保护测评工作，通过信息安全等级保护测评，找出信息系统存在的安全隐患，通过安全建设整改排除安全隐患，切实安全保障，构建安全可控的信息安全技术防范体系。</w:t>
      </w:r>
    </w:p>
    <w:p>
      <w:pPr>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32"/>
          <w:highlight w:val="none"/>
          <w:lang w:val="en-US" w:eastAsia="zh-CN" w:bidi="ar-SA"/>
        </w:rPr>
      </w:pPr>
      <w:r>
        <w:rPr>
          <w:rFonts w:hint="eastAsia" w:cs="宋体"/>
          <w:b/>
          <w:bCs/>
          <w:color w:val="auto"/>
          <w:kern w:val="2"/>
          <w:sz w:val="21"/>
          <w:szCs w:val="32"/>
          <w:highlight w:val="none"/>
          <w:lang w:val="en-US" w:eastAsia="zh-CN" w:bidi="ar-SA"/>
        </w:rPr>
        <w:t xml:space="preserve">3.4 </w:t>
      </w:r>
      <w:r>
        <w:rPr>
          <w:rFonts w:hint="eastAsia" w:ascii="宋体" w:hAnsi="宋体" w:eastAsia="宋体" w:cs="宋体"/>
          <w:b/>
          <w:bCs/>
          <w:color w:val="auto"/>
          <w:kern w:val="2"/>
          <w:sz w:val="21"/>
          <w:szCs w:val="32"/>
          <w:highlight w:val="none"/>
          <w:lang w:val="en-US" w:eastAsia="zh-CN" w:bidi="ar-SA"/>
        </w:rPr>
        <w:t>采购清单</w:t>
      </w:r>
      <w:r>
        <w:rPr>
          <w:rFonts w:hint="eastAsia" w:cs="宋体"/>
          <w:b/>
          <w:bCs/>
          <w:color w:val="auto"/>
          <w:kern w:val="2"/>
          <w:sz w:val="21"/>
          <w:szCs w:val="32"/>
          <w:highlight w:val="none"/>
          <w:lang w:val="en-US" w:eastAsia="zh-CN" w:bidi="ar-SA"/>
        </w:rPr>
        <w:t>：</w:t>
      </w:r>
    </w:p>
    <w:tbl>
      <w:tblPr>
        <w:tblStyle w:val="1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334"/>
        <w:gridCol w:w="1661"/>
        <w:gridCol w:w="1993"/>
        <w:gridCol w:w="1827"/>
        <w:gridCol w:w="831"/>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820" w:type="dxa"/>
            <w:shd w:val="clear" w:color="000000"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1334" w:type="dxa"/>
            <w:shd w:val="clear" w:color="000000"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端口</w:t>
            </w:r>
          </w:p>
        </w:tc>
        <w:tc>
          <w:tcPr>
            <w:tcW w:w="1661" w:type="dxa"/>
            <w:shd w:val="clear" w:color="000000"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功能模块</w:t>
            </w:r>
          </w:p>
        </w:tc>
        <w:tc>
          <w:tcPr>
            <w:tcW w:w="3820" w:type="dxa"/>
            <w:gridSpan w:val="2"/>
            <w:shd w:val="clear" w:color="000000"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主要功能</w:t>
            </w:r>
          </w:p>
        </w:tc>
        <w:tc>
          <w:tcPr>
            <w:tcW w:w="831" w:type="dxa"/>
            <w:shd w:val="clear" w:color="000000"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单位</w:t>
            </w:r>
          </w:p>
        </w:tc>
        <w:tc>
          <w:tcPr>
            <w:tcW w:w="1162" w:type="dxa"/>
            <w:shd w:val="clear" w:color="000000"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334" w:type="dxa"/>
            <w:vMerge w:val="restart"/>
            <w:shd w:val="clear" w:color="auto" w:fill="auto"/>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移动端</w:t>
            </w:r>
          </w:p>
        </w:tc>
        <w:tc>
          <w:tcPr>
            <w:tcW w:w="1661"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个人空间</w:t>
            </w: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用户登录</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用户注册</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个人信息查看</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我的消息</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课程类消息</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账号类消息</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活动类消息</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修改密码</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课程查询</w:t>
            </w: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信息公告栏</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课程列表</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我的课程</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课程报名</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活动列表</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展示交流活动列表</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我的竞赛活动列表</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1334"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rPr>
              <w:t>web</w:t>
            </w:r>
            <w:r>
              <w:rPr>
                <w:rFonts w:hint="eastAsia" w:ascii="宋体" w:hAnsi="宋体" w:eastAsia="宋体" w:cs="宋体"/>
                <w:color w:val="auto"/>
                <w:kern w:val="0"/>
                <w:sz w:val="21"/>
                <w:szCs w:val="21"/>
                <w:highlight w:val="none"/>
              </w:rPr>
              <w:t>端</w:t>
            </w:r>
          </w:p>
        </w:tc>
        <w:tc>
          <w:tcPr>
            <w:tcW w:w="1661"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课程管理</w:t>
            </w: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课程操作</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课程发布</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课程修改</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课程删除</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课程新增</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课程列表</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课程状态筛选</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18</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课程名称筛选</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教师关联</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课程选择</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教师职责匹配</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课程详情</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课次列表</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学生列表</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课程公告</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24</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课程资源</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25</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报名总览</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26</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活动管理</w:t>
            </w: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展示交流活动管理</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展示交流活动列表</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27</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操作</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28</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培训活动管理</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培训活动列表</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29</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操作</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2"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竞赛活动管理</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竞赛活动列表</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操作</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学校管理</w:t>
            </w: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学校列表</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管理</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新建学校</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修改学校</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删除学校</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教师关联</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系统管理</w:t>
            </w: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人员管理</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基地教员管理</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38</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学校教员管理</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39</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学生管理</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操作日志</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41</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菜单管理</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3820" w:type="dxa"/>
            <w:gridSpan w:val="2"/>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角色管理</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43</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个人空间</w:t>
            </w: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登录/注销</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44</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密码修改</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45</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我的消息</w:t>
            </w: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课程类消息</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46</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账号类消息</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47</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993"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827" w:type="dxa"/>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活动类消息</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48</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restart"/>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数据看板</w:t>
            </w: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课程数据看板</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49</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活动数据看板</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赛事荣誉看板</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老师数据看板</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52</w:t>
            </w:r>
          </w:p>
        </w:tc>
        <w:tc>
          <w:tcPr>
            <w:tcW w:w="1334"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1661" w:type="dxa"/>
            <w:vMerge w:val="continue"/>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p>
        </w:tc>
        <w:tc>
          <w:tcPr>
            <w:tcW w:w="3820" w:type="dxa"/>
            <w:gridSpan w:val="2"/>
            <w:shd w:val="clear" w:color="auto" w:fill="auto"/>
            <w:noWrap/>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学生数据看板</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9" w:hRule="atLeast"/>
        </w:trPr>
        <w:tc>
          <w:tcPr>
            <w:tcW w:w="820"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53</w:t>
            </w:r>
          </w:p>
        </w:tc>
        <w:tc>
          <w:tcPr>
            <w:tcW w:w="1334" w:type="dxa"/>
            <w:vAlign w:val="center"/>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等保测评</w:t>
            </w:r>
          </w:p>
        </w:tc>
        <w:tc>
          <w:tcPr>
            <w:tcW w:w="5481" w:type="dxa"/>
            <w:gridSpan w:val="3"/>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等保二级测评</w:t>
            </w:r>
          </w:p>
        </w:tc>
        <w:tc>
          <w:tcPr>
            <w:tcW w:w="831"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w:t>
            </w:r>
          </w:p>
        </w:tc>
        <w:tc>
          <w:tcPr>
            <w:tcW w:w="1162" w:type="dxa"/>
            <w:shd w:val="clear" w:color="auto" w:fill="auto"/>
            <w:noWrap/>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r>
    </w:tbl>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4.演示：</w:t>
      </w:r>
    </w:p>
    <w:p>
      <w:pPr>
        <w:adjustRightInd w:val="0"/>
        <w:snapToGrid w:val="0"/>
        <w:spacing w:line="288" w:lineRule="auto"/>
        <w:ind w:firstLine="422" w:firstLineChars="200"/>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▲4.1 供应商演示内容需为</w:t>
      </w:r>
      <w:r>
        <w:rPr>
          <w:rFonts w:hint="eastAsia" w:ascii="宋体" w:hAnsi="宋体" w:eastAsia="宋体" w:cs="Times New Roman"/>
          <w:b/>
          <w:bCs/>
          <w:color w:val="auto"/>
          <w:sz w:val="21"/>
          <w:szCs w:val="21"/>
          <w:highlight w:val="none"/>
          <w:lang w:val="en-US" w:eastAsia="zh-CN"/>
        </w:rPr>
        <w:t>DEMO演示，未提供演示的投标无效</w:t>
      </w:r>
      <w:r>
        <w:rPr>
          <w:rFonts w:hint="eastAsia" w:ascii="宋体" w:hAnsi="宋体" w:eastAsia="宋体" w:cs="Times New Roman"/>
          <w:b/>
          <w:bCs/>
          <w:color w:val="auto"/>
          <w:sz w:val="21"/>
          <w:szCs w:val="21"/>
          <w:highlight w:val="none"/>
        </w:rPr>
        <w:t>；</w:t>
      </w:r>
    </w:p>
    <w:p>
      <w:pPr>
        <w:adjustRightInd w:val="0"/>
        <w:snapToGrid w:val="0"/>
        <w:spacing w:line="288" w:lineRule="auto"/>
        <w:ind w:firstLine="422" w:firstLineChars="200"/>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4.2 演示内容如下：</w:t>
      </w:r>
    </w:p>
    <w:p>
      <w:pPr>
        <w:adjustRightInd w:val="0"/>
        <w:snapToGrid w:val="0"/>
        <w:spacing w:line="288" w:lineRule="auto"/>
        <w:ind w:firstLine="420" w:firstLineChars="200"/>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w:t>
      </w:r>
      <w:r>
        <w:rPr>
          <w:rFonts w:hint="eastAsia" w:ascii="宋体" w:hAnsi="宋体" w:eastAsia="宋体" w:cs="Times New Roman"/>
          <w:b w:val="0"/>
          <w:bCs w:val="0"/>
          <w:color w:val="auto"/>
          <w:sz w:val="21"/>
          <w:szCs w:val="21"/>
          <w:highlight w:val="none"/>
          <w:lang w:val="en-US" w:eastAsia="zh-CN"/>
        </w:rPr>
        <w:t>1</w:t>
      </w:r>
      <w:r>
        <w:rPr>
          <w:rFonts w:hint="eastAsia" w:ascii="宋体" w:hAnsi="宋体" w:eastAsia="宋体" w:cs="Times New Roman"/>
          <w:b w:val="0"/>
          <w:bCs w:val="0"/>
          <w:color w:val="auto"/>
          <w:sz w:val="21"/>
          <w:szCs w:val="21"/>
          <w:highlight w:val="none"/>
          <w:lang w:eastAsia="zh-CN"/>
        </w:rPr>
        <w:t>）课程操作：支持对课程进行课程发布、课程修改、课程删除、课程新增等操作；</w:t>
      </w:r>
    </w:p>
    <w:p>
      <w:pPr>
        <w:adjustRightInd w:val="0"/>
        <w:snapToGrid w:val="0"/>
        <w:spacing w:line="288" w:lineRule="auto"/>
        <w:ind w:firstLine="420" w:firstLineChars="200"/>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w:t>
      </w:r>
      <w:r>
        <w:rPr>
          <w:rFonts w:hint="eastAsia" w:ascii="宋体" w:hAnsi="宋体" w:eastAsia="宋体" w:cs="Times New Roman"/>
          <w:b w:val="0"/>
          <w:bCs w:val="0"/>
          <w:color w:val="auto"/>
          <w:sz w:val="21"/>
          <w:szCs w:val="21"/>
          <w:highlight w:val="none"/>
          <w:lang w:val="en-US" w:eastAsia="zh-CN"/>
        </w:rPr>
        <w:t>2</w:t>
      </w:r>
      <w:r>
        <w:rPr>
          <w:rFonts w:hint="eastAsia" w:ascii="宋体" w:hAnsi="宋体" w:eastAsia="宋体" w:cs="Times New Roman"/>
          <w:b w:val="0"/>
          <w:bCs w:val="0"/>
          <w:color w:val="auto"/>
          <w:sz w:val="21"/>
          <w:szCs w:val="21"/>
          <w:highlight w:val="none"/>
          <w:lang w:eastAsia="zh-CN"/>
        </w:rPr>
        <w:t>）课程列表：支持课程信息查看及条件筛选器；</w:t>
      </w:r>
    </w:p>
    <w:p>
      <w:pPr>
        <w:adjustRightInd w:val="0"/>
        <w:snapToGrid w:val="0"/>
        <w:spacing w:line="288" w:lineRule="auto"/>
        <w:ind w:firstLine="420" w:firstLineChars="200"/>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w:t>
      </w:r>
      <w:r>
        <w:rPr>
          <w:rFonts w:hint="eastAsia" w:ascii="宋体" w:hAnsi="宋体" w:eastAsia="宋体" w:cs="Times New Roman"/>
          <w:b w:val="0"/>
          <w:bCs w:val="0"/>
          <w:color w:val="auto"/>
          <w:sz w:val="21"/>
          <w:szCs w:val="21"/>
          <w:highlight w:val="none"/>
          <w:lang w:val="en-US" w:eastAsia="zh-CN"/>
        </w:rPr>
        <w:t>3</w:t>
      </w:r>
      <w:r>
        <w:rPr>
          <w:rFonts w:hint="eastAsia" w:ascii="宋体" w:hAnsi="宋体" w:eastAsia="宋体" w:cs="Times New Roman"/>
          <w:b w:val="0"/>
          <w:bCs w:val="0"/>
          <w:color w:val="auto"/>
          <w:sz w:val="21"/>
          <w:szCs w:val="21"/>
          <w:highlight w:val="none"/>
          <w:lang w:eastAsia="zh-CN"/>
        </w:rPr>
        <w:t>）班级管理：支持对学校组织下的班级进行新建、修改、删除等；支持班级与学生的关联操作；</w:t>
      </w:r>
    </w:p>
    <w:p>
      <w:pPr>
        <w:adjustRightInd w:val="0"/>
        <w:snapToGrid w:val="0"/>
        <w:spacing w:line="288" w:lineRule="auto"/>
        <w:ind w:firstLine="420" w:firstLineChars="200"/>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w:t>
      </w:r>
      <w:r>
        <w:rPr>
          <w:rFonts w:hint="eastAsia" w:ascii="宋体" w:hAnsi="宋体" w:eastAsia="宋体" w:cs="Times New Roman"/>
          <w:b w:val="0"/>
          <w:bCs w:val="0"/>
          <w:color w:val="auto"/>
          <w:sz w:val="21"/>
          <w:szCs w:val="21"/>
          <w:highlight w:val="none"/>
          <w:lang w:val="en-US" w:eastAsia="zh-CN"/>
        </w:rPr>
        <w:t>4</w:t>
      </w:r>
      <w:r>
        <w:rPr>
          <w:rFonts w:hint="eastAsia" w:ascii="宋体" w:hAnsi="宋体" w:eastAsia="宋体" w:cs="Times New Roman"/>
          <w:b w:val="0"/>
          <w:bCs w:val="0"/>
          <w:color w:val="auto"/>
          <w:sz w:val="21"/>
          <w:szCs w:val="21"/>
          <w:highlight w:val="none"/>
          <w:lang w:eastAsia="zh-CN"/>
        </w:rPr>
        <w:t>）</w:t>
      </w:r>
      <w:r>
        <w:rPr>
          <w:rFonts w:hint="eastAsia" w:ascii="宋体" w:hAnsi="宋体" w:eastAsia="宋体" w:cs="Times New Roman"/>
          <w:b w:val="0"/>
          <w:bCs w:val="0"/>
          <w:color w:val="auto"/>
          <w:sz w:val="21"/>
          <w:szCs w:val="21"/>
          <w:highlight w:val="none"/>
          <w:lang w:val="en-US" w:eastAsia="zh-CN"/>
        </w:rPr>
        <w:t>老师</w:t>
      </w:r>
      <w:r>
        <w:rPr>
          <w:rFonts w:hint="eastAsia" w:ascii="宋体" w:hAnsi="宋体" w:eastAsia="宋体" w:cs="Times New Roman"/>
          <w:b w:val="0"/>
          <w:bCs w:val="0"/>
          <w:color w:val="auto"/>
          <w:sz w:val="21"/>
          <w:szCs w:val="21"/>
          <w:highlight w:val="none"/>
          <w:lang w:eastAsia="zh-CN"/>
        </w:rPr>
        <w:t>数据看板：支持按照教师为对象展示数据：开课门数、总班级数、总课时数；报名学生人数人次、完课学生人数人次、教师荣誉数据、教师学生竞赛数据；支持按照时间、学校、老师个人进行筛选；支持数据导出；</w:t>
      </w:r>
    </w:p>
    <w:p>
      <w:pPr>
        <w:adjustRightInd w:val="0"/>
        <w:snapToGrid w:val="0"/>
        <w:spacing w:line="288" w:lineRule="auto"/>
        <w:ind w:firstLine="420" w:firstLineChars="200"/>
        <w:rPr>
          <w:rFonts w:hint="eastAsia" w:eastAsia="宋体"/>
          <w:b w:val="0"/>
          <w:bCs w:val="0"/>
          <w:lang w:eastAsia="zh-CN"/>
        </w:rPr>
      </w:pPr>
      <w:r>
        <w:rPr>
          <w:rFonts w:hint="eastAsia" w:ascii="宋体" w:hAnsi="宋体" w:eastAsia="宋体" w:cs="Times New Roman"/>
          <w:b w:val="0"/>
          <w:bCs w:val="0"/>
          <w:color w:val="auto"/>
          <w:sz w:val="21"/>
          <w:szCs w:val="21"/>
          <w:highlight w:val="none"/>
          <w:lang w:eastAsia="zh-CN"/>
        </w:rPr>
        <w:t>（</w:t>
      </w:r>
      <w:r>
        <w:rPr>
          <w:rFonts w:hint="eastAsia" w:ascii="宋体" w:hAnsi="宋体" w:eastAsia="宋体" w:cs="Times New Roman"/>
          <w:b w:val="0"/>
          <w:bCs w:val="0"/>
          <w:color w:val="auto"/>
          <w:sz w:val="21"/>
          <w:szCs w:val="21"/>
          <w:highlight w:val="none"/>
          <w:lang w:val="en-US" w:eastAsia="zh-CN"/>
        </w:rPr>
        <w:t>5</w:t>
      </w:r>
      <w:r>
        <w:rPr>
          <w:rFonts w:hint="eastAsia" w:ascii="宋体" w:hAnsi="宋体" w:eastAsia="宋体" w:cs="Times New Roman"/>
          <w:b w:val="0"/>
          <w:bCs w:val="0"/>
          <w:color w:val="auto"/>
          <w:sz w:val="21"/>
          <w:szCs w:val="21"/>
          <w:highlight w:val="none"/>
          <w:lang w:eastAsia="zh-CN"/>
        </w:rPr>
        <w:t>）学生数据看板：支持按照学生为对象展示数据：报名课程数、完课课程数及评价情况、学生竞赛数据；支持按照时间进行筛选；支持数据导出。</w:t>
      </w:r>
    </w:p>
    <w:p>
      <w:pPr>
        <w:spacing w:line="288" w:lineRule="auto"/>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4.3 演示U盘：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（1）根据“电子交易/不见面开评标”原则，供应商需将以上演示及讲解过程录制视频，演示时长不超过1</w:t>
      </w: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分钟以.mp4格式存储于U盘。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（2）演示U盘可以EMS或顺丰邮寄形式在响应截止时间前递交，演示U盘应当密封包装并在包装上标注演示U盘、响应项目名称、响应供应商名称并加盖公章。</w:t>
      </w:r>
    </w:p>
    <w:p>
      <w:pPr>
        <w:widowControl/>
        <w:adjustRightInd w:val="0"/>
        <w:snapToGrid w:val="0"/>
        <w:spacing w:line="288" w:lineRule="auto"/>
        <w:jc w:val="left"/>
        <w:rPr>
          <w:rFonts w:cs="Times New Roman"/>
          <w:color w:val="auto"/>
          <w:sz w:val="21"/>
          <w:szCs w:val="21"/>
          <w:highlight w:val="none"/>
        </w:rPr>
      </w:pPr>
      <w:r>
        <w:rPr>
          <w:rFonts w:hint="eastAsia" w:ascii="宋体" w:hAnsi="宋体" w:eastAsia="宋体" w:cs="宋体"/>
          <w:bCs/>
          <w:color w:val="auto"/>
          <w:spacing w:val="-4"/>
          <w:sz w:val="21"/>
          <w:szCs w:val="21"/>
          <w:highlight w:val="none"/>
        </w:rPr>
        <w:t>（3）未按磋商文件要求提供演示U盘造成专家无法正常评审的风险由供应商自行承担。</w:t>
      </w: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本磋商文件适用于杭州电子科技大学</w:t>
            </w:r>
            <w:r>
              <w:rPr>
                <w:rFonts w:hint="eastAsia"/>
                <w:color w:val="auto"/>
                <w:sz w:val="21"/>
                <w:szCs w:val="21"/>
                <w:highlight w:val="none"/>
                <w:lang w:eastAsia="zh-CN"/>
              </w:rPr>
              <w:t>科创教育数字化平台</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▲1.供应商代表是法定代表人（单位负责人、自然人本人）的，须提供本人身份证明。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▲2.供应商代表不是法定代表人（单位负责人、自然人本人）的，须提供授权委托书（格式详见磋商文件第六章）和授权代表社保缴纳证明（</w:t>
            </w:r>
            <w:r>
              <w:rPr>
                <w:rFonts w:hint="eastAsia"/>
                <w:color w:val="auto"/>
                <w:sz w:val="21"/>
                <w:szCs w:val="21"/>
                <w:highlight w:val="none"/>
                <w:lang w:eastAsia="zh-CN"/>
              </w:rPr>
              <w:t>2023年1月</w:t>
            </w:r>
            <w:r>
              <w:rPr>
                <w:rFonts w:hint="default"/>
                <w:color w:val="auto"/>
                <w:sz w:val="21"/>
                <w:szCs w:val="21"/>
                <w:highlight w:val="none"/>
              </w:rPr>
              <w:t>（含）以后任意一月）；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1"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代理服务费收费标准（差额累进）：成交金额的1.05%，不足3000元的按3000元计。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1.本项目不允许转包；</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2.本项目</w:t>
            </w:r>
            <w:r>
              <w:rPr>
                <w:rFonts w:hint="eastAsia" w:ascii="宋体" w:hAnsi="宋体" w:eastAsia="宋体" w:cs="宋体"/>
                <w:b/>
                <w:color w:val="auto"/>
                <w:kern w:val="2"/>
                <w:sz w:val="21"/>
                <w:szCs w:val="21"/>
                <w:highlight w:val="none"/>
                <w:u w:val="single"/>
                <w:lang w:val="en-US" w:eastAsia="zh-CN" w:bidi="ar"/>
              </w:rPr>
              <w:t>不允许</w:t>
            </w:r>
            <w:r>
              <w:rPr>
                <w:rFonts w:hint="eastAsia" w:ascii="宋体" w:hAnsi="宋体" w:eastAsia="宋体" w:cs="宋体"/>
                <w:color w:val="auto"/>
                <w:kern w:val="2"/>
                <w:sz w:val="21"/>
                <w:szCs w:val="21"/>
                <w:highlight w:val="none"/>
                <w:lang w:val="en-US" w:eastAsia="zh-CN" w:bidi="ar"/>
              </w:rPr>
              <w:t>分包，不适宜分包的理由是：</w:t>
            </w:r>
            <w:r>
              <w:rPr>
                <w:rFonts w:hint="eastAsia" w:cs="宋体"/>
                <w:color w:val="auto"/>
                <w:kern w:val="2"/>
                <w:sz w:val="21"/>
                <w:szCs w:val="21"/>
                <w:highlight w:val="none"/>
                <w:u w:val="single"/>
                <w:lang w:val="en-US" w:eastAsia="zh-CN" w:bidi="ar"/>
              </w:rPr>
              <w:t>项目内容整体不可分割</w:t>
            </w:r>
            <w:r>
              <w:rPr>
                <w:rFonts w:hint="eastAsia" w:ascii="宋体" w:hAnsi="宋体" w:eastAsia="宋体" w:cs="宋体"/>
                <w:color w:val="auto"/>
                <w:kern w:val="2"/>
                <w:sz w:val="21"/>
                <w:szCs w:val="21"/>
                <w:highlight w:val="none"/>
                <w:u w:val="single"/>
                <w:lang w:val="en-US" w:eastAsia="zh-CN" w:bidi="ar"/>
              </w:rPr>
              <w:t>。</w:t>
            </w:r>
          </w:p>
          <w:p>
            <w:pPr>
              <w:keepNext w:val="0"/>
              <w:keepLines w:val="0"/>
              <w:widowControl w:val="0"/>
              <w:suppressLineNumbers w:val="0"/>
              <w:spacing w:before="0" w:beforeAutospacing="0" w:after="0" w:afterAutospacing="0"/>
              <w:ind w:left="0" w:right="0"/>
              <w:jc w:val="both"/>
              <w:rPr>
                <w:rFonts w:hint="default"/>
                <w:color w:val="auto"/>
                <w:sz w:val="21"/>
                <w:szCs w:val="21"/>
                <w:highlight w:val="none"/>
              </w:rPr>
            </w:pPr>
            <w:r>
              <w:rPr>
                <w:rFonts w:hint="eastAsia" w:ascii="宋体" w:hAnsi="宋体" w:eastAsia="宋体" w:cs="宋体"/>
                <w:color w:val="auto"/>
                <w:kern w:val="2"/>
                <w:sz w:val="21"/>
                <w:szCs w:val="21"/>
                <w:highlight w:val="none"/>
                <w:lang w:val="en-US" w:eastAsia="zh-CN" w:bidi="ar"/>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Cs/>
                <w:color w:val="auto"/>
                <w:sz w:val="21"/>
                <w:szCs w:val="21"/>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w:t>
      </w:r>
      <w:r>
        <w:rPr>
          <w:rFonts w:hint="eastAsia"/>
          <w:color w:val="auto"/>
          <w:sz w:val="21"/>
          <w:szCs w:val="21"/>
          <w:highlight w:val="none"/>
          <w:lang w:eastAsia="zh-CN"/>
        </w:rPr>
        <w:t>科创教育数字化平台</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▲2.供应商代表不是法定代表人（单位负责人、自然人本人）的，须提供授权委托书（格式详见磋商文件第六章）和授权代表社保缴纳证明（</w:t>
      </w:r>
      <w:r>
        <w:rPr>
          <w:rFonts w:hint="eastAsia"/>
          <w:color w:val="auto"/>
          <w:sz w:val="21"/>
          <w:szCs w:val="21"/>
          <w:highlight w:val="none"/>
          <w:lang w:eastAsia="zh-CN"/>
        </w:rPr>
        <w:t>2023年1月</w:t>
      </w:r>
      <w:r>
        <w:rPr>
          <w:rFonts w:hint="eastAsia"/>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代理服务费收费标准：成交金额的1.05%，不足3000元的按3000元计。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keepNext w:val="0"/>
        <w:keepLines w:val="0"/>
        <w:widowControl w:val="0"/>
        <w:suppressLineNumbers w:val="0"/>
        <w:adjustRightInd w:val="0"/>
        <w:snapToGrid w:val="0"/>
        <w:spacing w:before="0" w:beforeAutospacing="0" w:after="0" w:afterAutospacing="0" w:line="288"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1.本项目不允许转包；</w:t>
      </w:r>
    </w:p>
    <w:p>
      <w:pPr>
        <w:keepNext w:val="0"/>
        <w:keepLines w:val="0"/>
        <w:widowControl w:val="0"/>
        <w:suppressLineNumbers w:val="0"/>
        <w:adjustRightInd w:val="0"/>
        <w:snapToGrid w:val="0"/>
        <w:spacing w:before="0" w:beforeAutospacing="0" w:after="0" w:afterAutospacing="0" w:line="288"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2.本项目</w:t>
      </w:r>
      <w:r>
        <w:rPr>
          <w:rFonts w:hint="eastAsia" w:ascii="宋体" w:hAnsi="宋体" w:eastAsia="宋体" w:cs="宋体"/>
          <w:b/>
          <w:color w:val="auto"/>
          <w:kern w:val="2"/>
          <w:sz w:val="21"/>
          <w:szCs w:val="21"/>
          <w:highlight w:val="none"/>
          <w:u w:val="single"/>
          <w:lang w:val="en-US" w:eastAsia="zh-CN" w:bidi="ar"/>
        </w:rPr>
        <w:t>不允许</w:t>
      </w:r>
      <w:r>
        <w:rPr>
          <w:rFonts w:hint="eastAsia" w:ascii="宋体" w:hAnsi="宋体" w:eastAsia="宋体" w:cs="宋体"/>
          <w:color w:val="auto"/>
          <w:kern w:val="2"/>
          <w:sz w:val="21"/>
          <w:szCs w:val="21"/>
          <w:highlight w:val="none"/>
          <w:lang w:val="en-US" w:eastAsia="zh-CN" w:bidi="ar"/>
        </w:rPr>
        <w:t>分包，不适宜分包的理由是：</w:t>
      </w:r>
      <w:r>
        <w:rPr>
          <w:rFonts w:hint="eastAsia" w:cs="宋体"/>
          <w:color w:val="auto"/>
          <w:kern w:val="2"/>
          <w:sz w:val="21"/>
          <w:szCs w:val="21"/>
          <w:highlight w:val="none"/>
          <w:u w:val="single"/>
          <w:lang w:val="en-US" w:eastAsia="zh-CN" w:bidi="ar"/>
        </w:rPr>
        <w:t>项目内容整体不可分割</w:t>
      </w:r>
      <w:r>
        <w:rPr>
          <w:rFonts w:hint="eastAsia" w:ascii="宋体" w:hAnsi="宋体" w:eastAsia="宋体" w:cs="宋体"/>
          <w:color w:val="auto"/>
          <w:kern w:val="2"/>
          <w:sz w:val="21"/>
          <w:szCs w:val="21"/>
          <w:highlight w:val="none"/>
          <w:u w:val="single"/>
          <w:lang w:val="en-US" w:eastAsia="zh-CN" w:bidi="ar"/>
        </w:rPr>
        <w:t>。</w:t>
      </w:r>
    </w:p>
    <w:p>
      <w:pPr>
        <w:adjustRightInd w:val="0"/>
        <w:snapToGrid w:val="0"/>
        <w:spacing w:line="288" w:lineRule="auto"/>
        <w:ind w:firstLine="420" w:firstLineChars="200"/>
        <w:rPr>
          <w:color w:val="auto"/>
          <w:sz w:val="21"/>
          <w:szCs w:val="21"/>
          <w:highlight w:val="none"/>
        </w:rPr>
      </w:pPr>
      <w:r>
        <w:rPr>
          <w:rFonts w:hint="eastAsia" w:ascii="宋体" w:hAnsi="宋体" w:eastAsia="宋体" w:cs="宋体"/>
          <w:color w:val="auto"/>
          <w:kern w:val="2"/>
          <w:sz w:val="21"/>
          <w:szCs w:val="21"/>
          <w:highlight w:val="none"/>
          <w:lang w:val="en-US" w:eastAsia="zh-CN" w:bidi="ar"/>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3" w:name="_Hlk92273406"/>
      <w:bookmarkStart w:id="34"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3"/>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color w:val="auto"/>
          <w:spacing w:val="-6"/>
          <w:kern w:val="0"/>
          <w:sz w:val="21"/>
          <w:szCs w:val="21"/>
          <w:highlight w:val="none"/>
        </w:rPr>
      </w:pPr>
      <w:bookmarkStart w:id="35"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6" w:name="_Hlk96329193"/>
      <w:r>
        <w:rPr>
          <w:rFonts w:hint="eastAsia"/>
          <w:color w:val="auto"/>
          <w:sz w:val="21"/>
          <w:szCs w:val="21"/>
          <w:highlight w:val="none"/>
        </w:rPr>
        <w:t>，供应商应写全称。</w:t>
      </w:r>
      <w:bookmarkEnd w:id="36"/>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6"/>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（2）未提供或未按要求提供投标函、授权委托书；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（3）委托授权代表参加投标但未提供符合要求的授权代表社保缴纳证明；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（2）最后报价具有选择性的</w:t>
      </w:r>
      <w:r>
        <w:rPr>
          <w:rFonts w:hint="eastAsia"/>
          <w:color w:val="auto"/>
          <w:sz w:val="21"/>
          <w:szCs w:val="21"/>
          <w:highlight w:val="none"/>
          <w:lang w:eastAsia="zh-CN"/>
        </w:rPr>
        <w:t>；</w:t>
      </w:r>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lang w:eastAsia="zh-CN"/>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7"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bookmarkStart w:id="38" w:name="_Hlk117025274"/>
            <w:r>
              <w:rPr>
                <w:rFonts w:hint="eastAsia" w:ascii="宋体" w:hAnsi="宋体" w:eastAsia="宋体" w:cs="宋体"/>
                <w:b/>
                <w:bCs/>
                <w:color w:val="auto"/>
                <w:sz w:val="21"/>
                <w:szCs w:val="21"/>
                <w:highlight w:val="none"/>
              </w:rPr>
              <w:t>评审因素</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bidi="ar"/>
              </w:rPr>
              <w:t>1</w:t>
            </w:r>
            <w:r>
              <w:rPr>
                <w:rFonts w:hint="eastAsia" w:ascii="宋体" w:hAnsi="宋体" w:eastAsia="宋体" w:cs="宋体"/>
                <w:b/>
                <w:color w:val="auto"/>
                <w:sz w:val="21"/>
                <w:szCs w:val="21"/>
                <w:highlight w:val="none"/>
                <w:lang w:bidi="ar"/>
              </w:rPr>
              <w:t>0</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磋商报价得分=（磋商基准价/最后磋商报价）×</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商务</w:t>
            </w:r>
            <w:r>
              <w:rPr>
                <w:rFonts w:hint="eastAsia" w:ascii="宋体" w:hAnsi="宋体" w:eastAsia="宋体" w:cs="宋体"/>
                <w:b/>
                <w:bCs/>
                <w:color w:val="auto"/>
                <w:sz w:val="21"/>
                <w:szCs w:val="21"/>
                <w:highlight w:val="none"/>
              </w:rPr>
              <w:t>技术分（</w:t>
            </w:r>
            <w:r>
              <w:rPr>
                <w:rFonts w:hint="eastAsia" w:ascii="宋体" w:hAnsi="宋体" w:eastAsia="宋体" w:cs="宋体"/>
                <w:b/>
                <w:bCs/>
                <w:color w:val="auto"/>
                <w:sz w:val="21"/>
                <w:szCs w:val="21"/>
                <w:highlight w:val="none"/>
                <w:lang w:val="en-US" w:eastAsia="zh-CN"/>
              </w:rPr>
              <w:t>90</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技术响应程度</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12</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【客观分】不符合（负偏离）技术要求中标注“</w:t>
            </w:r>
            <w:bookmarkStart w:id="39" w:name="_Hlk117025051"/>
            <w:r>
              <w:rPr>
                <w:rFonts w:hint="eastAsia" w:ascii="宋体" w:hAnsi="宋体" w:eastAsia="宋体" w:cs="宋体"/>
                <w:color w:val="auto"/>
                <w:sz w:val="21"/>
                <w:szCs w:val="21"/>
                <w:highlight w:val="none"/>
              </w:rPr>
              <w:t>▲</w:t>
            </w:r>
            <w:bookmarkEnd w:id="39"/>
            <w:r>
              <w:rPr>
                <w:rFonts w:hint="eastAsia" w:ascii="宋体" w:hAnsi="宋体" w:eastAsia="宋体" w:cs="宋体"/>
                <w:color w:val="auto"/>
                <w:sz w:val="21"/>
                <w:szCs w:val="21"/>
                <w:highlight w:val="none"/>
              </w:rPr>
              <w:t>”条款（不可偏离）的响应无效；</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技术条款低于技术要求（负偏离）的，每项扣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软件著作权</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客观分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响应方具有与本项目内容相关的软件著作权的，每提供1份得1分，最高得3分（提供软件著作权证书扫描件，不提供不得分）。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需求理解</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主观分</w:t>
            </w:r>
            <w:r>
              <w:rPr>
                <w:rFonts w:hint="eastAsia" w:ascii="宋体" w:hAnsi="宋体" w:eastAsia="宋体" w:cs="宋体"/>
                <w:color w:val="auto"/>
                <w:sz w:val="21"/>
                <w:szCs w:val="21"/>
                <w:highlight w:val="none"/>
                <w:lang w:eastAsia="zh-CN"/>
              </w:rPr>
              <w:t>】响应方对本项目建设背景、项目建设依据、项目建设意义和必要性的理解分析</w:t>
            </w:r>
            <w:r>
              <w:rPr>
                <w:rFonts w:hint="eastAsia" w:ascii="宋体" w:hAnsi="宋体" w:eastAsia="宋体" w:cs="宋体"/>
                <w:color w:val="auto"/>
                <w:sz w:val="21"/>
                <w:szCs w:val="21"/>
                <w:highlight w:val="none"/>
                <w:lang w:val="en-US" w:eastAsia="zh-CN"/>
              </w:rPr>
              <w:t>情况</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响应方</w:t>
            </w:r>
            <w:r>
              <w:rPr>
                <w:rFonts w:hint="eastAsia" w:ascii="宋体" w:hAnsi="宋体" w:eastAsia="宋体" w:cs="宋体"/>
                <w:color w:val="auto"/>
                <w:sz w:val="21"/>
                <w:szCs w:val="21"/>
                <w:highlight w:val="none"/>
                <w:lang w:val="en-US" w:eastAsia="zh-CN"/>
              </w:rPr>
              <w:t>对本项目的内容理解透彻，各项内容分析清楚的得5分；</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响应方对本项目的内容理解基本符合项目实际，但是存在一定欠缺的得3分；</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响应方对本项目的内容理解存在重大欠缺的得1分；</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安全方案</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【主观分】响应方对本项目的安全设计或说明的合理性、完整性情况，包括但不限于数据、数据库、系统软件、应用、接口以及安全防护措施等。</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响应方对本项目的安全设计或说明合理完整的得5分；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响应方对本项目的安全设计或说明基本符合项目实际，但是存在一定欠缺的得3分；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响应方对本项目的安全设计或说明存在重大欠缺的得1分；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技术方案</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【主观分】响应方对技术路线、技术架构、数据交换、组件设计及开发和运行结构设计、实现路线设计及工作流设计、兼容性设计的合理性、完整性设计和说明。</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响应方技术方案合理完整的得5分；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响应方技术方案基本符合项目实际，但是存在一定欠缺的得3分；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响应方技术方案存在重大欠缺的得1分；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实施方案</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主观分】响应方实施方案中项目进度控制计划、供应商承诺的服务效率，供应商前期准备、需求确定管理、需求变更、项目计划跟踪和过程管理、沟通管理、设计编码、测试方案、试运行方案、验收方案合理性、完整性。</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响应方实施方案合理完整的得5分；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响应方实施方案基本符合项目实际，但是存在一定欠缺的得3分；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响应方实施方案存在重大欠缺的得1分；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kern w:val="2"/>
                <w:sz w:val="21"/>
                <w:szCs w:val="21"/>
                <w:highlight w:val="none"/>
                <w:lang w:val="en-US" w:eastAsia="zh-CN" w:bidi="ar"/>
              </w:rPr>
              <w:t>售后服务</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【主观分】响应方售后服务方案情况，包括售后服务人员安排、定期巡检、软件调整、升级、质保期后的服务承诺、响应情况、售后服务网点的便利性等相关内容。</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响应方售后服务方案合理完整的得5分；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响应方售后服务方案基本符合项目实际，但是存在一定欠缺的得3分；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响应方售后服务方案存在重大欠缺的得1分；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kern w:val="2"/>
                <w:sz w:val="21"/>
                <w:szCs w:val="21"/>
                <w:highlight w:val="none"/>
                <w:lang w:val="en-US" w:eastAsia="zh-CN" w:bidi="ar"/>
              </w:rPr>
              <w:t>培训方案</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【主观分】响应方提供的项目培训计划的相关内容，包括培训对象、日程及费用、培训内容、培训教材等。</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响应方培训方案合理完整的得5分；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响应方培训方案基本符合项目实际，但是存在一定欠缺的得3分；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响应方培训方案存在重大欠缺的得1分；</w:t>
            </w:r>
          </w:p>
          <w:p>
            <w:pPr>
              <w:keepNext w:val="0"/>
              <w:keepLines w:val="0"/>
              <w:widowControl w:val="0"/>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功能模块</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0"/>
              </w:numPr>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【主观分】移动端/个人空间模块包括：用户登陆、用户注册、个人信息查看、我的消息、修改密码功能。</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技术实施路线清晰、功能模块建设方案科学全面、满足采购需求得5分；</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实施路线基本可行、方案基本全面、基本满足采购需求得3分；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实施路线不明确、方案不全面、不满足采购需求得1分；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0"/>
              </w:numPr>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【主观分】移动端课程查询模块包括：公告栏、课程列表、活动列表功能。</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技术实施路线清晰、功能模块建设方案科学全面、满足采购需求得5分；</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实施路线基本可行、方案基本全面、基本满足采购需求得3分；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实施路线不明确、方案不全面、不满足采购需求得1分；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0"/>
              </w:numPr>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【主观分】web端课程管理模块包括：课程操作、课程列表、教师关联、课程详情功能。</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技术实施路线清晰、功能模块建设方案科学全面、满足采购需求得5分；</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实施路线基本可行、方案基本全面、基本满足采购需求得3分；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实施路线不明确、方案不全面、不满足采购需求得1分；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0"/>
              </w:numPr>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【主观分】web端活动管理模块包括：展示交流活动管理、培训活动管理、竞赛活动管理功能。</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技术实施路线清晰、功能模块建设方案科学全面、满足采购需求得5分；</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实施路线基本可行、方案基本全面、基本满足采购需求得3分；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实施路线不明确、方案不全面、不满足采购需求得1分；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【主观分】web端学校管理模块包括：学校列表、管理功能。</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技术实施路线清晰、功能模块建设方案科学全面、满足采购需求得5分；</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实施路线基本可行、方案基本全面、基本满足采购需求得3分；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实施路线不明确、方案不全面、不满足采购需求得1分；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4</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【主观分】web端标签管理模块包括：业务标签体系、标签设置功能。</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技术实施路线清晰、功能模块建设方案科学全面、满足采购需求得4分；</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实施路线基本可行、方案基本全面、基本满足采购需求得2分；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实施路线不明确、方案不全面、不满足采购需求得1分；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4</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【主观分】web端系统管理模块包括：角色管理、人员管理、菜单管理、操作日志功能。</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技术实施路线清晰、功能模块建设方案科学全面、满足采购需求得4分；</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实施路线基本可行、方案基本全面、基本满足采购需求得2分；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实施路线不明确、方案不全面、不满足采购需求得1分；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3</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【主观分】web端个人空间模块包括：登陆/注销、密码修改、我的消息功能。</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技术实施路线清晰、功能模块建设方案科学全面、满足采购需求得3分；</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实施路线基本可行、方案基本全面、基本满足采购需求得2分；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实施路线不明确、方案不全面、不满足采购需求得1分；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83" w:hRule="atLeast"/>
        </w:trPr>
        <w:tc>
          <w:tcPr>
            <w:tcW w:w="1062"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sz w:val="21"/>
                <w:szCs w:val="21"/>
                <w:highlight w:val="none"/>
                <w:lang w:val="en-US" w:eastAsia="zh-CN" w:bidi="ar"/>
              </w:rPr>
            </w:pPr>
            <w:r>
              <w:rPr>
                <w:rFonts w:hint="eastAsia" w:cs="宋体"/>
                <w:b/>
                <w:color w:val="auto"/>
                <w:sz w:val="21"/>
                <w:szCs w:val="21"/>
                <w:highlight w:val="none"/>
                <w:lang w:val="en-US" w:eastAsia="zh-CN" w:bidi="ar"/>
              </w:rPr>
              <w:t>4</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【主观分】web端数据看板模块包括：课程数据、活动数据、赛事荣誉、老师数据、学生数据等数据指标展示。</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技术实施路线清晰、功能模块建设方案科学全面、满足采购需求得</w:t>
            </w:r>
            <w:r>
              <w:rPr>
                <w:rFonts w:hint="eastAsia"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en-US" w:eastAsia="zh-CN" w:bidi="ar"/>
              </w:rPr>
              <w:t>分；</w:t>
            </w:r>
          </w:p>
          <w:p>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实施路线基本可行、方案基本全面、基本满足采购需求得</w:t>
            </w:r>
            <w:r>
              <w:rPr>
                <w:rFonts w:hint="eastAsia"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实施路线不明确、方案不全面、不满足采购需求得1分；</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kern w:val="2"/>
                <w:sz w:val="21"/>
                <w:szCs w:val="21"/>
                <w:lang w:val="en-US" w:eastAsia="zh-CN" w:bidi="ar-SA"/>
              </w:rPr>
            </w:pPr>
            <w:r>
              <w:rPr>
                <w:rFonts w:hint="eastAsia" w:ascii="宋体" w:hAnsi="宋体" w:eastAsia="宋体" w:cs="宋体"/>
                <w:b/>
                <w:bCs/>
                <w:sz w:val="21"/>
                <w:szCs w:val="21"/>
              </w:rPr>
              <w:t>演示</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kern w:val="2"/>
                <w:sz w:val="21"/>
                <w:szCs w:val="21"/>
                <w:lang w:val="en-US" w:eastAsia="zh-CN" w:bidi="ar-SA"/>
              </w:rPr>
            </w:pPr>
            <w:r>
              <w:rPr>
                <w:rFonts w:hint="eastAsia" w:ascii="宋体" w:hAnsi="宋体" w:eastAsia="宋体" w:cs="宋体"/>
                <w:b/>
                <w:bCs/>
                <w:sz w:val="21"/>
                <w:szCs w:val="21"/>
                <w:lang w:val="en-US"/>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供应商根据第二章 采购需求“4.演示”的要求进行演示。每项：</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演示内容完全符合要求的得</w:t>
            </w:r>
            <w:r>
              <w:rPr>
                <w:rFonts w:hint="eastAsia" w:cs="宋体"/>
                <w:kern w:val="2"/>
                <w:sz w:val="21"/>
                <w:szCs w:val="21"/>
                <w:lang w:val="en-US" w:eastAsia="zh-CN" w:bidi="ar-SA"/>
              </w:rPr>
              <w:t>1</w:t>
            </w:r>
            <w:r>
              <w:rPr>
                <w:rFonts w:hint="eastAsia" w:ascii="宋体" w:hAnsi="宋体" w:eastAsia="宋体" w:cs="宋体"/>
                <w:kern w:val="2"/>
                <w:sz w:val="21"/>
                <w:szCs w:val="21"/>
                <w:lang w:val="en-US" w:eastAsia="zh-CN" w:bidi="ar-SA"/>
              </w:rPr>
              <w:t>分；</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演示内容存在欠缺的得</w:t>
            </w:r>
            <w:r>
              <w:rPr>
                <w:rFonts w:hint="eastAsia" w:cs="宋体"/>
                <w:kern w:val="2"/>
                <w:sz w:val="21"/>
                <w:szCs w:val="21"/>
                <w:lang w:val="en-US" w:eastAsia="zh-CN" w:bidi="ar-SA"/>
              </w:rPr>
              <w:t>0</w:t>
            </w:r>
            <w:r>
              <w:rPr>
                <w:rFonts w:hint="eastAsia" w:ascii="宋体" w:hAnsi="宋体" w:eastAsia="宋体" w:cs="宋体"/>
                <w:kern w:val="2"/>
                <w:sz w:val="21"/>
                <w:szCs w:val="21"/>
                <w:lang w:val="en-US" w:eastAsia="zh-CN" w:bidi="ar-SA"/>
              </w:rPr>
              <w:t>.5分；</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未提供单项演示内容的不得分。</w:t>
            </w:r>
          </w:p>
        </w:tc>
      </w:tr>
      <w:bookmarkEnd w:id="38"/>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QSZB-Z(F)-B23410(CS)</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确认书编号：</w:t>
      </w:r>
      <w:r>
        <w:rPr>
          <w:rFonts w:hint="eastAsia"/>
          <w:color w:val="auto"/>
          <w:spacing w:val="-6"/>
          <w:sz w:val="21"/>
          <w:szCs w:val="21"/>
          <w:highlight w:val="none"/>
          <w:lang w:eastAsia="zh-CN"/>
        </w:rPr>
        <w:t>[2023]54951号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eastAsia="zh-CN"/>
        </w:rPr>
        <w:t>科创教育数字化平台</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 xml:space="preserve">   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 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hint="eastAsia" w:eastAsia="宋体" w:cs="Times New Roman"/>
          <w:color w:val="auto"/>
          <w:spacing w:val="-6"/>
          <w:sz w:val="21"/>
          <w:szCs w:val="21"/>
          <w:highlight w:val="none"/>
          <w:lang w:eastAsia="zh-CN"/>
        </w:rPr>
      </w:pPr>
      <w:r>
        <w:rPr>
          <w:rFonts w:hint="eastAsia"/>
          <w:color w:val="auto"/>
          <w:spacing w:val="-6"/>
          <w:sz w:val="21"/>
          <w:szCs w:val="21"/>
          <w:highlight w:val="none"/>
        </w:rPr>
        <w:t>乙方应保证所提供的货物或其任何一部分均不会侵犯任何第三方的知识产权</w:t>
      </w:r>
      <w:r>
        <w:rPr>
          <w:rFonts w:hint="eastAsia"/>
          <w:color w:val="auto"/>
          <w:spacing w:val="-6"/>
          <w:sz w:val="21"/>
          <w:szCs w:val="21"/>
          <w:highlight w:val="none"/>
          <w:lang w:eastAsia="zh-CN"/>
        </w:rPr>
        <w:t>。</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w:t>
      </w:r>
      <w:r>
        <w:rPr>
          <w:rFonts w:hint="eastAsia"/>
          <w:b/>
          <w:color w:val="auto"/>
          <w:spacing w:val="-6"/>
          <w:sz w:val="21"/>
          <w:szCs w:val="21"/>
          <w:highlight w:val="none"/>
          <w:lang w:val="en-US" w:eastAsia="zh-CN"/>
        </w:rPr>
        <w:t>付</w:t>
      </w:r>
      <w:r>
        <w:rPr>
          <w:rFonts w:hint="eastAsia"/>
          <w:b/>
          <w:color w:val="auto"/>
          <w:spacing w:val="-6"/>
          <w:sz w:val="21"/>
          <w:szCs w:val="21"/>
          <w:highlight w:val="none"/>
        </w:rPr>
        <w:t>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w:t>
      </w:r>
      <w:r>
        <w:rPr>
          <w:rFonts w:hint="eastAsia" w:cs="Times New Roman"/>
          <w:color w:val="auto"/>
          <w:spacing w:val="-6"/>
          <w:sz w:val="21"/>
          <w:szCs w:val="21"/>
          <w:highlight w:val="none"/>
          <w:lang w:val="en-US" w:eastAsia="zh-CN"/>
        </w:rPr>
        <w:t>付</w:t>
      </w:r>
      <w:r>
        <w:rPr>
          <w:rFonts w:hint="eastAsia" w:cs="Times New Roman"/>
          <w:color w:val="auto"/>
          <w:spacing w:val="-6"/>
          <w:sz w:val="21"/>
          <w:szCs w:val="21"/>
          <w:highlight w:val="none"/>
        </w:rPr>
        <w:t>时间：自合同签订之日起90日历天内完成系统设计、开发、上线，通过初验后试运行30日历天，并通过终验。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2.交付地点：甲方指定地点。</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hint="eastAsia"/>
          <w:color w:val="auto"/>
          <w:spacing w:val="-6"/>
          <w:sz w:val="21"/>
          <w:szCs w:val="21"/>
          <w:highlight w:val="none"/>
        </w:rPr>
      </w:pPr>
      <w:r>
        <w:rPr>
          <w:rFonts w:hint="eastAsia"/>
          <w:color w:val="auto"/>
          <w:spacing w:val="-6"/>
          <w:sz w:val="21"/>
          <w:szCs w:val="21"/>
          <w:highlight w:val="none"/>
        </w:rPr>
        <w:t>1.质保期内供应商应提供免费的售后服务，包括邮件、电话、远程维护、现场服务等方式。</w:t>
      </w:r>
    </w:p>
    <w:p>
      <w:pPr>
        <w:snapToGrid w:val="0"/>
        <w:spacing w:line="288" w:lineRule="auto"/>
        <w:ind w:right="26" w:rightChars="11" w:firstLine="420"/>
        <w:rPr>
          <w:rFonts w:hint="eastAsia"/>
          <w:color w:val="auto"/>
          <w:spacing w:val="-6"/>
          <w:sz w:val="21"/>
          <w:szCs w:val="21"/>
          <w:highlight w:val="none"/>
        </w:rPr>
      </w:pPr>
      <w:r>
        <w:rPr>
          <w:rFonts w:hint="eastAsia"/>
          <w:color w:val="auto"/>
          <w:spacing w:val="-6"/>
          <w:sz w:val="21"/>
          <w:szCs w:val="21"/>
          <w:highlight w:val="none"/>
        </w:rPr>
        <w:t>2.项目运维期间供应商应提供7*24小时技术服务，提供电话支持、远程维护、现场维护等多种服务方式。同时，为了保证售后服务质量，供应商应定期对项目的运行情况进行检查。</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3.服务响应时间：在系统（设备）出现故障2小时内给予响应，如不能解决，在故障发生的2小时内，派技术人员到现场，6小时内解决问题。</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6.</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1.履约保证金：</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提交方式：支票、汇票、本票或金融机构、担保机构出具的保函等非现金形式或银行转账。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注：履约保证金如采用银行转账方式提交，具体转账信息如下：</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收款单位（户名）：杭州电子科技大学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2.付款方式：</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1</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合同生效以及具备实施条件后7个工作日内，且乙方已向甲方提交银行、保险公司等金融机构出具的预付款保函的，甲方向乙方支付合同总价的40%；乙方安装调试完毕并经甲方验收合格后，甲方在收到发票后7个工作日内，向乙方支付合同总价的60%。</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val="en-US" w:eastAsia="zh-CN"/>
        </w:rPr>
        <w:t>（2）</w:t>
      </w:r>
      <w:r>
        <w:rPr>
          <w:rFonts w:hint="eastAsia" w:cs="Times New Roman"/>
          <w:bCs/>
          <w:color w:val="auto"/>
          <w:spacing w:val="-6"/>
          <w:sz w:val="21"/>
          <w:szCs w:val="21"/>
          <w:highlight w:val="none"/>
        </w:rPr>
        <w:t>在签订合同时，乙方明确表示无需预付款或者主动要求降低预付款比例的，可降低预付款比例（预付款保函同步调整）。</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val="en-US" w:eastAsia="zh-CN"/>
        </w:rPr>
        <w:t>（3）</w:t>
      </w:r>
      <w:r>
        <w:rPr>
          <w:rFonts w:hint="eastAsia" w:cs="Times New Roman"/>
          <w:bCs/>
          <w:color w:val="auto"/>
          <w:spacing w:val="-6"/>
          <w:sz w:val="21"/>
          <w:szCs w:val="21"/>
          <w:highlight w:val="none"/>
        </w:rPr>
        <w:t>乙方明确表示无需预付款时，付款方式按以下要求执行：经甲方初步验收后5个工作日内，甲方向乙方支付合同总价的75%；乙方安装调试完毕并经甲方验收合格后，甲方向乙方支付合同总价的25%。</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1.</w:t>
      </w:r>
      <w:r>
        <w:rPr>
          <w:rFonts w:hint="eastAsia"/>
          <w:color w:val="auto"/>
          <w:spacing w:val="-6"/>
          <w:sz w:val="21"/>
          <w:szCs w:val="21"/>
          <w:highlight w:val="none"/>
        </w:rPr>
        <w:t>乙方逾期履行合同的，自逾期之日起，向甲方每日偿付合同总价千分之五的滞纳金。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2.</w:t>
      </w:r>
      <w:r>
        <w:rPr>
          <w:rFonts w:hint="eastAsia"/>
          <w:color w:val="auto"/>
          <w:spacing w:val="-6"/>
          <w:sz w:val="21"/>
          <w:szCs w:val="21"/>
          <w:highlight w:val="none"/>
        </w:rPr>
        <w:t>甲方逾期支付货款的，自逾期之日起，向乙方每日偿付未付价款千分之五的滞纳金。</w:t>
      </w:r>
    </w:p>
    <w:p>
      <w:pPr>
        <w:numPr>
          <w:ilvl w:val="0"/>
          <w:numId w:val="0"/>
        </w:numPr>
        <w:tabs>
          <w:tab w:val="left" w:pos="0"/>
        </w:tabs>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3.</w:t>
      </w: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4.</w:t>
      </w: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40"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40"/>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1"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p>
    <w:p>
      <w:pPr>
        <w:adjustRightInd w:val="0"/>
        <w:snapToGrid w:val="0"/>
        <w:spacing w:line="288" w:lineRule="auto"/>
        <w:ind w:firstLine="422" w:firstLineChars="200"/>
        <w:rPr>
          <w:rFonts w:hint="eastAsia"/>
          <w:b/>
          <w:bCs/>
          <w:color w:val="auto"/>
          <w:sz w:val="21"/>
          <w:szCs w:val="21"/>
          <w:highlight w:val="none"/>
        </w:rPr>
      </w:pPr>
      <w:r>
        <w:rPr>
          <w:rFonts w:hint="eastAsia"/>
          <w:b/>
          <w:bCs/>
          <w:color w:val="auto"/>
          <w:sz w:val="21"/>
          <w:szCs w:val="21"/>
          <w:highlight w:val="none"/>
        </w:rPr>
        <w:t>中小企业声明函（若属于中小企业）</w:t>
      </w:r>
    </w:p>
    <w:p>
      <w:pPr>
        <w:adjustRightInd w:val="0"/>
        <w:snapToGrid w:val="0"/>
        <w:spacing w:line="288" w:lineRule="auto"/>
        <w:ind w:firstLine="422" w:firstLineChars="200"/>
        <w:rPr>
          <w:rFonts w:hint="eastAsia"/>
          <w:b/>
          <w:bCs/>
          <w:color w:val="auto"/>
          <w:sz w:val="21"/>
          <w:szCs w:val="21"/>
          <w:highlight w:val="none"/>
        </w:rPr>
      </w:pPr>
      <w:r>
        <w:rPr>
          <w:rFonts w:hint="eastAsia"/>
          <w:b/>
          <w:bCs/>
          <w:color w:val="auto"/>
          <w:sz w:val="21"/>
          <w:szCs w:val="21"/>
          <w:highlight w:val="none"/>
        </w:rPr>
        <w:t>属于监狱企业的证明文件（若属于监狱企业）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41"/>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2023年1月</w:t>
      </w:r>
      <w:r>
        <w:rPr>
          <w:rFonts w:hint="eastAsia"/>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5）</w:t>
      </w:r>
      <w:bookmarkStart w:id="42" w:name="_Hlk71884196"/>
      <w:r>
        <w:rPr>
          <w:color w:val="auto"/>
          <w:sz w:val="21"/>
          <w:szCs w:val="21"/>
          <w:highlight w:val="none"/>
        </w:rPr>
        <w:t>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6</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2"/>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3" w:name="_Hlk94097338"/>
      <w:r>
        <w:rPr>
          <w:rFonts w:hint="eastAsia"/>
          <w:b/>
          <w:bCs/>
          <w:color w:val="auto"/>
          <w:sz w:val="21"/>
          <w:szCs w:val="21"/>
          <w:highlight w:val="none"/>
        </w:rPr>
        <w:t>资格审查要求的资格证明材料(均需加盖公章)</w:t>
      </w:r>
    </w:p>
    <w:bookmarkEnd w:id="43"/>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98" w:firstLineChars="236"/>
        <w:jc w:val="center"/>
        <w:outlineLvl w:val="2"/>
        <w:rPr>
          <w:b/>
          <w:bCs/>
          <w:color w:val="auto"/>
          <w:sz w:val="21"/>
          <w:szCs w:val="21"/>
          <w:highlight w:val="none"/>
        </w:rPr>
      </w:pPr>
    </w:p>
    <w:p>
      <w:pPr>
        <w:adjustRightInd w:val="0"/>
        <w:snapToGrid w:val="0"/>
        <w:spacing w:line="288" w:lineRule="auto"/>
        <w:ind w:firstLine="498" w:firstLineChars="236"/>
        <w:jc w:val="center"/>
        <w:outlineLvl w:val="2"/>
        <w:rPr>
          <w:b/>
          <w:bCs/>
          <w:color w:val="auto"/>
          <w:sz w:val="21"/>
          <w:szCs w:val="21"/>
          <w:highlight w:val="none"/>
        </w:rPr>
      </w:pPr>
      <w:r>
        <w:rPr>
          <w:b/>
          <w:bCs/>
          <w:color w:val="auto"/>
          <w:sz w:val="21"/>
          <w:szCs w:val="21"/>
          <w:highlight w:val="none"/>
        </w:rPr>
        <w:t>中小企业声明函（服务）</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本公司（联合体）郑重声明，根据《政府采购促进中小企业发展管理办法》（财库</w:t>
      </w:r>
      <w:r>
        <w:rPr>
          <w:rFonts w:hint="eastAsia"/>
          <w:i w:val="0"/>
          <w:iCs w:val="0"/>
          <w:color w:val="auto"/>
          <w:sz w:val="21"/>
          <w:szCs w:val="21"/>
          <w:highlight w:val="none"/>
        </w:rPr>
        <w:t>﹝</w:t>
      </w:r>
      <w:r>
        <w:rPr>
          <w:i w:val="0"/>
          <w:iCs w:val="0"/>
          <w:color w:val="auto"/>
          <w:sz w:val="21"/>
          <w:szCs w:val="21"/>
          <w:highlight w:val="none"/>
        </w:rPr>
        <w:t>2020</w:t>
      </w:r>
      <w:r>
        <w:rPr>
          <w:rFonts w:hint="eastAsia"/>
          <w:i w:val="0"/>
          <w:iCs w:val="0"/>
          <w:color w:val="auto"/>
          <w:sz w:val="21"/>
          <w:szCs w:val="21"/>
          <w:highlight w:val="none"/>
        </w:rPr>
        <w:t>﹞</w:t>
      </w:r>
      <w:r>
        <w:rPr>
          <w:i w:val="0"/>
          <w:iCs w:val="0"/>
          <w:color w:val="auto"/>
          <w:sz w:val="21"/>
          <w:szCs w:val="21"/>
          <w:highlight w:val="none"/>
        </w:rPr>
        <w:t>46 号）的规定，本公司（联合体）参加</w:t>
      </w:r>
      <w:r>
        <w:rPr>
          <w:rFonts w:hint="eastAsia"/>
          <w:i w:val="0"/>
          <w:iCs w:val="0"/>
          <w:color w:val="auto"/>
          <w:sz w:val="21"/>
          <w:szCs w:val="21"/>
          <w:highlight w:val="none"/>
          <w:u w:val="single"/>
          <w:lang w:val="en-US" w:eastAsia="zh-CN"/>
        </w:rPr>
        <w:t>杭州电子科技大学</w:t>
      </w:r>
      <w:r>
        <w:rPr>
          <w:i w:val="0"/>
          <w:iCs w:val="0"/>
          <w:color w:val="auto"/>
          <w:sz w:val="21"/>
          <w:szCs w:val="21"/>
          <w:highlight w:val="none"/>
        </w:rPr>
        <w:t>的</w:t>
      </w:r>
      <w:r>
        <w:rPr>
          <w:rFonts w:hint="eastAsia"/>
          <w:i w:val="0"/>
          <w:iCs w:val="0"/>
          <w:color w:val="auto"/>
          <w:sz w:val="21"/>
          <w:szCs w:val="21"/>
          <w:highlight w:val="none"/>
          <w:u w:val="single"/>
        </w:rPr>
        <w:t>科创教育数字化平台</w:t>
      </w:r>
      <w:r>
        <w:rPr>
          <w:i w:val="0"/>
          <w:iCs w:val="0"/>
          <w:color w:val="auto"/>
          <w:sz w:val="21"/>
          <w:szCs w:val="21"/>
          <w:highlight w:val="none"/>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rFonts w:hint="eastAsia" w:eastAsia="宋体"/>
          <w:i w:val="0"/>
          <w:iCs w:val="0"/>
          <w:color w:val="auto"/>
          <w:sz w:val="21"/>
          <w:szCs w:val="21"/>
          <w:highlight w:val="none"/>
          <w:u w:val="single"/>
          <w:lang w:eastAsia="zh-CN"/>
        </w:rPr>
      </w:pPr>
      <w:r>
        <w:rPr>
          <w:rFonts w:hint="eastAsia"/>
          <w:i w:val="0"/>
          <w:iCs w:val="0"/>
          <w:color w:val="auto"/>
          <w:sz w:val="21"/>
          <w:szCs w:val="21"/>
          <w:highlight w:val="none"/>
          <w:u w:val="single"/>
        </w:rPr>
        <w:t>1</w:t>
      </w:r>
      <w:r>
        <w:rPr>
          <w:i w:val="0"/>
          <w:iCs w:val="0"/>
          <w:color w:val="auto"/>
          <w:sz w:val="21"/>
          <w:szCs w:val="21"/>
          <w:highlight w:val="none"/>
          <w:u w:val="single"/>
        </w:rPr>
        <w:t>.</w:t>
      </w:r>
      <w:r>
        <w:rPr>
          <w:rFonts w:hint="eastAsia"/>
          <w:i w:val="0"/>
          <w:iCs w:val="0"/>
          <w:color w:val="auto"/>
          <w:sz w:val="21"/>
          <w:szCs w:val="21"/>
          <w:highlight w:val="none"/>
          <w:u w:val="single"/>
        </w:rPr>
        <w:t>科创教育数字化平台</w:t>
      </w:r>
      <w:r>
        <w:rPr>
          <w:i w:val="0"/>
          <w:iCs w:val="0"/>
          <w:color w:val="auto"/>
          <w:sz w:val="21"/>
          <w:szCs w:val="21"/>
          <w:highlight w:val="none"/>
          <w:u w:val="single"/>
        </w:rPr>
        <w:t>，属于</w:t>
      </w:r>
      <w:r>
        <w:rPr>
          <w:rFonts w:hint="eastAsia"/>
          <w:i w:val="0"/>
          <w:iCs w:val="0"/>
          <w:color w:val="auto"/>
          <w:sz w:val="21"/>
          <w:szCs w:val="21"/>
          <w:highlight w:val="none"/>
          <w:u w:val="single"/>
          <w:lang w:val="en-US" w:eastAsia="zh-CN"/>
        </w:rPr>
        <w:t>软件和信息技术服务业</w:t>
      </w:r>
      <w:r>
        <w:rPr>
          <w:i w:val="0"/>
          <w:iCs w:val="0"/>
          <w:color w:val="auto"/>
          <w:sz w:val="21"/>
          <w:szCs w:val="21"/>
          <w:highlight w:val="none"/>
          <w:u w:val="single"/>
        </w:rPr>
        <w:t>；</w:t>
      </w:r>
      <w:r>
        <w:rPr>
          <w:i w:val="0"/>
          <w:iCs w:val="0"/>
          <w:color w:val="auto"/>
          <w:sz w:val="21"/>
          <w:szCs w:val="21"/>
          <w:highlight w:val="none"/>
        </w:rPr>
        <w:t>承接企业为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lang w:eastAsia="zh-CN"/>
        </w:rPr>
        <w:t>。</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1.</w:t>
      </w:r>
      <w:r>
        <w:rPr>
          <w:rFonts w:hint="eastAsia"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2.</w:t>
      </w:r>
      <w:r>
        <w:rPr>
          <w:rFonts w:hint="eastAsia"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4</w:t>
      </w:r>
      <w:r>
        <w:rPr>
          <w:rFonts w:hint="eastAsia"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imes New Roman"/>
          <w:color w:val="auto"/>
          <w:sz w:val="21"/>
          <w:szCs w:val="22"/>
          <w:highlight w:val="none"/>
          <w:u w:val="single"/>
        </w:rPr>
      </w:pPr>
      <w:r>
        <w:rPr>
          <w:rFonts w:cs="Times New Roman"/>
          <w:color w:val="auto"/>
          <w:sz w:val="21"/>
          <w:szCs w:val="21"/>
          <w:highlight w:val="none"/>
          <w:u w:val="single"/>
        </w:rPr>
        <w:t>5.</w:t>
      </w:r>
      <w:r>
        <w:rPr>
          <w:rFonts w:hint="eastAsia"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cs="Times New Roman"/>
          <w:color w:val="auto"/>
          <w:sz w:val="21"/>
          <w:szCs w:val="22"/>
          <w:highlight w:val="none"/>
          <w:u w:val="single"/>
        </w:rPr>
        <w:t>不享受中小企业扶持政策。</w:t>
      </w:r>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u w:val="single"/>
        </w:rPr>
        <w:t>6</w:t>
      </w:r>
      <w:r>
        <w:rPr>
          <w:rFonts w:cs="Times New Roman"/>
          <w:color w:val="auto"/>
          <w:sz w:val="21"/>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w:t>
      </w:r>
      <w:r>
        <w:rPr>
          <w:rFonts w:hint="eastAsia" w:cs="Times New Roman"/>
          <w:color w:val="auto"/>
          <w:spacing w:val="6"/>
          <w:sz w:val="21"/>
          <w:szCs w:val="21"/>
          <w:highlight w:val="none"/>
          <w:lang w:val="en-US" w:eastAsia="zh-CN"/>
        </w:rPr>
        <w:t>服务</w:t>
      </w:r>
      <w:r>
        <w:rPr>
          <w:rFonts w:hint="eastAsia" w:cs="Times New Roman"/>
          <w:color w:val="auto"/>
          <w:spacing w:val="6"/>
          <w:sz w:val="21"/>
          <w:szCs w:val="21"/>
          <w:highlight w:val="none"/>
        </w:rPr>
        <w:t>。</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科创教育数字化平台</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QSZB-Z(F)-B23410(CS)</w:t>
      </w:r>
    </w:p>
    <w:tbl>
      <w:tblPr>
        <w:tblStyle w:val="1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color w:val="auto"/>
                <w:spacing w:val="-6"/>
                <w:sz w:val="21"/>
                <w:szCs w:val="21"/>
                <w:highlight w:val="none"/>
              </w:rPr>
              <w:t>▲</w:t>
            </w:r>
            <w:r>
              <w:rPr>
                <w:rFonts w:hint="eastAsia" w:cs="Times New Roman"/>
                <w:b/>
                <w:color w:val="auto"/>
                <w:spacing w:val="-6"/>
                <w:sz w:val="21"/>
                <w:szCs w:val="21"/>
                <w:highlight w:val="none"/>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w:t>
      </w:r>
      <w:r>
        <w:rPr>
          <w:rFonts w:hint="eastAsia" w:cs="Times New Roman"/>
          <w:bCs/>
          <w:color w:val="auto"/>
          <w:spacing w:val="-6"/>
          <w:sz w:val="21"/>
          <w:szCs w:val="21"/>
          <w:highlight w:val="none"/>
          <w:u w:val="single"/>
          <w:lang w:eastAsia="zh-CN"/>
        </w:rPr>
        <w:t>科创教育数字化平台</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QSZB-Z(F)-B23410(CS)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w:t>
      </w:r>
      <w:r>
        <w:rPr>
          <w:rFonts w:hint="eastAsia" w:cs="Times New Roman"/>
          <w:bCs/>
          <w:color w:val="auto"/>
          <w:spacing w:val="-6"/>
          <w:sz w:val="21"/>
          <w:szCs w:val="21"/>
          <w:highlight w:val="none"/>
          <w:lang w:eastAsia="zh-CN"/>
        </w:rPr>
        <w:t>科创教育数字化平台</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QSZB-Z(F)-B23410(CS)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2023年1月</w:t>
      </w:r>
      <w:r>
        <w:rPr>
          <w:rFonts w:hint="eastAsia" w:cs="Times New Roman"/>
          <w:color w:val="auto"/>
          <w:spacing w:val="-6"/>
          <w:sz w:val="21"/>
          <w:szCs w:val="21"/>
          <w:highlight w:val="none"/>
          <w:u w:val="single"/>
        </w:rPr>
        <w:t>（含）以后任意一月）。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29"/>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2023年1月</w:t>
      </w:r>
      <w:r>
        <w:rPr>
          <w:rFonts w:hint="eastAsia" w:cs="Times New Roman"/>
          <w:b/>
          <w:bCs/>
          <w:color w:val="auto"/>
          <w:sz w:val="21"/>
          <w:szCs w:val="21"/>
          <w:highlight w:val="none"/>
        </w:rPr>
        <w:t>（含）以后任意一月）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科创教育数字化平台</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QSZB-Z(F)-B23410(CS)</w:t>
      </w:r>
    </w:p>
    <w:tbl>
      <w:tblPr>
        <w:tblStyle w:val="1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rFonts w:hint="eastAsia"/>
          <w:b/>
          <w:color w:val="auto"/>
          <w:spacing w:val="-6"/>
          <w:sz w:val="21"/>
          <w:szCs w:val="21"/>
          <w:highlight w:val="none"/>
        </w:rPr>
      </w:pPr>
      <w:bookmarkStart w:id="44" w:name="_Hlk71885757"/>
      <w:r>
        <w:rPr>
          <w:rFonts w:hint="eastAsia"/>
          <w:b/>
          <w:color w:val="auto"/>
          <w:spacing w:val="-6"/>
          <w:sz w:val="21"/>
          <w:szCs w:val="21"/>
          <w:highlight w:val="none"/>
        </w:rPr>
        <w:t>（</w:t>
      </w:r>
      <w:r>
        <w:rPr>
          <w:rFonts w:hint="eastAsia"/>
          <w:b/>
          <w:color w:val="auto"/>
          <w:spacing w:val="-6"/>
          <w:sz w:val="21"/>
          <w:szCs w:val="21"/>
          <w:highlight w:val="none"/>
          <w:lang w:val="en-US" w:eastAsia="zh-CN"/>
        </w:rPr>
        <w:t>5</w:t>
      </w:r>
      <w:r>
        <w:rPr>
          <w:rFonts w:hint="eastAsia"/>
          <w:b/>
          <w:color w:val="auto"/>
          <w:spacing w:val="-6"/>
          <w:sz w:val="21"/>
          <w:szCs w:val="21"/>
          <w:highlight w:val="none"/>
        </w:rPr>
        <w:t>）技术方案</w:t>
      </w:r>
      <w:bookmarkEnd w:id="44"/>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6</w:t>
      </w:r>
      <w:r>
        <w:rPr>
          <w:rFonts w:hint="eastAsia"/>
          <w:b/>
          <w:color w:val="auto"/>
          <w:spacing w:val="-6"/>
          <w:sz w:val="21"/>
          <w:szCs w:val="21"/>
          <w:highlight w:val="none"/>
        </w:rPr>
        <w:t>）供应商需要说明的其他文件和材料。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en-US" w:eastAsia="zh-CN"/>
        </w:rPr>
        <w:t>为符合要求的小微企业并提供服务</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（未预留份额专门面向中小企业采购的的采购项目，以及预留份额中的非预留部分采购包，接受联合体响应的，联合体其中一方为符合要求的小微企业并提供服务，且其合同份额占到合同总金额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（分包供应商名称）为符合要求的小微企业并提供服务，</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（未预留份额专门面向中小企业采购的的采购项目，以及预留份额中的非预留部分采购包，允许分包的，分包供应商为符合要求的小微企业并提供服务，且其合同份额占到合同总金额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Borders>
        <w:top w:val="none" w:sz="0" w:space="0"/>
        <w:left w:val="none" w:sz="0" w:space="0"/>
        <w:bottom w:val="none" w:sz="0" w:space="0"/>
        <w:right w:val="none" w:sz="0" w:space="0"/>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0000000000000000000"/>
    <w:charset w:val="00"/>
    <w:family w:val="swiss"/>
    <w:pitch w:val="default"/>
    <w:sig w:usb0="00000000" w:usb1="00000000" w:usb2="00000000" w:usb3="00000000" w:csb0="2000019F" w:csb1="4F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5"/>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wYzFkNzQ4MWI4MmEwZjA1MzkwNWQ3YjgwNjY3Zjk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563C9"/>
    <w:rsid w:val="00071F0A"/>
    <w:rsid w:val="000767D0"/>
    <w:rsid w:val="00081FB8"/>
    <w:rsid w:val="00083A4C"/>
    <w:rsid w:val="00083C0E"/>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4529"/>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4395"/>
    <w:rsid w:val="002D5B1A"/>
    <w:rsid w:val="002E42D3"/>
    <w:rsid w:val="002E4A55"/>
    <w:rsid w:val="002E77E1"/>
    <w:rsid w:val="002F0A74"/>
    <w:rsid w:val="002F39B2"/>
    <w:rsid w:val="00301F56"/>
    <w:rsid w:val="00310D2D"/>
    <w:rsid w:val="00312E0A"/>
    <w:rsid w:val="003135FE"/>
    <w:rsid w:val="00313A06"/>
    <w:rsid w:val="003152D0"/>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96C96"/>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4876"/>
    <w:rsid w:val="00467FA3"/>
    <w:rsid w:val="0047650F"/>
    <w:rsid w:val="00477C08"/>
    <w:rsid w:val="0048411A"/>
    <w:rsid w:val="004A7850"/>
    <w:rsid w:val="004B27EF"/>
    <w:rsid w:val="004B5D4B"/>
    <w:rsid w:val="004C0583"/>
    <w:rsid w:val="004C28D6"/>
    <w:rsid w:val="004C48B7"/>
    <w:rsid w:val="004C5538"/>
    <w:rsid w:val="004D29E5"/>
    <w:rsid w:val="004E0163"/>
    <w:rsid w:val="004E5385"/>
    <w:rsid w:val="004E599B"/>
    <w:rsid w:val="004E5BEF"/>
    <w:rsid w:val="004F2F4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1578B"/>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6F5F4B"/>
    <w:rsid w:val="0070138B"/>
    <w:rsid w:val="00705EF5"/>
    <w:rsid w:val="00707602"/>
    <w:rsid w:val="00707B60"/>
    <w:rsid w:val="00711714"/>
    <w:rsid w:val="00712984"/>
    <w:rsid w:val="0071599A"/>
    <w:rsid w:val="00732574"/>
    <w:rsid w:val="007325CF"/>
    <w:rsid w:val="00732CDB"/>
    <w:rsid w:val="0073538E"/>
    <w:rsid w:val="00742B0C"/>
    <w:rsid w:val="00742C0F"/>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26C85"/>
    <w:rsid w:val="008316E0"/>
    <w:rsid w:val="00840283"/>
    <w:rsid w:val="00840FE7"/>
    <w:rsid w:val="00841ADD"/>
    <w:rsid w:val="00843675"/>
    <w:rsid w:val="00850BB1"/>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4BB8"/>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00F7"/>
    <w:rsid w:val="009D152F"/>
    <w:rsid w:val="009D42DC"/>
    <w:rsid w:val="009D5682"/>
    <w:rsid w:val="009D5E5D"/>
    <w:rsid w:val="009D62EA"/>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434A"/>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27A9"/>
    <w:rsid w:val="00AE7769"/>
    <w:rsid w:val="00AE786C"/>
    <w:rsid w:val="00AF26F2"/>
    <w:rsid w:val="00AF74F9"/>
    <w:rsid w:val="00B01EA6"/>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A71CB"/>
    <w:rsid w:val="00BB537B"/>
    <w:rsid w:val="00BC0A2A"/>
    <w:rsid w:val="00BC0C37"/>
    <w:rsid w:val="00BC50DF"/>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3639A"/>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6A16"/>
    <w:rsid w:val="00E174F6"/>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0635"/>
    <w:rsid w:val="00F52C34"/>
    <w:rsid w:val="00F54B3E"/>
    <w:rsid w:val="00F5586F"/>
    <w:rsid w:val="00F60635"/>
    <w:rsid w:val="00F60854"/>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0FF7BB1"/>
    <w:rsid w:val="01151B18"/>
    <w:rsid w:val="017966BD"/>
    <w:rsid w:val="018C0E18"/>
    <w:rsid w:val="01C9286B"/>
    <w:rsid w:val="02350109"/>
    <w:rsid w:val="02480D0E"/>
    <w:rsid w:val="024D1814"/>
    <w:rsid w:val="024E4980"/>
    <w:rsid w:val="02503267"/>
    <w:rsid w:val="02515B60"/>
    <w:rsid w:val="02AE3211"/>
    <w:rsid w:val="037B50A2"/>
    <w:rsid w:val="03E00C4C"/>
    <w:rsid w:val="04047316"/>
    <w:rsid w:val="04107868"/>
    <w:rsid w:val="042639C4"/>
    <w:rsid w:val="04961444"/>
    <w:rsid w:val="05186D7A"/>
    <w:rsid w:val="054B5B9C"/>
    <w:rsid w:val="05530297"/>
    <w:rsid w:val="05921E89"/>
    <w:rsid w:val="059B7960"/>
    <w:rsid w:val="06073472"/>
    <w:rsid w:val="06155FB9"/>
    <w:rsid w:val="061D1B3D"/>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DE444A6"/>
    <w:rsid w:val="0E141B3D"/>
    <w:rsid w:val="0E253E72"/>
    <w:rsid w:val="0E287F77"/>
    <w:rsid w:val="0E856FED"/>
    <w:rsid w:val="0E8F37B9"/>
    <w:rsid w:val="0ECA7929"/>
    <w:rsid w:val="0EE63652"/>
    <w:rsid w:val="0EEC3D3D"/>
    <w:rsid w:val="0F2F3444"/>
    <w:rsid w:val="0F410792"/>
    <w:rsid w:val="0F6277BA"/>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7F959C7"/>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DE77C89"/>
    <w:rsid w:val="1E654A1D"/>
    <w:rsid w:val="1E6A19B1"/>
    <w:rsid w:val="1E7F799F"/>
    <w:rsid w:val="1ECC0DD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4473C"/>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872C6"/>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CE2C3C"/>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4E0562"/>
    <w:rsid w:val="2D614DC2"/>
    <w:rsid w:val="2DA22BE2"/>
    <w:rsid w:val="2DE57108"/>
    <w:rsid w:val="2E2758AF"/>
    <w:rsid w:val="2E3F744B"/>
    <w:rsid w:val="2E70074C"/>
    <w:rsid w:val="2E7942E2"/>
    <w:rsid w:val="2F0F13BF"/>
    <w:rsid w:val="2F0F2FF0"/>
    <w:rsid w:val="2F0F3ED9"/>
    <w:rsid w:val="2F5D35AA"/>
    <w:rsid w:val="2F713FC3"/>
    <w:rsid w:val="30116C8D"/>
    <w:rsid w:val="302B091D"/>
    <w:rsid w:val="302F07D9"/>
    <w:rsid w:val="30376BB9"/>
    <w:rsid w:val="305A7375"/>
    <w:rsid w:val="307A6BF4"/>
    <w:rsid w:val="31186EB7"/>
    <w:rsid w:val="313B765C"/>
    <w:rsid w:val="3179376A"/>
    <w:rsid w:val="31A353BC"/>
    <w:rsid w:val="31B10509"/>
    <w:rsid w:val="31BD5198"/>
    <w:rsid w:val="31C169C5"/>
    <w:rsid w:val="31DB0F40"/>
    <w:rsid w:val="321C1DAA"/>
    <w:rsid w:val="3230228C"/>
    <w:rsid w:val="324637C9"/>
    <w:rsid w:val="3253058A"/>
    <w:rsid w:val="32626B6D"/>
    <w:rsid w:val="327137A1"/>
    <w:rsid w:val="32A97818"/>
    <w:rsid w:val="32B80E90"/>
    <w:rsid w:val="32CC1C4F"/>
    <w:rsid w:val="32D02B38"/>
    <w:rsid w:val="32F73AE0"/>
    <w:rsid w:val="334A2C5B"/>
    <w:rsid w:val="3365747E"/>
    <w:rsid w:val="33A350EF"/>
    <w:rsid w:val="33F97333"/>
    <w:rsid w:val="341C663B"/>
    <w:rsid w:val="34381FFF"/>
    <w:rsid w:val="343D5485"/>
    <w:rsid w:val="34587ADC"/>
    <w:rsid w:val="34777905"/>
    <w:rsid w:val="34AB3225"/>
    <w:rsid w:val="34D978D3"/>
    <w:rsid w:val="34E75F40"/>
    <w:rsid w:val="34EF4ACA"/>
    <w:rsid w:val="34FD3DC3"/>
    <w:rsid w:val="357E28FB"/>
    <w:rsid w:val="35A66274"/>
    <w:rsid w:val="35AF2F94"/>
    <w:rsid w:val="35D76993"/>
    <w:rsid w:val="35EB4CF7"/>
    <w:rsid w:val="35F425D5"/>
    <w:rsid w:val="35FF42F7"/>
    <w:rsid w:val="362B67A1"/>
    <w:rsid w:val="3630581F"/>
    <w:rsid w:val="36553987"/>
    <w:rsid w:val="36806379"/>
    <w:rsid w:val="36E466D7"/>
    <w:rsid w:val="371840E5"/>
    <w:rsid w:val="37551903"/>
    <w:rsid w:val="37A25A49"/>
    <w:rsid w:val="37BD498C"/>
    <w:rsid w:val="37C41E89"/>
    <w:rsid w:val="380C4385"/>
    <w:rsid w:val="383470A5"/>
    <w:rsid w:val="388D2882"/>
    <w:rsid w:val="38981BA0"/>
    <w:rsid w:val="38D9238C"/>
    <w:rsid w:val="39661F6A"/>
    <w:rsid w:val="39773CF9"/>
    <w:rsid w:val="39AC1200"/>
    <w:rsid w:val="39DB35B8"/>
    <w:rsid w:val="3A043B52"/>
    <w:rsid w:val="3A0B08C6"/>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7322F9"/>
    <w:rsid w:val="3E843852"/>
    <w:rsid w:val="3E9632B8"/>
    <w:rsid w:val="3E9F68B5"/>
    <w:rsid w:val="3EB346E9"/>
    <w:rsid w:val="3ECE4E0A"/>
    <w:rsid w:val="3ED04B79"/>
    <w:rsid w:val="3F183797"/>
    <w:rsid w:val="3F491508"/>
    <w:rsid w:val="3F5D7FCB"/>
    <w:rsid w:val="3F5E6491"/>
    <w:rsid w:val="3F9900FB"/>
    <w:rsid w:val="3F9B2115"/>
    <w:rsid w:val="3FEA6AA5"/>
    <w:rsid w:val="3FF7C6A0"/>
    <w:rsid w:val="40522DD7"/>
    <w:rsid w:val="4094290E"/>
    <w:rsid w:val="40C107CA"/>
    <w:rsid w:val="410715B3"/>
    <w:rsid w:val="41124712"/>
    <w:rsid w:val="41224FB8"/>
    <w:rsid w:val="414D2866"/>
    <w:rsid w:val="417F7AFD"/>
    <w:rsid w:val="41B31BED"/>
    <w:rsid w:val="41BE677C"/>
    <w:rsid w:val="41BF2D81"/>
    <w:rsid w:val="41F55CA8"/>
    <w:rsid w:val="42276C78"/>
    <w:rsid w:val="428C51B1"/>
    <w:rsid w:val="42A57FB5"/>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5DA4283"/>
    <w:rsid w:val="46084EAB"/>
    <w:rsid w:val="462D32F3"/>
    <w:rsid w:val="463A7B71"/>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0020C5"/>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9844EC"/>
    <w:rsid w:val="4EC93248"/>
    <w:rsid w:val="4ECB500C"/>
    <w:rsid w:val="4EDF069F"/>
    <w:rsid w:val="4EFE5BE2"/>
    <w:rsid w:val="4EFE6728"/>
    <w:rsid w:val="4F05236E"/>
    <w:rsid w:val="4F0B787A"/>
    <w:rsid w:val="4F1203F1"/>
    <w:rsid w:val="4F187DE9"/>
    <w:rsid w:val="4F210F21"/>
    <w:rsid w:val="4F3718E3"/>
    <w:rsid w:val="4F7B269C"/>
    <w:rsid w:val="4FDA0DAB"/>
    <w:rsid w:val="4FEC3BFA"/>
    <w:rsid w:val="4FF534DD"/>
    <w:rsid w:val="507239EE"/>
    <w:rsid w:val="5088341F"/>
    <w:rsid w:val="50AD2A54"/>
    <w:rsid w:val="50BA7E57"/>
    <w:rsid w:val="50D81BF7"/>
    <w:rsid w:val="50E9335E"/>
    <w:rsid w:val="51013988"/>
    <w:rsid w:val="51084FAC"/>
    <w:rsid w:val="51190415"/>
    <w:rsid w:val="51333A09"/>
    <w:rsid w:val="513738A4"/>
    <w:rsid w:val="51503E94"/>
    <w:rsid w:val="5154538B"/>
    <w:rsid w:val="519C7C5B"/>
    <w:rsid w:val="51D42DB3"/>
    <w:rsid w:val="51D67140"/>
    <w:rsid w:val="51E14A57"/>
    <w:rsid w:val="51E95069"/>
    <w:rsid w:val="51F73AE5"/>
    <w:rsid w:val="51F85346"/>
    <w:rsid w:val="52264409"/>
    <w:rsid w:val="52815EB4"/>
    <w:rsid w:val="52AB3107"/>
    <w:rsid w:val="52BC519A"/>
    <w:rsid w:val="52BF4740"/>
    <w:rsid w:val="52C719B0"/>
    <w:rsid w:val="52EE5E34"/>
    <w:rsid w:val="534B63AE"/>
    <w:rsid w:val="53860027"/>
    <w:rsid w:val="53E4448B"/>
    <w:rsid w:val="54A83322"/>
    <w:rsid w:val="54A9021D"/>
    <w:rsid w:val="54C066C6"/>
    <w:rsid w:val="54C80C1B"/>
    <w:rsid w:val="54E7165D"/>
    <w:rsid w:val="55066D76"/>
    <w:rsid w:val="552D654A"/>
    <w:rsid w:val="552D710B"/>
    <w:rsid w:val="556A04AF"/>
    <w:rsid w:val="557766E3"/>
    <w:rsid w:val="557B0739"/>
    <w:rsid w:val="558E66C9"/>
    <w:rsid w:val="55A5332F"/>
    <w:rsid w:val="55CC5ACC"/>
    <w:rsid w:val="55E36449"/>
    <w:rsid w:val="55F05BDD"/>
    <w:rsid w:val="56026953"/>
    <w:rsid w:val="56226A5D"/>
    <w:rsid w:val="5630006B"/>
    <w:rsid w:val="566136B8"/>
    <w:rsid w:val="569D7FEE"/>
    <w:rsid w:val="56C52FDC"/>
    <w:rsid w:val="56CE0A80"/>
    <w:rsid w:val="56D5788D"/>
    <w:rsid w:val="56F13E4B"/>
    <w:rsid w:val="57063CE5"/>
    <w:rsid w:val="57193C7A"/>
    <w:rsid w:val="57575FE6"/>
    <w:rsid w:val="581731F5"/>
    <w:rsid w:val="5818649C"/>
    <w:rsid w:val="58361F13"/>
    <w:rsid w:val="585F6430"/>
    <w:rsid w:val="5875284A"/>
    <w:rsid w:val="587C6933"/>
    <w:rsid w:val="58B24F2D"/>
    <w:rsid w:val="58B6757E"/>
    <w:rsid w:val="58F275E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3A2C1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8441F3"/>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9FC655A"/>
    <w:rsid w:val="6A010AF2"/>
    <w:rsid w:val="6A1006B3"/>
    <w:rsid w:val="6A311016"/>
    <w:rsid w:val="6A705A68"/>
    <w:rsid w:val="6AB662D5"/>
    <w:rsid w:val="6AC87B09"/>
    <w:rsid w:val="6B080012"/>
    <w:rsid w:val="6B6A57BF"/>
    <w:rsid w:val="6B9078C4"/>
    <w:rsid w:val="6BAB28CC"/>
    <w:rsid w:val="6BC327F3"/>
    <w:rsid w:val="6C3124B6"/>
    <w:rsid w:val="6CD72A2D"/>
    <w:rsid w:val="6CFC400F"/>
    <w:rsid w:val="6D313AF2"/>
    <w:rsid w:val="6D680F11"/>
    <w:rsid w:val="6D9B6FED"/>
    <w:rsid w:val="6DAB31AB"/>
    <w:rsid w:val="6DD17321"/>
    <w:rsid w:val="6DD55516"/>
    <w:rsid w:val="6E642ECA"/>
    <w:rsid w:val="6E6D77D7"/>
    <w:rsid w:val="6E981498"/>
    <w:rsid w:val="6EDD44D5"/>
    <w:rsid w:val="6EE116FE"/>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522301"/>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F097EC6"/>
    <w:rsid w:val="7F1912E0"/>
    <w:rsid w:val="7F2C2FB4"/>
    <w:rsid w:val="7F4935EE"/>
    <w:rsid w:val="7F551A8E"/>
    <w:rsid w:val="7F67411D"/>
    <w:rsid w:val="7F6F60AC"/>
    <w:rsid w:val="7FBE237B"/>
    <w:rsid w:val="BEDCEA5D"/>
    <w:rsid w:val="F4FFF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eastAsia="宋体" w:asciiTheme="majorHAnsi" w:hAnsiTheme="majorHAnsi" w:cstheme="majorBidi"/>
      <w:b/>
      <w:bCs/>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3">
    <w:name w:val="annotation text"/>
    <w:basedOn w:val="1"/>
    <w:link w:val="19"/>
    <w:unhideWhenUsed/>
    <w:qFormat/>
    <w:uiPriority w:val="99"/>
    <w:pPr>
      <w:jc w:val="left"/>
    </w:pPr>
    <w:rPr>
      <w:rFonts w:ascii="Times New Roman" w:hAnsi="Times New Roman" w:cs="Times New Roman"/>
      <w:sz w:val="28"/>
    </w:rPr>
  </w:style>
  <w:style w:type="paragraph" w:styleId="4">
    <w:name w:val="Body Text"/>
    <w:next w:val="1"/>
    <w:qFormat/>
    <w:uiPriority w:val="0"/>
    <w:pPr>
      <w:widowControl w:val="0"/>
      <w:jc w:val="both"/>
    </w:pPr>
    <w:rPr>
      <w:rFonts w:ascii="宋体" w:hAnsi="宋体" w:eastAsia="宋体" w:cs="宋体"/>
      <w:kern w:val="2"/>
      <w:sz w:val="21"/>
      <w:szCs w:val="24"/>
      <w:lang w:val="en-US" w:eastAsia="zh-CN" w:bidi="ar-SA"/>
    </w:rPr>
  </w:style>
  <w:style w:type="paragraph" w:styleId="5">
    <w:name w:val="Body Text Indent"/>
    <w:basedOn w:val="1"/>
    <w:link w:val="20"/>
    <w:qFormat/>
    <w:uiPriority w:val="0"/>
    <w:pPr>
      <w:spacing w:line="200" w:lineRule="atLeast"/>
      <w:ind w:firstLine="301"/>
    </w:pPr>
    <w:rPr>
      <w:rFonts w:hAnsi="Courier New" w:cs="Times New Roman"/>
      <w:spacing w:val="-4"/>
      <w:sz w:val="18"/>
      <w:szCs w:val="20"/>
    </w:rPr>
  </w:style>
  <w:style w:type="paragraph" w:styleId="6">
    <w:name w:val="Plain Text"/>
    <w:basedOn w:val="1"/>
    <w:link w:val="27"/>
    <w:qFormat/>
    <w:uiPriority w:val="99"/>
    <w:pPr>
      <w:spacing w:before="156" w:beforeLines="50" w:after="156" w:afterLines="50" w:line="400" w:lineRule="atLeast"/>
    </w:pPr>
    <w:rPr>
      <w:rFonts w:hAnsi="Courier New" w:eastAsiaTheme="minorEastAsia" w:cstheme="minorBidi"/>
    </w:rPr>
  </w:style>
  <w:style w:type="paragraph" w:styleId="7">
    <w:name w:val="Balloon Text"/>
    <w:basedOn w:val="1"/>
    <w:link w:val="18"/>
    <w:qFormat/>
    <w:uiPriority w:val="0"/>
    <w:rPr>
      <w:sz w:val="18"/>
      <w:szCs w:val="18"/>
    </w:rPr>
  </w:style>
  <w:style w:type="paragraph" w:styleId="8">
    <w:name w:val="footer"/>
    <w:basedOn w:val="1"/>
    <w:link w:val="25"/>
    <w:qFormat/>
    <w:uiPriority w:val="99"/>
    <w:pPr>
      <w:tabs>
        <w:tab w:val="center" w:pos="4153"/>
        <w:tab w:val="right" w:pos="8306"/>
      </w:tabs>
      <w:snapToGrid w:val="0"/>
      <w:jc w:val="left"/>
    </w:pPr>
    <w:rPr>
      <w:sz w:val="18"/>
    </w:rPr>
  </w:style>
  <w:style w:type="paragraph" w:styleId="9">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unhideWhenUsed/>
    <w:qFormat/>
    <w:uiPriority w:val="99"/>
    <w:pPr>
      <w:widowControl/>
      <w:spacing w:before="100" w:beforeAutospacing="1" w:after="100" w:afterAutospacing="1"/>
      <w:jc w:val="left"/>
    </w:pPr>
    <w:rPr>
      <w:kern w:val="0"/>
    </w:rPr>
  </w:style>
  <w:style w:type="paragraph" w:styleId="11">
    <w:name w:val="annotation subject"/>
    <w:basedOn w:val="3"/>
    <w:next w:val="3"/>
    <w:link w:val="28"/>
    <w:semiHidden/>
    <w:unhideWhenUsed/>
    <w:qFormat/>
    <w:uiPriority w:val="0"/>
    <w:rPr>
      <w:rFonts w:ascii="宋体" w:hAnsi="宋体" w:cs="宋体"/>
      <w:b/>
      <w:bCs/>
      <w:sz w:val="24"/>
    </w:rPr>
  </w:style>
  <w:style w:type="paragraph" w:styleId="12">
    <w:name w:val="Body Text First Indent"/>
    <w:qFormat/>
    <w:uiPriority w:val="0"/>
    <w:pPr>
      <w:widowControl w:val="0"/>
      <w:spacing w:after="120" w:line="288" w:lineRule="auto"/>
      <w:ind w:firstLine="420" w:firstLineChars="100"/>
      <w:jc w:val="both"/>
    </w:pPr>
    <w:rPr>
      <w:rFonts w:ascii="Times New Roman" w:hAnsi="Times New Roman" w:eastAsia="宋体" w:cs="Times New Roman"/>
      <w:kern w:val="2"/>
      <w:sz w:val="28"/>
      <w:szCs w:val="24"/>
      <w:lang w:val="en-US" w:eastAsia="zh-CN" w:bidi="ar-SA"/>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6">
    <w:name w:val="Hyperlink"/>
    <w:basedOn w:val="15"/>
    <w:unhideWhenUsed/>
    <w:qFormat/>
    <w:uiPriority w:val="99"/>
    <w:rPr>
      <w:color w:val="0000FF"/>
      <w:u w:val="single"/>
    </w:rPr>
  </w:style>
  <w:style w:type="character" w:styleId="17">
    <w:name w:val="annotation reference"/>
    <w:unhideWhenUsed/>
    <w:qFormat/>
    <w:uiPriority w:val="99"/>
    <w:rPr>
      <w:sz w:val="21"/>
      <w:szCs w:val="21"/>
    </w:rPr>
  </w:style>
  <w:style w:type="character" w:customStyle="1" w:styleId="18">
    <w:name w:val="批注框文本 字符"/>
    <w:basedOn w:val="15"/>
    <w:link w:val="7"/>
    <w:qFormat/>
    <w:uiPriority w:val="0"/>
    <w:rPr>
      <w:rFonts w:ascii="宋体" w:hAnsi="宋体" w:cs="宋体"/>
      <w:kern w:val="2"/>
      <w:sz w:val="18"/>
      <w:szCs w:val="18"/>
    </w:rPr>
  </w:style>
  <w:style w:type="character" w:customStyle="1" w:styleId="19">
    <w:name w:val="批注文字 字符"/>
    <w:basedOn w:val="15"/>
    <w:link w:val="3"/>
    <w:qFormat/>
    <w:uiPriority w:val="99"/>
    <w:rPr>
      <w:kern w:val="2"/>
      <w:sz w:val="28"/>
      <w:szCs w:val="24"/>
    </w:rPr>
  </w:style>
  <w:style w:type="character" w:customStyle="1" w:styleId="20">
    <w:name w:val="正文文本缩进 字符1"/>
    <w:link w:val="5"/>
    <w:qFormat/>
    <w:uiPriority w:val="0"/>
    <w:rPr>
      <w:rFonts w:ascii="宋体" w:hAnsi="Courier New"/>
      <w:spacing w:val="-4"/>
      <w:kern w:val="2"/>
      <w:sz w:val="18"/>
    </w:rPr>
  </w:style>
  <w:style w:type="character" w:customStyle="1" w:styleId="21">
    <w:name w:val="正文文本缩进 字符"/>
    <w:basedOn w:val="15"/>
    <w:qFormat/>
    <w:uiPriority w:val="0"/>
    <w:rPr>
      <w:rFonts w:ascii="宋体" w:hAnsi="宋体" w:cs="宋体"/>
      <w:kern w:val="2"/>
      <w:sz w:val="24"/>
      <w:szCs w:val="24"/>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5"/>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character" w:customStyle="1" w:styleId="25">
    <w:name w:val="页脚 字符"/>
    <w:basedOn w:val="15"/>
    <w:link w:val="8"/>
    <w:qFormat/>
    <w:uiPriority w:val="99"/>
    <w:rPr>
      <w:rFonts w:ascii="宋体" w:hAnsi="宋体" w:cs="宋体"/>
      <w:kern w:val="2"/>
      <w:sz w:val="18"/>
      <w:szCs w:val="24"/>
    </w:rPr>
  </w:style>
  <w:style w:type="character" w:customStyle="1" w:styleId="26">
    <w:name w:val="纯文本 字符"/>
    <w:basedOn w:val="15"/>
    <w:qFormat/>
    <w:uiPriority w:val="0"/>
    <w:rPr>
      <w:rFonts w:hAnsi="Courier New" w:cs="Courier New" w:asciiTheme="minorEastAsia" w:eastAsiaTheme="minorEastAsia"/>
      <w:kern w:val="2"/>
      <w:sz w:val="24"/>
      <w:szCs w:val="24"/>
    </w:rPr>
  </w:style>
  <w:style w:type="character" w:customStyle="1" w:styleId="27">
    <w:name w:val="纯文本 字符1"/>
    <w:link w:val="6"/>
    <w:qFormat/>
    <w:uiPriority w:val="99"/>
    <w:rPr>
      <w:rFonts w:ascii="宋体" w:hAnsi="Courier New" w:eastAsiaTheme="minorEastAsia" w:cstheme="minorBidi"/>
      <w:kern w:val="2"/>
      <w:sz w:val="24"/>
      <w:szCs w:val="24"/>
    </w:rPr>
  </w:style>
  <w:style w:type="character" w:customStyle="1" w:styleId="28">
    <w:name w:val="批注主题 字符"/>
    <w:basedOn w:val="19"/>
    <w:link w:val="11"/>
    <w:semiHidden/>
    <w:qFormat/>
    <w:uiPriority w:val="0"/>
    <w:rPr>
      <w:rFonts w:ascii="宋体" w:hAnsi="宋体" w:cs="宋体"/>
      <w:b/>
      <w:bCs/>
      <w:kern w:val="2"/>
      <w:sz w:val="24"/>
      <w:szCs w:val="24"/>
    </w:rPr>
  </w:style>
  <w:style w:type="table" w:customStyle="1" w:styleId="29">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30">
    <w:name w:val="修订1"/>
    <w:hidden/>
    <w:semiHidden/>
    <w:qFormat/>
    <w:uiPriority w:val="99"/>
    <w:rPr>
      <w:rFonts w:ascii="宋体" w:hAnsi="宋体" w:eastAsia="宋体" w:cs="宋体"/>
      <w:kern w:val="2"/>
      <w:sz w:val="24"/>
      <w:szCs w:val="24"/>
      <w:lang w:val="en-US" w:eastAsia="zh-CN" w:bidi="ar-SA"/>
    </w:rPr>
  </w:style>
  <w:style w:type="character" w:customStyle="1" w:styleId="31">
    <w:name w:val="font41"/>
    <w:basedOn w:val="15"/>
    <w:qFormat/>
    <w:uiPriority w:val="0"/>
    <w:rPr>
      <w:rFonts w:hint="eastAsia" w:ascii="宋体" w:hAnsi="宋体" w:eastAsia="宋体" w:cs="宋体"/>
      <w:color w:val="000000"/>
      <w:sz w:val="22"/>
      <w:szCs w:val="22"/>
      <w:u w:val="none"/>
      <w:vertAlign w:val="superscript"/>
    </w:rPr>
  </w:style>
  <w:style w:type="character" w:customStyle="1" w:styleId="32">
    <w:name w:val="font31"/>
    <w:basedOn w:val="15"/>
    <w:qFormat/>
    <w:uiPriority w:val="0"/>
    <w:rPr>
      <w:rFonts w:hint="eastAsia" w:ascii="宋体" w:hAnsi="宋体" w:eastAsia="宋体" w:cs="宋体"/>
      <w:color w:val="000000"/>
      <w:sz w:val="22"/>
      <w:szCs w:val="22"/>
      <w:u w:val="none"/>
    </w:rPr>
  </w:style>
  <w:style w:type="character" w:customStyle="1" w:styleId="33">
    <w:name w:val="font21"/>
    <w:basedOn w:val="15"/>
    <w:qFormat/>
    <w:uiPriority w:val="0"/>
    <w:rPr>
      <w:rFonts w:ascii="Calibri" w:hAnsi="Calibri" w:cs="Calibri"/>
      <w:color w:val="000000"/>
      <w:sz w:val="24"/>
      <w:szCs w:val="24"/>
      <w:u w:val="none"/>
    </w:rPr>
  </w:style>
  <w:style w:type="character" w:customStyle="1" w:styleId="34">
    <w:name w:val="font51"/>
    <w:basedOn w:val="15"/>
    <w:qFormat/>
    <w:uiPriority w:val="0"/>
    <w:rPr>
      <w:rFonts w:hint="eastAsia" w:ascii="宋体" w:hAnsi="宋体" w:eastAsia="宋体" w:cs="宋体"/>
      <w:color w:val="000000"/>
      <w:sz w:val="24"/>
      <w:szCs w:val="24"/>
      <w:u w:val="none"/>
    </w:rPr>
  </w:style>
  <w:style w:type="character" w:customStyle="1" w:styleId="35">
    <w:name w:val="font11"/>
    <w:basedOn w:val="15"/>
    <w:qFormat/>
    <w:uiPriority w:val="0"/>
    <w:rPr>
      <w:rFonts w:hint="eastAsia" w:ascii="宋体" w:hAnsi="宋体" w:eastAsia="宋体" w:cs="宋体"/>
      <w:color w:val="000000"/>
      <w:sz w:val="24"/>
      <w:szCs w:val="24"/>
      <w:u w:val="none"/>
      <w:vertAlign w:val="superscript"/>
    </w:rPr>
  </w:style>
  <w:style w:type="character" w:customStyle="1" w:styleId="36">
    <w:name w:val="font01"/>
    <w:basedOn w:val="15"/>
    <w:qFormat/>
    <w:uiPriority w:val="0"/>
    <w:rPr>
      <w:rFonts w:hint="default"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5288</Words>
  <Characters>30144</Characters>
  <Lines>1</Lines>
  <Paragraphs>1</Paragraphs>
  <TotalTime>9</TotalTime>
  <ScaleCrop>false</ScaleCrop>
  <LinksUpToDate>false</LinksUpToDate>
  <CharactersWithSpaces>35362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2023-06-09T14:39:00Z</dcterms:created>
  <dc:creator>Administrator</dc:creator>
  <cp:lastModifiedBy>浙江求是招标代理有限公司</cp:lastModifiedBy>
  <cp:lastPrinted>2020-04-01T13:56:00Z</cp:lastPrinted>
  <dcterms:modified xsi:type="dcterms:W3CDTF">2023-10-23T03:38:14Z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A25147998CE34C4AAB8FC012897A114E_13</vt:lpwstr>
  </property>
</Properties>
</file>