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固定式卫星地面站仪器设备采购</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固定式卫星地面站仪器设备采购</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bookmarkStart w:id="75" w:name="_GoBack"/>
      <w:r>
        <w:rPr>
          <w:rFonts w:hint="eastAsia" w:ascii="楷体" w:hAnsi="楷体" w:eastAsia="楷体" w:cs="Times New Roman"/>
          <w:b/>
          <w:color w:val="auto"/>
          <w:spacing w:val="-6"/>
          <w:sz w:val="30"/>
          <w:szCs w:val="30"/>
          <w:highlight w:val="none"/>
          <w:lang w:eastAsia="zh-CN"/>
        </w:rPr>
        <w:t>QSZB-Z(H)-B25145(GK)</w:t>
      </w:r>
      <w:bookmarkEnd w:id="75"/>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[2025]15391号、[2025]15392号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固定式卫星地面站仪器设备采购</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2025年6月4日13:30:00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621"/>
      <w:bookmarkStart w:id="1" w:name="_Toc28359079"/>
      <w:bookmarkStart w:id="2" w:name="_Toc35393790"/>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QSZB-Z(H)-B25145(GK)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固定式卫星地面站仪器设备采购</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6960000元</w:t>
      </w:r>
    </w:p>
    <w:p w14:paraId="11D1D49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.最高限价：6</w:t>
      </w:r>
      <w:r>
        <w:rPr>
          <w:rFonts w:hint="eastAsia" w:ascii="宋体" w:hAnsi="宋体" w:eastAsia="宋体" w:cs="Times New Roman"/>
          <w:color w:val="auto"/>
          <w:szCs w:val="21"/>
          <w:highlight w:val="none"/>
          <w:lang w:val="en-US" w:eastAsia="zh-CN"/>
        </w:rPr>
        <w:t>00</w:t>
      </w:r>
      <w:r>
        <w:rPr>
          <w:rFonts w:hint="eastAsia" w:ascii="宋体" w:hAnsi="宋体" w:eastAsia="宋体" w:cs="Times New Roman"/>
          <w:color w:val="auto"/>
          <w:szCs w:val="21"/>
          <w:highlight w:val="none"/>
        </w:rPr>
        <w:t>0000元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自合同签订之日起150日内交付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4"/>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299"/>
        <w:gridCol w:w="744"/>
        <w:gridCol w:w="650"/>
        <w:gridCol w:w="284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299"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44"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50"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284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299"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固定式卫星地面站</w:t>
            </w:r>
          </w:p>
        </w:tc>
        <w:tc>
          <w:tcPr>
            <w:tcW w:w="744"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50"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套</w:t>
            </w:r>
          </w:p>
        </w:tc>
        <w:tc>
          <w:tcPr>
            <w:tcW w:w="284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14:paraId="0D505C25">
      <w:pPr>
        <w:adjustRightInd w:val="0"/>
        <w:snapToGrid w:val="0"/>
        <w:spacing w:line="288" w:lineRule="auto"/>
        <w:rPr>
          <w:rFonts w:ascii="宋体" w:hAnsi="宋体" w:eastAsia="宋体" w:cs="宋体"/>
          <w:b/>
          <w:color w:val="auto"/>
          <w:szCs w:val="21"/>
          <w:highlight w:val="none"/>
        </w:rPr>
      </w:pPr>
      <w:bookmarkStart w:id="5" w:name="_Toc28359080"/>
      <w:bookmarkStart w:id="6" w:name="_Toc28359003"/>
      <w:bookmarkStart w:id="7" w:name="_Toc35393622"/>
      <w:bookmarkStart w:id="8" w:name="_Toc35393791"/>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14</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2025年6月4日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2025年6月4日13:30:00</w:t>
      </w:r>
      <w:r>
        <w:rPr>
          <w:rFonts w:hint="eastAsia" w:ascii="宋体" w:hAnsi="宋体" w:eastAsia="宋体" w:cs="Times New Roman"/>
          <w:bCs/>
          <w:color w:val="auto"/>
          <w:szCs w:val="21"/>
          <w:highlight w:val="none"/>
        </w:rPr>
        <w:t>（北京时间）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2025年6月4日13:30:00</w:t>
      </w:r>
      <w:r>
        <w:rPr>
          <w:rFonts w:hint="eastAsia" w:ascii="宋体" w:hAnsi="宋体" w:eastAsia="宋体" w:cs="Times New Roman"/>
          <w:bCs/>
          <w:color w:val="auto"/>
          <w:szCs w:val="21"/>
          <w:highlight w:val="none"/>
        </w:rPr>
        <w:t>（北京时间）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07"/>
      <w:bookmarkStart w:id="20" w:name="_Toc35393625"/>
      <w:bookmarkStart w:id="21" w:name="_Toc35393794"/>
      <w:bookmarkStart w:id="22" w:name="_Toc28359084"/>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28359085"/>
      <w:bookmarkStart w:id="30" w:name="_Toc28359008"/>
      <w:bookmarkStart w:id="31" w:name="_Toc35393627"/>
      <w:bookmarkStart w:id="32" w:name="_Toc35393796"/>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4CE544DF">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42B01006">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208FC109">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304D097F">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2393A128">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褚</w:t>
      </w:r>
      <w:r>
        <w:rPr>
          <w:rFonts w:hint="eastAsia" w:ascii="宋体" w:hAnsi="宋体" w:eastAsia="宋体" w:cs="Times New Roman"/>
          <w:color w:val="auto"/>
          <w:szCs w:val="21"/>
          <w:highlight w:val="none"/>
        </w:rPr>
        <w:t>老师</w:t>
      </w:r>
    </w:p>
    <w:p w14:paraId="45513ED4">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项目联系方式（询问）：15104590817</w:t>
      </w:r>
    </w:p>
    <w:p w14:paraId="0DAF432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r>
        <w:rPr>
          <w:rFonts w:hint="eastAsia" w:ascii="宋体" w:hAnsi="宋体" w:eastAsia="宋体" w:cs="Times New Roman"/>
          <w:bCs/>
          <w:color w:val="auto"/>
          <w:spacing w:val="-6"/>
          <w:szCs w:val="21"/>
          <w:highlight w:val="none"/>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01C5F21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2BDFC67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31067E27">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联系人：朱老师、王老师、匡老师</w:t>
      </w:r>
    </w:p>
    <w:p w14:paraId="4D7CAC43">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监督投诉电话：0571-87800218，0571-87227671</w:t>
      </w:r>
    </w:p>
    <w:p w14:paraId="6555F44C">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3C33407C">
      <w:pPr>
        <w:adjustRightInd w:val="0"/>
        <w:snapToGrid w:val="0"/>
        <w:spacing w:line="288" w:lineRule="auto"/>
        <w:outlineLvl w:val="1"/>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5FE9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708" w:type="dxa"/>
            <w:vAlign w:val="center"/>
          </w:tcPr>
          <w:p w14:paraId="77F32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536A32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15B5FB3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2CE6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F35D87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43958E9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098FB24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14:paraId="4408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6639D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4EFD050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C9B4C9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2468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267292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4442068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5A13EA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464CB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C49BA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2777618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3289B11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7A17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42676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0344115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3E01BF9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2BEF9EC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74AB2EB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4834A77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73B6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3E174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1C34998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6C091AB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30FC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238491D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401F52B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28BCB04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5798C604">
      <w:pPr>
        <w:adjustRightInd w:val="0"/>
        <w:snapToGrid w:val="0"/>
        <w:spacing w:line="288" w:lineRule="auto"/>
        <w:rPr>
          <w:rFonts w:hint="eastAsia" w:ascii="宋体" w:hAnsi="宋体" w:eastAsia="宋体" w:cs="Times New Roman"/>
          <w:b/>
          <w:color w:val="auto"/>
          <w:spacing w:val="-4"/>
          <w:szCs w:val="21"/>
          <w:highlight w:val="none"/>
        </w:rPr>
      </w:pPr>
    </w:p>
    <w:p w14:paraId="7BF7B45F">
      <w:pPr>
        <w:adjustRightInd w:val="0"/>
        <w:snapToGrid w:val="0"/>
        <w:spacing w:line="288" w:lineRule="auto"/>
        <w:outlineLvl w:val="1"/>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4"/>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1.供应商为中小企业的，合同生效以及具备实施条件后7个工作日内，且中标人已向采购人提交银行、保险公司等金融机构出具的预付款保函的，采购人向中标人支付合同总价的</w:t>
            </w: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0%；货物在中标人安装调试完毕并经采购人验收合格后，采购人在收到发票后7个工作日内，向中标人支付合同总价的</w:t>
            </w:r>
            <w:r>
              <w:rPr>
                <w:rFonts w:hint="eastAsia" w:ascii="宋体" w:hAnsi="宋体" w:eastAsia="宋体" w:cs="宋体"/>
                <w:color w:val="auto"/>
                <w:spacing w:val="-6"/>
                <w:kern w:val="0"/>
                <w:szCs w:val="21"/>
                <w:highlight w:val="none"/>
                <w:lang w:val="en-US" w:eastAsia="zh-CN"/>
              </w:rPr>
              <w:t>6</w:t>
            </w:r>
            <w:r>
              <w:rPr>
                <w:rFonts w:hint="eastAsia" w:ascii="宋体" w:hAnsi="宋体" w:eastAsia="宋体" w:cs="宋体"/>
                <w:color w:val="auto"/>
                <w:spacing w:val="-6"/>
                <w:kern w:val="0"/>
                <w:szCs w:val="21"/>
                <w:highlight w:val="none"/>
              </w:rPr>
              <w:t>0%。</w:t>
            </w:r>
          </w:p>
          <w:p w14:paraId="0389EB7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2.中标人为大型企业的，合同生效以及具备实施条件后7个工作日内，且中标人已向采购人提交银行、保险公司等金融机构出具的预付款保函的，采购人向中标人支付合同总价的</w:t>
            </w: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0%；货物在中标人安装调试完毕并经采购人验收合格后，采购人在收到发票后7个工作日内，向中标人支付合同总价的</w:t>
            </w:r>
            <w:r>
              <w:rPr>
                <w:rFonts w:hint="eastAsia" w:ascii="宋体" w:hAnsi="宋体" w:eastAsia="宋体" w:cs="宋体"/>
                <w:color w:val="auto"/>
                <w:spacing w:val="-6"/>
                <w:kern w:val="0"/>
                <w:szCs w:val="21"/>
                <w:highlight w:val="none"/>
                <w:lang w:val="en-US" w:eastAsia="zh-CN"/>
              </w:rPr>
              <w:t>6</w:t>
            </w:r>
            <w:r>
              <w:rPr>
                <w:rFonts w:hint="eastAsia" w:ascii="宋体" w:hAnsi="宋体" w:eastAsia="宋体" w:cs="宋体"/>
                <w:color w:val="auto"/>
                <w:spacing w:val="-6"/>
                <w:kern w:val="0"/>
                <w:szCs w:val="21"/>
                <w:highlight w:val="none"/>
              </w:rPr>
              <w:t>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3.在签订合同时，中标人明确表示无需预付款或者主动要求降低预付款比例的，可降低预付款比例（预付款保函同步调整）。</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4.签订合同时中标人明确表示无需预付款的，可以采用以下付款方式：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②货到一次性支付：全部货物送达安装调试完毕，经采购人验收合格，收到发票后10个工作日内，采购人向中标人支付全部合同价款。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tc>
      </w:tr>
      <w:bookmarkEnd w:id="35"/>
    </w:tbl>
    <w:p w14:paraId="2FF750C5">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4"/>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48539D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3C585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17B740C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自合同签订之日起</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0日内交付</w:t>
            </w:r>
          </w:p>
        </w:tc>
      </w:tr>
      <w:tr w14:paraId="53CFF9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555E85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33CDEA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55C396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927A4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1287E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年，项目验收合格后开始计算。</w:t>
            </w:r>
          </w:p>
        </w:tc>
      </w:tr>
      <w:tr w14:paraId="6AA134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B3129D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43E65F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3E3DC4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7D9453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6FE9744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69B52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如在使用过程中发生质量问题，供应商维修响应时间：1小时以内；</w:t>
            </w:r>
          </w:p>
          <w:p w14:paraId="02E37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02CD017E">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r>
              <w:rPr>
                <w:rFonts w:hint="eastAsia" w:ascii="宋体" w:hAnsi="宋体" w:eastAsia="宋体" w:cs="宋体"/>
                <w:color w:val="auto"/>
                <w:szCs w:val="21"/>
                <w:highlight w:val="none"/>
                <w:u w:val="single"/>
              </w:rPr>
              <w:t>；</w:t>
            </w:r>
          </w:p>
          <w:p w14:paraId="1E88F10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lang w:val="en-US" w:eastAsia="zh-CN"/>
              </w:rPr>
              <w:t>6.供应商应提供详细的</w:t>
            </w:r>
            <w:r>
              <w:rPr>
                <w:rFonts w:hint="eastAsia" w:ascii="宋体" w:hAnsi="宋体" w:eastAsia="宋体" w:cs="宋体"/>
                <w:color w:val="auto"/>
                <w:szCs w:val="21"/>
                <w:highlight w:val="none"/>
              </w:rPr>
              <w:t>售后服务方案、售后服务承诺、售后服务保障措施。</w:t>
            </w:r>
          </w:p>
        </w:tc>
      </w:tr>
      <w:tr w14:paraId="7790F1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8F4A95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7B0532C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供应商应按招标文件规定向采购人提供全新</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原装合格产品，</w:t>
            </w:r>
            <w:r>
              <w:rPr>
                <w:rFonts w:hint="eastAsia" w:ascii="宋体" w:hAnsi="宋体" w:eastAsia="宋体" w:cs="宋体"/>
                <w:color w:val="auto"/>
                <w:szCs w:val="21"/>
                <w:highlight w:val="none"/>
                <w:lang w:val="en-US" w:eastAsia="zh-CN"/>
              </w:rPr>
              <w:t>产品应</w:t>
            </w:r>
            <w:r>
              <w:rPr>
                <w:rFonts w:hint="eastAsia" w:ascii="宋体" w:hAnsi="宋体" w:eastAsia="宋体" w:cs="宋体"/>
                <w:color w:val="auto"/>
                <w:szCs w:val="21"/>
                <w:highlight w:val="none"/>
              </w:rPr>
              <w:t>符合国家法律法规规定。</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14:paraId="20304E8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供应商应</w:t>
            </w:r>
            <w:r>
              <w:rPr>
                <w:rFonts w:hint="eastAsia" w:ascii="宋体" w:hAnsi="宋体" w:eastAsia="宋体" w:cs="宋体"/>
                <w:color w:val="auto"/>
                <w:szCs w:val="21"/>
                <w:highlight w:val="none"/>
              </w:rPr>
              <w:t>提供有关的全套技术文件。</w:t>
            </w:r>
          </w:p>
          <w:p w14:paraId="7815E60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7C65577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00ACF47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3352FB2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1DCD942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7563EDA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502967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w:t>
            </w:r>
            <w:r>
              <w:rPr>
                <w:rFonts w:hint="eastAsia" w:ascii="宋体" w:hAnsi="宋体" w:eastAsia="宋体" w:cs="宋体"/>
                <w:color w:val="auto"/>
                <w:szCs w:val="21"/>
                <w:highlight w:val="none"/>
                <w:lang w:val="en-US" w:eastAsia="zh-CN"/>
              </w:rPr>
              <w:t>和安装调试方案</w:t>
            </w:r>
            <w:r>
              <w:rPr>
                <w:rFonts w:hint="eastAsia" w:ascii="宋体" w:hAnsi="宋体" w:eastAsia="宋体" w:cs="宋体"/>
                <w:color w:val="auto"/>
                <w:szCs w:val="21"/>
                <w:highlight w:val="none"/>
              </w:rPr>
              <w:t>。</w:t>
            </w:r>
          </w:p>
          <w:p w14:paraId="16F67BD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.技术支持：</w:t>
            </w:r>
          </w:p>
          <w:p w14:paraId="5AED176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4CB3E1D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.供应商应提供质保期满后主要零部件报价单、质保期满后维护费、软件升级及其相关服务内容；</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产品相关配件、附件、备品备件及耗材的准备和保障措施、消耗水平和成本</w:t>
            </w:r>
            <w:r>
              <w:rPr>
                <w:rFonts w:hint="eastAsia" w:ascii="宋体" w:hAnsi="宋体" w:eastAsia="宋体" w:cs="宋体"/>
                <w:color w:val="auto"/>
                <w:szCs w:val="21"/>
                <w:highlight w:val="none"/>
                <w:lang w:val="en-US" w:eastAsia="zh-CN"/>
              </w:rPr>
              <w:t>方案</w:t>
            </w:r>
            <w:r>
              <w:rPr>
                <w:rFonts w:hint="eastAsia" w:ascii="宋体" w:hAnsi="宋体" w:eastAsia="宋体" w:cs="宋体"/>
                <w:color w:val="auto"/>
                <w:szCs w:val="21"/>
                <w:highlight w:val="none"/>
              </w:rPr>
              <w:t>。</w:t>
            </w:r>
          </w:p>
        </w:tc>
      </w:tr>
      <w:tr w14:paraId="412A8D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C3D38D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141546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供应商应对采购人的操作人员、维修人员免费进行培训；</w:t>
            </w:r>
          </w:p>
          <w:p w14:paraId="049EDE2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2.培训</w:t>
            </w:r>
            <w:r>
              <w:rPr>
                <w:rFonts w:hint="eastAsia" w:ascii="宋体" w:hAnsi="宋体" w:eastAsia="宋体" w:cs="宋体"/>
                <w:color w:val="auto"/>
                <w:szCs w:val="21"/>
                <w:highlight w:val="none"/>
              </w:rPr>
              <w:t>实现方式、时间、地点、人数应在投标文件中详细说明</w:t>
            </w:r>
            <w:r>
              <w:rPr>
                <w:rFonts w:hint="eastAsia" w:ascii="宋体" w:hAnsi="宋体" w:eastAsia="宋体" w:cs="宋体"/>
                <w:color w:val="auto"/>
                <w:szCs w:val="21"/>
                <w:highlight w:val="none"/>
                <w:lang w:eastAsia="zh-CN"/>
              </w:rPr>
              <w:t>；</w:t>
            </w:r>
          </w:p>
          <w:p w14:paraId="52379A1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供应商应提供相应的培训计划、培训范围，实施方案</w:t>
            </w:r>
            <w:r>
              <w:rPr>
                <w:rFonts w:hint="eastAsia" w:ascii="宋体" w:hAnsi="宋体" w:eastAsia="宋体" w:cs="宋体"/>
                <w:color w:val="auto"/>
                <w:szCs w:val="21"/>
                <w:highlight w:val="none"/>
                <w:lang w:eastAsia="zh-CN"/>
              </w:rPr>
              <w:t>。</w:t>
            </w:r>
          </w:p>
        </w:tc>
      </w:tr>
      <w:tr w14:paraId="16E9F4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B38BCF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4E0F20F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14:paraId="0B002C1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4CAD8B0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1386E4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377708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43EA404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1104CCE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24F1167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014701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61A0423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6FD831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14:paraId="10F90EC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14:paraId="7CD4B053">
      <w:pPr>
        <w:adjustRightInd w:val="0"/>
        <w:snapToGrid w:val="0"/>
        <w:spacing w:line="288" w:lineRule="auto"/>
        <w:rPr>
          <w:rFonts w:ascii="宋体" w:hAnsi="宋体" w:eastAsia="宋体" w:cs="Times New Roman"/>
          <w:b/>
          <w:color w:val="auto"/>
          <w:szCs w:val="21"/>
          <w:highlight w:val="none"/>
        </w:rPr>
      </w:pPr>
    </w:p>
    <w:p w14:paraId="4A382386">
      <w:pPr>
        <w:adjustRightInd w:val="0"/>
        <w:snapToGrid w:val="0"/>
        <w:spacing w:line="288" w:lineRule="auto"/>
        <w:outlineLvl w:val="1"/>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4C476167">
      <w:pPr>
        <w:adjustRightInd w:val="0"/>
        <w:snapToGrid w:val="0"/>
        <w:spacing w:line="28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r>
        <w:rPr>
          <w:rFonts w:hint="eastAsia" w:ascii="宋体" w:hAnsi="宋体" w:eastAsia="宋体" w:cs="宋体"/>
          <w:color w:val="auto"/>
          <w:szCs w:val="21"/>
          <w:highlight w:val="none"/>
        </w:rPr>
        <w:t>如技术要求中未注明需执行的国家相关标准、行业标准、地方标准或者其他标准、规范的，执行最新标准、规范。</w:t>
      </w:r>
    </w:p>
    <w:p w14:paraId="04FB8450">
      <w:pPr>
        <w:adjustRightInd w:val="0"/>
        <w:snapToGrid w:val="0"/>
        <w:spacing w:line="288" w:lineRule="auto"/>
        <w:rPr>
          <w:rFonts w:hint="eastAsia" w:ascii="宋体" w:hAnsi="宋体" w:eastAsia="宋体" w:cs="宋体"/>
          <w:b/>
          <w:bCs/>
          <w:color w:val="auto"/>
          <w:szCs w:val="21"/>
          <w:highlight w:val="none"/>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.需实现的功能或者目标：满足固定式卫星地面站的使用需求。</w:t>
      </w:r>
    </w:p>
    <w:p w14:paraId="7706B789">
      <w:pPr>
        <w:adjustRightInd w:val="0"/>
        <w:snapToGrid w:val="0"/>
        <w:spacing w:line="288" w:lineRule="auto"/>
        <w:rPr>
          <w:rFonts w:hint="eastAsia"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556"/>
        <w:gridCol w:w="694"/>
        <w:gridCol w:w="693"/>
        <w:gridCol w:w="6458"/>
      </w:tblGrid>
      <w:tr w14:paraId="04165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909D8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556" w:type="dxa"/>
            <w:vAlign w:val="center"/>
          </w:tcPr>
          <w:p w14:paraId="00BC6EB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94" w:type="dxa"/>
            <w:vAlign w:val="center"/>
          </w:tcPr>
          <w:p w14:paraId="50A1C1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93" w:type="dxa"/>
            <w:vAlign w:val="center"/>
          </w:tcPr>
          <w:p w14:paraId="30D730D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6458" w:type="dxa"/>
            <w:vAlign w:val="center"/>
          </w:tcPr>
          <w:p w14:paraId="34A57C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14:paraId="6F7B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27A0E2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1556" w:type="dxa"/>
            <w:vAlign w:val="center"/>
          </w:tcPr>
          <w:p w14:paraId="208F51E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固定式卫星地面站</w:t>
            </w:r>
          </w:p>
        </w:tc>
        <w:tc>
          <w:tcPr>
            <w:tcW w:w="694" w:type="dxa"/>
            <w:vAlign w:val="center"/>
          </w:tcPr>
          <w:p w14:paraId="6840CEE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693" w:type="dxa"/>
            <w:vAlign w:val="center"/>
          </w:tcPr>
          <w:p w14:paraId="3F5EB9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套</w:t>
            </w:r>
          </w:p>
        </w:tc>
        <w:tc>
          <w:tcPr>
            <w:tcW w:w="6458" w:type="dxa"/>
            <w:vAlign w:val="center"/>
          </w:tcPr>
          <w:p w14:paraId="05E72B1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一、总体要求：</w:t>
            </w:r>
          </w:p>
          <w:p w14:paraId="1C03ED4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固定式卫星地面站由天伺馈分系统（固定式卫星地面站）、高频接收分系统（AB机）、发射分系统（AB机）、系带分系统（AB机）、监控分系统（AB机）与时频分系统（AB机）组成，需要满足固定式卫星地面站仪器设备的使用需求，系统主要功能要求如下：</w:t>
            </w:r>
          </w:p>
          <w:p w14:paraId="727E58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1.卫星跟踪接收功能：</w:t>
            </w:r>
          </w:p>
          <w:p w14:paraId="172931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能够捕获低轨S/X频段的卫星遥测信号、X/Ka频段的卫星数传信号，实现对卫星跟踪；</w:t>
            </w:r>
          </w:p>
          <w:p w14:paraId="16323B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具备S/X/Ka频段低轨卫星自动跟踪能力，可自动切换，保证过顶跟踪不丢失目标；</w:t>
            </w:r>
          </w:p>
          <w:p w14:paraId="223A508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 具备程序跟踪、自动跟踪等多种跟踪方式，具备S频段自动引导X/Ka频段、X频段自动引导Ka频段跟踪能力；</w:t>
            </w:r>
          </w:p>
          <w:p w14:paraId="725EE92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具备卫星下传S/X/Ka频段信号接收能力；</w:t>
            </w:r>
          </w:p>
          <w:p w14:paraId="2D56E6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 具有X/Ka频段极化复用数据接收能力，可同时接收左旋和右旋圆极化的X/Ka频段数传信号，可同时输出左旋和右旋信号；</w:t>
            </w:r>
          </w:p>
          <w:p w14:paraId="47B709D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 具备S频段测控与X频段数传同时工作能力、S频段测控与Ka频段数传同时工作能力、X频段测控与X频段数传同时工作能力、X频段测控与Ka频段数传同时工作能力；</w:t>
            </w:r>
          </w:p>
          <w:p w14:paraId="7ABD526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 系统具有仰角3度开始跟踪，5度以上稳定自动接收的能力；</w:t>
            </w:r>
          </w:p>
          <w:p w14:paraId="2E184C6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 天线具备待机、速度手控、位置手控、扫描、天线收藏、数字引导等工作方式；</w:t>
            </w:r>
          </w:p>
          <w:p w14:paraId="14009B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 天线具备运行安保能力，具有电气极限限位、机械缓冲、停机制动装置、收藏锁定机构装置、紧急制动等安保装置，确保人员和设备安全。</w:t>
            </w:r>
          </w:p>
          <w:p w14:paraId="59B585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2.卫星遥控遥测功能：</w:t>
            </w:r>
          </w:p>
          <w:p w14:paraId="5A2EE1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具备S/X频段测控能力，支持标准TT&amp;C和非相干扩频TT&amp;C测控体制，具有测速、测距、测角能力；</w:t>
            </w:r>
          </w:p>
          <w:p w14:paraId="4D0CCF2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能够通过S和X频段上行发射链路，对可视范围内的卫星发送遥控信号；</w:t>
            </w:r>
          </w:p>
          <w:p w14:paraId="489E36A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 能够通过S和X频段下行接收链路，完成可视范围内卫星遥测信号的接收；</w:t>
            </w:r>
          </w:p>
          <w:p w14:paraId="0683B8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 具有分时接收和解调标准TT&amp;C和扩频TT&amp;C遥测的功能，并具有遥测接收链路信号闭环校验功能；</w:t>
            </w:r>
          </w:p>
          <w:p w14:paraId="4DF708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具有X频段高速数据上行能力，与X测控遥控上行分时工作；</w:t>
            </w:r>
          </w:p>
          <w:p w14:paraId="37FA3B4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 能够生成或接收远程遥控指令，完成标准TT&amp;C和扩频TT&amp;C体制的遥控信号产生，并具有小环/自环指令比对功能；</w:t>
            </w:r>
          </w:p>
          <w:p w14:paraId="685EAA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 具有对标准TT&amp;C和扩频TT&amp;C体制的角误差信号解调能力，并能够输出方位、俯仰角误差电压，AGC电平和锁定指示等；</w:t>
            </w:r>
          </w:p>
          <w:p w14:paraId="3BB8435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 具有卫星遥测数据存盘、挑点处理与显示打印功能，能够进行误码率的实时和事后统计；</w:t>
            </w:r>
          </w:p>
          <w:p w14:paraId="6DFD1B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 任务结束后，具有事后统计每圈的遥测数据总帧的能力，并自动生成任务报表；</w:t>
            </w:r>
          </w:p>
          <w:p w14:paraId="6C8980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2.10 具备设备状态及故障信息实时监测、上报能力，具备远程监控接口。</w:t>
            </w:r>
          </w:p>
          <w:p w14:paraId="04A5D0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3.高码率数据接收功能：</w:t>
            </w:r>
          </w:p>
          <w:p w14:paraId="604142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能够通过X/Ka频段下行高码率数据接收链路，完成高码率2通道卫星遥感数据的接收，并具有通道扩展的能力；</w:t>
            </w:r>
          </w:p>
          <w:p w14:paraId="374BB8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具有BPSK、QPSK、OQPSK（SQPSK）、GMSK、8PSK、16APSK、16QAM、32APSK、32QAM等调制信号解调功能，可通过软件升级扩展64APSK、64QAM等；</w:t>
            </w:r>
          </w:p>
          <w:p w14:paraId="2F42F06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具有码同步、帧同步、解扰和译码功能；</w:t>
            </w:r>
          </w:p>
          <w:p w14:paraId="20F648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 具有信道盲均衡、适应频谱倒置功能，具备交叉极化抑制处理能力；</w:t>
            </w:r>
          </w:p>
          <w:p w14:paraId="1E4992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具有匹配滤波功能，滚降系数在0.1～1.0中可设置；</w:t>
            </w:r>
          </w:p>
          <w:p w14:paraId="2CD7766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具有数据本地存储、管理、网络传输（实时传输、事后传输）、回放功能；</w:t>
            </w:r>
          </w:p>
          <w:p w14:paraId="6A79E7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 xml:space="preserve"> 能够进行载波测量与信号质量分析，包括：载波电平、载波频率、信号频谱、Eb/N0、误差矢量幅度、幅度误差、相位误差、IQ偏移、数据码率测量、星座图显示等；</w:t>
            </w:r>
          </w:p>
          <w:p w14:paraId="204F3CC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 具备中频自环测试功能，调制器能模拟目标多普勒特性，调制器具备文件调制播发功能；具有高码率数据接收链路信号闭环检测功能，能够实时和事后进行误码检测与统计；</w:t>
            </w:r>
          </w:p>
          <w:p w14:paraId="3E2F65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 xml:space="preserve"> 具备自检、测试和分析功能：支持测试信号产生和调制，可匹配的解调中频、调制、组帧及编码方式，完成丢帧误帧测试；显示载波同步，位同步，帧同步，Eb/N0，星座图，EVM等状态；</w:t>
            </w:r>
          </w:p>
          <w:p w14:paraId="6D26B5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 xml:space="preserve"> 具备内部PN码、外部文件播放数据源和内部噪声源，支持测试中间结果记录；</w:t>
            </w:r>
          </w:p>
          <w:p w14:paraId="0E1C5D6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 xml:space="preserve"> 具备设备状态及故障信息实时监测、上报能力，具备远程监控接口。</w:t>
            </w:r>
          </w:p>
          <w:p w14:paraId="51B53D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4.数据记录功能：</w:t>
            </w:r>
          </w:p>
          <w:p w14:paraId="5BF913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能够对接收解调的X/Ka频段高码率数传数据、S/X频段卫星遥测数据进行记录存储，具备历史数传数据、遥测数据、遥控数据和高速上行数据的查询检索能力；</w:t>
            </w:r>
          </w:p>
          <w:p w14:paraId="34E4BE9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具备对数据记录软硬件运行状态的采集和上报能力；</w:t>
            </w:r>
          </w:p>
          <w:p w14:paraId="49856B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 具备根据站管下达的任务计划，自动执行数传数据接收、测控数据的存储、转发的能力；</w:t>
            </w:r>
          </w:p>
          <w:p w14:paraId="5E098BB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 具备数据传输能力，可通过TCP、FTP等多种协议实现卫星数传数据的实时和事后传输；具有主动对外转发和用户远程自主下载等多种模式；可根据数据重传计划，完成指定任务数据文件的重新传输；</w:t>
            </w:r>
          </w:p>
          <w:p w14:paraId="5C11230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 具备测控数据交互能力，可按接口要求对接收卫星遥测或测量数据，进行转发；具备接收外部遥控指令或上行数据，并转发至测控基带的能力；能够对接收、转发的遥测数据或遥控指令帧数进行实时统计；</w:t>
            </w:r>
          </w:p>
          <w:p w14:paraId="75E1191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 具备历史数据管理能力，可实现卫星历史数传数据的编目和管理，具备历史数据的自动或手动维护能力，支持自定义维护管理策略；</w:t>
            </w:r>
          </w:p>
          <w:p w14:paraId="39790FF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具备数据质量分析功能，能够解析数据帧帧头信息，实现帧头误码率、丢帧、错帧统计，对数据质量进行监测；能够对任务执行过程汇总各项数据进行统计，包括接收数据总量、平均接收速率、瞬时接收速率、记录数据总量、记录数据速率等。</w:t>
            </w:r>
          </w:p>
          <w:p w14:paraId="18F14B8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 具备设备状态及故障信息实时监测、上报能力，具备远程监控功能。</w:t>
            </w:r>
          </w:p>
          <w:p w14:paraId="48FF684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 </w:t>
            </w:r>
            <w:r>
              <w:rPr>
                <w:rFonts w:hint="eastAsia" w:ascii="宋体" w:hAnsi="宋体" w:eastAsia="宋体" w:cs="宋体"/>
                <w:color w:val="auto"/>
                <w:szCs w:val="21"/>
                <w:highlight w:val="none"/>
              </w:rPr>
              <w:t>时频统一功能：</w:t>
            </w:r>
          </w:p>
          <w:p w14:paraId="0E7E39C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能够接收GPS和北斗授时信号，输出B码，并具备网络授时能力；</w:t>
            </w:r>
          </w:p>
          <w:p w14:paraId="7F98520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能够产生10MHz频标信号，为设备运行提供频率基准；</w:t>
            </w:r>
          </w:p>
          <w:p w14:paraId="30C6778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具备设备状态及故障信息实时监测、上报能力，具备远程监控功能。</w:t>
            </w:r>
          </w:p>
          <w:p w14:paraId="1872566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6.测试标校功能：</w:t>
            </w:r>
          </w:p>
          <w:p w14:paraId="4F18A02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能够在站控调度下完成设备标校测试；</w:t>
            </w:r>
          </w:p>
          <w:p w14:paraId="37D303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能够完成S/X频段遥控发射链路的EIRP值、发送数据正确性检验、误指令统计等性能测试；</w:t>
            </w:r>
          </w:p>
          <w:p w14:paraId="65F4EA6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 能够完成S/X频段遥测、X/Ka频段高码率数传接收链路的误码率统计、载噪比估计等性能测试；</w:t>
            </w:r>
          </w:p>
          <w:p w14:paraId="521759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6.4 能够模拟高码率数据源，对接收系统性能和解调器帧同步、码同步、解扰、译码等性能进行自检，快速、准确评估系统健康状况和完成任务能力预估;</w:t>
            </w:r>
          </w:p>
          <w:p w14:paraId="71ED010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6.5 能够完成系统G/T值、捕获时间、伺服带宽、动态特性、收敛特性、发射功率稳定性、频率响应、扫描特性等测试项目；</w:t>
            </w:r>
          </w:p>
          <w:p w14:paraId="3958CED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6.6 具备天线伺服参数自动测试功能；</w:t>
            </w:r>
          </w:p>
          <w:p w14:paraId="713CFB5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▲6.7 具备天线无塔标校能力，具备零值标校功能；</w:t>
            </w:r>
          </w:p>
          <w:p w14:paraId="035EE7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▲6.8 能够完成天线对星快速自动校相，具备天线角度标校（含利用射电源）功能；</w:t>
            </w:r>
          </w:p>
          <w:p w14:paraId="29EEDD1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6.9 具备设备状态及故障信息实时监测、上报能力，具备远程监控接口。</w:t>
            </w:r>
          </w:p>
          <w:p w14:paraId="6ACE3F8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7.站控管理及配套软件功能：</w:t>
            </w:r>
          </w:p>
          <w:p w14:paraId="43CDAC0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具备对地面站两套测控接收设备的统一管理能力，能够根据远程下达的或操作员本地创建的任务计划，调度站内相关业务设备，执行过境卫星的数据接收和卫星测控任务。</w:t>
            </w:r>
          </w:p>
          <w:p w14:paraId="26967A7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具备根据任务需求，进行地面站设备资源分配，并反馈资源分配结果的能力；</w:t>
            </w:r>
          </w:p>
          <w:p w14:paraId="5CB721C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具备根据设备资源分配结果，进行地面站两套设备的任务计划创建，具备任务计划的本地创建、修改和删除能力，支持历史任务、预报任务、待执行任务等信息导出，任务计划至少包括：天线ID、任务模式（数传、测控、数据高速上行单独或组合）、任务起始终止时间、任务状态、进出站方位俯仰角度、最大仰角、卫星圈号；</w:t>
            </w:r>
          </w:p>
          <w:p w14:paraId="165679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具备卫星任务的冲突消解能力，冲突消解策略可配置，任务优先级可配置；</w:t>
            </w:r>
          </w:p>
          <w:p w14:paraId="197B0B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 具备对任务计划进行分解，自动将分解后的任务计划下达至相应的业务设备，并接收各业务设备反馈的任务计划响应的能力；</w:t>
            </w:r>
          </w:p>
          <w:p w14:paraId="7AE9D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7.6 具备卫星轨道根数的管理能力，支持接收外部系统下发的，或由操作员本地导入的瞬时轨道根数或两行轨道根数，支持从外网（配置地址）下载、更新两行根数；具备卫星过境预报能力，轨道预报精度满足程序跟踪要求；</w:t>
            </w:r>
          </w:p>
          <w:p w14:paraId="6789FD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7.7 具备卫星数传测控任务的图形化全流程监视能力，根据各分系统/子系统上报的任务执行结果，生成任务执行报表，报表须按照任务执行流程设计；</w:t>
            </w:r>
          </w:p>
          <w:p w14:paraId="78E4D6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7.8 具备地面站设备工作状态和运行参数的集中监视能力，能够在数据库中记录设备参数的变化情况，生成日志文件；</w:t>
            </w:r>
          </w:p>
          <w:p w14:paraId="5E151BC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 具备地面站设备工作参数的远程控制能力，能够采集、显示设备参数控制结果；</w:t>
            </w:r>
          </w:p>
          <w:p w14:paraId="769788C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7.10 具备设备故障的实时监测和故障告警、预警能力；</w:t>
            </w:r>
          </w:p>
          <w:p w14:paraId="0480784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7.11 具备卫星宏参数的统一管理能力，支持增加、编辑、修改和保存卫星任务宏参数，支持卫星宏参数的导入导出；</w:t>
            </w:r>
          </w:p>
          <w:p w14:paraId="5EA386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7.12 具备任务模式（数传、测控、数据高速上行单独或组合）配置参数的统一管理能力，支持对参数增加、编辑、修改、保存、导入、导出；</w:t>
            </w:r>
          </w:p>
          <w:p w14:paraId="5221055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7.13 支持通过站控软件对系统各单机进行功能、参数配置；</w:t>
            </w:r>
          </w:p>
          <w:p w14:paraId="633980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7.14 具备任务参数控制结果检查和自动重控的能力，系统自动化运行能力达到“有人值守，无人操作”；</w:t>
            </w:r>
          </w:p>
          <w:p w14:paraId="600B35F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7.15 具备调度系统进行系统标校控制能力，支持对系统伺服性能、G/T值、相位标校控制、</w:t>
            </w:r>
            <w:bookmarkStart w:id="36" w:name="OLE_LINK3"/>
            <w:r>
              <w:rPr>
                <w:rFonts w:hint="eastAsia" w:ascii="宋体" w:hAnsi="宋体" w:eastAsia="宋体" w:cs="宋体"/>
                <w:color w:val="auto"/>
                <w:szCs w:val="21"/>
                <w:highlight w:val="none"/>
              </w:rPr>
              <w:t>数传误码率、遥测误码率、遥控小环检测正确率等性能指标进行自动测试；</w:t>
            </w:r>
            <w:bookmarkEnd w:id="36"/>
          </w:p>
          <w:p w14:paraId="29C82CA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7.16 具备卫星运动实时轨迹二/三维显示功能，软件界面支持高清显示（可高清投屏）；</w:t>
            </w:r>
          </w:p>
          <w:p w14:paraId="355A507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7.17 具备系统各类运行参数、通讯参数的管理能力，具备各类工作日志的采集和显示能力，具备系统各类用户和权限的管理能力；具备各类任务计划信息、设备状态信息、日志信息、星历信息等信息的查询、检索能力；具备系统各类信息的图形化展示能力；</w:t>
            </w:r>
          </w:p>
          <w:p w14:paraId="5C1F4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7.18 站控管理服务器具备热备份能力。</w:t>
            </w:r>
          </w:p>
          <w:p w14:paraId="50BA3FB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站控具备接收中心轨道预报、预备工作计划的能力，并将相关信息下发给各个分系统；</w:t>
            </w:r>
          </w:p>
          <w:p w14:paraId="485131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7.20</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站控具备将</w:t>
            </w:r>
            <w:r>
              <w:rPr>
                <w:rFonts w:hint="default" w:ascii="宋体" w:hAnsi="宋体" w:eastAsia="宋体" w:cs="宋体"/>
                <w:color w:val="auto"/>
                <w:szCs w:val="21"/>
                <w:highlight w:val="none"/>
              </w:rPr>
              <w:t>遥控指令</w:t>
            </w:r>
            <w:r>
              <w:rPr>
                <w:rFonts w:hint="eastAsia" w:ascii="宋体" w:hAnsi="宋体" w:eastAsia="宋体" w:cs="宋体"/>
                <w:color w:val="auto"/>
                <w:szCs w:val="21"/>
                <w:highlight w:val="none"/>
              </w:rPr>
              <w:t>转发给</w:t>
            </w:r>
            <w:r>
              <w:rPr>
                <w:rFonts w:hint="default" w:ascii="宋体" w:hAnsi="宋体" w:eastAsia="宋体" w:cs="宋体"/>
                <w:color w:val="auto"/>
                <w:szCs w:val="21"/>
                <w:highlight w:val="none"/>
              </w:rPr>
              <w:t>基带分系统，</w:t>
            </w:r>
            <w:r>
              <w:rPr>
                <w:rFonts w:hint="eastAsia" w:ascii="宋体" w:hAnsi="宋体" w:eastAsia="宋体" w:cs="宋体"/>
                <w:color w:val="auto"/>
                <w:szCs w:val="21"/>
                <w:highlight w:val="none"/>
              </w:rPr>
              <w:t>基带分系统通过遥控链路将遥控指令发送到</w:t>
            </w:r>
            <w:r>
              <w:rPr>
                <w:rFonts w:hint="default" w:ascii="宋体" w:hAnsi="宋体" w:eastAsia="宋体" w:cs="宋体"/>
                <w:color w:val="auto"/>
                <w:szCs w:val="21"/>
                <w:highlight w:val="none"/>
              </w:rPr>
              <w:t>卫星测控应答机。</w:t>
            </w:r>
          </w:p>
          <w:p w14:paraId="1DDAE3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8.其他功能与要求：</w:t>
            </w:r>
          </w:p>
          <w:p w14:paraId="4BC6BE3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具备天线防护能力，配套天线罩；</w:t>
            </w:r>
          </w:p>
          <w:p w14:paraId="75AC7B8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 考虑杭州气候因素，具备抗风防潮、过热保护能力等；</w:t>
            </w:r>
          </w:p>
          <w:p w14:paraId="58B8592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8.3 建站许可与使用许可申报：配合完成固定式卫星地面站选址建站、使用许可等必要的环境测试、许可申报等必要工作；</w:t>
            </w:r>
          </w:p>
          <w:p w14:paraId="66ABE8F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8.4 配备UPS电源，保障系统执行任务过程中不间断运行。</w:t>
            </w:r>
          </w:p>
          <w:p w14:paraId="435362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二、天伺馈分系统（固定式卫星地面站）：</w:t>
            </w:r>
          </w:p>
          <w:p w14:paraId="5832CBB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1.天线形式：4.5米口径抛物面天线；</w:t>
            </w:r>
          </w:p>
          <w:p w14:paraId="0ABC50C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2.馈源：环焦天线喇叭馈源；</w:t>
            </w:r>
          </w:p>
          <w:p w14:paraId="0323DD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3.天线座架：AET座架形式；</w:t>
            </w:r>
          </w:p>
          <w:p w14:paraId="552DDC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4.工作频段：</w:t>
            </w:r>
          </w:p>
          <w:p w14:paraId="2D40049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S频段：</w:t>
            </w:r>
          </w:p>
          <w:p w14:paraId="207263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（1）发射频段：2.025～2.12GHz；</w:t>
            </w:r>
          </w:p>
          <w:p w14:paraId="35729F3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（2）接收频段：2.2～2.3GHz；</w:t>
            </w:r>
          </w:p>
          <w:p w14:paraId="1EA1A24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X频段：</w:t>
            </w:r>
          </w:p>
          <w:p w14:paraId="0ED90B7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（1）发射频段：7.1～7.3GHz；</w:t>
            </w:r>
          </w:p>
          <w:p w14:paraId="6C1995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（2）接收频段：7.</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～9.0GHz；</w:t>
            </w:r>
          </w:p>
          <w:p w14:paraId="5BA965E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 Ka频段：接收频段：25～27.5GHz；</w:t>
            </w:r>
          </w:p>
          <w:p w14:paraId="0160A1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5.极化方式：左右旋双圆极化；</w:t>
            </w:r>
          </w:p>
          <w:p w14:paraId="2702A51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S频段：</w:t>
            </w:r>
          </w:p>
          <w:p w14:paraId="1E41274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（1）接收：左、右旋圆极化可选，分时工作；</w:t>
            </w:r>
          </w:p>
          <w:p w14:paraId="236390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（2）发射：左、右旋圆极化可选，分时工作；</w:t>
            </w:r>
          </w:p>
          <w:p w14:paraId="7FACE69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（3）跟踪：左、右旋圆极化可选，分时工作；</w:t>
            </w:r>
          </w:p>
          <w:p w14:paraId="5E28B9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X频段：</w:t>
            </w:r>
          </w:p>
          <w:p w14:paraId="61C59BE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（1）接收：左、右旋圆极化可选，分时或同时工作；</w:t>
            </w:r>
          </w:p>
          <w:p w14:paraId="7B2F2F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（2）发射：左、右旋圆极化可选，分时工作；</w:t>
            </w:r>
          </w:p>
          <w:p w14:paraId="28EE94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（3）跟踪：左、右旋圆极化可选，分时工作；</w:t>
            </w:r>
          </w:p>
          <w:p w14:paraId="78AF007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Ka频段：</w:t>
            </w:r>
          </w:p>
          <w:p w14:paraId="54C1B20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（1）接收：左、右旋圆极化可选，分时或同时工作；</w:t>
            </w:r>
          </w:p>
          <w:p w14:paraId="7257778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（2）跟踪：左、右旋圆极化可选，分时工作；</w:t>
            </w:r>
          </w:p>
          <w:p w14:paraId="1961368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6.电压驻波比：</w:t>
            </w:r>
          </w:p>
          <w:p w14:paraId="5996C9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S频段：≤1.35:1；</w:t>
            </w:r>
          </w:p>
          <w:p w14:paraId="284C74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X频段：≤1.35:1；</w:t>
            </w:r>
          </w:p>
          <w:p w14:paraId="472716F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 Ka频段：≤1.3:1；</w:t>
            </w:r>
          </w:p>
          <w:p w14:paraId="3846A87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7.轴比：</w:t>
            </w:r>
          </w:p>
          <w:p w14:paraId="42D820F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S频段：≤1.2dB；</w:t>
            </w:r>
          </w:p>
          <w:p w14:paraId="104469A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X频段：≤1.0dB；</w:t>
            </w:r>
          </w:p>
          <w:p w14:paraId="531394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Ka频段：≤1.0dB；</w:t>
            </w:r>
          </w:p>
          <w:p w14:paraId="1670053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8.天线方向图：</w:t>
            </w:r>
          </w:p>
          <w:p w14:paraId="45FA5ED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第一旁瓣增益：≤-14dB；</w:t>
            </w:r>
          </w:p>
          <w:p w14:paraId="54B4EB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 和差信号差零深（和归一）≤-35dB；</w:t>
            </w:r>
          </w:p>
          <w:p w14:paraId="7C86DC8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9.天线增益：</w:t>
            </w:r>
          </w:p>
          <w:p w14:paraId="204CCBF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S波段：</w:t>
            </w:r>
          </w:p>
          <w:p w14:paraId="0706378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（1）发射：≥36.0+20lg(f/f0)dB  (f0=2.025GHz)（不含天线罩）；</w:t>
            </w:r>
          </w:p>
          <w:p w14:paraId="7F50461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（2）接收：≥36.6+20lg(f/f0)dB  (f0=2.2GHz)（不含天线罩）；</w:t>
            </w:r>
          </w:p>
          <w:p w14:paraId="3E22F16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 X波段：</w:t>
            </w:r>
          </w:p>
          <w:p w14:paraId="3ECA6A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（1）发射：≥47.5+20lg(f/f0)dB  (f0=7.1GHz)（不含天线罩）；</w:t>
            </w:r>
          </w:p>
          <w:p w14:paraId="19E7A8E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（2）接收：≥48.1+20lg(f/f0)dB  (f0=7.</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GHz)（不含天线罩）；</w:t>
            </w:r>
          </w:p>
          <w:p w14:paraId="0B545F3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Ka波段：</w:t>
            </w:r>
          </w:p>
          <w:p w14:paraId="221864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接收：≥58.8+20lg(f/f0)dB(f0=25.0GHz)（不含天线罩）；</w:t>
            </w:r>
          </w:p>
          <w:p w14:paraId="3344C19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10.系统G/T值：</w:t>
            </w:r>
          </w:p>
          <w:p w14:paraId="5E1251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在晴空、微风，天线接收仰角10°，环境温度23℃条件下，在整个接收频段内：</w:t>
            </w:r>
          </w:p>
          <w:p w14:paraId="72C56E3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37" w:name="OLE_LINK2"/>
            <w:r>
              <w:rPr>
                <w:rFonts w:hint="eastAsia" w:ascii="宋体" w:hAnsi="宋体" w:eastAsia="宋体" w:cs="宋体"/>
                <w:color w:val="auto"/>
                <w:szCs w:val="21"/>
                <w:highlight w:val="none"/>
              </w:rPr>
              <w:t>X频段：≥26.33+20lg(f/f0)dB/K(f0=7.</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GHz)（不含天线罩）；</w:t>
            </w:r>
            <w:bookmarkEnd w:id="37"/>
          </w:p>
          <w:p w14:paraId="52A0FD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（2）S频段：≥14.42+20lg(f/f0)dB/K(f0=2.2GHz))（不含天线罩）；</w:t>
            </w:r>
          </w:p>
          <w:p w14:paraId="61E3E58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（3）Ka频段：≥34.0+20lg(f/f0)dB/K  (f0=25.0GHz)（不含天线罩）；</w:t>
            </w:r>
          </w:p>
          <w:p w14:paraId="47D341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11.等效全向辐射功率（EIRP）：</w:t>
            </w:r>
          </w:p>
          <w:p w14:paraId="30700B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（1）S频段：EIRP≥55.0+20lg(f/f0)dBW(f0=2.025GHz)（100W功耗，不含天线罩）；</w:t>
            </w:r>
          </w:p>
          <w:p w14:paraId="514429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（2）X频段：EIRP≥66.0+20lg(f/f0)dBW（f0=7.1GHz)（100W功耗，不含天线罩）；</w:t>
            </w:r>
          </w:p>
          <w:p w14:paraId="194E32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12.工作方式：天线具有S、X、Ka频段程序跟踪和自跟踪能力；</w:t>
            </w:r>
          </w:p>
          <w:p w14:paraId="1FD135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13.工作方式：待机、手动、指向、程序跟踪、单脉冲跟踪等；</w:t>
            </w:r>
          </w:p>
          <w:p w14:paraId="2DE5BD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14.跟踪能力：</w:t>
            </w:r>
          </w:p>
          <w:p w14:paraId="674D7CF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（1）3°捕获，5°稳定跟踪并接收数据；</w:t>
            </w:r>
          </w:p>
          <w:p w14:paraId="187DDC6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（2）S/X/Ka三频跟踪，可自动切换，过顶不丢目标；</w:t>
            </w:r>
          </w:p>
          <w:p w14:paraId="7B07CE2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（3）X/Ka频段具有窄带（有信标）和宽带（无信标）跟踪能力；</w:t>
            </w:r>
          </w:p>
          <w:p w14:paraId="517D85C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15.跟踪精度：优于1/10半功率波束宽度；</w:t>
            </w:r>
          </w:p>
          <w:p w14:paraId="607627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16.无塔标校：采用射电星无塔标校技术，保证地面测控设备的指向精度和测量精度；</w:t>
            </w:r>
          </w:p>
          <w:p w14:paraId="7B352FC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17.快速校相：采用对星快速校相技术，校相全流程自动化，成功率高（综合统计99%以上），时间短（10秒以内）；</w:t>
            </w:r>
          </w:p>
          <w:p w14:paraId="130832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18.可靠性：</w:t>
            </w:r>
          </w:p>
          <w:p w14:paraId="359929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MTBF：≥200小时；</w:t>
            </w:r>
          </w:p>
          <w:p w14:paraId="2E1EFDA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 MTTR：≤0.5小时；</w:t>
            </w:r>
          </w:p>
          <w:p w14:paraId="6814D03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19.环境特性：</w:t>
            </w:r>
          </w:p>
          <w:p w14:paraId="3F1BAC6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（1）工作温度：室外-10℃～+55℃，室内25±5℃；</w:t>
            </w:r>
          </w:p>
          <w:p w14:paraId="13FA50C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（2）储存温度：-45℃～+65℃；</w:t>
            </w:r>
          </w:p>
          <w:p w14:paraId="2F107C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（3）相对湿度：0～100%；</w:t>
            </w:r>
          </w:p>
          <w:p w14:paraId="6F8746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20.天线罩：</w:t>
            </w:r>
          </w:p>
          <w:p w14:paraId="4F8879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 结构性能：采用桁架结构，12级风条件下产品能正常工作；</w:t>
            </w:r>
          </w:p>
          <w:p w14:paraId="6C4C510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电气性能指标：</w:t>
            </w:r>
          </w:p>
          <w:p w14:paraId="6EA8F55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（1）工作频率：S/X/Ka频段；</w:t>
            </w:r>
          </w:p>
          <w:p w14:paraId="1C208B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（2）整罩单程传输损耗：</w:t>
            </w:r>
          </w:p>
          <w:p w14:paraId="3BC9BF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1）S频段：≤0.6dB；</w:t>
            </w:r>
          </w:p>
          <w:p w14:paraId="2C1C2C4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2）X频段：≤0.7dB；</w:t>
            </w:r>
          </w:p>
          <w:p w14:paraId="4599B18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3）Ka频段：≤1.2dB。</w:t>
            </w:r>
          </w:p>
          <w:p w14:paraId="1AE508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（3）环境适应性：</w:t>
            </w:r>
          </w:p>
          <w:p w14:paraId="537FB6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1）温度：</w:t>
            </w:r>
          </w:p>
          <w:p w14:paraId="0031E31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工作温度：-45℃～+55℃；</w:t>
            </w:r>
          </w:p>
          <w:p w14:paraId="3C11CF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存储温度：-55℃～+70℃；</w:t>
            </w:r>
          </w:p>
          <w:p w14:paraId="249623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2）湿度：相对湿度95%。</w:t>
            </w:r>
          </w:p>
          <w:p w14:paraId="4F390A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三、高频接收分系统（AB机）：</w:t>
            </w:r>
          </w:p>
          <w:p w14:paraId="193095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1.主要功能：</w:t>
            </w:r>
          </w:p>
          <w:p w14:paraId="2F7F12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1.1 接收：接收信道子系统根据站控管理分系统下达的任务，完成各设备参数配置，将天线与伺服子系统接收到的S、X</w:t>
            </w:r>
            <w:r>
              <w:rPr>
                <w:rFonts w:hint="eastAsia" w:ascii="宋体" w:hAnsi="宋体" w:eastAsia="宋体" w:cs="宋体"/>
                <w:color w:val="auto"/>
                <w:szCs w:val="21"/>
                <w:highlight w:val="none"/>
              </w:rPr>
              <w:t>、Ka</w:t>
            </w:r>
            <w:r>
              <w:rPr>
                <w:rFonts w:hint="default" w:ascii="宋体" w:hAnsi="宋体" w:eastAsia="宋体" w:cs="宋体"/>
                <w:color w:val="auto"/>
                <w:szCs w:val="21"/>
                <w:highlight w:val="none"/>
              </w:rPr>
              <w:t>波段下行信号低噪声放大、变频及均衡送至数字基带分系统；</w:t>
            </w:r>
          </w:p>
          <w:p w14:paraId="6D3C0E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1.2 采用模块化信道设备，单个信道机箱≤4U；</w:t>
            </w:r>
          </w:p>
          <w:p w14:paraId="41DA2F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2.主要性能：</w:t>
            </w:r>
          </w:p>
          <w:p w14:paraId="25FB37F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2.1 工作频率：</w:t>
            </w:r>
          </w:p>
          <w:p w14:paraId="0150D8C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（1）Ka：25GHz～27.5GHz；</w:t>
            </w:r>
          </w:p>
          <w:p w14:paraId="00875C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（2）X：7700MHz～9000MHz，步进1kHz。</w:t>
            </w:r>
          </w:p>
          <w:p w14:paraId="7F71DAA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（3）S：2200MHz～2300MHz，步进1KHz。</w:t>
            </w:r>
          </w:p>
          <w:p w14:paraId="5BE70B7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2.2 中频信号频点：</w:t>
            </w:r>
          </w:p>
          <w:p w14:paraId="776301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（1）测控下行：70MHz；</w:t>
            </w:r>
          </w:p>
          <w:p w14:paraId="4C47D1E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（2）数传下行：1.2GHz；</w:t>
            </w:r>
          </w:p>
          <w:p w14:paraId="0C30A7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2.3 带内杂散抑制：</w:t>
            </w:r>
          </w:p>
          <w:p w14:paraId="3F4F9D7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（1）Ka：≥60dB；</w:t>
            </w:r>
          </w:p>
          <w:p w14:paraId="6D1153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（2）X:≥60dB；</w:t>
            </w:r>
          </w:p>
          <w:p w14:paraId="1106C0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（3）S:≥60dB。</w:t>
            </w:r>
          </w:p>
          <w:p w14:paraId="6913477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四、发射分系统（AB机）：</w:t>
            </w:r>
          </w:p>
          <w:p w14:paraId="73330C6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1.主要功能：发射信道子系统根据站控管理分系统下达的任务，将数字基带分系统发送的中频信号均衡、变频、放大送至天线与伺服分系统。发射信道由S频段BUC、X频段BUC以及相应的开关等组成。</w:t>
            </w:r>
          </w:p>
          <w:p w14:paraId="71805B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2.主要性能：</w:t>
            </w:r>
          </w:p>
          <w:p w14:paraId="0F3BAF3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2.1 工作频率：</w:t>
            </w:r>
          </w:p>
          <w:p w14:paraId="00080A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（1）X：7100MHz～7300MHz，步进1kHz；</w:t>
            </w:r>
          </w:p>
          <w:p w14:paraId="276C25F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（2）S：2025MHz～2120MHz，步进100Hz；</w:t>
            </w:r>
          </w:p>
          <w:p w14:paraId="2AF6F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2.2 发射功率：</w:t>
            </w:r>
          </w:p>
          <w:p w14:paraId="46BA595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（1）X:≥100W；</w:t>
            </w:r>
          </w:p>
          <w:p w14:paraId="763468D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（2）S:≥100W；</w:t>
            </w:r>
          </w:p>
          <w:p w14:paraId="251982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2.3 带外抑制：</w:t>
            </w:r>
          </w:p>
          <w:p w14:paraId="59344E4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（1）X:≥60dBc（7700～9000MHz）；</w:t>
            </w:r>
          </w:p>
          <w:p w14:paraId="3AC13E9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（2）S：≥60dBc（2200～2300MHz）。</w:t>
            </w:r>
          </w:p>
          <w:p w14:paraId="5E66067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五、基带分系统（AB机）：</w:t>
            </w:r>
          </w:p>
          <w:p w14:paraId="17972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1.多功能综合基带：</w:t>
            </w:r>
          </w:p>
          <w:p w14:paraId="1B5824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功能指标：</w:t>
            </w:r>
          </w:p>
          <w:p w14:paraId="1E4603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（1）具备S、X、Ka频段分时测控功能，适应标准TT&amp;C体制、扩频(非相干)测控体制；</w:t>
            </w:r>
          </w:p>
          <w:p w14:paraId="6BC90B6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（2）具有帧同步、解扰、译码等功能；</w:t>
            </w:r>
          </w:p>
          <w:p w14:paraId="25B66A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（3）具备本地和远程管理控制功能；</w:t>
            </w:r>
          </w:p>
          <w:p w14:paraId="2D75A2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（4）具备根据远程下达的或本地任务计划，自动调度控制全系统完</w:t>
            </w:r>
            <w:r>
              <w:rPr>
                <w:rFonts w:hint="eastAsia" w:ascii="宋体" w:hAnsi="宋体" w:eastAsia="宋体" w:cs="宋体"/>
                <w:color w:val="auto"/>
                <w:szCs w:val="21"/>
                <w:highlight w:val="none"/>
              </w:rPr>
              <w:t>成预定任务的功能；</w:t>
            </w:r>
          </w:p>
          <w:p w14:paraId="722B77B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（5）具备测距、测速、遥测误码率、遥控小环检测正确率等性能指标自动测试功能；</w:t>
            </w:r>
          </w:p>
          <w:p w14:paraId="1045F9B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性能指标：</w:t>
            </w:r>
          </w:p>
          <w:p w14:paraId="33BFFB4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（1）信息速率：</w:t>
            </w:r>
          </w:p>
          <w:p w14:paraId="3499278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1）遥测：0.1kbps~64kbps；</w:t>
            </w:r>
          </w:p>
          <w:p w14:paraId="383F75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2）遥控：0.1kbps~8kbps；</w:t>
            </w:r>
          </w:p>
          <w:p w14:paraId="006EA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（2）中频信号频点：</w:t>
            </w:r>
          </w:p>
          <w:p w14:paraId="4512A04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1）上行：70MHz；</w:t>
            </w:r>
          </w:p>
          <w:p w14:paraId="0A34984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2）下行：70MHz；</w:t>
            </w:r>
          </w:p>
          <w:p w14:paraId="21B2A8A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2.跟踪接收机：</w:t>
            </w:r>
          </w:p>
          <w:p w14:paraId="0386628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功能指标：</w:t>
            </w:r>
          </w:p>
          <w:p w14:paraId="50ED2C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（1）输入频率：70MHz；</w:t>
            </w:r>
          </w:p>
          <w:p w14:paraId="1D1130A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（2）跟踪体制：单通道单脉冲；</w:t>
            </w:r>
          </w:p>
          <w:p w14:paraId="2E18D3C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（3）信号类型：标准TT&amp;C、扩频TT&amp;C、宽带模式可选；</w:t>
            </w:r>
          </w:p>
          <w:p w14:paraId="40C4E0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（4）方位、俯仰电平输出：-5V～＋5V；</w:t>
            </w:r>
          </w:p>
          <w:p w14:paraId="5A61977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（5）AGC电平范围：0～5V。</w:t>
            </w:r>
          </w:p>
          <w:p w14:paraId="03C9B04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性能指标：</w:t>
            </w:r>
          </w:p>
          <w:p w14:paraId="6C7DE9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（1）调相频率：</w:t>
            </w:r>
          </w:p>
          <w:p w14:paraId="6EA217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1）标准模式：两相调制，（1/2/4kHz）；</w:t>
            </w:r>
          </w:p>
          <w:p w14:paraId="743A26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2）扩频模式：两相调制，（1/2/4kHz）；</w:t>
            </w:r>
          </w:p>
          <w:p w14:paraId="354EE28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3）数传跟踪（宽带）：四相调制，（1&amp;2/2&amp;4/4&amp;8kHz）；</w:t>
            </w:r>
          </w:p>
          <w:p w14:paraId="15B7767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（2）中放带宽：</w:t>
            </w:r>
          </w:p>
          <w:p w14:paraId="0A2F17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1）标准模式：3M；</w:t>
            </w:r>
          </w:p>
          <w:p w14:paraId="3B8A42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2）扩频模式：23M；</w:t>
            </w:r>
          </w:p>
          <w:p w14:paraId="79C2837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3）数传跟踪（宽带）：1.5MHz，3MHz，6MHz，23MHz；</w:t>
            </w:r>
          </w:p>
          <w:p w14:paraId="54C98E8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（3）捕获门限：</w:t>
            </w:r>
          </w:p>
          <w:p w14:paraId="2A3852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1）标准模式：S/ø≤41dBHz；</w:t>
            </w:r>
          </w:p>
          <w:p w14:paraId="424FB36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2）扩频模式：C/N0≤45dBHz；</w:t>
            </w:r>
          </w:p>
          <w:p w14:paraId="6D504D3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3）数传跟踪（宽带）：Eb/N0≤6dB（带宽 6MHz）；</w:t>
            </w:r>
          </w:p>
          <w:p w14:paraId="2D1432F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（4）AGC电压：0～5V；</w:t>
            </w:r>
          </w:p>
          <w:p w14:paraId="238D22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3.高速数传基带：</w:t>
            </w:r>
          </w:p>
          <w:p w14:paraId="17732CA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功能指标：</w:t>
            </w:r>
          </w:p>
          <w:p w14:paraId="5F86AE8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（1）支持BPSK、QPSK、OQPSK（SQPSK）、GMSK、8PSK、16APSK、16QAM、32APSK、32QAM</w:t>
            </w:r>
            <w:r>
              <w:rPr>
                <w:rFonts w:hint="eastAsia" w:ascii="宋体" w:hAnsi="宋体" w:eastAsia="宋体" w:cs="宋体"/>
                <w:color w:val="auto"/>
                <w:highlight w:val="none"/>
              </w:rPr>
              <w:t>等，可通过软件升级扩展64APSK、64QAM等</w:t>
            </w:r>
            <w:r>
              <w:rPr>
                <w:rFonts w:hint="eastAsia" w:ascii="宋体" w:hAnsi="宋体" w:eastAsia="宋体" w:cs="宋体"/>
                <w:color w:val="auto"/>
                <w:szCs w:val="21"/>
                <w:highlight w:val="none"/>
              </w:rPr>
              <w:t>；</w:t>
            </w:r>
          </w:p>
          <w:p w14:paraId="3DDA0E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（2）具备高码率数传接收功能，符合CCSDS 相关标准，能够通过下行数据接收链路，完成单通道卫星数传数据的接收，并具有通道扩展的能力；</w:t>
            </w:r>
          </w:p>
          <w:p w14:paraId="23FE2D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（3）具有帧同步、解扰、译码等功能；</w:t>
            </w:r>
          </w:p>
          <w:p w14:paraId="7B89BF4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（4）译码方式符合CCSDS 131.0-B-2《遥测同步及信道编码》、GJB1198.3A-2004《遥测信道编码》、《中继卫星系统数据传输规范》等标准规范中相关约定，具体包括：</w:t>
            </w:r>
          </w:p>
          <w:p w14:paraId="144AE9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1）无编码；</w:t>
            </w:r>
          </w:p>
          <w:p w14:paraId="18EB98A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2）卷积（7，1/2）、（7，2/3）、（7，3/4）、（7，5/6）、（7，7/8）；</w:t>
            </w:r>
          </w:p>
          <w:p w14:paraId="214B31E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3）RS（255，223）、RS（255，239），支持常规基和对偶基，交织深度1~8；</w:t>
            </w:r>
          </w:p>
          <w:p w14:paraId="5CC552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4）RS+卷积级联码；</w:t>
            </w:r>
          </w:p>
          <w:p w14:paraId="7A26AD9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5）LDPC码适配</w:t>
            </w:r>
            <w:r>
              <w:rPr>
                <w:rFonts w:hint="default" w:ascii="宋体" w:hAnsi="宋体" w:eastAsia="宋体" w:cs="宋体"/>
                <w:color w:val="auto"/>
                <w:szCs w:val="21"/>
                <w:highlight w:val="none"/>
              </w:rPr>
              <w:t>CCSDS（7/8）相关要求</w:t>
            </w:r>
            <w:r>
              <w:rPr>
                <w:rFonts w:hint="eastAsia" w:ascii="宋体" w:hAnsi="宋体" w:eastAsia="宋体" w:cs="宋体"/>
                <w:color w:val="auto"/>
                <w:szCs w:val="21"/>
                <w:highlight w:val="none"/>
              </w:rPr>
              <w:t>；</w:t>
            </w:r>
          </w:p>
          <w:p w14:paraId="3ED48FB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6）可扩展其他编码方式</w:t>
            </w:r>
            <w:r>
              <w:rPr>
                <w:rFonts w:hint="eastAsia" w:ascii="宋体" w:hAnsi="宋体" w:eastAsia="宋体" w:cs="宋体"/>
                <w:color w:val="auto"/>
                <w:szCs w:val="21"/>
                <w:highlight w:val="none"/>
                <w:lang w:eastAsia="zh-CN"/>
              </w:rPr>
              <w:t>；</w:t>
            </w:r>
          </w:p>
          <w:p w14:paraId="4EA0A9C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性能指标：</w:t>
            </w:r>
          </w:p>
          <w:p w14:paraId="705E0D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（1）信息速率：10Mbps~2000Mbps；</w:t>
            </w:r>
          </w:p>
          <w:p w14:paraId="0C24CA7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（2）中频信号频点：1.2GHz。</w:t>
            </w:r>
          </w:p>
          <w:p w14:paraId="4941BD9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六、监控分系统（AB机）：</w:t>
            </w:r>
          </w:p>
          <w:p w14:paraId="64FEAD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1.数据记录：</w:t>
            </w:r>
          </w:p>
          <w:p w14:paraId="7BAED8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功能指标：</w:t>
            </w:r>
          </w:p>
          <w:p w14:paraId="0DB4DA4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（1）能够对接收解调的高码率遥感数据、卫星遥测数据进行记录；</w:t>
            </w:r>
          </w:p>
          <w:p w14:paraId="56B1E0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（2）对接收的数据进行记录，和自动存储管理；</w:t>
            </w:r>
          </w:p>
          <w:p w14:paraId="2DB07C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（3）具备原始记录数据回放的能力；</w:t>
            </w:r>
          </w:p>
          <w:p w14:paraId="1058680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（4）具备原始数据存储管理能力；</w:t>
            </w:r>
          </w:p>
          <w:p w14:paraId="179366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（5）能够通过地面网络将本站接收的高码率遥感数据、卫星遥测数据、设备工况及运行状态等数据上报至地面测运控中心；</w:t>
            </w:r>
          </w:p>
          <w:p w14:paraId="2D2D77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（6）能够通过地面网络接收地面测运控中心发送的控制指令等数据；</w:t>
            </w:r>
          </w:p>
          <w:p w14:paraId="6A98AD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性能指标：</w:t>
            </w:r>
          </w:p>
          <w:p w14:paraId="6E64E14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（1）数据记录：</w:t>
            </w:r>
          </w:p>
          <w:p w14:paraId="008219C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1）记录数据误码率：≤1.0×10-11；</w:t>
            </w:r>
          </w:p>
          <w:p w14:paraId="3E6CD1F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2）数据记录速率10Mbps～2Gbps可调（单通道）；</w:t>
            </w:r>
          </w:p>
          <w:p w14:paraId="17BD163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3）原始数据存储容量≥128TB；</w:t>
            </w:r>
          </w:p>
          <w:p w14:paraId="36CA046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（2）数据存档处理：对原始数据具有存储管理能力；</w:t>
            </w:r>
          </w:p>
          <w:p w14:paraId="548E62B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（3）监控功能：</w:t>
            </w:r>
          </w:p>
          <w:p w14:paraId="62DC27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1）具有本控/远控功能；</w:t>
            </w:r>
          </w:p>
          <w:p w14:paraId="7D93F75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2）任务作业均可由时间，事件或手动触发；</w:t>
            </w:r>
          </w:p>
          <w:p w14:paraId="35B52F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（4）校时功能：可利用NTP网络授时服务校时；</w:t>
            </w:r>
          </w:p>
          <w:p w14:paraId="0E1076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（5）数据交换接口：支持万兆网络数据远程传输；</w:t>
            </w:r>
          </w:p>
          <w:p w14:paraId="6A3E92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2.站控管理分系统：</w:t>
            </w:r>
          </w:p>
          <w:p w14:paraId="51F7C66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具备根据远程下达的或本地任务计划，自动调度控制全系统完成预定任务的功能；</w:t>
            </w:r>
          </w:p>
          <w:p w14:paraId="074B050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具备本地和远程管理控制功能；</w:t>
            </w:r>
          </w:p>
          <w:p w14:paraId="2E81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 具备数字地面站系统，具备地面站三维可视化展示功能，包括天线、馈源、伺服等模块；</w:t>
            </w:r>
          </w:p>
          <w:p w14:paraId="2117D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 具备三维模型与伺服控制过程联通能力，能够对天线指向的动态变化过程进行实时显示；</w:t>
            </w:r>
          </w:p>
          <w:p w14:paraId="07346D2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天线控制具备对外HTTP调用接口，支持远控模式下的远程功能调用。</w:t>
            </w:r>
          </w:p>
          <w:p w14:paraId="7BCF3D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七、时频分系统（AB机）：</w:t>
            </w:r>
          </w:p>
          <w:p w14:paraId="2E81933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1.功能指标：</w:t>
            </w:r>
          </w:p>
          <w:p w14:paraId="316C1A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1.1 接收北斗B1频点、GPS L1导航授时信号并输出位置信息和标准时间；</w:t>
            </w:r>
          </w:p>
          <w:p w14:paraId="276CB1F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1.2 可以通过卫星导航组合得到大地坐标和海拔高度；</w:t>
            </w:r>
          </w:p>
          <w:p w14:paraId="34C4EE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1.3 开机后自动进入位置校正状态。完成校正后，输出更新的位置参数；</w:t>
            </w:r>
          </w:p>
          <w:p w14:paraId="6A6E5E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1.4 内置高稳晶振作为时钟源，并具有独立时间保持功能；</w:t>
            </w:r>
          </w:p>
          <w:p w14:paraId="3E74C18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1.5 支持1PPS、B码、NTP网络授时等多种授时信号的输出；</w:t>
            </w:r>
          </w:p>
          <w:p w14:paraId="3B5291C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1.6 通过网口接收上位机的命令并向上位机输出本设备的工作状态，即时位置、卫星等信息；</w:t>
            </w:r>
          </w:p>
          <w:p w14:paraId="461A61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1.7 前面板支持按键操作和液晶显示，实现参数设置；</w:t>
            </w:r>
          </w:p>
          <w:p w14:paraId="3FE7E04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1.8 有测试维护接口，用于软件升级、输出设备参数等；</w:t>
            </w:r>
          </w:p>
          <w:p w14:paraId="1E5FE64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1.9 具有安全保护功能：设备在突然断电时确保设备不受意外损坏；</w:t>
            </w:r>
          </w:p>
          <w:p w14:paraId="0825B02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2.性能指标：</w:t>
            </w:r>
          </w:p>
          <w:p w14:paraId="27A7EE0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2.1 接收频点：</w:t>
            </w:r>
          </w:p>
          <w:p w14:paraId="67FC05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（1）BDS B1I/B1C/B2a；</w:t>
            </w:r>
          </w:p>
          <w:p w14:paraId="336A0C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（2）GPS L1/L2/L5；</w:t>
            </w:r>
          </w:p>
          <w:p w14:paraId="2E17A8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2.2 定时时间：</w:t>
            </w:r>
          </w:p>
          <w:p w14:paraId="263710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（1）热启动：≤10s；</w:t>
            </w:r>
          </w:p>
          <w:p w14:paraId="53864FD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（2）冷启动：≤50s；</w:t>
            </w:r>
          </w:p>
          <w:p w14:paraId="17EFEF1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（3）接口：TNC 1路；</w:t>
            </w:r>
          </w:p>
          <w:p w14:paraId="3E597F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（4）定位精度：</w:t>
            </w:r>
          </w:p>
          <w:p w14:paraId="18B856E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1）水平：2m（RMS）；</w:t>
            </w:r>
          </w:p>
          <w:p w14:paraId="6F30DFA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2）水平：4m（RMS）；</w:t>
            </w:r>
          </w:p>
          <w:p w14:paraId="0A4F3C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（5）1pps输入：</w:t>
            </w:r>
          </w:p>
          <w:p w14:paraId="2075E11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1）同步精度：≤5ns；</w:t>
            </w:r>
          </w:p>
          <w:p w14:paraId="16A9A71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2）接口：SMA-50K 1路；</w:t>
            </w:r>
          </w:p>
          <w:p w14:paraId="158639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（6）B（DC）码输入：</w:t>
            </w:r>
          </w:p>
          <w:p w14:paraId="220A6F1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1）同步精度：≤5ns；</w:t>
            </w:r>
          </w:p>
          <w:p w14:paraId="5A75DC8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2）接口：DB9 1路；</w:t>
            </w:r>
          </w:p>
          <w:p w14:paraId="63CB0D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（7）10MHz输入：通道数：SMA-50K 1路。</w:t>
            </w:r>
          </w:p>
        </w:tc>
      </w:tr>
    </w:tbl>
    <w:p w14:paraId="402B7C5F">
      <w:pP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杭州电子科技大学固定式卫星地面站仪器设备采购</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2024年7月（含）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4"/>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0" w:type="dxa"/>
                <w:bottom w:w="0" w:type="dxa"/>
                <w:right w:w="0" w:type="dxa"/>
              </w:tblCellMar>
            </w:tblPr>
            <w:tblGrid>
              <w:gridCol w:w="2551"/>
              <w:gridCol w:w="3070"/>
            </w:tblGrid>
            <w:tr w14:paraId="4BEBE87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0" w:type="dxa"/>
                  <w:bottom w:w="0" w:type="dxa"/>
                  <w:right w:w="0" w:type="dxa"/>
                </w:tblCellMar>
              </w:tblPrEx>
              <w:trPr>
                <w:trHeight w:val="20" w:hRule="atLeast"/>
                <w:jc w:val="center"/>
              </w:trPr>
              <w:tc>
                <w:tcPr>
                  <w:tcW w:w="2551" w:type="dxa"/>
                  <w:tcBorders>
                    <w:top w:val="single" w:color="auto" w:sz="2" w:space="0"/>
                    <w:left w:val="single" w:color="auto" w:sz="2" w:space="0"/>
                    <w:bottom w:val="single" w:color="auto" w:sz="2" w:space="0"/>
                    <w:right w:val="single" w:color="auto" w:sz="2" w:space="0"/>
                  </w:tcBorders>
                  <w:shd w:val="clear" w:color="auto" w:fill="auto"/>
                  <w:tcMar>
                    <w:left w:w="108" w:type="dxa"/>
                    <w:right w:w="108" w:type="dxa"/>
                  </w:tcMar>
                  <w:vAlign w:val="center"/>
                </w:tcPr>
                <w:p w14:paraId="03276AA2">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中标金额（万元）</w:t>
                  </w:r>
                </w:p>
              </w:tc>
              <w:tc>
                <w:tcPr>
                  <w:tcW w:w="3070" w:type="dxa"/>
                  <w:tcBorders>
                    <w:top w:val="single" w:color="auto" w:sz="2" w:space="0"/>
                    <w:left w:val="single" w:color="auto" w:sz="2" w:space="0"/>
                    <w:bottom w:val="single" w:color="auto" w:sz="2" w:space="0"/>
                    <w:right w:val="single" w:color="auto" w:sz="2" w:space="0"/>
                  </w:tcBorders>
                  <w:shd w:val="clear" w:color="auto" w:fill="auto"/>
                  <w:tcMar>
                    <w:left w:w="108" w:type="dxa"/>
                    <w:right w:w="108" w:type="dxa"/>
                  </w:tcMar>
                  <w:vAlign w:val="center"/>
                </w:tcPr>
                <w:p w14:paraId="5A6F813A">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收费标准（费率，%）</w:t>
                  </w:r>
                </w:p>
              </w:tc>
            </w:tr>
            <w:tr w14:paraId="56520F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Borders>
                    <w:top w:val="single" w:color="auto" w:sz="2" w:space="0"/>
                    <w:left w:val="single" w:color="auto" w:sz="2" w:space="0"/>
                    <w:bottom w:val="single" w:color="auto" w:sz="2" w:space="0"/>
                    <w:right w:val="single" w:color="auto" w:sz="2" w:space="0"/>
                  </w:tcBorders>
                  <w:shd w:val="clear" w:color="auto" w:fill="auto"/>
                  <w:tcMar>
                    <w:left w:w="108" w:type="dxa"/>
                    <w:right w:w="108" w:type="dxa"/>
                  </w:tcMar>
                  <w:vAlign w:val="center"/>
                </w:tcPr>
                <w:p w14:paraId="0D17E2E1">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100以下</w:t>
                  </w:r>
                </w:p>
              </w:tc>
              <w:tc>
                <w:tcPr>
                  <w:tcW w:w="3070" w:type="dxa"/>
                  <w:tcBorders>
                    <w:top w:val="single" w:color="auto" w:sz="2" w:space="0"/>
                    <w:left w:val="single" w:color="auto" w:sz="2" w:space="0"/>
                    <w:bottom w:val="single" w:color="auto" w:sz="2" w:space="0"/>
                    <w:right w:val="single" w:color="auto" w:sz="2" w:space="0"/>
                  </w:tcBorders>
                  <w:shd w:val="clear" w:color="auto" w:fill="auto"/>
                  <w:tcMar>
                    <w:left w:w="108" w:type="dxa"/>
                    <w:right w:w="108" w:type="dxa"/>
                  </w:tcMar>
                  <w:vAlign w:val="center"/>
                </w:tcPr>
                <w:p w14:paraId="2CC0D3A0">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1.05</w:t>
                  </w:r>
                </w:p>
              </w:tc>
            </w:tr>
            <w:tr w14:paraId="79441C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Borders>
                    <w:top w:val="single" w:color="auto" w:sz="2" w:space="0"/>
                    <w:left w:val="single" w:color="auto" w:sz="2" w:space="0"/>
                    <w:bottom w:val="single" w:color="auto" w:sz="2" w:space="0"/>
                    <w:right w:val="single" w:color="auto" w:sz="2" w:space="0"/>
                  </w:tcBorders>
                  <w:shd w:val="clear" w:color="auto" w:fill="auto"/>
                  <w:tcMar>
                    <w:left w:w="108" w:type="dxa"/>
                    <w:right w:w="108" w:type="dxa"/>
                  </w:tcMar>
                  <w:vAlign w:val="center"/>
                </w:tcPr>
                <w:p w14:paraId="1F7E0BE8">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100-500</w:t>
                  </w:r>
                </w:p>
              </w:tc>
              <w:tc>
                <w:tcPr>
                  <w:tcW w:w="3070" w:type="dxa"/>
                  <w:tcBorders>
                    <w:top w:val="single" w:color="auto" w:sz="2" w:space="0"/>
                    <w:left w:val="single" w:color="auto" w:sz="2" w:space="0"/>
                    <w:bottom w:val="single" w:color="auto" w:sz="2" w:space="0"/>
                    <w:right w:val="single" w:color="auto" w:sz="2" w:space="0"/>
                  </w:tcBorders>
                  <w:shd w:val="clear" w:color="auto" w:fill="auto"/>
                  <w:tcMar>
                    <w:left w:w="108" w:type="dxa"/>
                    <w:right w:w="108" w:type="dxa"/>
                  </w:tcMar>
                  <w:vAlign w:val="center"/>
                </w:tcPr>
                <w:p w14:paraId="2DED8C08">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0.77</w:t>
                  </w:r>
                </w:p>
              </w:tc>
            </w:tr>
            <w:tr w14:paraId="626569C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Borders>
                    <w:top w:val="single" w:color="auto" w:sz="2" w:space="0"/>
                    <w:left w:val="single" w:color="auto" w:sz="2" w:space="0"/>
                    <w:bottom w:val="single" w:color="auto" w:sz="2" w:space="0"/>
                    <w:right w:val="single" w:color="auto" w:sz="2" w:space="0"/>
                  </w:tcBorders>
                  <w:shd w:val="clear" w:color="auto" w:fill="auto"/>
                  <w:tcMar>
                    <w:left w:w="108" w:type="dxa"/>
                    <w:right w:w="108" w:type="dxa"/>
                  </w:tcMar>
                  <w:vAlign w:val="center"/>
                </w:tcPr>
                <w:p w14:paraId="63E55C68">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500-1000</w:t>
                  </w:r>
                </w:p>
              </w:tc>
              <w:tc>
                <w:tcPr>
                  <w:tcW w:w="3070" w:type="dxa"/>
                  <w:tcBorders>
                    <w:top w:val="single" w:color="auto" w:sz="2" w:space="0"/>
                    <w:left w:val="single" w:color="auto" w:sz="2" w:space="0"/>
                    <w:bottom w:val="single" w:color="auto" w:sz="2" w:space="0"/>
                    <w:right w:val="single" w:color="auto" w:sz="2" w:space="0"/>
                  </w:tcBorders>
                  <w:shd w:val="clear" w:color="auto" w:fill="auto"/>
                  <w:tcMar>
                    <w:left w:w="108" w:type="dxa"/>
                    <w:right w:w="108" w:type="dxa"/>
                  </w:tcMar>
                  <w:vAlign w:val="center"/>
                </w:tcPr>
                <w:p w14:paraId="60ACC8FA">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0.56</w:t>
                  </w:r>
                </w:p>
              </w:tc>
            </w:tr>
          </w:tbl>
          <w:p w14:paraId="1073C95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4"/>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杭州电子科技大学固定式卫星地面站仪器设备采购</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w:t>
      </w:r>
    </w:p>
    <w:tbl>
      <w:tblPr>
        <w:tblStyle w:val="24"/>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42737F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A9E21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14:paraId="4E72CDB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14:paraId="4CC000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36BFB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14:paraId="17F714E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1.05</w:t>
            </w:r>
          </w:p>
        </w:tc>
      </w:tr>
      <w:tr w14:paraId="44A7FC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400728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14:paraId="252A7D8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0.77</w:t>
            </w:r>
          </w:p>
        </w:tc>
      </w:tr>
      <w:tr w14:paraId="7C4863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7F3BAE1">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Times New Roman"/>
                <w:color w:val="auto"/>
                <w:szCs w:val="21"/>
                <w:highlight w:val="none"/>
              </w:rPr>
            </w:pPr>
            <w:r>
              <w:rPr>
                <w:rFonts w:hint="eastAsia" w:ascii="宋体" w:hAnsi="宋体" w:eastAsia="宋体" w:cs="宋体"/>
                <w:color w:val="auto"/>
                <w:kern w:val="2"/>
                <w:sz w:val="21"/>
                <w:szCs w:val="21"/>
                <w:highlight w:val="none"/>
                <w:lang w:val="en-US" w:eastAsia="zh-CN" w:bidi="ar"/>
              </w:rPr>
              <w:t>500-1000</w:t>
            </w:r>
          </w:p>
        </w:tc>
        <w:tc>
          <w:tcPr>
            <w:tcW w:w="2833" w:type="dxa"/>
            <w:tcMar>
              <w:top w:w="0" w:type="dxa"/>
              <w:left w:w="108" w:type="dxa"/>
              <w:bottom w:w="0" w:type="dxa"/>
              <w:right w:w="108" w:type="dxa"/>
            </w:tcMar>
            <w:vAlign w:val="center"/>
          </w:tcPr>
          <w:p w14:paraId="06F12408">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Times New Roman"/>
                <w:color w:val="auto"/>
                <w:szCs w:val="21"/>
                <w:highlight w:val="none"/>
              </w:rPr>
            </w:pPr>
            <w:r>
              <w:rPr>
                <w:rFonts w:hint="eastAsia" w:ascii="宋体" w:hAnsi="宋体" w:eastAsia="宋体" w:cs="宋体"/>
                <w:color w:val="auto"/>
                <w:kern w:val="2"/>
                <w:sz w:val="21"/>
                <w:szCs w:val="21"/>
                <w:highlight w:val="none"/>
                <w:lang w:val="en-US" w:eastAsia="zh-CN" w:bidi="ar"/>
              </w:rPr>
              <w:t>0.56</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5A973184">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9E3587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3875F7BB">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招标文件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15D04C3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4501DE1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49FA18C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招标文件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，供应商相应的投标产品须提供国家确定的认证机构出具的、处于有效期之内的节能产品认证证书。</w:t>
      </w:r>
    </w:p>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5D9D45AB">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38FDA472">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val="en-US" w:eastAsia="zh-CN"/>
        </w:rPr>
        <w:t>3.9 供应商</w:t>
      </w:r>
      <w:r>
        <w:rPr>
          <w:rFonts w:hint="eastAsia" w:ascii="宋体" w:hAnsi="宋体" w:eastAsia="宋体" w:cs="宋体"/>
          <w:i w:val="0"/>
          <w:iCs w:val="0"/>
          <w:color w:val="auto"/>
          <w:sz w:val="21"/>
          <w:szCs w:val="21"/>
          <w:highlight w:val="none"/>
          <w:u w:val="single"/>
        </w:rPr>
        <w:t>提供的《中小企业声明函》中，企业数据（如从业人员，营业收入，资产总额）有误的，</w:t>
      </w:r>
      <w:r>
        <w:rPr>
          <w:rFonts w:hint="eastAsia" w:ascii="宋体" w:hAnsi="宋体" w:eastAsia="宋体" w:cs="宋体"/>
          <w:i w:val="0"/>
          <w:iCs w:val="0"/>
          <w:color w:val="auto"/>
          <w:sz w:val="21"/>
          <w:szCs w:val="21"/>
          <w:highlight w:val="none"/>
          <w:u w:val="single"/>
          <w:lang w:val="en-US" w:eastAsia="zh-CN"/>
        </w:rPr>
        <w:t>采购组织机构或</w:t>
      </w:r>
      <w:r>
        <w:rPr>
          <w:rFonts w:hint="eastAsia" w:ascii="宋体" w:hAnsi="宋体" w:eastAsia="宋体" w:cs="宋体"/>
          <w:i w:val="0"/>
          <w:iCs w:val="0"/>
          <w:color w:val="auto"/>
          <w:sz w:val="21"/>
          <w:szCs w:val="21"/>
          <w:highlight w:val="none"/>
          <w:u w:val="single"/>
        </w:rPr>
        <w:t>评标委员会可以要求供应商进行澄清、说明。</w:t>
      </w:r>
      <w:r>
        <w:rPr>
          <w:rFonts w:hint="eastAsia" w:ascii="宋体" w:hAnsi="宋体" w:eastAsia="宋体" w:cs="宋体"/>
          <w:i w:val="0"/>
          <w:iCs w:val="0"/>
          <w:color w:val="auto"/>
          <w:sz w:val="21"/>
          <w:szCs w:val="21"/>
          <w:highlight w:val="none"/>
          <w:u w:val="single"/>
          <w:lang w:val="en-US" w:eastAsia="zh-CN"/>
        </w:rPr>
        <w:t>但</w:t>
      </w:r>
      <w:r>
        <w:rPr>
          <w:rFonts w:hint="eastAsia" w:ascii="宋体" w:hAnsi="宋体" w:eastAsia="宋体" w:cs="宋体"/>
          <w:i w:val="0"/>
          <w:iCs w:val="0"/>
          <w:color w:val="auto"/>
          <w:sz w:val="21"/>
          <w:szCs w:val="21"/>
          <w:highlight w:val="none"/>
          <w:u w:val="single"/>
        </w:rPr>
        <w:t>《中小企业声明函》</w:t>
      </w:r>
      <w:r>
        <w:rPr>
          <w:rFonts w:hint="eastAsia" w:ascii="宋体" w:hAnsi="宋体" w:eastAsia="宋体" w:cs="宋体"/>
          <w:i w:val="0"/>
          <w:iCs w:val="0"/>
          <w:color w:val="auto"/>
          <w:sz w:val="21"/>
          <w:szCs w:val="21"/>
          <w:highlight w:val="none"/>
          <w:u w:val="single"/>
          <w:lang w:val="en-US" w:eastAsia="zh-CN"/>
        </w:rPr>
        <w:t>出现下列情形的，</w:t>
      </w:r>
      <w:r>
        <w:rPr>
          <w:rFonts w:hint="eastAsia" w:ascii="宋体" w:hAnsi="宋体" w:eastAsia="宋体" w:cs="宋体"/>
          <w:i w:val="0"/>
          <w:iCs w:val="0"/>
          <w:color w:val="auto"/>
          <w:sz w:val="21"/>
          <w:szCs w:val="21"/>
          <w:highlight w:val="none"/>
          <w:u w:val="single"/>
        </w:rPr>
        <w:t>《中小企业声明函》无效</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不享受《政府采购促进中小企业发展管理办法》规定的中小企业扶持政策</w:t>
      </w:r>
      <w:r>
        <w:rPr>
          <w:rFonts w:hint="eastAsia" w:ascii="宋体" w:hAnsi="宋体" w:eastAsia="宋体" w:cs="宋体"/>
          <w:i w:val="0"/>
          <w:iCs w:val="0"/>
          <w:color w:val="auto"/>
          <w:sz w:val="21"/>
          <w:szCs w:val="21"/>
          <w:highlight w:val="none"/>
          <w:u w:val="single"/>
          <w:lang w:eastAsia="zh-CN"/>
        </w:rPr>
        <w:t>：</w:t>
      </w:r>
    </w:p>
    <w:p w14:paraId="1167E81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内容未包括全部采购标的；</w:t>
      </w:r>
    </w:p>
    <w:p w14:paraId="6C3BAD54">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未填写</w:t>
      </w:r>
      <w:r>
        <w:rPr>
          <w:rFonts w:hint="eastAsia" w:ascii="宋体" w:hAnsi="宋体" w:eastAsia="宋体" w:cs="宋体"/>
          <w:i w:val="0"/>
          <w:iCs w:val="0"/>
          <w:color w:val="auto"/>
          <w:sz w:val="21"/>
          <w:szCs w:val="21"/>
          <w:highlight w:val="none"/>
          <w:u w:val="single"/>
          <w:lang w:val="en-US" w:eastAsia="zh-CN"/>
        </w:rPr>
        <w:t>标的所属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或者填写</w:t>
      </w:r>
      <w:r>
        <w:rPr>
          <w:rFonts w:hint="eastAsia" w:ascii="宋体" w:hAnsi="宋体" w:eastAsia="宋体" w:cs="宋体"/>
          <w:i w:val="0"/>
          <w:iCs w:val="0"/>
          <w:color w:val="auto"/>
          <w:sz w:val="21"/>
          <w:szCs w:val="21"/>
          <w:highlight w:val="none"/>
          <w:u w:val="single"/>
          <w:lang w:val="en-US" w:eastAsia="zh-CN"/>
        </w:rPr>
        <w:t>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val="en-US" w:eastAsia="zh-CN"/>
        </w:rPr>
        <w:t>与招标文件明确的所属行业不一致；</w:t>
      </w:r>
    </w:p>
    <w:p w14:paraId="0B26647C">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3</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未填写</w:t>
      </w:r>
      <w:r>
        <w:rPr>
          <w:rFonts w:hint="eastAsia" w:ascii="宋体" w:hAnsi="宋体" w:eastAsia="宋体" w:cs="宋体"/>
          <w:i w:val="0"/>
          <w:iCs w:val="0"/>
          <w:color w:val="auto"/>
          <w:sz w:val="21"/>
          <w:szCs w:val="21"/>
          <w:highlight w:val="none"/>
          <w:u w:val="single"/>
        </w:rPr>
        <w:t>企业类型</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填写的企业类型不明确</w:t>
      </w:r>
      <w:r>
        <w:rPr>
          <w:rFonts w:hint="eastAsia" w:ascii="宋体" w:hAnsi="宋体" w:eastAsia="宋体" w:cs="宋体"/>
          <w:i w:val="0"/>
          <w:iCs w:val="0"/>
          <w:color w:val="auto"/>
          <w:sz w:val="21"/>
          <w:szCs w:val="21"/>
          <w:highlight w:val="none"/>
          <w:u w:val="single"/>
        </w:rPr>
        <w:t>或</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rPr>
        <w:t>的企业类型与实际不符</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即：</w:t>
      </w:r>
      <w:r>
        <w:rPr>
          <w:rFonts w:hint="eastAsia" w:ascii="宋体" w:hAnsi="宋体" w:eastAsia="宋体" w:cs="宋体"/>
          <w:i w:val="0"/>
          <w:iCs w:val="0"/>
          <w:color w:val="auto"/>
          <w:sz w:val="21"/>
          <w:szCs w:val="21"/>
          <w:highlight w:val="none"/>
          <w:u w:val="single"/>
        </w:rPr>
        <w:t>企业类型（中型企业、小型企业</w:t>
      </w:r>
      <w:r>
        <w:rPr>
          <w:rFonts w:hint="eastAsia" w:ascii="宋体" w:hAnsi="宋体" w:eastAsia="宋体" w:cs="宋体"/>
          <w:i w:val="0"/>
          <w:iCs w:val="0"/>
          <w:color w:val="auto"/>
          <w:sz w:val="21"/>
          <w:szCs w:val="21"/>
          <w:highlight w:val="none"/>
          <w:u w:val="single"/>
          <w:lang w:val="en-US" w:eastAsia="zh-CN"/>
        </w:rPr>
        <w:t>或</w:t>
      </w:r>
      <w:r>
        <w:rPr>
          <w:rFonts w:hint="eastAsia" w:ascii="宋体" w:hAnsi="宋体" w:eastAsia="宋体" w:cs="宋体"/>
          <w:i w:val="0"/>
          <w:iCs w:val="0"/>
          <w:color w:val="auto"/>
          <w:sz w:val="21"/>
          <w:szCs w:val="21"/>
          <w:highlight w:val="none"/>
          <w:u w:val="single"/>
        </w:rPr>
        <w:t>微型企业）填写错误</w:t>
      </w:r>
      <w:r>
        <w:rPr>
          <w:rFonts w:hint="eastAsia" w:ascii="宋体" w:hAnsi="宋体" w:eastAsia="宋体" w:cs="宋体"/>
          <w:i w:val="0"/>
          <w:iCs w:val="0"/>
          <w:color w:val="auto"/>
          <w:sz w:val="21"/>
          <w:szCs w:val="21"/>
          <w:highlight w:val="none"/>
          <w:u w:val="single"/>
          <w:lang w:eastAsia="zh-CN"/>
        </w:rPr>
        <w:t>）。</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供应商声明的类型获得了本不应获得的利益（价格扣除或者资格审查通过）</w:t>
      </w:r>
      <w:r>
        <w:rPr>
          <w:rFonts w:hint="eastAsia" w:ascii="宋体" w:hAnsi="宋体" w:eastAsia="宋体" w:cs="宋体"/>
          <w:i w:val="0"/>
          <w:iCs w:val="0"/>
          <w:color w:val="auto"/>
          <w:sz w:val="21"/>
          <w:szCs w:val="21"/>
          <w:highlight w:val="none"/>
          <w:u w:val="single"/>
        </w:rPr>
        <w:t>，属于提供虚假材料。构成“</w:t>
      </w:r>
      <w:r>
        <w:rPr>
          <w:rFonts w:hint="eastAsia" w:ascii="宋体" w:hAnsi="宋体" w:eastAsia="宋体" w:cs="宋体"/>
          <w:i w:val="0"/>
          <w:iCs w:val="0"/>
          <w:color w:val="auto"/>
          <w:sz w:val="21"/>
          <w:szCs w:val="21"/>
          <w:highlight w:val="none"/>
          <w:u w:val="single"/>
          <w:lang w:val="en-US" w:eastAsia="zh-CN"/>
        </w:rPr>
        <w:t>提供</w:t>
      </w:r>
      <w:r>
        <w:rPr>
          <w:rFonts w:hint="eastAsia" w:ascii="宋体" w:hAnsi="宋体" w:eastAsia="宋体" w:cs="宋体"/>
          <w:i w:val="0"/>
          <w:iCs w:val="0"/>
          <w:color w:val="auto"/>
          <w:sz w:val="21"/>
          <w:szCs w:val="21"/>
          <w:highlight w:val="none"/>
          <w:u w:val="single"/>
        </w:rPr>
        <w:t>虚假材料谋取中标的”，依法承担法律责任。</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07F047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4B4764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5B139B56">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4"/>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4"/>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100"/>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100"/>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9"/>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9"/>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9"/>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【客观分】投标人提供自2021年1月1日以来（以合同签订时间为准）同类合同业绩（以提供的合同扫描件为准）：每提供1份合同业绩得1分，最高得3分。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vAlign w:val="center"/>
          </w:tcPr>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技术条款低于技术要求（负偏离）的每项扣3分；</w:t>
            </w:r>
          </w:p>
          <w:p w14:paraId="3D4F32C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【主观分】质保期满后配件、附件、备品备件的收费标准合理，配件、附件、备品备件的保障措施强（评分范围：5,4,3,2,1,0）。</w:t>
            </w:r>
          </w:p>
        </w:tc>
      </w:tr>
    </w:tbl>
    <w:p w14:paraId="45C87820">
      <w:pPr>
        <w:adjustRightInd w:val="0"/>
        <w:snapToGrid w:val="0"/>
        <w:spacing w:line="288" w:lineRule="auto"/>
        <w:jc w:val="lef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046B2484">
      <w:pPr>
        <w:adjustRightInd w:val="0"/>
        <w:snapToGrid w:val="0"/>
        <w:spacing w:line="288" w:lineRule="auto"/>
        <w:jc w:val="left"/>
        <w:rPr>
          <w:rFonts w:hint="eastAsia"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的规定：对符合规定的小微企业报价给予10%的扣除后计算价格得分。</w:t>
      </w:r>
    </w:p>
    <w:p w14:paraId="2A04EFB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2B22CB0">
      <w:pPr>
        <w:adjustRightInd w:val="0"/>
        <w:snapToGrid w:val="0"/>
        <w:spacing w:line="288" w:lineRule="auto"/>
        <w:rPr>
          <w:rFonts w:hint="eastAsia"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02F77939">
      <w:pPr>
        <w:adjustRightInd w:val="0"/>
        <w:snapToGrid w:val="0"/>
        <w:spacing w:line="288" w:lineRule="auto"/>
        <w:rPr>
          <w:rFonts w:hint="eastAsia"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032DC66C">
      <w:pPr>
        <w:spacing w:line="288" w:lineRule="auto"/>
        <w:ind w:firstLine="562" w:firstLineChars="20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w:t>
      </w:r>
    </w:p>
    <w:p w14:paraId="4A715020">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w:t>
      </w:r>
    </w:p>
    <w:p w14:paraId="35211B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采购代理机构（鉴证方）：</w:t>
      </w:r>
      <w:r>
        <w:rPr>
          <w:rFonts w:hint="eastAsia" w:ascii="宋体" w:hAnsi="宋体" w:eastAsia="宋体" w:cs="宋体"/>
          <w:color w:val="auto"/>
          <w:kern w:val="0"/>
          <w:szCs w:val="21"/>
          <w:highlight w:val="none"/>
        </w:rPr>
        <w:t xml:space="preserve">             </w:t>
      </w:r>
    </w:p>
    <w:p w14:paraId="5868DAB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为了保护甲乙双方合法权益，根据项目</w:t>
      </w:r>
      <w:r>
        <w:rPr>
          <w:rFonts w:hint="eastAsia" w:ascii="宋体" w:hAnsi="宋体" w:eastAsia="宋体" w:cs="宋体"/>
          <w:color w:val="auto"/>
          <w:kern w:val="0"/>
          <w:szCs w:val="21"/>
          <w:highlight w:val="none"/>
          <w:u w:val="single"/>
          <w:lang w:eastAsia="zh-CN"/>
        </w:rPr>
        <w:t>固定式卫星地面站仪器设备采购</w:t>
      </w:r>
      <w:r>
        <w:rPr>
          <w:rFonts w:hint="eastAsia" w:ascii="宋体" w:hAnsi="宋体" w:eastAsia="宋体" w:cs="宋体"/>
          <w:color w:val="auto"/>
          <w:kern w:val="0"/>
          <w:szCs w:val="21"/>
          <w:highlight w:val="none"/>
        </w:rPr>
        <w:t>（项目编号</w:t>
      </w:r>
      <w:r>
        <w:rPr>
          <w:rFonts w:hint="eastAsia" w:ascii="宋体" w:hAnsi="宋体" w:eastAsia="宋体" w:cs="宋体"/>
          <w:color w:val="auto"/>
          <w:kern w:val="0"/>
          <w:szCs w:val="21"/>
          <w:highlight w:val="none"/>
          <w:u w:val="single"/>
          <w:lang w:eastAsia="zh-CN"/>
        </w:rPr>
        <w:t>QSZB-Z(H)-B25145(GK)</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公开招标</w:t>
      </w:r>
      <w:r>
        <w:rPr>
          <w:rFonts w:hint="eastAsia" w:ascii="宋体" w:hAnsi="宋体" w:eastAsia="宋体" w:cs="宋体"/>
          <w:color w:val="auto"/>
          <w:kern w:val="0"/>
          <w:szCs w:val="21"/>
          <w:highlight w:val="none"/>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一、采购货物与合同价格</w:t>
      </w:r>
    </w:p>
    <w:tbl>
      <w:tblPr>
        <w:tblStyle w:val="24"/>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二、供货范围</w:t>
      </w:r>
    </w:p>
    <w:p w14:paraId="190FD9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质保期：自验收合格之日起，整机质保期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年，其中</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（配件名称）质保</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2.履约保证金（如无则删除本条款）</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合同总金额的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spacing w:val="-6"/>
          <w:kern w:val="0"/>
          <w:szCs w:val="21"/>
          <w:highlight w:val="none"/>
        </w:rPr>
        <w:t>1</w:t>
      </w:r>
      <w:r>
        <w:rPr>
          <w:rFonts w:hint="eastAsia" w:ascii="宋体" w:hAnsi="宋体" w:eastAsia="宋体" w:cs="宋体"/>
          <w:color w:val="auto"/>
          <w:kern w:val="0"/>
          <w:szCs w:val="21"/>
          <w:highlight w:val="none"/>
        </w:rPr>
        <w:t>）预付款方式：</w:t>
      </w:r>
    </w:p>
    <w:p w14:paraId="079E370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bookmarkStart w:id="55" w:name="OLE_LINK10"/>
      <w:bookmarkStart w:id="56" w:name="OLE_LINK8"/>
      <w:bookmarkStart w:id="57" w:name="OLE_LINK7"/>
      <w:bookmarkStart w:id="58" w:name="OLE_LINK9"/>
      <w:r>
        <w:rPr>
          <w:rFonts w:hint="eastAsia" w:ascii="宋体" w:hAnsi="宋体" w:eastAsia="宋体" w:cs="宋体"/>
          <w:color w:val="auto"/>
          <w:szCs w:val="21"/>
          <w:highlight w:val="none"/>
        </w:rPr>
        <w:t>根据</w:t>
      </w:r>
      <w:bookmarkStart w:id="59" w:name="OLE_LINK6"/>
      <w:bookmarkStart w:id="60" w:name="OLE_LINK5"/>
      <w:r>
        <w:rPr>
          <w:rFonts w:hint="eastAsia" w:ascii="宋体" w:hAnsi="宋体" w:eastAsia="宋体" w:cs="宋体"/>
          <w:color w:val="auto"/>
          <w:szCs w:val="21"/>
          <w:highlight w:val="none"/>
        </w:rPr>
        <w:t>《浙江省财政厅关于进一步发挥政府采购政策功能全力推动经济稳进提质的通知》</w:t>
      </w:r>
      <w:bookmarkEnd w:id="59"/>
      <w:bookmarkEnd w:id="60"/>
      <w:r>
        <w:rPr>
          <w:rFonts w:hint="eastAsia" w:ascii="宋体" w:hAnsi="宋体" w:eastAsia="宋体" w:cs="宋体"/>
          <w:color w:val="auto"/>
          <w:szCs w:val="21"/>
          <w:highlight w:val="none"/>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color w:val="auto"/>
          <w:kern w:val="0"/>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w:t>
      </w:r>
    </w:p>
    <w:p w14:paraId="0F61141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原则上不低于合同金额的30％，不高于合同金额的60%</w:t>
      </w:r>
      <w:r>
        <w:rPr>
          <w:rFonts w:hint="eastAsia" w:ascii="宋体" w:hAnsi="宋体" w:eastAsia="宋体" w:cs="宋体"/>
          <w:color w:val="auto"/>
          <w:kern w:val="0"/>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w:t>
      </w:r>
    </w:p>
    <w:p w14:paraId="2AB838C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③在签订合同时，乙方明确表示主动要求降低预付款比例的，可降低预付款比例（预付款保函同步调整）。</w:t>
      </w:r>
    </w:p>
    <w:p w14:paraId="1AB041C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bCs/>
          <w:color w:val="auto"/>
          <w:kern w:val="0"/>
          <w:szCs w:val="21"/>
          <w:highlight w:val="none"/>
        </w:rPr>
        <w:t>货到分期付款：</w:t>
      </w:r>
      <w:r>
        <w:rPr>
          <w:rFonts w:hint="eastAsia" w:ascii="宋体" w:hAnsi="宋体" w:eastAsia="宋体" w:cs="宋体"/>
          <w:color w:val="auto"/>
          <w:kern w:val="0"/>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②货到一次性支付：</w:t>
      </w:r>
    </w:p>
    <w:p w14:paraId="3858389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③其它支付形式：                 </w:t>
      </w:r>
    </w:p>
    <w:p w14:paraId="785FA7C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单位名称：杭州电子科技大学。税号：12330000470009026T</w:t>
      </w:r>
    </w:p>
    <w:p w14:paraId="61288A8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五、转包或分包</w:t>
      </w:r>
    </w:p>
    <w:p w14:paraId="03EEB8D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六、货物交付</w:t>
      </w:r>
    </w:p>
    <w:p w14:paraId="61891480">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交货期：自合同签订之日起</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日内。</w:t>
      </w:r>
    </w:p>
    <w:p w14:paraId="19CFAF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交货方式：</w:t>
      </w:r>
      <w:bookmarkStart w:id="62" w:name="_Hlk155602651"/>
      <w:r>
        <w:rPr>
          <w:rFonts w:hint="eastAsia" w:ascii="宋体" w:hAnsi="宋体" w:eastAsia="宋体" w:cs="宋体"/>
          <w:color w:val="auto"/>
          <w:kern w:val="0"/>
          <w:szCs w:val="21"/>
          <w:highlight w:val="none"/>
        </w:rPr>
        <w:t>　　　送货上门　　</w:t>
      </w:r>
      <w:bookmarkStart w:id="63" w:name="_Hlk155602451"/>
      <w:r>
        <w:rPr>
          <w:rFonts w:hint="eastAsia" w:ascii="宋体" w:hAnsi="宋体" w:eastAsia="宋体" w:cs="宋体"/>
          <w:color w:val="auto"/>
          <w:kern w:val="0"/>
          <w:szCs w:val="21"/>
          <w:highlight w:val="none"/>
        </w:rPr>
        <w:t>。</w:t>
      </w:r>
      <w:bookmarkEnd w:id="62"/>
      <w:bookmarkEnd w:id="63"/>
    </w:p>
    <w:p w14:paraId="42ADE7A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交货地点：</w:t>
      </w:r>
      <w:bookmarkStart w:id="64" w:name="_Hlk155602663"/>
      <w:r>
        <w:rPr>
          <w:rFonts w:hint="eastAsia" w:ascii="宋体" w:hAnsi="宋体" w:eastAsia="宋体" w:cs="宋体"/>
          <w:color w:val="auto"/>
          <w:kern w:val="0"/>
          <w:szCs w:val="21"/>
          <w:highlight w:val="none"/>
        </w:rPr>
        <w:t xml:space="preserve"> 　　甲方指定地点　 。</w:t>
      </w:r>
      <w:bookmarkEnd w:id="64"/>
    </w:p>
    <w:p w14:paraId="237CB7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联系人及电话：</w:t>
      </w:r>
      <w:bookmarkStart w:id="65" w:name="_Hlk155181628"/>
      <w:r>
        <w:rPr>
          <w:rFonts w:hint="eastAsia" w:ascii="宋体" w:hAnsi="宋体" w:eastAsia="宋体" w:cs="宋体"/>
          <w:color w:val="auto"/>
          <w:kern w:val="0"/>
          <w:szCs w:val="21"/>
          <w:highlight w:val="none"/>
        </w:rPr>
        <w:t>甲方 姓名_________联系电话</w:t>
      </w:r>
      <w:r>
        <w:rPr>
          <w:rFonts w:hint="eastAsia" w:ascii="宋体" w:hAnsi="宋体" w:eastAsia="宋体" w:cs="宋体"/>
          <w:color w:val="auto"/>
          <w:kern w:val="0"/>
          <w:szCs w:val="21"/>
          <w:highlight w:val="none"/>
          <w:u w:val="single"/>
        </w:rPr>
        <w:t xml:space="preserve">（办公电话及手机号） </w:t>
      </w:r>
      <w:r>
        <w:rPr>
          <w:rFonts w:hint="eastAsia" w:ascii="宋体" w:hAnsi="宋体" w:eastAsia="宋体" w:cs="宋体"/>
          <w:color w:val="auto"/>
          <w:kern w:val="0"/>
          <w:szCs w:val="21"/>
          <w:highlight w:val="none"/>
        </w:rPr>
        <w:t>；乙方 姓名 __________联系电话</w:t>
      </w:r>
      <w:r>
        <w:rPr>
          <w:rFonts w:hint="eastAsia" w:ascii="宋体" w:hAnsi="宋体" w:eastAsia="宋体" w:cs="宋体"/>
          <w:color w:val="auto"/>
          <w:kern w:val="0"/>
          <w:szCs w:val="21"/>
          <w:highlight w:val="none"/>
          <w:u w:val="single"/>
        </w:rPr>
        <w:t xml:space="preserve">（办公电话及手机号） </w:t>
      </w:r>
      <w:bookmarkEnd w:id="65"/>
      <w:r>
        <w:rPr>
          <w:rFonts w:hint="eastAsia" w:ascii="宋体" w:hAnsi="宋体" w:eastAsia="宋体" w:cs="宋体"/>
          <w:color w:val="auto"/>
          <w:kern w:val="0"/>
          <w:szCs w:val="21"/>
          <w:highlight w:val="none"/>
        </w:rPr>
        <w:t>。</w:t>
      </w:r>
    </w:p>
    <w:p w14:paraId="3652BA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七、安装与验收</w:t>
      </w:r>
    </w:p>
    <w:p w14:paraId="5FA2C7D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最终验收：货物经安装调试完成且符合技术要求后，甲方负责在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八、质量保证与售后服务</w:t>
      </w:r>
    </w:p>
    <w:p w14:paraId="4B1F2B8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w:t>
      </w:r>
      <w:bookmarkStart w:id="67" w:name="_Hlk154577956"/>
      <w:r>
        <w:rPr>
          <w:rFonts w:hint="eastAsia" w:ascii="宋体" w:hAnsi="宋体" w:eastAsia="宋体" w:cs="宋体"/>
          <w:color w:val="auto"/>
          <w:kern w:val="0"/>
          <w:szCs w:val="21"/>
          <w:highlight w:val="none"/>
        </w:rPr>
        <w:t>应按采购文件规定的货物性能、技术要求、质量标准向甲方提供</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售后服务</w:t>
      </w:r>
    </w:p>
    <w:p w14:paraId="5A5C516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2.1远程技术支持：乙方应具有稳定的技术支持队伍和完善的服务支持网络，提供</w:t>
      </w:r>
      <w:r>
        <w:rPr>
          <w:rFonts w:hint="eastAsia" w:ascii="宋体" w:hAnsi="宋体" w:eastAsia="宋体" w:cs="宋体"/>
          <w:color w:val="auto"/>
          <w:kern w:val="0"/>
          <w:szCs w:val="21"/>
          <w:highlight w:val="none"/>
          <w:u w:val="single"/>
        </w:rPr>
        <w:t xml:space="preserve"> 7×24小时 </w:t>
      </w:r>
      <w:r>
        <w:rPr>
          <w:rFonts w:hint="eastAsia" w:ascii="宋体" w:hAnsi="宋体" w:eastAsia="宋体" w:cs="宋体"/>
          <w:color w:val="auto"/>
          <w:kern w:val="0"/>
          <w:szCs w:val="21"/>
          <w:highlight w:val="none"/>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2.2现场技术支持：对于通过电话、邮件等远程技术支持不能解决的问题，乙方应在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小时内派遣相关人员赶赴现场，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小时内维修完毕；发生紧急抢修事故的，乙方应在接到甲方通知后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小时内到达现场抢修，并于到达现场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小时之内排除故障。乙方未在约定时间内修复的或同一货物经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九、保密条款</w:t>
      </w:r>
    </w:p>
    <w:p w14:paraId="3809072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十、违约责任</w:t>
      </w:r>
    </w:p>
    <w:p w14:paraId="04F9E46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甲方无故逾期验收和办理货款支付手续的，每逾期一日，应按逾期付款总额</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向乙方支付违约金。</w:t>
      </w:r>
    </w:p>
    <w:p w14:paraId="460FC2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乙方逾期交货完工的，每逾期一日，应按合同总价</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向甲方支付违约金。逾期超过约定日期</w:t>
      </w:r>
      <w:r>
        <w:rPr>
          <w:rFonts w:hint="eastAsia" w:ascii="宋体" w:hAnsi="宋体" w:eastAsia="宋体" w:cs="宋体"/>
          <w:color w:val="auto"/>
          <w:kern w:val="0"/>
          <w:szCs w:val="21"/>
          <w:highlight w:val="none"/>
          <w:u w:val="single"/>
        </w:rPr>
        <w:t xml:space="preserve"> 10 </w:t>
      </w:r>
      <w:r>
        <w:rPr>
          <w:rFonts w:hint="eastAsia" w:ascii="宋体" w:hAnsi="宋体" w:eastAsia="宋体" w:cs="宋体"/>
          <w:color w:val="auto"/>
          <w:kern w:val="0"/>
          <w:szCs w:val="21"/>
          <w:highlight w:val="none"/>
        </w:rPr>
        <w:t>个工作日不能交货完工的，甲方有权解除本合同，并要求乙方支付合同总价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乙方未能按约定要求履行保修义务的，</w:t>
      </w:r>
      <w:bookmarkStart w:id="68" w:name="_Hlk154755811"/>
      <w:r>
        <w:rPr>
          <w:rFonts w:hint="eastAsia" w:ascii="宋体" w:hAnsi="宋体" w:eastAsia="宋体" w:cs="宋体"/>
          <w:color w:val="auto"/>
          <w:kern w:val="0"/>
          <w:szCs w:val="21"/>
          <w:highlight w:val="none"/>
        </w:rPr>
        <w:t>每发生一次应向甲方支付</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元的违约金，同时，甲方有权委托第三方进行保修，所产生的费用由乙方承担。</w:t>
      </w:r>
      <w:bookmarkEnd w:id="68"/>
      <w:r>
        <w:rPr>
          <w:rFonts w:hint="eastAsia" w:ascii="宋体" w:hAnsi="宋体" w:eastAsia="宋体" w:cs="宋体"/>
          <w:color w:val="auto"/>
          <w:kern w:val="0"/>
          <w:szCs w:val="21"/>
          <w:highlight w:val="none"/>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 xml:space="preserve">因乙方其他违约行为导致甲方解除合同的，乙方应向甲方支付合同总价 </w:t>
      </w:r>
      <w:r>
        <w:rPr>
          <w:rFonts w:hint="eastAsia" w:ascii="宋体" w:hAnsi="宋体" w:eastAsia="宋体" w:cs="宋体"/>
          <w:color w:val="auto"/>
          <w:kern w:val="0"/>
          <w:szCs w:val="21"/>
          <w:highlight w:val="none"/>
          <w:u w:val="single"/>
        </w:rPr>
        <w:t>5 %</w:t>
      </w:r>
      <w:r>
        <w:rPr>
          <w:rFonts w:hint="eastAsia" w:ascii="宋体" w:hAnsi="宋体" w:eastAsia="宋体" w:cs="宋体"/>
          <w:color w:val="auto"/>
          <w:kern w:val="0"/>
          <w:szCs w:val="21"/>
          <w:highlight w:val="none"/>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十一、不可抗力</w:t>
      </w:r>
    </w:p>
    <w:p w14:paraId="1DED66C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十三、合同生效及其他</w:t>
      </w:r>
    </w:p>
    <w:p w14:paraId="5CAF751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本次采购过程中形成的招标（非招标）文件、投标（响应）文件、澄清承诺、补充协议、附件等</w:t>
      </w:r>
      <w:r>
        <w:rPr>
          <w:rFonts w:hint="eastAsia" w:ascii="宋体" w:hAnsi="宋体" w:eastAsia="宋体" w:cs="宋体"/>
          <w:color w:val="auto"/>
          <w:kern w:val="0"/>
          <w:szCs w:val="21"/>
          <w:highlight w:val="none"/>
          <w:lang w:val="zh-CN"/>
        </w:rPr>
        <w:t>为本合同的组成部分，并构成一个整体，需综合解释、相互补充。如果</w:t>
      </w:r>
      <w:r>
        <w:rPr>
          <w:rFonts w:hint="eastAsia" w:ascii="宋体" w:hAnsi="宋体" w:eastAsia="宋体" w:cs="宋体"/>
          <w:color w:val="auto"/>
          <w:kern w:val="0"/>
          <w:szCs w:val="21"/>
          <w:highlight w:val="none"/>
        </w:rPr>
        <w:t>上述</w:t>
      </w:r>
      <w:r>
        <w:rPr>
          <w:rFonts w:hint="eastAsia" w:ascii="宋体" w:hAnsi="宋体" w:eastAsia="宋体" w:cs="宋体"/>
          <w:color w:val="auto"/>
          <w:kern w:val="0"/>
          <w:szCs w:val="21"/>
          <w:highlight w:val="none"/>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（2）中标（成交）通知书；</w:t>
      </w:r>
    </w:p>
    <w:p w14:paraId="191C4F83">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（3）投标（</w:t>
      </w:r>
      <w:r>
        <w:rPr>
          <w:rFonts w:hint="eastAsia" w:ascii="宋体" w:hAnsi="宋体" w:eastAsia="宋体" w:cs="宋体"/>
          <w:color w:val="auto"/>
          <w:kern w:val="0"/>
          <w:szCs w:val="21"/>
          <w:highlight w:val="none"/>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（4）招标（非招标）</w:t>
      </w:r>
      <w:r>
        <w:rPr>
          <w:rFonts w:hint="eastAsia" w:ascii="宋体" w:hAnsi="宋体" w:eastAsia="宋体" w:cs="宋体"/>
          <w:color w:val="auto"/>
          <w:kern w:val="0"/>
          <w:szCs w:val="21"/>
          <w:highlight w:val="none"/>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（5）</w:t>
      </w:r>
      <w:r>
        <w:rPr>
          <w:rFonts w:hint="eastAsia" w:ascii="宋体" w:hAnsi="宋体" w:eastAsia="宋体" w:cs="宋体"/>
          <w:snapToGrid w:val="0"/>
          <w:color w:val="auto"/>
          <w:szCs w:val="21"/>
          <w:highlight w:val="none"/>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5.</w:t>
      </w:r>
      <w:r>
        <w:rPr>
          <w:rFonts w:hint="eastAsia" w:ascii="宋体" w:hAnsi="宋体" w:eastAsia="宋体" w:cs="宋体"/>
          <w:color w:val="auto"/>
          <w:kern w:val="0"/>
          <w:szCs w:val="21"/>
          <w:highlight w:val="none"/>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highlight w:val="none"/>
        </w:rPr>
      </w:pPr>
    </w:p>
    <w:p w14:paraId="77A0E00A">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合同附件：   （附件名称）（如有则填写，如无则删除）</w:t>
      </w:r>
    </w:p>
    <w:tbl>
      <w:tblPr>
        <w:tblStyle w:val="24"/>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委托代理人</w:t>
            </w:r>
            <w:r>
              <w:rPr>
                <w:rFonts w:hint="eastAsia" w:ascii="宋体" w:hAnsi="宋体" w:eastAsia="宋体" w:cs="宋体"/>
                <w:color w:val="auto"/>
                <w:kern w:val="0"/>
                <w:szCs w:val="21"/>
                <w:highlight w:val="none"/>
              </w:rPr>
              <w:t>：</w:t>
            </w:r>
          </w:p>
          <w:p w14:paraId="53AA975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或委托代理人</w:t>
            </w:r>
            <w:r>
              <w:rPr>
                <w:rFonts w:hint="eastAsia" w:ascii="宋体" w:hAnsi="宋体" w:eastAsia="宋体" w:cs="宋体"/>
                <w:color w:val="auto"/>
                <w:kern w:val="0"/>
                <w:szCs w:val="21"/>
                <w:highlight w:val="none"/>
              </w:rPr>
              <w:t>：</w:t>
            </w:r>
          </w:p>
          <w:p w14:paraId="00DD47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5C2BCDD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69" w:name="_Hlk81815656"/>
      <w:r>
        <w:rPr>
          <w:rFonts w:hint="eastAsia" w:ascii="宋体" w:hAnsi="宋体" w:eastAsia="宋体" w:cs="Times New Roman"/>
          <w:color w:val="auto"/>
          <w:spacing w:val="-6"/>
          <w:szCs w:val="21"/>
          <w:highlight w:val="none"/>
        </w:rPr>
        <w:t>（若属于中小企业）</w:t>
      </w:r>
      <w:bookmarkEnd w:id="69"/>
    </w:p>
    <w:p w14:paraId="2B8774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70" w:name="_Hlk81815359"/>
      <w:r>
        <w:rPr>
          <w:rFonts w:hint="eastAsia" w:ascii="宋体" w:hAnsi="宋体" w:eastAsia="宋体" w:cs="Times New Roman"/>
          <w:color w:val="auto"/>
          <w:spacing w:val="-6"/>
          <w:szCs w:val="21"/>
          <w:highlight w:val="none"/>
        </w:rPr>
        <w:t>（若属于监狱企业）</w:t>
      </w:r>
      <w:bookmarkEnd w:id="70"/>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71" w:name="OLE_LINK13"/>
      <w:bookmarkStart w:id="72" w:name="OLE_LINK14"/>
      <w:r>
        <w:rPr>
          <w:rFonts w:hint="eastAsia" w:ascii="宋体" w:hAnsi="宋体" w:eastAsia="宋体" w:cs="Times New Roman"/>
          <w:color w:val="auto"/>
          <w:spacing w:val="-6"/>
          <w:szCs w:val="21"/>
          <w:highlight w:val="none"/>
        </w:rPr>
        <w:t>残疾人福利性单位声明函</w:t>
      </w:r>
      <w:bookmarkEnd w:id="71"/>
      <w:bookmarkEnd w:id="72"/>
      <w:bookmarkStart w:id="73" w:name="_Hlk81815372"/>
      <w:r>
        <w:rPr>
          <w:rFonts w:hint="eastAsia" w:ascii="宋体" w:hAnsi="宋体" w:eastAsia="宋体" w:cs="Times New Roman"/>
          <w:color w:val="auto"/>
          <w:spacing w:val="-6"/>
          <w:szCs w:val="21"/>
          <w:highlight w:val="none"/>
        </w:rPr>
        <w:t>（若属于残疾人福利性单位）</w:t>
      </w:r>
      <w:bookmarkEnd w:id="73"/>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4"/>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杭州电子科技大学固定式卫星地面站仪器设备采购</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QSZB-Z(H)-B25145(GK)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5"/>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杭州电子科技大学固定式卫星地面站仪器设备采购</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QSZB-Z(H)-B25145(GK)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2024年7月（含）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9"/>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2024年7月（含）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4"/>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固定式卫星地面站仪器设备采购</w:t>
      </w:r>
    </w:p>
    <w:p w14:paraId="18EDFD72">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QSZB-Z(H)-B25145(GK)</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4"/>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1856A497">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固定式卫星地面站仪器设备采购</w:t>
      </w:r>
    </w:p>
    <w:p w14:paraId="53A765F8">
      <w:pPr>
        <w:adjustRightInd w:val="0"/>
        <w:snapToGrid w:val="0"/>
        <w:spacing w:line="288" w:lineRule="auto"/>
        <w:rPr>
          <w:rFonts w:hint="eastAsia"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QSZB-Z(H)-B25145(GK)</w:t>
      </w:r>
    </w:p>
    <w:tbl>
      <w:tblPr>
        <w:tblStyle w:val="24"/>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74"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5BFEEE61">
      <w:pPr>
        <w:adjustRightInd w:val="0"/>
        <w:snapToGrid w:val="0"/>
        <w:spacing w:line="288" w:lineRule="auto"/>
        <w:jc w:val="center"/>
        <w:outlineLvl w:val="2"/>
        <w:rPr>
          <w:rFonts w:ascii="宋体" w:hAnsi="宋体" w:eastAsia="宋体" w:cs="宋体"/>
          <w:b/>
          <w:i w:val="0"/>
          <w:iCs w:val="0"/>
          <w:color w:val="auto"/>
          <w:spacing w:val="-6"/>
          <w:szCs w:val="21"/>
          <w:highlight w:val="none"/>
        </w:rPr>
      </w:pP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2</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i w:val="0"/>
          <w:iCs w:val="0"/>
          <w:color w:val="auto"/>
          <w:szCs w:val="21"/>
          <w:highlight w:val="none"/>
        </w:rPr>
      </w:pPr>
    </w:p>
    <w:p w14:paraId="69E4B3B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固定式卫星地面站仪器设备采购</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14:paraId="62EE8991">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固定式卫星地面站</w:t>
      </w:r>
      <w:r>
        <w:rPr>
          <w:rFonts w:ascii="宋体" w:hAnsi="宋体" w:eastAsia="宋体" w:cs="Times New Roman"/>
          <w:i w:val="0"/>
          <w:iCs w:val="0"/>
          <w:color w:val="auto"/>
          <w:szCs w:val="21"/>
          <w:highlight w:val="none"/>
        </w:rPr>
        <w:t xml:space="preserve"> ，属于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eastAsia="zh-CN"/>
        </w:rPr>
        <w:t>。</w:t>
      </w:r>
    </w:p>
    <w:p w14:paraId="76933DCB">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i w:val="0"/>
          <w:iCs w:val="0"/>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00631E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14:paraId="74C0703D">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7F" w:usb3="00000000" w:csb0="203F01FF" w:csb1="D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7"/>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7"/>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7"/>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2933BCF"/>
    <w:multiLevelType w:val="multilevel"/>
    <w:tmpl w:val="12933BCF"/>
    <w:lvl w:ilvl="0" w:tentative="0">
      <w:start w:val="1"/>
      <w:numFmt w:val="decimal"/>
      <w:suff w:val="space"/>
      <w:lvlText w:val="%1"/>
      <w:lvlJc w:val="left"/>
      <w:pPr>
        <w:ind w:left="0" w:firstLine="0"/>
      </w:pPr>
      <w:rPr>
        <w:rFonts w:hint="default" w:ascii="Times New Roman" w:hAnsi="Times New Roman" w:eastAsia="黑体"/>
      </w:rPr>
    </w:lvl>
    <w:lvl w:ilvl="1" w:tentative="0">
      <w:start w:val="1"/>
      <w:numFmt w:val="decimal"/>
      <w:suff w:val="space"/>
      <w:lvlText w:val="%1.%2"/>
      <w:lvlJc w:val="left"/>
      <w:pPr>
        <w:ind w:left="0" w:firstLine="0"/>
      </w:pPr>
      <w:rPr>
        <w:rFonts w:hint="default" w:ascii="Times New Roman" w:hAnsi="Times New Roman"/>
      </w:rPr>
    </w:lvl>
    <w:lvl w:ilvl="2" w:tentative="0">
      <w:start w:val="1"/>
      <w:numFmt w:val="decimal"/>
      <w:suff w:val="space"/>
      <w:lvlText w:val="%1.%2.%3"/>
      <w:lvlJc w:val="left"/>
      <w:pPr>
        <w:ind w:left="0" w:firstLine="0"/>
      </w:pPr>
      <w:rPr>
        <w:rFonts w:hint="default" w:ascii="Times New Roman" w:hAnsi="Times New Roman" w:eastAsia="黑体"/>
      </w:rPr>
    </w:lvl>
    <w:lvl w:ilvl="3" w:tentative="0">
      <w:start w:val="1"/>
      <w:numFmt w:val="decimal"/>
      <w:pStyle w:val="5"/>
      <w:suff w:val="space"/>
      <w:lvlText w:val="%1.%2.%3.%4"/>
      <w:lvlJc w:val="left"/>
      <w:pPr>
        <w:ind w:left="0" w:firstLine="0"/>
      </w:pPr>
      <w:rPr>
        <w:rFonts w:hint="default" w:ascii="Times New Roman" w:hAnsi="Times New Roman" w:eastAsia="黑体"/>
        <w:b w:val="0"/>
        <w:bCs/>
      </w:rPr>
    </w:lvl>
    <w:lvl w:ilvl="4" w:tentative="0">
      <w:start w:val="1"/>
      <w:numFmt w:val="decimal"/>
      <w:suff w:val="space"/>
      <w:lvlText w:val="%1.%2.%3.%4.%5"/>
      <w:lvlJc w:val="left"/>
      <w:pPr>
        <w:ind w:left="0" w:firstLine="0"/>
      </w:pPr>
      <w:rPr>
        <w:rFonts w:hint="default" w:ascii="Times New Roman" w:hAnsi="Times New Roman" w:eastAsia="黑体"/>
      </w:rPr>
    </w:lvl>
    <w:lvl w:ilvl="5" w:tentative="0">
      <w:start w:val="1"/>
      <w:numFmt w:val="decimal"/>
      <w:suff w:val="space"/>
      <w:lvlText w:val="%1.%2.%3.%4.%5.%6"/>
      <w:lvlJc w:val="left"/>
      <w:pPr>
        <w:ind w:left="0" w:firstLine="0"/>
      </w:pPr>
      <w:rPr>
        <w:rFonts w:hint="default" w:ascii="Times New Roman" w:hAnsi="Times New Roman" w:eastAsia="黑体"/>
      </w:rPr>
    </w:lvl>
    <w:lvl w:ilvl="6" w:tentative="0">
      <w:start w:val="1"/>
      <w:numFmt w:val="decimal"/>
      <w:suff w:val="space"/>
      <w:lvlText w:val="%1.%2.%3.%4.%5.%6.%7"/>
      <w:lvlJc w:val="left"/>
      <w:pPr>
        <w:ind w:left="0" w:firstLine="0"/>
      </w:pPr>
      <w:rPr>
        <w:rFonts w:hint="default" w:ascii="Times New Roman" w:hAnsi="Times New Roman" w:eastAsia="黑体"/>
      </w:rPr>
    </w:lvl>
    <w:lvl w:ilvl="7" w:tentative="0">
      <w:start w:val="1"/>
      <w:numFmt w:val="decimal"/>
      <w:suff w:val="space"/>
      <w:lvlText w:val="%1.%2.%3.%4.%5.%6.%7.%8"/>
      <w:lvlJc w:val="left"/>
      <w:pPr>
        <w:ind w:left="0" w:firstLine="0"/>
      </w:pPr>
      <w:rPr>
        <w:rFonts w:hint="default" w:ascii="Times New Roman" w:hAnsi="Times New Roman" w:eastAsia="黑体"/>
      </w:rPr>
    </w:lvl>
    <w:lvl w:ilvl="8" w:tentative="0">
      <w:start w:val="1"/>
      <w:numFmt w:val="decimal"/>
      <w:suff w:val="space"/>
      <w:lvlText w:val="%1.%2.%3.%4.%5.%6.%7.%8.%9"/>
      <w:lvlJc w:val="left"/>
      <w:pPr>
        <w:ind w:left="0" w:firstLine="0"/>
      </w:pPr>
      <w:rPr>
        <w:rFonts w:hint="default" w:ascii="Times New Roman" w:hAnsi="Times New Roman" w:eastAsia="黑体"/>
      </w:rPr>
    </w:lvl>
  </w:abstractNum>
  <w:abstractNum w:abstractNumId="2">
    <w:nsid w:val="77DE589C"/>
    <w:multiLevelType w:val="multilevel"/>
    <w:tmpl w:val="77DE589C"/>
    <w:lvl w:ilvl="0" w:tentative="0">
      <w:start w:val="1"/>
      <w:numFmt w:val="decimal"/>
      <w:pStyle w:val="110"/>
      <w:lvlText w:val="%1)"/>
      <w:lvlJc w:val="left"/>
      <w:pPr>
        <w:ind w:left="920" w:hanging="353"/>
      </w:pPr>
      <w:rPr>
        <w:rFonts w:hint="eastAsia"/>
        <w:sz w:val="24"/>
        <w:szCs w:val="28"/>
      </w:rPr>
    </w:lvl>
    <w:lvl w:ilvl="1" w:tentative="0">
      <w:start w:val="1"/>
      <w:numFmt w:val="lowerLetter"/>
      <w:lvlText w:val="%2)"/>
      <w:lvlJc w:val="left"/>
      <w:pPr>
        <w:ind w:left="1360" w:hanging="440"/>
      </w:pPr>
      <w:rPr>
        <w:rFonts w:hint="eastAsia"/>
      </w:rPr>
    </w:lvl>
    <w:lvl w:ilvl="2" w:tentative="0">
      <w:start w:val="1"/>
      <w:numFmt w:val="decimal"/>
      <w:lvlText w:val="%3."/>
      <w:lvlJc w:val="left"/>
      <w:pPr>
        <w:ind w:left="1800" w:hanging="440"/>
      </w:pPr>
      <w:rPr>
        <w:rFonts w:hint="eastAsia"/>
      </w:rPr>
    </w:lvl>
    <w:lvl w:ilvl="3" w:tentative="0">
      <w:start w:val="1"/>
      <w:numFmt w:val="decimal"/>
      <w:lvlText w:val="%4."/>
      <w:lvlJc w:val="left"/>
      <w:pPr>
        <w:ind w:left="2240" w:hanging="440"/>
      </w:pPr>
      <w:rPr>
        <w:rFonts w:hint="eastAsia"/>
      </w:rPr>
    </w:lvl>
    <w:lvl w:ilvl="4" w:tentative="0">
      <w:start w:val="1"/>
      <w:numFmt w:val="lowerLetter"/>
      <w:lvlText w:val="%5)"/>
      <w:lvlJc w:val="left"/>
      <w:pPr>
        <w:ind w:left="2680" w:hanging="440"/>
      </w:pPr>
      <w:rPr>
        <w:rFonts w:hint="eastAsia"/>
      </w:rPr>
    </w:lvl>
    <w:lvl w:ilvl="5" w:tentative="0">
      <w:start w:val="1"/>
      <w:numFmt w:val="lowerRoman"/>
      <w:lvlText w:val="%6."/>
      <w:lvlJc w:val="right"/>
      <w:pPr>
        <w:ind w:left="3120" w:hanging="440"/>
      </w:pPr>
      <w:rPr>
        <w:rFonts w:hint="eastAsia"/>
      </w:rPr>
    </w:lvl>
    <w:lvl w:ilvl="6" w:tentative="0">
      <w:start w:val="1"/>
      <w:numFmt w:val="decimal"/>
      <w:lvlText w:val="%7."/>
      <w:lvlJc w:val="left"/>
      <w:pPr>
        <w:ind w:left="3560" w:hanging="440"/>
      </w:pPr>
      <w:rPr>
        <w:rFonts w:hint="eastAsia"/>
      </w:rPr>
    </w:lvl>
    <w:lvl w:ilvl="7" w:tentative="0">
      <w:start w:val="1"/>
      <w:numFmt w:val="lowerLetter"/>
      <w:lvlText w:val="%8)"/>
      <w:lvlJc w:val="left"/>
      <w:pPr>
        <w:ind w:left="4000" w:hanging="440"/>
      </w:pPr>
      <w:rPr>
        <w:rFonts w:hint="eastAsia"/>
      </w:rPr>
    </w:lvl>
    <w:lvl w:ilvl="8" w:tentative="0">
      <w:start w:val="1"/>
      <w:numFmt w:val="lowerRoman"/>
      <w:lvlText w:val="%9."/>
      <w:lvlJc w:val="right"/>
      <w:pPr>
        <w:ind w:left="4440" w:hanging="44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F93561"/>
    <w:rsid w:val="05D34727"/>
    <w:rsid w:val="05D9297D"/>
    <w:rsid w:val="07650D44"/>
    <w:rsid w:val="07DB5C37"/>
    <w:rsid w:val="08931933"/>
    <w:rsid w:val="0A8F0E99"/>
    <w:rsid w:val="0B4A1776"/>
    <w:rsid w:val="0BD50265"/>
    <w:rsid w:val="0BDF2B10"/>
    <w:rsid w:val="0BEC010D"/>
    <w:rsid w:val="0C786503"/>
    <w:rsid w:val="0D1A04C9"/>
    <w:rsid w:val="0DA43FD6"/>
    <w:rsid w:val="0DCB77B4"/>
    <w:rsid w:val="10757130"/>
    <w:rsid w:val="112B34AD"/>
    <w:rsid w:val="11FF5827"/>
    <w:rsid w:val="18090C43"/>
    <w:rsid w:val="18FB5F15"/>
    <w:rsid w:val="1B321622"/>
    <w:rsid w:val="1C825F7C"/>
    <w:rsid w:val="1E452027"/>
    <w:rsid w:val="1EEB1A56"/>
    <w:rsid w:val="1F9C38D3"/>
    <w:rsid w:val="20767551"/>
    <w:rsid w:val="212705BE"/>
    <w:rsid w:val="21DB64E2"/>
    <w:rsid w:val="221C4C30"/>
    <w:rsid w:val="22A70B6C"/>
    <w:rsid w:val="22AD65CC"/>
    <w:rsid w:val="23C14303"/>
    <w:rsid w:val="23FF4622"/>
    <w:rsid w:val="25A217AC"/>
    <w:rsid w:val="25E159B2"/>
    <w:rsid w:val="27432BC1"/>
    <w:rsid w:val="27F0275A"/>
    <w:rsid w:val="28580092"/>
    <w:rsid w:val="28BC23D4"/>
    <w:rsid w:val="2AA10ED5"/>
    <w:rsid w:val="2ADA0518"/>
    <w:rsid w:val="2C921974"/>
    <w:rsid w:val="2DBE14C9"/>
    <w:rsid w:val="2E2B31E3"/>
    <w:rsid w:val="2ED77388"/>
    <w:rsid w:val="2F380CDF"/>
    <w:rsid w:val="2F6A64D8"/>
    <w:rsid w:val="30616EA9"/>
    <w:rsid w:val="31A44D82"/>
    <w:rsid w:val="32BE120D"/>
    <w:rsid w:val="330C0EF9"/>
    <w:rsid w:val="33506DE6"/>
    <w:rsid w:val="34004E73"/>
    <w:rsid w:val="35194EAC"/>
    <w:rsid w:val="35A54CED"/>
    <w:rsid w:val="37534CA7"/>
    <w:rsid w:val="37D824F1"/>
    <w:rsid w:val="3969160E"/>
    <w:rsid w:val="39B918B5"/>
    <w:rsid w:val="3AE1138E"/>
    <w:rsid w:val="3B0C4DFA"/>
    <w:rsid w:val="3B0F3DCC"/>
    <w:rsid w:val="3C4D26C6"/>
    <w:rsid w:val="3D044EFC"/>
    <w:rsid w:val="3E6946AD"/>
    <w:rsid w:val="3EB60CB3"/>
    <w:rsid w:val="3EC436F9"/>
    <w:rsid w:val="3F740895"/>
    <w:rsid w:val="3FB93DC6"/>
    <w:rsid w:val="402A691C"/>
    <w:rsid w:val="422E66F3"/>
    <w:rsid w:val="42405173"/>
    <w:rsid w:val="4275164D"/>
    <w:rsid w:val="430A3262"/>
    <w:rsid w:val="44265D88"/>
    <w:rsid w:val="46A824B9"/>
    <w:rsid w:val="46BB170B"/>
    <w:rsid w:val="47510906"/>
    <w:rsid w:val="495D70F7"/>
    <w:rsid w:val="498C1364"/>
    <w:rsid w:val="499E2953"/>
    <w:rsid w:val="49F3156B"/>
    <w:rsid w:val="4B7D5F80"/>
    <w:rsid w:val="4BF40741"/>
    <w:rsid w:val="4C5E019B"/>
    <w:rsid w:val="4F64249F"/>
    <w:rsid w:val="4F6E1200"/>
    <w:rsid w:val="4FEE189E"/>
    <w:rsid w:val="500B7C38"/>
    <w:rsid w:val="51F31A9A"/>
    <w:rsid w:val="5345653C"/>
    <w:rsid w:val="53F038EA"/>
    <w:rsid w:val="549F2962"/>
    <w:rsid w:val="54E01333"/>
    <w:rsid w:val="59BA69E3"/>
    <w:rsid w:val="5A661DF4"/>
    <w:rsid w:val="5ACF0178"/>
    <w:rsid w:val="5C3E17F9"/>
    <w:rsid w:val="5C483ABC"/>
    <w:rsid w:val="5D052980"/>
    <w:rsid w:val="5D3A6920"/>
    <w:rsid w:val="5D8135CC"/>
    <w:rsid w:val="5DF10A2F"/>
    <w:rsid w:val="5ED57F57"/>
    <w:rsid w:val="5EF534F9"/>
    <w:rsid w:val="5F157F97"/>
    <w:rsid w:val="600446EC"/>
    <w:rsid w:val="600D2EE6"/>
    <w:rsid w:val="61D4087B"/>
    <w:rsid w:val="621760F6"/>
    <w:rsid w:val="62246B60"/>
    <w:rsid w:val="628A2B7E"/>
    <w:rsid w:val="644F1ACD"/>
    <w:rsid w:val="64751744"/>
    <w:rsid w:val="64AC4473"/>
    <w:rsid w:val="67060D39"/>
    <w:rsid w:val="6727654B"/>
    <w:rsid w:val="67FF1998"/>
    <w:rsid w:val="680D1D99"/>
    <w:rsid w:val="69431270"/>
    <w:rsid w:val="6A7F4F75"/>
    <w:rsid w:val="6ACA16F9"/>
    <w:rsid w:val="6B16774A"/>
    <w:rsid w:val="6C467142"/>
    <w:rsid w:val="6CB03B45"/>
    <w:rsid w:val="6ECE2681"/>
    <w:rsid w:val="6ED12033"/>
    <w:rsid w:val="70FC7F1F"/>
    <w:rsid w:val="72340F9C"/>
    <w:rsid w:val="73382D7E"/>
    <w:rsid w:val="763243C9"/>
    <w:rsid w:val="773B0609"/>
    <w:rsid w:val="774152C9"/>
    <w:rsid w:val="793070F8"/>
    <w:rsid w:val="79D825C1"/>
    <w:rsid w:val="7B376E2F"/>
    <w:rsid w:val="7B5D131E"/>
    <w:rsid w:val="7D950234"/>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4"/>
    <w:basedOn w:val="1"/>
    <w:next w:val="1"/>
    <w:unhideWhenUsed/>
    <w:qFormat/>
    <w:uiPriority w:val="9"/>
    <w:pPr>
      <w:keepNext/>
      <w:keepLines/>
      <w:numPr>
        <w:ilvl w:val="3"/>
        <w:numId w:val="1"/>
      </w:numPr>
      <w:adjustRightInd w:val="0"/>
      <w:snapToGrid w:val="0"/>
      <w:spacing w:line="300" w:lineRule="auto"/>
      <w:outlineLvl w:val="3"/>
    </w:pPr>
    <w:rPr>
      <w:rFonts w:eastAsia="黑体" w:cstheme="majorBidi"/>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List Number"/>
    <w:basedOn w:val="1"/>
    <w:qFormat/>
    <w:uiPriority w:val="0"/>
    <w:pPr>
      <w:widowControl/>
      <w:numPr>
        <w:ilvl w:val="0"/>
        <w:numId w:val="2"/>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7">
    <w:name w:val="Normal Indent"/>
    <w:basedOn w:val="1"/>
    <w:link w:val="47"/>
    <w:qFormat/>
    <w:uiPriority w:val="0"/>
    <w:pPr>
      <w:ind w:firstLine="420"/>
    </w:pPr>
    <w:rPr>
      <w:rFonts w:eastAsia="宋体"/>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44"/>
    <w:unhideWhenUsed/>
    <w:qFormat/>
    <w:uiPriority w:val="99"/>
    <w:rPr>
      <w:rFonts w:ascii="宋体"/>
      <w:sz w:val="18"/>
      <w:szCs w:val="18"/>
    </w:rPr>
  </w:style>
  <w:style w:type="paragraph" w:styleId="10">
    <w:name w:val="annotation text"/>
    <w:basedOn w:val="1"/>
    <w:link w:val="81"/>
    <w:unhideWhenUsed/>
    <w:qFormat/>
    <w:uiPriority w:val="99"/>
    <w:pPr>
      <w:jc w:val="left"/>
    </w:pPr>
  </w:style>
  <w:style w:type="paragraph" w:styleId="11">
    <w:name w:val="Body Text"/>
    <w:basedOn w:val="1"/>
    <w:link w:val="84"/>
    <w:unhideWhenUsed/>
    <w:qFormat/>
    <w:uiPriority w:val="99"/>
    <w:pPr>
      <w:spacing w:after="120"/>
    </w:pPr>
    <w:rPr>
      <w:rFonts w:ascii="Times New Roman" w:hAnsi="Times New Roman" w:eastAsia="宋体" w:cs="Times New Roman"/>
      <w:sz w:val="28"/>
      <w:szCs w:val="24"/>
    </w:rPr>
  </w:style>
  <w:style w:type="paragraph" w:styleId="12">
    <w:name w:val="Body Text Indent"/>
    <w:basedOn w:val="1"/>
    <w:link w:val="71"/>
    <w:qFormat/>
    <w:uiPriority w:val="0"/>
    <w:pPr>
      <w:spacing w:line="200" w:lineRule="atLeast"/>
      <w:ind w:firstLine="301"/>
    </w:pPr>
    <w:rPr>
      <w:rFonts w:ascii="宋体" w:hAnsi="Courier New"/>
      <w:spacing w:val="-4"/>
      <w:sz w:val="18"/>
    </w:rPr>
  </w:style>
  <w:style w:type="paragraph" w:styleId="13">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4">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5">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6">
    <w:name w:val="Balloon Text"/>
    <w:basedOn w:val="1"/>
    <w:link w:val="85"/>
    <w:qFormat/>
    <w:uiPriority w:val="0"/>
    <w:rPr>
      <w:rFonts w:ascii="Times New Roman" w:hAnsi="Times New Roman" w:eastAsia="宋体" w:cs="Times New Roman"/>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qFormat/>
    <w:uiPriority w:val="0"/>
    <w:pPr>
      <w:ind w:left="200" w:hanging="200" w:hangingChars="200"/>
    </w:pPr>
    <w:rPr>
      <w:rFonts w:ascii="Times New Roman" w:hAnsi="Times New Roman" w:eastAsia="宋体" w:cs="Times New Roman"/>
      <w:sz w:val="28"/>
      <w:szCs w:val="24"/>
    </w:rPr>
  </w:style>
  <w:style w:type="paragraph" w:styleId="20">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1">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2">
    <w:name w:val="annotation subject"/>
    <w:basedOn w:val="10"/>
    <w:next w:val="10"/>
    <w:link w:val="57"/>
    <w:unhideWhenUsed/>
    <w:qFormat/>
    <w:uiPriority w:val="99"/>
    <w:rPr>
      <w:b/>
      <w:bCs/>
      <w:sz w:val="28"/>
      <w:szCs w:val="24"/>
    </w:rPr>
  </w:style>
  <w:style w:type="paragraph" w:styleId="23">
    <w:name w:val="Body Text First Indent 2"/>
    <w:basedOn w:val="12"/>
    <w:link w:val="89"/>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unhideWhenUsed/>
    <w:qFormat/>
    <w:uiPriority w:val="99"/>
    <w:rPr>
      <w:color w:val="5579A7"/>
      <w:u w:val="none"/>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6"/>
    <w:link w:val="18"/>
    <w:qFormat/>
    <w:uiPriority w:val="99"/>
    <w:rPr>
      <w:sz w:val="18"/>
      <w:szCs w:val="18"/>
    </w:rPr>
  </w:style>
  <w:style w:type="character" w:customStyle="1" w:styleId="37">
    <w:name w:val="页脚 字符"/>
    <w:basedOn w:val="26"/>
    <w:link w:val="17"/>
    <w:qFormat/>
    <w:uiPriority w:val="99"/>
    <w:rPr>
      <w:sz w:val="18"/>
      <w:szCs w:val="18"/>
    </w:rPr>
  </w:style>
  <w:style w:type="character" w:customStyle="1" w:styleId="38">
    <w:name w:val="标题 1 字符"/>
    <w:basedOn w:val="26"/>
    <w:link w:val="2"/>
    <w:qFormat/>
    <w:uiPriority w:val="9"/>
    <w:rPr>
      <w:rFonts w:ascii="Times New Roman" w:hAnsi="Times New Roman" w:eastAsia="宋体" w:cs="Times New Roman"/>
      <w:b/>
      <w:bCs/>
      <w:kern w:val="44"/>
      <w:sz w:val="44"/>
      <w:szCs w:val="44"/>
    </w:rPr>
  </w:style>
  <w:style w:type="character" w:customStyle="1" w:styleId="39">
    <w:name w:val="标题 2 字符"/>
    <w:basedOn w:val="26"/>
    <w:link w:val="3"/>
    <w:qFormat/>
    <w:uiPriority w:val="9"/>
    <w:rPr>
      <w:rFonts w:ascii="Cambria" w:hAnsi="Cambria" w:eastAsia="宋体" w:cs="Times New Roman"/>
      <w:b/>
      <w:bCs/>
      <w:sz w:val="32"/>
      <w:szCs w:val="32"/>
    </w:rPr>
  </w:style>
  <w:style w:type="character" w:customStyle="1" w:styleId="40">
    <w:name w:val="标题 3 字符"/>
    <w:basedOn w:val="26"/>
    <w:link w:val="4"/>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9"/>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6"/>
    <w:qFormat/>
    <w:uiPriority w:val="0"/>
  </w:style>
  <w:style w:type="character" w:customStyle="1" w:styleId="47">
    <w:name w:val="正文缩进 字符"/>
    <w:link w:val="7"/>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6"/>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6"/>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4"/>
    <w:qFormat/>
    <w:uiPriority w:val="99"/>
    <w:rPr>
      <w:rFonts w:ascii="宋体" w:hAnsi="Courier New"/>
      <w:sz w:val="24"/>
      <w:szCs w:val="24"/>
    </w:rPr>
  </w:style>
  <w:style w:type="character" w:customStyle="1" w:styleId="57">
    <w:name w:val="批注主题 字符"/>
    <w:link w:val="22"/>
    <w:qFormat/>
    <w:uiPriority w:val="99"/>
    <w:rPr>
      <w:b/>
      <w:bCs/>
      <w:sz w:val="28"/>
      <w:szCs w:val="24"/>
    </w:rPr>
  </w:style>
  <w:style w:type="character" w:customStyle="1" w:styleId="58">
    <w:name w:val="jbox-icon-loading"/>
    <w:basedOn w:val="26"/>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6"/>
    <w:qFormat/>
    <w:uiPriority w:val="0"/>
  </w:style>
  <w:style w:type="character" w:customStyle="1" w:styleId="63">
    <w:name w:val="jbox-icon"/>
    <w:basedOn w:val="26"/>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6"/>
    <w:qFormat/>
    <w:uiPriority w:val="0"/>
  </w:style>
  <w:style w:type="character" w:customStyle="1" w:styleId="66">
    <w:name w:val="jbox-icon-success"/>
    <w:basedOn w:val="26"/>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6"/>
    <w:qFormat/>
    <w:uiPriority w:val="0"/>
  </w:style>
  <w:style w:type="character" w:customStyle="1" w:styleId="71">
    <w:name w:val="正文文本缩进 字符2"/>
    <w:link w:val="12"/>
    <w:qFormat/>
    <w:uiPriority w:val="0"/>
    <w:rPr>
      <w:rFonts w:ascii="宋体" w:hAnsi="Courier New"/>
      <w:spacing w:val="-4"/>
      <w:sz w:val="18"/>
    </w:rPr>
  </w:style>
  <w:style w:type="character" w:customStyle="1" w:styleId="72">
    <w:name w:val="jbox-icon-error"/>
    <w:basedOn w:val="26"/>
    <w:qFormat/>
    <w:uiPriority w:val="0"/>
  </w:style>
  <w:style w:type="character" w:customStyle="1" w:styleId="73">
    <w:name w:val="正文文本 2 字符"/>
    <w:basedOn w:val="26"/>
    <w:link w:val="20"/>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6"/>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字符1"/>
    <w:basedOn w:val="26"/>
    <w:link w:val="10"/>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6"/>
    <w:semiHidden/>
    <w:qFormat/>
    <w:uiPriority w:val="99"/>
    <w:rPr>
      <w:rFonts w:ascii="Microsoft YaHei UI" w:eastAsia="Microsoft YaHei UI"/>
      <w:sz w:val="18"/>
      <w:szCs w:val="18"/>
    </w:rPr>
  </w:style>
  <w:style w:type="character" w:customStyle="1" w:styleId="84">
    <w:name w:val="正文文本 字符"/>
    <w:basedOn w:val="26"/>
    <w:link w:val="11"/>
    <w:qFormat/>
    <w:uiPriority w:val="99"/>
    <w:rPr>
      <w:rFonts w:ascii="Times New Roman" w:hAnsi="Times New Roman" w:eastAsia="宋体" w:cs="Times New Roman"/>
      <w:sz w:val="28"/>
      <w:szCs w:val="24"/>
    </w:rPr>
  </w:style>
  <w:style w:type="character" w:customStyle="1" w:styleId="85">
    <w:name w:val="批注框文本 字符"/>
    <w:basedOn w:val="26"/>
    <w:link w:val="16"/>
    <w:qFormat/>
    <w:uiPriority w:val="0"/>
    <w:rPr>
      <w:rFonts w:ascii="Times New Roman" w:hAnsi="Times New Roman" w:eastAsia="宋体" w:cs="Times New Roman"/>
      <w:sz w:val="18"/>
      <w:szCs w:val="18"/>
    </w:rPr>
  </w:style>
  <w:style w:type="character" w:customStyle="1" w:styleId="86">
    <w:name w:val="正文文本缩进 字符3"/>
    <w:basedOn w:val="26"/>
    <w:semiHidden/>
    <w:qFormat/>
    <w:uiPriority w:val="99"/>
  </w:style>
  <w:style w:type="character" w:customStyle="1" w:styleId="87">
    <w:name w:val="日期 字符"/>
    <w:basedOn w:val="26"/>
    <w:link w:val="15"/>
    <w:qFormat/>
    <w:uiPriority w:val="0"/>
    <w:rPr>
      <w:rFonts w:ascii="Times New Roman" w:hAnsi="Times New Roman" w:eastAsia="楷体_GB2312" w:cs="Times New Roman"/>
      <w:sz w:val="32"/>
      <w:szCs w:val="20"/>
    </w:rPr>
  </w:style>
  <w:style w:type="character" w:customStyle="1" w:styleId="88">
    <w:name w:val="纯文本 字符3"/>
    <w:basedOn w:val="26"/>
    <w:semiHidden/>
    <w:qFormat/>
    <w:uiPriority w:val="99"/>
    <w:rPr>
      <w:rFonts w:hAnsi="Courier New" w:cs="Courier New" w:asciiTheme="minorEastAsia"/>
    </w:rPr>
  </w:style>
  <w:style w:type="character" w:customStyle="1" w:styleId="89">
    <w:name w:val="正文文本首行缩进 2 字符"/>
    <w:basedOn w:val="86"/>
    <w:link w:val="23"/>
    <w:qFormat/>
    <w:uiPriority w:val="99"/>
    <w:rPr>
      <w:rFonts w:ascii="宋体" w:hAnsi="Courier New"/>
      <w:spacing w:val="-4"/>
      <w:sz w:val="18"/>
    </w:rPr>
  </w:style>
  <w:style w:type="character" w:customStyle="1" w:styleId="90">
    <w:name w:val="z-窗体底端 字符1"/>
    <w:basedOn w:val="26"/>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link w:val="108"/>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3"/>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6"/>
    <w:semiHidden/>
    <w:unhideWhenUsed/>
    <w:qFormat/>
    <w:uiPriority w:val="99"/>
    <w:rPr>
      <w:color w:val="605E5C"/>
      <w:shd w:val="clear" w:color="auto" w:fill="E1DFDD"/>
    </w:rPr>
  </w:style>
  <w:style w:type="character" w:customStyle="1" w:styleId="107">
    <w:name w:val="Unresolved Mention"/>
    <w:basedOn w:val="26"/>
    <w:semiHidden/>
    <w:unhideWhenUsed/>
    <w:qFormat/>
    <w:uiPriority w:val="99"/>
    <w:rPr>
      <w:color w:val="605E5C"/>
      <w:shd w:val="clear" w:color="auto" w:fill="E1DFDD"/>
    </w:rPr>
  </w:style>
  <w:style w:type="character" w:customStyle="1" w:styleId="108">
    <w:name w:val="正文2 Char Char"/>
    <w:link w:val="99"/>
    <w:qFormat/>
    <w:uiPriority w:val="0"/>
    <w:rPr>
      <w:kern w:val="2"/>
      <w:sz w:val="24"/>
    </w:rPr>
  </w:style>
  <w:style w:type="table" w:customStyle="1" w:styleId="109">
    <w:name w:val="网格型1"/>
    <w:basedOn w:val="2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0">
    <w:name w:val="M-条目1级"/>
    <w:basedOn w:val="1"/>
    <w:qFormat/>
    <w:uiPriority w:val="9"/>
    <w:pPr>
      <w:widowControl/>
      <w:numPr>
        <w:ilvl w:val="0"/>
        <w:numId w:val="3"/>
      </w:numPr>
      <w:spacing w:line="300" w:lineRule="auto"/>
      <w:jc w:val="both"/>
    </w:pPr>
    <w:rPr>
      <w:rFonts w:cs="宋体"/>
      <w:kern w:val="0"/>
      <w:sz w:val="28"/>
      <w:szCs w:val="24"/>
      <w14:ligatures w14:val="none"/>
    </w:rPr>
  </w:style>
  <w:style w:type="paragraph" w:customStyle="1" w:styleId="111">
    <w:name w:val="T2"/>
    <w:basedOn w:val="3"/>
    <w:qFormat/>
    <w:uiPriority w:val="0"/>
    <w:pPr>
      <w:spacing w:before="120" w:after="120" w:line="415" w:lineRule="auto"/>
      <w:ind w:left="578" w:hanging="578"/>
    </w:pPr>
    <w:rPr>
      <w:rFonts w:ascii="Times New Roman" w:hAnsi="Times New Roman" w:eastAsia="黑体" w:cs="Times New Roman"/>
      <w:b w:val="0"/>
      <w:snapToGrid w:val="0"/>
      <w:kern w:val="0"/>
    </w:rPr>
  </w:style>
  <w:style w:type="paragraph" w:customStyle="1" w:styleId="112">
    <w:name w:val="ZW"/>
    <w:basedOn w:val="1"/>
    <w:qFormat/>
    <w:uiPriority w:val="0"/>
    <w:pPr>
      <w:ind w:firstLine="560"/>
    </w:pPr>
    <w:rPr>
      <w:rFonts w:ascii="仿宋_GB2312" w:hAnsi="等线" w:eastAsia="仿宋_GB231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60</Pages>
  <Words>15904</Words>
  <Characters>18140</Characters>
  <Lines>1</Lines>
  <Paragraphs>1</Paragraphs>
  <TotalTime>4</TotalTime>
  <ScaleCrop>false</ScaleCrop>
  <LinksUpToDate>false</LinksUpToDate>
  <CharactersWithSpaces>18323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俞炳</cp:lastModifiedBy>
  <cp:lastPrinted>2022-10-31T00:58:00Z</cp:lastPrinted>
  <dcterms:modified xsi:type="dcterms:W3CDTF">2025-05-14T04:59:38Z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