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56FF926">
      <w:pPr>
        <w:pStyle w:val="145"/>
        <w:widowControl w:val="0"/>
        <w:snapToGrid w:val="0"/>
        <w:spacing w:line="470" w:lineRule="atLeast"/>
        <w:ind w:firstLine="0"/>
        <w:jc w:val="center"/>
        <w:rPr>
          <w:rFonts w:ascii="黑体" w:hAnsi="宋体" w:eastAsia="黑体"/>
          <w:b w:val="0"/>
          <w:color w:val="auto"/>
          <w:sz w:val="32"/>
        </w:rPr>
      </w:pPr>
      <w:bookmarkStart w:id="879" w:name="_GoBack"/>
      <w:bookmarkStart w:id="0" w:name="_Toc171394914"/>
    </w:p>
    <w:p w14:paraId="095ED118">
      <w:pPr>
        <w:pStyle w:val="145"/>
        <w:widowControl w:val="0"/>
        <w:snapToGrid w:val="0"/>
        <w:spacing w:line="470" w:lineRule="atLeast"/>
        <w:ind w:firstLine="0"/>
        <w:jc w:val="center"/>
        <w:rPr>
          <w:rFonts w:ascii="黑体" w:hAnsi="宋体" w:eastAsia="黑体"/>
          <w:b w:val="0"/>
          <w:color w:val="auto"/>
          <w:sz w:val="32"/>
        </w:rPr>
      </w:pPr>
    </w:p>
    <w:p w14:paraId="314FF123">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bookmarkStart w:id="1" w:name="_Toc773"/>
      <w:bookmarkStart w:id="2" w:name="_Toc11533"/>
      <w:r>
        <w:rPr>
          <w:rFonts w:hint="eastAsia" w:ascii="黑体" w:hAnsi="宋体" w:eastAsia="黑体"/>
          <w:b w:val="0"/>
          <w:color w:val="auto"/>
          <w:sz w:val="52"/>
          <w:szCs w:val="52"/>
        </w:rPr>
        <w:t>杭州电子科技大学</w:t>
      </w:r>
      <w:bookmarkEnd w:id="1"/>
      <w:bookmarkEnd w:id="2"/>
    </w:p>
    <w:p w14:paraId="34C8FCBF">
      <w:pPr>
        <w:pStyle w:val="145"/>
        <w:widowControl w:val="0"/>
        <w:snapToGrid w:val="0"/>
        <w:spacing w:line="470" w:lineRule="atLeast"/>
        <w:ind w:firstLine="0"/>
        <w:jc w:val="center"/>
        <w:outlineLvl w:val="0"/>
        <w:rPr>
          <w:rFonts w:ascii="黑体" w:hAnsi="宋体" w:eastAsia="黑体"/>
          <w:b w:val="0"/>
          <w:color w:val="auto"/>
          <w:sz w:val="48"/>
          <w:szCs w:val="48"/>
        </w:rPr>
      </w:pPr>
      <w:bookmarkStart w:id="3" w:name="_Toc19563"/>
      <w:bookmarkStart w:id="4" w:name="_Toc22462"/>
      <w:r>
        <w:rPr>
          <w:rFonts w:hint="eastAsia" w:ascii="黑体" w:hAnsi="宋体" w:eastAsia="黑体"/>
          <w:b w:val="0"/>
          <w:color w:val="auto"/>
          <w:sz w:val="48"/>
          <w:szCs w:val="48"/>
        </w:rPr>
        <w:t>2026年度芸悦读服务图书项目</w:t>
      </w:r>
      <w:bookmarkEnd w:id="3"/>
      <w:bookmarkEnd w:id="4"/>
    </w:p>
    <w:p w14:paraId="3F70E590">
      <w:pPr>
        <w:pStyle w:val="145"/>
        <w:widowControl w:val="0"/>
        <w:snapToGrid w:val="0"/>
        <w:spacing w:line="470" w:lineRule="atLeast"/>
        <w:ind w:firstLine="0"/>
        <w:jc w:val="center"/>
        <w:rPr>
          <w:rFonts w:ascii="黑体" w:eastAsia="黑体"/>
          <w:b w:val="0"/>
          <w:color w:val="auto"/>
          <w:sz w:val="36"/>
          <w:szCs w:val="36"/>
        </w:rPr>
      </w:pPr>
    </w:p>
    <w:p w14:paraId="3B46D26C">
      <w:pPr>
        <w:pStyle w:val="145"/>
        <w:widowControl w:val="0"/>
        <w:snapToGrid w:val="0"/>
        <w:spacing w:line="470" w:lineRule="atLeast"/>
        <w:ind w:firstLine="0"/>
        <w:jc w:val="center"/>
        <w:rPr>
          <w:rFonts w:ascii="黑体" w:eastAsia="黑体"/>
          <w:b w:val="0"/>
          <w:color w:val="auto"/>
          <w:sz w:val="36"/>
        </w:rPr>
      </w:pPr>
    </w:p>
    <w:p w14:paraId="7482F595">
      <w:pPr>
        <w:pStyle w:val="145"/>
        <w:widowControl w:val="0"/>
        <w:snapToGrid w:val="0"/>
        <w:spacing w:line="470" w:lineRule="atLeast"/>
        <w:ind w:firstLine="0"/>
        <w:jc w:val="center"/>
        <w:rPr>
          <w:rFonts w:ascii="黑体" w:eastAsia="黑体"/>
          <w:b w:val="0"/>
          <w:color w:val="auto"/>
          <w:sz w:val="36"/>
        </w:rPr>
      </w:pPr>
    </w:p>
    <w:p w14:paraId="41677214">
      <w:pPr>
        <w:pStyle w:val="145"/>
        <w:widowControl w:val="0"/>
        <w:snapToGrid w:val="0"/>
        <w:spacing w:line="470" w:lineRule="atLeast"/>
        <w:ind w:firstLine="0"/>
        <w:jc w:val="center"/>
        <w:outlineLvl w:val="0"/>
        <w:rPr>
          <w:rFonts w:ascii="楷体" w:hAnsi="楷体" w:eastAsia="楷体" w:cs="楷体"/>
          <w:b w:val="0"/>
          <w:color w:val="auto"/>
          <w:sz w:val="72"/>
        </w:rPr>
      </w:pPr>
      <w:bookmarkStart w:id="5" w:name="_Toc2222"/>
      <w:bookmarkStart w:id="6" w:name="_Toc12866"/>
      <w:r>
        <w:rPr>
          <w:rFonts w:hint="eastAsia" w:ascii="楷体" w:hAnsi="楷体" w:eastAsia="楷体" w:cs="楷体"/>
          <w:b w:val="0"/>
          <w:color w:val="auto"/>
          <w:sz w:val="72"/>
        </w:rPr>
        <w:t>竞争性磋商文件</w:t>
      </w:r>
      <w:bookmarkEnd w:id="5"/>
      <w:bookmarkEnd w:id="6"/>
    </w:p>
    <w:p w14:paraId="7E19BC30">
      <w:pPr>
        <w:pStyle w:val="145"/>
        <w:widowControl w:val="0"/>
        <w:snapToGrid w:val="0"/>
        <w:spacing w:line="470" w:lineRule="atLeast"/>
        <w:ind w:firstLine="0"/>
        <w:jc w:val="center"/>
        <w:outlineLvl w:val="0"/>
        <w:rPr>
          <w:rFonts w:ascii="黑体" w:hAnsi="宋体" w:eastAsia="黑体"/>
          <w:b w:val="0"/>
          <w:color w:val="auto"/>
          <w:sz w:val="32"/>
        </w:rPr>
      </w:pPr>
      <w:bookmarkStart w:id="7" w:name="_Toc3932"/>
      <w:bookmarkStart w:id="8" w:name="_Toc23392"/>
      <w:r>
        <w:rPr>
          <w:rFonts w:hint="eastAsia" w:ascii="楷体" w:hAnsi="楷体" w:eastAsia="楷体" w:cs="楷体"/>
          <w:bCs/>
          <w:color w:val="auto"/>
          <w:sz w:val="36"/>
          <w:szCs w:val="36"/>
        </w:rPr>
        <w:t>（线上电子交易）</w:t>
      </w:r>
      <w:bookmarkEnd w:id="7"/>
      <w:bookmarkEnd w:id="8"/>
    </w:p>
    <w:p w14:paraId="6DA06E64">
      <w:pPr>
        <w:pStyle w:val="145"/>
        <w:widowControl w:val="0"/>
        <w:snapToGrid w:val="0"/>
        <w:spacing w:line="360" w:lineRule="auto"/>
        <w:ind w:firstLine="2400" w:firstLineChars="750"/>
        <w:rPr>
          <w:rFonts w:ascii="黑体" w:hAnsi="宋体" w:eastAsia="黑体"/>
          <w:b w:val="0"/>
          <w:color w:val="auto"/>
          <w:sz w:val="32"/>
        </w:rPr>
      </w:pPr>
    </w:p>
    <w:p w14:paraId="00821B0C">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bookmarkStart w:id="9" w:name="_Toc3596"/>
      <w:bookmarkStart w:id="10" w:name="_Toc30278"/>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6</w:t>
      </w:r>
      <w:r>
        <w:rPr>
          <w:rFonts w:hint="eastAsia" w:ascii="黑体" w:hAnsi="宋体" w:eastAsia="黑体"/>
          <w:b w:val="0"/>
          <w:color w:val="auto"/>
          <w:sz w:val="32"/>
        </w:rPr>
        <w:t>-JH-CS</w:t>
      </w:r>
      <w:bookmarkEnd w:id="9"/>
      <w:bookmarkEnd w:id="10"/>
      <w:r>
        <w:rPr>
          <w:rFonts w:hint="eastAsia" w:ascii="黑体" w:hAnsi="宋体" w:eastAsia="黑体"/>
          <w:b w:val="0"/>
          <w:color w:val="auto"/>
          <w:sz w:val="32"/>
          <w:lang w:val="en-US" w:eastAsia="zh-CN"/>
        </w:rPr>
        <w:t>10</w:t>
      </w:r>
    </w:p>
    <w:p w14:paraId="21C502E2">
      <w:pPr>
        <w:pStyle w:val="145"/>
        <w:widowControl w:val="0"/>
        <w:snapToGrid w:val="0"/>
        <w:spacing w:line="470" w:lineRule="atLeast"/>
        <w:ind w:firstLine="0"/>
        <w:jc w:val="center"/>
        <w:rPr>
          <w:color w:val="auto"/>
        </w:rPr>
      </w:pPr>
    </w:p>
    <w:p w14:paraId="7177E7AB">
      <w:pPr>
        <w:pStyle w:val="145"/>
        <w:widowControl w:val="0"/>
        <w:snapToGrid w:val="0"/>
        <w:spacing w:line="470" w:lineRule="atLeast"/>
        <w:ind w:firstLine="0"/>
        <w:jc w:val="center"/>
        <w:rPr>
          <w:color w:val="auto"/>
        </w:rPr>
      </w:pPr>
    </w:p>
    <w:p w14:paraId="73E92877">
      <w:pPr>
        <w:pStyle w:val="145"/>
        <w:widowControl w:val="0"/>
        <w:snapToGrid w:val="0"/>
        <w:spacing w:line="470" w:lineRule="atLeast"/>
        <w:ind w:firstLine="0"/>
        <w:jc w:val="center"/>
        <w:rPr>
          <w:color w:val="auto"/>
        </w:rPr>
      </w:pPr>
    </w:p>
    <w:p w14:paraId="3F31D651">
      <w:pPr>
        <w:pStyle w:val="145"/>
        <w:widowControl w:val="0"/>
        <w:snapToGrid w:val="0"/>
        <w:spacing w:line="470" w:lineRule="atLeast"/>
        <w:ind w:firstLine="0"/>
        <w:jc w:val="center"/>
        <w:rPr>
          <w:color w:val="auto"/>
        </w:rPr>
      </w:pPr>
    </w:p>
    <w:p w14:paraId="4C9B7AA9">
      <w:pPr>
        <w:pStyle w:val="145"/>
        <w:widowControl w:val="0"/>
        <w:snapToGrid w:val="0"/>
        <w:spacing w:line="470" w:lineRule="atLeast"/>
        <w:ind w:firstLine="0"/>
        <w:jc w:val="center"/>
        <w:rPr>
          <w:color w:val="auto"/>
        </w:rPr>
      </w:pPr>
    </w:p>
    <w:p w14:paraId="6210D593">
      <w:pPr>
        <w:pStyle w:val="145"/>
        <w:widowControl w:val="0"/>
        <w:snapToGrid w:val="0"/>
        <w:spacing w:line="470" w:lineRule="atLeast"/>
        <w:ind w:firstLine="0"/>
        <w:jc w:val="center"/>
        <w:rPr>
          <w:color w:val="auto"/>
        </w:rPr>
      </w:pPr>
    </w:p>
    <w:p w14:paraId="2FB02773">
      <w:pPr>
        <w:pStyle w:val="145"/>
        <w:widowControl w:val="0"/>
        <w:snapToGrid w:val="0"/>
        <w:spacing w:line="470" w:lineRule="atLeast"/>
        <w:ind w:firstLine="0"/>
        <w:jc w:val="center"/>
        <w:rPr>
          <w:color w:val="auto"/>
        </w:rPr>
      </w:pPr>
    </w:p>
    <w:p w14:paraId="0867CF79">
      <w:pPr>
        <w:pStyle w:val="145"/>
        <w:widowControl w:val="0"/>
        <w:snapToGrid w:val="0"/>
        <w:spacing w:line="470" w:lineRule="atLeast"/>
        <w:ind w:firstLine="0"/>
        <w:jc w:val="center"/>
        <w:rPr>
          <w:color w:val="auto"/>
        </w:rPr>
      </w:pPr>
    </w:p>
    <w:p w14:paraId="4DC2C3B5">
      <w:pPr>
        <w:pStyle w:val="145"/>
        <w:spacing w:line="480" w:lineRule="auto"/>
        <w:ind w:firstLine="0"/>
        <w:jc w:val="center"/>
        <w:outlineLvl w:val="1"/>
        <w:rPr>
          <w:rFonts w:eastAsia="黑体"/>
          <w:b w:val="0"/>
          <w:color w:val="auto"/>
          <w:sz w:val="32"/>
        </w:rPr>
      </w:pPr>
      <w:bookmarkStart w:id="11" w:name="_Toc31797"/>
      <w:bookmarkStart w:id="12" w:name="_Toc12365"/>
      <w:r>
        <w:rPr>
          <w:rFonts w:hint="eastAsia" w:eastAsia="黑体"/>
          <w:b w:val="0"/>
          <w:color w:val="auto"/>
          <w:sz w:val="32"/>
        </w:rPr>
        <w:t>杭州电子科技大学采购中心</w:t>
      </w:r>
      <w:bookmarkEnd w:id="11"/>
      <w:bookmarkEnd w:id="12"/>
    </w:p>
    <w:p w14:paraId="451F52CE">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bookmarkStart w:id="13" w:name="_Toc11905"/>
      <w:bookmarkStart w:id="14" w:name="_Toc22272"/>
      <w:r>
        <w:rPr>
          <w:rFonts w:hint="eastAsia" w:ascii="黑体" w:eastAsia="黑体"/>
          <w:b w:val="0"/>
          <w:color w:val="auto"/>
          <w:sz w:val="32"/>
          <w:szCs w:val="32"/>
        </w:rPr>
        <w:t>202</w:t>
      </w:r>
      <w:r>
        <w:rPr>
          <w:rFonts w:hint="eastAsia" w:ascii="黑体" w:eastAsia="黑体"/>
          <w:b w:val="0"/>
          <w:color w:val="auto"/>
          <w:sz w:val="32"/>
          <w:szCs w:val="32"/>
          <w:lang w:val="en-US" w:eastAsia="zh-CN"/>
        </w:rPr>
        <w:t>6</w:t>
      </w:r>
      <w:r>
        <w:rPr>
          <w:rFonts w:hint="eastAsia" w:ascii="黑体" w:eastAsia="黑体"/>
          <w:b w:val="0"/>
          <w:color w:val="auto"/>
          <w:sz w:val="32"/>
          <w:szCs w:val="32"/>
        </w:rPr>
        <w:t>年</w:t>
      </w:r>
      <w:r>
        <w:rPr>
          <w:rFonts w:hint="default" w:ascii="黑体" w:eastAsia="黑体"/>
          <w:b w:val="0"/>
          <w:color w:val="auto"/>
          <w:sz w:val="32"/>
          <w:szCs w:val="32"/>
          <w:woUserID w:val="1"/>
        </w:rPr>
        <w:t>6</w:t>
      </w:r>
      <w:r>
        <w:rPr>
          <w:rFonts w:hint="eastAsia" w:ascii="黑体" w:eastAsia="黑体"/>
          <w:b w:val="0"/>
          <w:color w:val="auto"/>
          <w:sz w:val="32"/>
          <w:szCs w:val="32"/>
        </w:rPr>
        <w:t>月</w:t>
      </w:r>
      <w:r>
        <w:rPr>
          <w:rFonts w:hint="default" w:ascii="黑体" w:eastAsia="黑体"/>
          <w:b w:val="0"/>
          <w:color w:val="auto"/>
          <w:sz w:val="32"/>
          <w:szCs w:val="32"/>
          <w:woUserID w:val="1"/>
        </w:rPr>
        <w:t>25</w:t>
      </w:r>
      <w:r>
        <w:rPr>
          <w:rFonts w:hint="eastAsia" w:ascii="黑体" w:eastAsia="黑体"/>
          <w:b w:val="0"/>
          <w:color w:val="auto"/>
          <w:sz w:val="32"/>
          <w:szCs w:val="32"/>
        </w:rPr>
        <w:t>日</w:t>
      </w:r>
      <w:bookmarkEnd w:id="13"/>
      <w:bookmarkEnd w:id="14"/>
    </w:p>
    <w:p w14:paraId="59B653B2">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134" w:right="1247" w:bottom="1247" w:left="1247" w:header="851" w:footer="992" w:gutter="0"/>
          <w:cols w:space="720" w:num="1"/>
          <w:rtlGutter w:val="0"/>
          <w:docGrid w:type="linesAndChars" w:linePitch="312" w:charSpace="0"/>
        </w:sectPr>
      </w:pPr>
    </w:p>
    <w:p w14:paraId="08BF3927">
      <w:pPr>
        <w:pStyle w:val="145"/>
        <w:widowControl w:val="0"/>
        <w:snapToGrid w:val="0"/>
        <w:spacing w:line="442" w:lineRule="atLeast"/>
        <w:ind w:right="-176" w:rightChars="-84" w:firstLine="0"/>
        <w:jc w:val="center"/>
        <w:outlineLvl w:val="0"/>
        <w:rPr>
          <w:rFonts w:ascii="宋体"/>
          <w:color w:val="auto"/>
          <w:sz w:val="36"/>
          <w:szCs w:val="36"/>
        </w:rPr>
      </w:pPr>
      <w:bookmarkStart w:id="15" w:name="_Toc12023"/>
      <w:bookmarkStart w:id="16" w:name="_Toc17859"/>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bookmarkEnd w:id="15"/>
      <w:bookmarkEnd w:id="16"/>
    </w:p>
    <w:p w14:paraId="1D956448">
      <w:pPr>
        <w:pStyle w:val="36"/>
        <w:tabs>
          <w:tab w:val="right" w:leader="dot" w:pos="9413"/>
        </w:tabs>
        <w:rPr>
          <w:rFonts w:hint="eastAsia" w:ascii="宋体" w:hAnsi="宋体" w:eastAsia="宋体" w:cs="宋体"/>
          <w:b/>
          <w:bCs/>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TOC \o "1-2" \h \u </w:instrText>
      </w:r>
      <w:r>
        <w:rPr>
          <w:rFonts w:hint="eastAsia" w:ascii="宋体" w:hAnsi="宋体" w:eastAsia="宋体" w:cs="宋体"/>
          <w:color w:val="auto"/>
          <w:sz w:val="21"/>
          <w:szCs w:val="21"/>
        </w:rPr>
        <w:fldChar w:fldCharType="separate"/>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_Toc27988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第一部分 竞争性磋商公告</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_Toc27988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5</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6A0D44A6">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_Toc15274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kern w:val="44"/>
          <w:sz w:val="21"/>
          <w:szCs w:val="21"/>
          <w:lang w:val="en-US" w:eastAsia="zh-CN" w:bidi="ar-SA"/>
        </w:rPr>
        <w:t>第二部分 响应方须知</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_Toc15274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7</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628418BF">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_Toc21080 </w:instrText>
      </w:r>
      <w:r>
        <w:rPr>
          <w:rFonts w:hint="eastAsia" w:ascii="宋体" w:hAnsi="宋体" w:eastAsia="宋体" w:cs="宋体"/>
          <w:color w:val="auto"/>
          <w:sz w:val="21"/>
          <w:szCs w:val="21"/>
        </w:rPr>
        <w:fldChar w:fldCharType="separate"/>
      </w:r>
      <w:r>
        <w:rPr>
          <w:rFonts w:hint="eastAsia" w:ascii="宋体" w:hAnsi="宋体" w:eastAsia="宋体" w:cs="宋体"/>
          <w:snapToGrid w:val="0"/>
          <w:color w:val="auto"/>
          <w:kern w:val="44"/>
          <w:sz w:val="21"/>
          <w:szCs w:val="21"/>
        </w:rPr>
        <w:t>前附表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_Toc21080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41BD176">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_Toc29259 </w:instrText>
      </w:r>
      <w:r>
        <w:rPr>
          <w:rFonts w:hint="eastAsia" w:ascii="宋体" w:hAnsi="宋体" w:eastAsia="宋体" w:cs="宋体"/>
          <w:color w:val="auto"/>
          <w:sz w:val="21"/>
          <w:szCs w:val="21"/>
        </w:rPr>
        <w:fldChar w:fldCharType="separate"/>
      </w:r>
      <w:r>
        <w:rPr>
          <w:rFonts w:hint="eastAsia" w:ascii="宋体" w:hAnsi="宋体" w:eastAsia="宋体" w:cs="宋体"/>
          <w:snapToGrid w:val="0"/>
          <w:color w:val="auto"/>
          <w:kern w:val="44"/>
          <w:sz w:val="21"/>
          <w:szCs w:val="21"/>
        </w:rPr>
        <w:t>一、磋商说明</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_Toc29259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36EEEE3">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_Toc10095 </w:instrText>
      </w:r>
      <w:r>
        <w:rPr>
          <w:rFonts w:hint="eastAsia" w:ascii="宋体" w:hAnsi="宋体" w:eastAsia="宋体" w:cs="宋体"/>
          <w:color w:val="auto"/>
          <w:sz w:val="21"/>
          <w:szCs w:val="21"/>
        </w:rPr>
        <w:fldChar w:fldCharType="separate"/>
      </w:r>
      <w:r>
        <w:rPr>
          <w:rFonts w:hint="eastAsia" w:ascii="宋体" w:hAnsi="宋体" w:eastAsia="宋体" w:cs="宋体"/>
          <w:snapToGrid w:val="0"/>
          <w:color w:val="auto"/>
          <w:kern w:val="44"/>
          <w:sz w:val="21"/>
          <w:szCs w:val="21"/>
        </w:rPr>
        <w:t>二、磋商文件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_Toc10095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71C85FA2">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_Toc17978 </w:instrText>
      </w:r>
      <w:r>
        <w:rPr>
          <w:rFonts w:hint="eastAsia" w:ascii="宋体" w:hAnsi="宋体" w:eastAsia="宋体" w:cs="宋体"/>
          <w:color w:val="auto"/>
          <w:sz w:val="21"/>
          <w:szCs w:val="21"/>
        </w:rPr>
        <w:fldChar w:fldCharType="separate"/>
      </w:r>
      <w:r>
        <w:rPr>
          <w:rFonts w:hint="eastAsia" w:ascii="宋体" w:hAnsi="宋体" w:eastAsia="宋体" w:cs="宋体"/>
          <w:snapToGrid w:val="0"/>
          <w:color w:val="auto"/>
          <w:kern w:val="44"/>
          <w:sz w:val="21"/>
          <w:szCs w:val="21"/>
        </w:rPr>
        <w:t>三、响应文件的编制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_Toc17978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A018FE8">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_Toc30627 </w:instrText>
      </w:r>
      <w:r>
        <w:rPr>
          <w:rFonts w:hint="eastAsia" w:ascii="宋体" w:hAnsi="宋体" w:eastAsia="宋体" w:cs="宋体"/>
          <w:color w:val="auto"/>
          <w:sz w:val="21"/>
          <w:szCs w:val="21"/>
        </w:rPr>
        <w:fldChar w:fldCharType="separate"/>
      </w:r>
      <w:r>
        <w:rPr>
          <w:rFonts w:hint="eastAsia" w:ascii="宋体" w:hAnsi="宋体" w:eastAsia="宋体" w:cs="宋体"/>
          <w:snapToGrid w:val="0"/>
          <w:color w:val="auto"/>
          <w:kern w:val="44"/>
          <w:sz w:val="21"/>
          <w:szCs w:val="21"/>
        </w:rPr>
        <w:t>四、响应无效的情形</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_Toc30627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11</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07BD89FE">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_Toc8380 </w:instrText>
      </w:r>
      <w:r>
        <w:rPr>
          <w:rFonts w:hint="eastAsia" w:ascii="宋体" w:hAnsi="宋体" w:eastAsia="宋体" w:cs="宋体"/>
          <w:color w:val="auto"/>
          <w:sz w:val="21"/>
          <w:szCs w:val="21"/>
        </w:rPr>
        <w:fldChar w:fldCharType="separate"/>
      </w:r>
      <w:r>
        <w:rPr>
          <w:rFonts w:hint="eastAsia" w:ascii="宋体" w:hAnsi="宋体" w:eastAsia="宋体" w:cs="宋体"/>
          <w:snapToGrid w:val="0"/>
          <w:color w:val="auto"/>
          <w:kern w:val="44"/>
          <w:sz w:val="21"/>
          <w:szCs w:val="21"/>
        </w:rPr>
        <w:t>五、开启响应文件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_Toc8380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12</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2DC823C">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_Toc4005 </w:instrText>
      </w:r>
      <w:r>
        <w:rPr>
          <w:rFonts w:hint="eastAsia" w:ascii="宋体" w:hAnsi="宋体" w:eastAsia="宋体" w:cs="宋体"/>
          <w:color w:val="auto"/>
          <w:sz w:val="21"/>
          <w:szCs w:val="21"/>
        </w:rPr>
        <w:fldChar w:fldCharType="separate"/>
      </w:r>
      <w:r>
        <w:rPr>
          <w:rFonts w:hint="eastAsia" w:ascii="宋体" w:hAnsi="宋体" w:eastAsia="宋体" w:cs="宋体"/>
          <w:snapToGrid w:val="0"/>
          <w:color w:val="auto"/>
          <w:kern w:val="44"/>
          <w:sz w:val="21"/>
          <w:szCs w:val="21"/>
        </w:rPr>
        <w:t>六、评审和磋商</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_Toc4005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5750EF81">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_Toc22423 </w:instrText>
      </w:r>
      <w:r>
        <w:rPr>
          <w:rFonts w:hint="eastAsia" w:ascii="宋体" w:hAnsi="宋体" w:eastAsia="宋体" w:cs="宋体"/>
          <w:color w:val="auto"/>
          <w:sz w:val="21"/>
          <w:szCs w:val="21"/>
        </w:rPr>
        <w:fldChar w:fldCharType="separate"/>
      </w:r>
      <w:r>
        <w:rPr>
          <w:rFonts w:hint="eastAsia" w:ascii="宋体" w:hAnsi="宋体" w:eastAsia="宋体" w:cs="宋体"/>
          <w:snapToGrid w:val="0"/>
          <w:color w:val="auto"/>
          <w:kern w:val="44"/>
          <w:sz w:val="21"/>
          <w:szCs w:val="21"/>
        </w:rPr>
        <w:t>七、合同授予</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_Toc22423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E46E41E">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_Toc23941 </w:instrText>
      </w:r>
      <w:r>
        <w:rPr>
          <w:rFonts w:hint="eastAsia" w:ascii="宋体" w:hAnsi="宋体" w:eastAsia="宋体" w:cs="宋体"/>
          <w:color w:val="auto"/>
          <w:sz w:val="21"/>
          <w:szCs w:val="21"/>
        </w:rPr>
        <w:fldChar w:fldCharType="separate"/>
      </w:r>
      <w:r>
        <w:rPr>
          <w:rFonts w:hint="eastAsia" w:ascii="宋体" w:hAnsi="宋体" w:eastAsia="宋体" w:cs="宋体"/>
          <w:snapToGrid w:val="0"/>
          <w:color w:val="auto"/>
          <w:kern w:val="44"/>
          <w:sz w:val="21"/>
          <w:szCs w:val="21"/>
          <w:lang w:val="en-US" w:eastAsia="zh-CN"/>
        </w:rPr>
        <w:t>八</w:t>
      </w:r>
      <w:r>
        <w:rPr>
          <w:rFonts w:hint="eastAsia" w:ascii="宋体" w:hAnsi="宋体" w:eastAsia="宋体" w:cs="宋体"/>
          <w:snapToGrid w:val="0"/>
          <w:color w:val="auto"/>
          <w:kern w:val="44"/>
          <w:sz w:val="21"/>
          <w:szCs w:val="21"/>
        </w:rPr>
        <w:t>、可中止电子交易活动的情形</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_Toc23941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54A79BC1">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_Toc31068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lang w:val="en-US" w:eastAsia="zh-CN"/>
        </w:rPr>
        <w:t>第三</w:t>
      </w:r>
      <w:r>
        <w:rPr>
          <w:rFonts w:hint="eastAsia" w:ascii="宋体" w:hAnsi="宋体" w:eastAsia="宋体" w:cs="宋体"/>
          <w:b/>
          <w:bCs/>
          <w:color w:val="auto"/>
          <w:kern w:val="44"/>
          <w:sz w:val="21"/>
          <w:szCs w:val="21"/>
          <w:lang w:val="en-US" w:eastAsia="zh-CN" w:bidi="ar-SA"/>
        </w:rPr>
        <w:t>部分 采购需求</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_Toc31068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17</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779530C2">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_Toc2084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一、货物清单</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_Toc2084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0B2CE0B">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_Toc13142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lang w:val="en-US" w:eastAsia="zh-CN"/>
        </w:rPr>
        <w:t>二、详细服务要求</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_Toc13142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790951A7">
      <w:pPr>
        <w:pStyle w:val="41"/>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_Toc28626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二、商务要求</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_Toc28626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771BA9F0">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_Toc29203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第四部分 评审办法与评分标准</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_Toc29203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19</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5C0E20BD">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_Toc29573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第五部分 合同基本条款</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_Toc29573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21</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6BC13565">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HYPERLINK \l _Toc26254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第六部分 响应文件格式</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_Toc26254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25</w:t>
      </w:r>
      <w:r>
        <w:rPr>
          <w:rFonts w:hint="eastAsia" w:ascii="宋体" w:hAnsi="宋体" w:eastAsia="宋体" w:cs="宋体"/>
          <w:b/>
          <w:bCs/>
          <w:color w:val="auto"/>
          <w:sz w:val="21"/>
          <w:szCs w:val="21"/>
        </w:rPr>
        <w:fldChar w:fldCharType="end"/>
      </w:r>
      <w:r>
        <w:rPr>
          <w:rFonts w:hint="eastAsia" w:ascii="宋体" w:hAnsi="宋体" w:eastAsia="宋体" w:cs="宋体"/>
          <w:b/>
          <w:bCs/>
          <w:color w:val="auto"/>
          <w:sz w:val="21"/>
          <w:szCs w:val="21"/>
        </w:rPr>
        <w:fldChar w:fldCharType="end"/>
      </w:r>
    </w:p>
    <w:p w14:paraId="45EF4FC6">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_Toc2368 </w:instrText>
      </w:r>
      <w:r>
        <w:rPr>
          <w:rFonts w:hint="eastAsia" w:ascii="宋体" w:hAnsi="宋体" w:eastAsia="宋体" w:cs="宋体"/>
          <w:color w:val="auto"/>
          <w:sz w:val="21"/>
          <w:szCs w:val="21"/>
        </w:rPr>
        <w:fldChar w:fldCharType="separate"/>
      </w:r>
      <w:r>
        <w:rPr>
          <w:rFonts w:hint="eastAsia" w:ascii="宋体" w:hAnsi="宋体" w:eastAsia="宋体" w:cs="宋体"/>
          <w:b/>
          <w:bCs w:val="0"/>
          <w:color w:val="auto"/>
          <w:sz w:val="21"/>
          <w:szCs w:val="21"/>
        </w:rPr>
        <w:t>资格文件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_Toc2368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4CAFF11D">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_Toc19163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1）有效的法人或者其他组织的营业执照等证明文件，自然人的身份证明</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_Toc19163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F32F7B5">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_Toc25171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2）资格条件承诺函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_Toc25171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008B087">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_Toc24906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本项目的特定资格要求证明材料：《出版物经营许可证》</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_Toc24906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28</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3BD3D893">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_Toc6307 </w:instrText>
      </w:r>
      <w:r>
        <w:rPr>
          <w:rFonts w:hint="eastAsia" w:ascii="宋体" w:hAnsi="宋体" w:eastAsia="宋体" w:cs="宋体"/>
          <w:color w:val="auto"/>
          <w:sz w:val="21"/>
          <w:szCs w:val="21"/>
        </w:rPr>
        <w:fldChar w:fldCharType="separate"/>
      </w:r>
      <w:r>
        <w:rPr>
          <w:rFonts w:hint="eastAsia" w:ascii="宋体" w:hAnsi="宋体" w:eastAsia="宋体" w:cs="宋体"/>
          <w:b/>
          <w:bCs w:val="0"/>
          <w:color w:val="auto"/>
          <w:sz w:val="21"/>
          <w:szCs w:val="21"/>
        </w:rPr>
        <w:t>报价文件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_Toc6307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7FF1D49B">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_Toc639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（1）初次报价一览表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_Toc639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29</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513B8680">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_Toc14017 </w:instrText>
      </w:r>
      <w:r>
        <w:rPr>
          <w:rFonts w:hint="eastAsia" w:ascii="宋体" w:hAnsi="宋体" w:eastAsia="宋体" w:cs="宋体"/>
          <w:color w:val="auto"/>
          <w:sz w:val="21"/>
          <w:szCs w:val="21"/>
        </w:rPr>
        <w:fldChar w:fldCharType="separate"/>
      </w:r>
      <w:r>
        <w:rPr>
          <w:rFonts w:hint="eastAsia" w:ascii="宋体" w:hAnsi="宋体" w:eastAsia="宋体" w:cs="宋体"/>
          <w:b/>
          <w:bCs w:val="0"/>
          <w:color w:val="auto"/>
          <w:sz w:val="21"/>
          <w:szCs w:val="21"/>
        </w:rPr>
        <w:t>商务和技术文件</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_Toc14017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4A9E8DA5">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_Toc32061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（1）磋商响应函</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_Toc32061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30</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0B646BDD">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_Toc11052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（2）法定代表人授权书（非法定代表人参加时提供）</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_Toc11052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31</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8809354">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_Toc30871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（3）授权代表社保缴纳证明</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_Toc30871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32</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27DB810">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_Toc885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（4）法定代表人资格证明书（法定代表人参加时提供）</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_Toc885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33</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5F609D21">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_Toc18815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（5）采购需求偏离表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_Toc18815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34</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4F0E4AEE">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_Toc26631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（6）响应方基本情况表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_Toc26631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35</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3FEC94D9">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_Toc11368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（7）供应商同类合同一览表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_Toc11368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36</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2F9F6C9">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_Toc10758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（8）详细技术和服务方案</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_Toc10758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7CE0F4C3">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_Toc6904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（9）项目组成员一览表</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_Toc6904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6D0DA8C2">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ind w:left="0" w:leftChars="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_Toc8911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（10）关于对磋商文件中有关条款的拒绝声明(如有)</w:t>
      </w:r>
      <w:r>
        <w:rPr>
          <w:rFonts w:hint="eastAsia" w:ascii="宋体" w:hAnsi="宋体" w:eastAsia="宋体" w:cs="宋体"/>
          <w:color w:val="auto"/>
          <w:sz w:val="21"/>
          <w:szCs w:val="21"/>
        </w:rPr>
        <w:tab/>
      </w: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PAGEREF _Toc8911 </w:instrText>
      </w:r>
      <w:r>
        <w:rPr>
          <w:rFonts w:hint="eastAsia" w:ascii="宋体" w:hAnsi="宋体" w:eastAsia="宋体" w:cs="宋体"/>
          <w:color w:val="auto"/>
          <w:sz w:val="21"/>
          <w:szCs w:val="21"/>
        </w:rPr>
        <w:fldChar w:fldCharType="separate"/>
      </w:r>
      <w:r>
        <w:rPr>
          <w:rFonts w:hint="eastAsia" w:ascii="宋体" w:hAnsi="宋体" w:eastAsia="宋体" w:cs="宋体"/>
          <w:color w:val="auto"/>
          <w:sz w:val="21"/>
          <w:szCs w:val="21"/>
        </w:rPr>
        <w:t>37</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fldChar w:fldCharType="end"/>
      </w:r>
    </w:p>
    <w:p w14:paraId="205AE887">
      <w:pPr>
        <w:pStyle w:val="36"/>
        <w:keepNext w:val="0"/>
        <w:keepLines w:val="0"/>
        <w:pageBreakBefore w:val="0"/>
        <w:widowControl w:val="0"/>
        <w:tabs>
          <w:tab w:val="right" w:leader="dot" w:pos="9413"/>
        </w:tabs>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fldChar w:fldCharType="begin"/>
      </w:r>
      <w:r>
        <w:rPr>
          <w:rFonts w:hint="eastAsia" w:ascii="宋体" w:hAnsi="宋体" w:eastAsia="宋体" w:cs="宋体"/>
          <w:color w:val="auto"/>
          <w:sz w:val="21"/>
          <w:szCs w:val="21"/>
        </w:rPr>
        <w:instrText xml:space="preserve"> HYPERLINK \l _Toc9777 </w:instrText>
      </w:r>
      <w:r>
        <w:rPr>
          <w:rFonts w:hint="eastAsia" w:ascii="宋体" w:hAnsi="宋体" w:eastAsia="宋体" w:cs="宋体"/>
          <w:color w:val="auto"/>
          <w:sz w:val="21"/>
          <w:szCs w:val="21"/>
        </w:rPr>
        <w:fldChar w:fldCharType="separate"/>
      </w:r>
      <w:r>
        <w:rPr>
          <w:rFonts w:hint="eastAsia" w:ascii="宋体" w:hAnsi="宋体" w:eastAsia="宋体" w:cs="宋体"/>
          <w:b/>
          <w:bCs/>
          <w:color w:val="auto"/>
          <w:sz w:val="21"/>
          <w:szCs w:val="21"/>
        </w:rPr>
        <w:t>评分标准索引表</w:t>
      </w:r>
      <w:r>
        <w:rPr>
          <w:rFonts w:hint="eastAsia" w:ascii="宋体" w:hAnsi="宋体" w:eastAsia="宋体" w:cs="宋体"/>
          <w:b/>
          <w:bCs/>
          <w:color w:val="auto"/>
          <w:sz w:val="21"/>
          <w:szCs w:val="21"/>
        </w:rPr>
        <w:tab/>
      </w:r>
      <w:r>
        <w:rPr>
          <w:rFonts w:hint="eastAsia" w:ascii="宋体" w:hAnsi="宋体" w:eastAsia="宋体" w:cs="宋体"/>
          <w:b/>
          <w:bCs/>
          <w:color w:val="auto"/>
          <w:sz w:val="21"/>
          <w:szCs w:val="21"/>
        </w:rPr>
        <w:fldChar w:fldCharType="begin"/>
      </w:r>
      <w:r>
        <w:rPr>
          <w:rFonts w:hint="eastAsia" w:ascii="宋体" w:hAnsi="宋体" w:eastAsia="宋体" w:cs="宋体"/>
          <w:b/>
          <w:bCs/>
          <w:color w:val="auto"/>
          <w:sz w:val="21"/>
          <w:szCs w:val="21"/>
        </w:rPr>
        <w:instrText xml:space="preserve"> PAGEREF _Toc9777 </w:instrText>
      </w:r>
      <w:r>
        <w:rPr>
          <w:rFonts w:hint="eastAsia" w:ascii="宋体" w:hAnsi="宋体" w:eastAsia="宋体" w:cs="宋体"/>
          <w:b/>
          <w:bCs/>
          <w:color w:val="auto"/>
          <w:sz w:val="21"/>
          <w:szCs w:val="21"/>
        </w:rPr>
        <w:fldChar w:fldCharType="separate"/>
      </w:r>
      <w:r>
        <w:rPr>
          <w:rFonts w:hint="eastAsia" w:ascii="宋体" w:hAnsi="宋体" w:eastAsia="宋体" w:cs="宋体"/>
          <w:b/>
          <w:bCs/>
          <w:color w:val="auto"/>
          <w:sz w:val="21"/>
          <w:szCs w:val="21"/>
        </w:rPr>
        <w:t>38</w:t>
      </w:r>
      <w:r>
        <w:rPr>
          <w:rFonts w:hint="eastAsia" w:ascii="宋体" w:hAnsi="宋体" w:eastAsia="宋体" w:cs="宋体"/>
          <w:b/>
          <w:bCs/>
          <w:color w:val="auto"/>
          <w:sz w:val="21"/>
          <w:szCs w:val="21"/>
        </w:rPr>
        <w:fldChar w:fldCharType="end"/>
      </w:r>
      <w:r>
        <w:rPr>
          <w:rFonts w:hint="eastAsia" w:ascii="宋体" w:hAnsi="宋体" w:eastAsia="宋体" w:cs="宋体"/>
          <w:color w:val="auto"/>
          <w:sz w:val="21"/>
          <w:szCs w:val="21"/>
        </w:rPr>
        <w:fldChar w:fldCharType="end"/>
      </w:r>
    </w:p>
    <w:p w14:paraId="214FC04D">
      <w:pPr>
        <w:rPr>
          <w:color w:val="auto"/>
        </w:rPr>
      </w:pPr>
      <w:r>
        <w:rPr>
          <w:rFonts w:hint="eastAsia" w:ascii="宋体" w:hAnsi="宋体" w:eastAsia="宋体" w:cs="宋体"/>
          <w:color w:val="auto"/>
          <w:sz w:val="21"/>
          <w:szCs w:val="21"/>
        </w:rPr>
        <w:fldChar w:fldCharType="end"/>
      </w:r>
    </w:p>
    <w:p w14:paraId="711CB302">
      <w:pPr>
        <w:pStyle w:val="4"/>
        <w:tabs>
          <w:tab w:val="right" w:leader="dot" w:pos="9000"/>
        </w:tabs>
        <w:snapToGrid w:val="0"/>
        <w:spacing w:before="0" w:after="0"/>
        <w:outlineLvl w:val="0"/>
        <w:rPr>
          <w:rStyle w:val="55"/>
          <w:b/>
          <w:color w:val="auto"/>
        </w:rPr>
      </w:pPr>
      <w:r>
        <w:rPr>
          <w:color w:val="auto"/>
          <w:sz w:val="24"/>
        </w:rPr>
        <w:br w:type="page"/>
      </w:r>
      <w:bookmarkStart w:id="17" w:name="_Toc118516209"/>
      <w:bookmarkStart w:id="18" w:name="_Toc171394907"/>
      <w:bookmarkStart w:id="19" w:name="_Toc17969"/>
      <w:bookmarkStart w:id="20" w:name="_Toc32381"/>
      <w:bookmarkStart w:id="21" w:name="_Toc29438"/>
      <w:bookmarkStart w:id="22" w:name="_Toc25143"/>
      <w:bookmarkStart w:id="23" w:name="_Toc9372"/>
      <w:bookmarkStart w:id="24" w:name="_Toc16674"/>
      <w:bookmarkStart w:id="25" w:name="_Toc32496"/>
      <w:bookmarkStart w:id="26" w:name="_Toc14280"/>
      <w:bookmarkStart w:id="27" w:name="_Toc14546"/>
      <w:bookmarkStart w:id="28" w:name="_Toc3154"/>
      <w:bookmarkStart w:id="29" w:name="_Toc4488"/>
      <w:bookmarkStart w:id="30" w:name="_Toc20259"/>
      <w:bookmarkStart w:id="31" w:name="_Toc12052"/>
      <w:bookmarkStart w:id="32" w:name="_Toc938"/>
      <w:bookmarkStart w:id="33" w:name="_Toc13062"/>
      <w:bookmarkStart w:id="34" w:name="_Toc12840"/>
      <w:bookmarkStart w:id="35" w:name="_Toc29876"/>
      <w:bookmarkStart w:id="36" w:name="_Toc7090"/>
      <w:bookmarkStart w:id="37" w:name="_Toc433537961"/>
      <w:bookmarkStart w:id="38" w:name="_Toc23298"/>
      <w:bookmarkStart w:id="39" w:name="_Toc9769"/>
      <w:bookmarkStart w:id="40" w:name="_Toc10391"/>
      <w:bookmarkStart w:id="41" w:name="_Toc15311"/>
      <w:bookmarkStart w:id="42" w:name="_Toc24330"/>
      <w:bookmarkStart w:id="43" w:name="_Toc27988"/>
      <w:bookmarkStart w:id="44" w:name="_Toc27478"/>
      <w:bookmarkStart w:id="45" w:name="_Toc9280"/>
      <w:bookmarkStart w:id="46" w:name="_Toc25841"/>
      <w:bookmarkStart w:id="47" w:name="_Toc6441"/>
      <w:bookmarkStart w:id="48" w:name="_Toc7321"/>
      <w:bookmarkStart w:id="49" w:name="_Toc3034"/>
      <w:bookmarkStart w:id="50" w:name="_Toc10026"/>
      <w:bookmarkStart w:id="51" w:name="_Toc4547"/>
      <w:bookmarkStart w:id="52" w:name="_Toc440"/>
      <w:r>
        <w:rPr>
          <w:rStyle w:val="55"/>
          <w:rFonts w:hint="eastAsia"/>
          <w:b/>
          <w:color w:val="auto"/>
        </w:rPr>
        <w:t>第一部分</w:t>
      </w:r>
      <w:bookmarkEnd w:id="17"/>
      <w:r>
        <w:rPr>
          <w:rStyle w:val="55"/>
          <w:b/>
          <w:color w:val="auto"/>
        </w:rPr>
        <w:t xml:space="preserve"> </w:t>
      </w:r>
      <w:r>
        <w:rPr>
          <w:rStyle w:val="55"/>
          <w:rFonts w:hint="eastAsia"/>
          <w:b/>
          <w:color w:val="auto"/>
        </w:rPr>
        <w:t>竞争性磋商</w:t>
      </w:r>
      <w:bookmarkEnd w:id="18"/>
      <w:r>
        <w:rPr>
          <w:rStyle w:val="55"/>
          <w:rFonts w:hint="eastAsia"/>
          <w:b/>
          <w:color w:val="auto"/>
        </w:rPr>
        <w:t>公告</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22CB4C9A">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53" w:name="_Toc171394908"/>
      <w:bookmarkStart w:id="54" w:name="_Toc171394910"/>
      <w:bookmarkStart w:id="55"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2026年度芸悦读服务图书项目进行竞争性磋商(简称磋商)采购，欢迎国内合格的供应商前来参加。</w:t>
      </w:r>
    </w:p>
    <w:p w14:paraId="4B4A71BD">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default" w:asciiTheme="minorEastAsia" w:hAnsiTheme="minorEastAsia" w:eastAsiaTheme="minorEastAsia" w:cstheme="minorEastAsia"/>
          <w:color w:val="auto"/>
          <w:sz w:val="24"/>
          <w:szCs w:val="24"/>
          <w:lang w:val="en-US" w:eastAsia="zh-CN"/>
        </w:rPr>
      </w:pPr>
      <w:bookmarkStart w:id="56" w:name="_Toc6257"/>
      <w:bookmarkStart w:id="57" w:name="_Toc1474"/>
      <w:bookmarkStart w:id="58" w:name="_Toc25225"/>
      <w:bookmarkStart w:id="59" w:name="_Toc28017"/>
      <w:bookmarkStart w:id="60" w:name="_Toc19591"/>
      <w:bookmarkStart w:id="61" w:name="_Toc6517"/>
      <w:bookmarkStart w:id="62" w:name="_Toc12969"/>
      <w:bookmarkStart w:id="63" w:name="_Toc10031"/>
      <w:bookmarkStart w:id="64" w:name="_Toc21083"/>
      <w:bookmarkStart w:id="65" w:name="_Toc433537963"/>
      <w:bookmarkStart w:id="66" w:name="_Toc183786415"/>
      <w:r>
        <w:rPr>
          <w:rFonts w:hint="eastAsia" w:asciiTheme="minorEastAsia" w:hAnsiTheme="minorEastAsia" w:eastAsiaTheme="minorEastAsia" w:cstheme="minorEastAsia"/>
          <w:b/>
          <w:bCs/>
          <w:color w:val="auto"/>
          <w:sz w:val="24"/>
          <w:szCs w:val="24"/>
        </w:rPr>
        <w:t>一、</w:t>
      </w:r>
      <w:bookmarkEnd w:id="53"/>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-JH-CS</w:t>
      </w:r>
      <w:bookmarkEnd w:id="56"/>
      <w:bookmarkEnd w:id="57"/>
      <w:r>
        <w:rPr>
          <w:rFonts w:hint="eastAsia" w:asciiTheme="minorEastAsia" w:hAnsiTheme="minorEastAsia" w:eastAsiaTheme="minorEastAsia" w:cstheme="minorEastAsia"/>
          <w:color w:val="auto"/>
          <w:sz w:val="24"/>
          <w:szCs w:val="24"/>
          <w:lang w:val="en-US" w:eastAsia="zh-CN"/>
        </w:rPr>
        <w:t>10</w:t>
      </w:r>
    </w:p>
    <w:p w14:paraId="7617A620">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22C078D4">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67" w:name="_Toc3850"/>
      <w:bookmarkStart w:id="68" w:name="_Toc32632"/>
      <w:r>
        <w:rPr>
          <w:rFonts w:hint="eastAsia" w:asciiTheme="minorEastAsia" w:hAnsiTheme="minorEastAsia" w:eastAsiaTheme="minorEastAsia" w:cstheme="minorEastAsia"/>
          <w:b/>
          <w:bCs/>
          <w:color w:val="auto"/>
          <w:sz w:val="24"/>
          <w:szCs w:val="24"/>
        </w:rPr>
        <w:t>二、采购项目概况</w:t>
      </w:r>
      <w:bookmarkEnd w:id="67"/>
      <w:bookmarkEnd w:id="68"/>
    </w:p>
    <w:tbl>
      <w:tblPr>
        <w:tblStyle w:val="47"/>
        <w:tblW w:w="9345"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3195"/>
        <w:gridCol w:w="2520"/>
        <w:gridCol w:w="795"/>
        <w:gridCol w:w="2100"/>
      </w:tblGrid>
      <w:tr w14:paraId="27CA3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35" w:type="dxa"/>
            <w:vAlign w:val="center"/>
          </w:tcPr>
          <w:p w14:paraId="3B99A08B">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序号</w:t>
            </w:r>
          </w:p>
        </w:tc>
        <w:tc>
          <w:tcPr>
            <w:tcW w:w="3195" w:type="dxa"/>
            <w:tcBorders>
              <w:right w:val="single" w:color="000000" w:sz="4" w:space="0"/>
            </w:tcBorders>
            <w:vAlign w:val="center"/>
          </w:tcPr>
          <w:p w14:paraId="11E4F540">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项目名称</w:t>
            </w:r>
          </w:p>
        </w:tc>
        <w:tc>
          <w:tcPr>
            <w:tcW w:w="2520" w:type="dxa"/>
            <w:tcBorders>
              <w:right w:val="single" w:color="000000" w:sz="4" w:space="0"/>
            </w:tcBorders>
            <w:vAlign w:val="center"/>
          </w:tcPr>
          <w:p w14:paraId="66596F4E">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简述</w:t>
            </w:r>
          </w:p>
        </w:tc>
        <w:tc>
          <w:tcPr>
            <w:tcW w:w="795" w:type="dxa"/>
            <w:tcBorders>
              <w:left w:val="single" w:color="000000" w:sz="4" w:space="0"/>
            </w:tcBorders>
            <w:vAlign w:val="center"/>
          </w:tcPr>
          <w:p w14:paraId="1D0601FB">
            <w:pPr>
              <w:spacing w:line="400" w:lineRule="exact"/>
              <w:jc w:val="center"/>
              <w:rPr>
                <w:rFonts w:ascii="宋体" w:hAnsi="宋体" w:cs="宋体"/>
                <w:bCs/>
                <w:color w:val="auto"/>
                <w:spacing w:val="-6"/>
                <w:sz w:val="24"/>
                <w:szCs w:val="24"/>
              </w:rPr>
            </w:pPr>
            <w:r>
              <w:rPr>
                <w:rFonts w:hint="eastAsia" w:ascii="宋体" w:hAnsi="宋体" w:cs="宋体"/>
                <w:bCs/>
                <w:color w:val="auto"/>
                <w:spacing w:val="-6"/>
                <w:sz w:val="24"/>
                <w:szCs w:val="24"/>
              </w:rPr>
              <w:t>数量</w:t>
            </w:r>
          </w:p>
        </w:tc>
        <w:tc>
          <w:tcPr>
            <w:tcW w:w="2100" w:type="dxa"/>
            <w:vAlign w:val="center"/>
          </w:tcPr>
          <w:p w14:paraId="31D0104D">
            <w:pPr>
              <w:spacing w:line="400" w:lineRule="exact"/>
              <w:ind w:firstLine="211"/>
              <w:jc w:val="center"/>
              <w:rPr>
                <w:rFonts w:ascii="宋体" w:hAnsi="宋体" w:cs="宋体"/>
                <w:bCs/>
                <w:color w:val="auto"/>
                <w:spacing w:val="-6"/>
                <w:sz w:val="24"/>
                <w:szCs w:val="24"/>
              </w:rPr>
            </w:pPr>
            <w:r>
              <w:rPr>
                <w:rFonts w:hint="eastAsia" w:ascii="宋体" w:hAnsi="宋体" w:cs="宋体"/>
                <w:bCs/>
                <w:color w:val="auto"/>
                <w:spacing w:val="-6"/>
                <w:sz w:val="24"/>
                <w:szCs w:val="24"/>
              </w:rPr>
              <w:t>预算（人民币元）</w:t>
            </w:r>
          </w:p>
        </w:tc>
      </w:tr>
      <w:tr w14:paraId="433E3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735" w:type="dxa"/>
            <w:vAlign w:val="center"/>
          </w:tcPr>
          <w:p w14:paraId="51F049A3">
            <w:pPr>
              <w:spacing w:line="420" w:lineRule="exact"/>
              <w:jc w:val="center"/>
              <w:rPr>
                <w:rFonts w:ascii="宋体" w:hAnsi="宋体"/>
                <w:color w:val="auto"/>
                <w:sz w:val="24"/>
                <w:szCs w:val="24"/>
              </w:rPr>
            </w:pPr>
            <w:r>
              <w:rPr>
                <w:rFonts w:hint="eastAsia" w:ascii="宋体" w:hAnsi="宋体"/>
                <w:color w:val="auto"/>
                <w:sz w:val="24"/>
                <w:szCs w:val="24"/>
              </w:rPr>
              <w:t>1</w:t>
            </w:r>
          </w:p>
        </w:tc>
        <w:tc>
          <w:tcPr>
            <w:tcW w:w="3195" w:type="dxa"/>
            <w:tcBorders>
              <w:right w:val="single" w:color="000000" w:sz="4" w:space="0"/>
            </w:tcBorders>
            <w:vAlign w:val="center"/>
          </w:tcPr>
          <w:p w14:paraId="1D0F3969">
            <w:pPr>
              <w:spacing w:line="420" w:lineRule="exact"/>
              <w:jc w:val="center"/>
              <w:rPr>
                <w:rFonts w:ascii="宋体" w:hAnsi="宋体"/>
                <w:color w:val="auto"/>
                <w:sz w:val="24"/>
                <w:szCs w:val="24"/>
              </w:rPr>
            </w:pPr>
            <w:r>
              <w:rPr>
                <w:rFonts w:hint="eastAsia" w:ascii="宋体" w:hAnsi="宋体"/>
                <w:color w:val="auto"/>
                <w:sz w:val="24"/>
                <w:szCs w:val="24"/>
              </w:rPr>
              <w:t>2026年度芸悦读服务图书</w:t>
            </w:r>
          </w:p>
        </w:tc>
        <w:tc>
          <w:tcPr>
            <w:tcW w:w="2520" w:type="dxa"/>
            <w:tcBorders>
              <w:right w:val="single" w:color="000000" w:sz="4" w:space="0"/>
            </w:tcBorders>
            <w:vAlign w:val="center"/>
          </w:tcPr>
          <w:p w14:paraId="69911CFD">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rPr>
              <w:t>正规出版社图书</w:t>
            </w:r>
            <w:r>
              <w:rPr>
                <w:rFonts w:hint="eastAsia" w:ascii="宋体" w:hAnsi="宋体" w:cs="宋体"/>
                <w:color w:val="auto"/>
                <w:sz w:val="24"/>
                <w:lang w:eastAsia="zh-CN"/>
              </w:rPr>
              <w:t>，</w:t>
            </w:r>
            <w:r>
              <w:rPr>
                <w:rFonts w:hint="eastAsia" w:ascii="宋体" w:hAnsi="宋体" w:cs="宋体"/>
                <w:color w:val="auto"/>
                <w:sz w:val="24"/>
                <w:lang w:val="en-US" w:eastAsia="zh-CN"/>
              </w:rPr>
              <w:t>其余详见采购文件</w:t>
            </w:r>
          </w:p>
        </w:tc>
        <w:tc>
          <w:tcPr>
            <w:tcW w:w="795" w:type="dxa"/>
            <w:tcBorders>
              <w:left w:val="single" w:color="000000" w:sz="4" w:space="0"/>
            </w:tcBorders>
            <w:vAlign w:val="center"/>
          </w:tcPr>
          <w:p w14:paraId="6CB9B67F">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1批</w:t>
            </w:r>
          </w:p>
        </w:tc>
        <w:tc>
          <w:tcPr>
            <w:tcW w:w="2100" w:type="dxa"/>
            <w:vAlign w:val="center"/>
          </w:tcPr>
          <w:p w14:paraId="183D2532">
            <w:pPr>
              <w:spacing w:line="420" w:lineRule="exact"/>
              <w:jc w:val="center"/>
              <w:rPr>
                <w:rFonts w:hint="default" w:ascii="宋体" w:hAnsi="宋体" w:eastAsia="宋体"/>
                <w:color w:val="auto"/>
                <w:sz w:val="24"/>
                <w:szCs w:val="24"/>
                <w:lang w:val="en-US" w:eastAsia="zh-CN"/>
              </w:rPr>
            </w:pPr>
            <w:r>
              <w:rPr>
                <w:rFonts w:hint="eastAsia" w:ascii="宋体" w:hAnsi="宋体" w:cs="宋体"/>
                <w:color w:val="auto"/>
                <w:sz w:val="24"/>
                <w:lang w:val="en-US" w:eastAsia="zh-CN"/>
              </w:rPr>
              <w:t>200000</w:t>
            </w:r>
          </w:p>
        </w:tc>
      </w:tr>
    </w:tbl>
    <w:p w14:paraId="349087C6">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69" w:name="_Toc76"/>
      <w:bookmarkStart w:id="70" w:name="_Toc15275"/>
      <w:r>
        <w:rPr>
          <w:rFonts w:hint="eastAsia" w:asciiTheme="minorEastAsia" w:hAnsiTheme="minorEastAsia" w:eastAsiaTheme="minorEastAsia" w:cstheme="minorEastAsia"/>
          <w:b/>
          <w:bCs/>
          <w:color w:val="auto"/>
          <w:sz w:val="24"/>
          <w:szCs w:val="24"/>
        </w:rPr>
        <w:t>三、供应商的资格要求:</w:t>
      </w:r>
      <w:bookmarkEnd w:id="54"/>
      <w:bookmarkEnd w:id="55"/>
      <w:bookmarkEnd w:id="69"/>
      <w:bookmarkEnd w:id="70"/>
    </w:p>
    <w:p w14:paraId="57DAA3B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w:t>
      </w:r>
      <w:r>
        <w:rPr>
          <w:rFonts w:hint="eastAsia" w:hAnsi="宋体"/>
          <w:color w:val="auto"/>
          <w:sz w:val="24"/>
          <w:szCs w:val="24"/>
        </w:rPr>
        <w:t>采购严重违法失信行为记录名单。</w:t>
      </w:r>
    </w:p>
    <w:p w14:paraId="06033F7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71" w:name="_Toc171394913"/>
      <w:r>
        <w:rPr>
          <w:rFonts w:hint="eastAsia" w:ascii="宋体" w:hAnsi="宋体"/>
          <w:color w:val="auto"/>
          <w:sz w:val="24"/>
          <w:szCs w:val="24"/>
        </w:rPr>
        <w:t>2.落实政府采购政策需满足的资格要求：无。</w:t>
      </w:r>
    </w:p>
    <w:p w14:paraId="5C09484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w:t>
      </w:r>
      <w:r>
        <w:rPr>
          <w:rFonts w:hint="eastAsia" w:ascii="宋体" w:hAnsi="宋体"/>
          <w:color w:val="auto"/>
          <w:sz w:val="24"/>
          <w:szCs w:val="24"/>
          <w:lang w:val="en-US" w:eastAsia="zh-CN"/>
        </w:rPr>
        <w:t>响应方须提供</w:t>
      </w:r>
      <w:r>
        <w:rPr>
          <w:rFonts w:hint="eastAsia" w:ascii="宋体" w:hAnsi="宋体"/>
          <w:color w:val="auto"/>
          <w:sz w:val="24"/>
          <w:szCs w:val="24"/>
        </w:rPr>
        <w:t>有效的《出版物经营许可证》。</w:t>
      </w:r>
    </w:p>
    <w:p w14:paraId="10D4FCFD">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72" w:name="_Toc23502"/>
      <w:bookmarkStart w:id="73" w:name="_Toc7688"/>
      <w:r>
        <w:rPr>
          <w:rFonts w:hint="eastAsia" w:asciiTheme="minorEastAsia" w:hAnsiTheme="minorEastAsia" w:eastAsiaTheme="minorEastAsia" w:cstheme="minorEastAsia"/>
          <w:b/>
          <w:bCs/>
          <w:color w:val="auto"/>
          <w:sz w:val="24"/>
          <w:szCs w:val="24"/>
        </w:rPr>
        <w:t>四、竞争性磋商文件的获取：</w:t>
      </w:r>
      <w:bookmarkEnd w:id="72"/>
      <w:bookmarkEnd w:id="73"/>
    </w:p>
    <w:p w14:paraId="4535B29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25</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7</w:t>
      </w:r>
      <w:r>
        <w:rPr>
          <w:rFonts w:hint="eastAsia" w:ascii="宋体" w:hAnsi="宋体"/>
          <w:color w:val="auto"/>
          <w:sz w:val="24"/>
          <w:szCs w:val="24"/>
        </w:rPr>
        <w:t>月</w:t>
      </w:r>
      <w:r>
        <w:rPr>
          <w:rFonts w:hint="default" w:ascii="宋体" w:hAnsi="宋体"/>
          <w:color w:val="auto"/>
          <w:sz w:val="24"/>
          <w:szCs w:val="24"/>
          <w:woUserID w:val="1"/>
        </w:rPr>
        <w:t>7</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786D0CD4">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363D5B85">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5558D6C4">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w:t>
      </w:r>
      <w:r>
        <w:rPr>
          <w:rFonts w:hint="eastAsia" w:ascii="宋体" w:hAnsi="宋体"/>
          <w:color w:val="auto"/>
          <w:sz w:val="24"/>
          <w:szCs w:val="24"/>
        </w:rPr>
        <w:t>；联系方式：</w:t>
      </w:r>
      <w:r>
        <w:rPr>
          <w:rFonts w:hint="eastAsia" w:ascii="宋体" w:hAnsi="宋体"/>
          <w:color w:val="auto"/>
          <w:sz w:val="24"/>
          <w:szCs w:val="24"/>
        </w:rPr>
        <w:t>0571-87713548。</w:t>
      </w:r>
    </w:p>
    <w:p w14:paraId="2E60957C">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4617078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bookmarkStart w:id="74" w:name="_Toc19206"/>
      <w:bookmarkStart w:id="75" w:name="_Toc24154"/>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bookmarkEnd w:id="74"/>
      <w:bookmarkEnd w:id="75"/>
    </w:p>
    <w:p w14:paraId="55D72B8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76" w:name="_Toc8772"/>
      <w:bookmarkStart w:id="77" w:name="_Toc2407"/>
      <w:r>
        <w:rPr>
          <w:rFonts w:hint="eastAsia" w:asciiTheme="minorEastAsia" w:hAnsiTheme="minorEastAsia" w:eastAsiaTheme="minorEastAsia" w:cstheme="minorEastAsia"/>
          <w:b/>
          <w:bCs/>
          <w:color w:val="auto"/>
          <w:sz w:val="24"/>
          <w:szCs w:val="24"/>
        </w:rPr>
        <w:t>六、响应文件提交（上传）</w:t>
      </w:r>
      <w:bookmarkEnd w:id="76"/>
      <w:bookmarkEnd w:id="77"/>
    </w:p>
    <w:p w14:paraId="70C1DFF1">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7</w:t>
      </w:r>
      <w:r>
        <w:rPr>
          <w:rFonts w:hint="eastAsia" w:ascii="宋体" w:hAnsi="宋体"/>
          <w:b/>
          <w:bCs/>
          <w:color w:val="auto"/>
          <w:sz w:val="24"/>
          <w:szCs w:val="24"/>
        </w:rPr>
        <w:t>月</w:t>
      </w:r>
      <w:r>
        <w:rPr>
          <w:rFonts w:hint="default" w:ascii="宋体" w:hAnsi="宋体"/>
          <w:b/>
          <w:bCs/>
          <w:color w:val="auto"/>
          <w:sz w:val="24"/>
          <w:szCs w:val="24"/>
          <w:woUserID w:val="1"/>
        </w:rPr>
        <w:t>7</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061AA70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327D640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78" w:name="_Toc5015"/>
      <w:bookmarkStart w:id="79" w:name="_Toc31063"/>
      <w:r>
        <w:rPr>
          <w:rFonts w:hint="eastAsia" w:asciiTheme="minorEastAsia" w:hAnsiTheme="minorEastAsia" w:eastAsiaTheme="minorEastAsia" w:cstheme="minorEastAsia"/>
          <w:b/>
          <w:bCs/>
          <w:color w:val="auto"/>
          <w:sz w:val="24"/>
          <w:szCs w:val="24"/>
        </w:rPr>
        <w:t>七、响应文件开启</w:t>
      </w:r>
      <w:bookmarkEnd w:id="78"/>
      <w:bookmarkEnd w:id="79"/>
    </w:p>
    <w:p w14:paraId="4D643D9F">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7</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7</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111AEC67">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61C298F6">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80" w:name="_Toc19333"/>
      <w:bookmarkStart w:id="81" w:name="_Toc25945"/>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82" w:name="OLE_LINK5"/>
      <w:r>
        <w:rPr>
          <w:rFonts w:hint="eastAsia" w:asciiTheme="minorEastAsia" w:hAnsiTheme="minorEastAsia" w:eastAsiaTheme="minorEastAsia" w:cstheme="minorEastAsia"/>
          <w:b/>
          <w:bCs/>
          <w:color w:val="auto"/>
          <w:sz w:val="24"/>
          <w:szCs w:val="24"/>
        </w:rPr>
        <w:t>公告期限</w:t>
      </w:r>
      <w:bookmarkEnd w:id="80"/>
      <w:bookmarkEnd w:id="81"/>
      <w:bookmarkEnd w:id="82"/>
    </w:p>
    <w:p w14:paraId="6FBF6BE0">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49087F41">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bookmarkStart w:id="83" w:name="_Toc10264"/>
      <w:bookmarkStart w:id="84" w:name="_Toc16421"/>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bookmarkEnd w:id="83"/>
      <w:bookmarkEnd w:id="84"/>
    </w:p>
    <w:p w14:paraId="74A7B5B1">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w:t>
      </w:r>
      <w:r>
        <w:rPr>
          <w:rFonts w:hint="eastAsia" w:ascii="宋体" w:hAnsi="宋体"/>
          <w:color w:val="auto"/>
          <w:sz w:val="24"/>
          <w:szCs w:val="24"/>
        </w:rPr>
        <w:t>部门：杭州电子科技大学图书馆</w:t>
      </w:r>
    </w:p>
    <w:p w14:paraId="5AE5770E">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刘老师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0571-86878560</w:t>
      </w:r>
    </w:p>
    <w:p w14:paraId="61F04C0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3ECFA5D4">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395CD81B">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4A202252">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6CE409D4">
      <w:pPr>
        <w:pStyle w:val="2"/>
        <w:rPr>
          <w:color w:val="auto"/>
        </w:rPr>
      </w:pPr>
    </w:p>
    <w:p w14:paraId="7869105C">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79E00742">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49D889CA">
      <w:pPr>
        <w:pStyle w:val="24"/>
        <w:rPr>
          <w:color w:val="auto"/>
        </w:rPr>
      </w:pPr>
    </w:p>
    <w:p w14:paraId="76037169">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147792D8">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6</w:t>
      </w:r>
      <w:r>
        <w:rPr>
          <w:rFonts w:hint="eastAsia" w:ascii="宋体" w:hAnsi="宋体"/>
          <w:color w:val="auto"/>
          <w:sz w:val="24"/>
          <w:szCs w:val="24"/>
        </w:rPr>
        <w:t>月</w:t>
      </w:r>
      <w:r>
        <w:rPr>
          <w:rFonts w:hint="default" w:ascii="宋体" w:hAnsi="宋体"/>
          <w:color w:val="auto"/>
          <w:sz w:val="24"/>
          <w:szCs w:val="24"/>
          <w:woUserID w:val="1"/>
        </w:rPr>
        <w:t>25</w:t>
      </w:r>
      <w:r>
        <w:rPr>
          <w:rFonts w:hint="eastAsia" w:ascii="宋体" w:hAnsi="宋体"/>
          <w:color w:val="auto"/>
          <w:sz w:val="24"/>
          <w:szCs w:val="24"/>
        </w:rPr>
        <w:t>日</w:t>
      </w:r>
    </w:p>
    <w:p w14:paraId="7118B52C">
      <w:pPr>
        <w:wordWrap w:val="0"/>
        <w:adjustRightInd w:val="0"/>
        <w:snapToGrid w:val="0"/>
        <w:spacing w:line="420" w:lineRule="exact"/>
        <w:ind w:left="31" w:right="480" w:hanging="31" w:hangingChars="13"/>
        <w:jc w:val="right"/>
        <w:rPr>
          <w:rFonts w:ascii="宋体"/>
          <w:color w:val="auto"/>
          <w:sz w:val="24"/>
          <w:szCs w:val="24"/>
        </w:rPr>
      </w:pPr>
    </w:p>
    <w:p w14:paraId="4EDFA7F3">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85" w:name="_Toc15274"/>
      <w:bookmarkStart w:id="86" w:name="_Toc31607"/>
      <w:bookmarkStart w:id="87" w:name="_Toc13468"/>
      <w:bookmarkStart w:id="88" w:name="_Toc27564"/>
      <w:bookmarkStart w:id="89" w:name="_Toc21096"/>
      <w:bookmarkStart w:id="90" w:name="_Toc10682"/>
      <w:bookmarkStart w:id="91" w:name="_Toc18447"/>
      <w:bookmarkStart w:id="92" w:name="_Toc20175"/>
      <w:bookmarkStart w:id="93" w:name="_Toc27007"/>
      <w:bookmarkStart w:id="94" w:name="_Toc15380"/>
      <w:bookmarkStart w:id="95" w:name="_Toc6139"/>
      <w:bookmarkStart w:id="96" w:name="_Toc31392"/>
      <w:bookmarkStart w:id="97" w:name="_Toc20151"/>
      <w:bookmarkStart w:id="98" w:name="_Toc30984"/>
      <w:bookmarkStart w:id="99" w:name="_Toc14371"/>
      <w:bookmarkStart w:id="100" w:name="_Toc9474"/>
      <w:bookmarkStart w:id="101" w:name="_Toc13359"/>
      <w:bookmarkStart w:id="102" w:name="_Toc8413"/>
      <w:bookmarkStart w:id="103" w:name="_Toc14615"/>
      <w:bookmarkStart w:id="104" w:name="_Toc5412"/>
      <w:bookmarkStart w:id="105" w:name="_Toc11189"/>
      <w:bookmarkStart w:id="106" w:name="_Toc7205"/>
      <w:bookmarkStart w:id="107" w:name="_Toc30939"/>
      <w:bookmarkStart w:id="108" w:name="_Toc25493"/>
      <w:bookmarkStart w:id="109" w:name="_Toc14015"/>
      <w:bookmarkStart w:id="110" w:name="_Toc16190"/>
      <w:bookmarkStart w:id="111" w:name="_Toc8774"/>
      <w:bookmarkStart w:id="112" w:name="_Toc19935"/>
      <w:bookmarkStart w:id="113" w:name="_Toc25903"/>
      <w:bookmarkStart w:id="114" w:name="_Toc28369"/>
      <w:bookmarkStart w:id="115" w:name="_Toc8923"/>
      <w:bookmarkStart w:id="116" w:name="_Toc31424"/>
      <w:bookmarkStart w:id="117" w:name="_Toc30864"/>
      <w:r>
        <w:rPr>
          <w:rFonts w:hint="eastAsia" w:ascii="Times New Roman" w:hAnsi="Times New Roman" w:eastAsia="黑体" w:cs="Times New Roman"/>
          <w:b/>
          <w:color w:val="auto"/>
          <w:kern w:val="44"/>
          <w:sz w:val="36"/>
          <w:szCs w:val="22"/>
          <w:lang w:val="en-US" w:eastAsia="zh-CN" w:bidi="ar-SA"/>
        </w:rPr>
        <w:t>第二部分 响应方须知</w:t>
      </w:r>
      <w:bookmarkEnd w:id="85"/>
    </w:p>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14:paraId="59F4AEF5">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8" w:name="_Toc1714"/>
      <w:bookmarkStart w:id="119" w:name="_Toc29793"/>
      <w:bookmarkStart w:id="120" w:name="_Toc20565"/>
      <w:bookmarkStart w:id="121" w:name="_Toc28079"/>
      <w:bookmarkStart w:id="122" w:name="_Toc483"/>
      <w:bookmarkStart w:id="123" w:name="_Toc3269"/>
      <w:bookmarkStart w:id="124" w:name="_Toc16998"/>
      <w:bookmarkStart w:id="125" w:name="_Toc20573"/>
      <w:bookmarkStart w:id="126" w:name="_Toc26073"/>
      <w:bookmarkStart w:id="127" w:name="_Toc22339"/>
      <w:bookmarkStart w:id="128" w:name="_Toc17697"/>
      <w:bookmarkStart w:id="129" w:name="_Toc10518"/>
      <w:bookmarkStart w:id="130" w:name="_Toc12644"/>
      <w:bookmarkStart w:id="131" w:name="_Toc10657"/>
      <w:bookmarkStart w:id="132" w:name="_Toc28026"/>
      <w:bookmarkStart w:id="133" w:name="_Toc9123"/>
      <w:bookmarkStart w:id="134" w:name="_Toc27500"/>
      <w:bookmarkStart w:id="135" w:name="_Toc9778"/>
      <w:bookmarkStart w:id="136" w:name="_Toc21080"/>
      <w:bookmarkStart w:id="137" w:name="_Toc23359"/>
      <w:bookmarkStart w:id="138" w:name="_Toc26853"/>
      <w:bookmarkStart w:id="139" w:name="_Toc6421"/>
      <w:bookmarkStart w:id="140" w:name="_Toc4505"/>
      <w:bookmarkStart w:id="141" w:name="_Toc31880"/>
      <w:bookmarkStart w:id="142" w:name="_Toc30159"/>
      <w:bookmarkStart w:id="143" w:name="_Toc32596"/>
      <w:bookmarkStart w:id="144" w:name="_Toc6715"/>
      <w:bookmarkStart w:id="145" w:name="_Toc23420"/>
      <w:bookmarkStart w:id="146" w:name="_Toc10414"/>
      <w:bookmarkStart w:id="147" w:name="_Toc23155"/>
      <w:bookmarkStart w:id="148" w:name="_Toc26025"/>
      <w:bookmarkStart w:id="149" w:name="_Toc1743"/>
      <w:bookmarkStart w:id="150" w:name="_Toc29458"/>
      <w:r>
        <w:rPr>
          <w:rFonts w:hint="eastAsia" w:ascii="楷体" w:hAnsi="楷体" w:eastAsia="楷体" w:cs="楷体"/>
          <w:snapToGrid w:val="0"/>
          <w:color w:val="auto"/>
          <w:kern w:val="44"/>
          <w:sz w:val="32"/>
          <w:szCs w:val="32"/>
        </w:rPr>
        <w:t>前附表</w:t>
      </w:r>
      <w:bookmarkEnd w:id="71"/>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Start w:id="151" w:name="_Toc183786414"/>
    </w:p>
    <w:tbl>
      <w:tblPr>
        <w:tblStyle w:val="4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60BE5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162E7E0C">
            <w:pPr>
              <w:rPr>
                <w:rFonts w:ascii="宋体"/>
                <w:b/>
                <w:color w:val="auto"/>
                <w:sz w:val="24"/>
                <w:szCs w:val="24"/>
              </w:rPr>
            </w:pPr>
            <w:r>
              <w:rPr>
                <w:rFonts w:hint="eastAsia" w:ascii="宋体" w:hAnsi="宋体"/>
                <w:b/>
                <w:color w:val="auto"/>
                <w:sz w:val="24"/>
                <w:szCs w:val="24"/>
              </w:rPr>
              <w:t>序号</w:t>
            </w:r>
          </w:p>
        </w:tc>
        <w:tc>
          <w:tcPr>
            <w:tcW w:w="2043" w:type="dxa"/>
            <w:vAlign w:val="center"/>
          </w:tcPr>
          <w:p w14:paraId="2EEB6E88">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592316B4">
            <w:pPr>
              <w:jc w:val="center"/>
              <w:rPr>
                <w:rFonts w:ascii="宋体"/>
                <w:b/>
                <w:color w:val="auto"/>
                <w:sz w:val="24"/>
                <w:szCs w:val="24"/>
              </w:rPr>
            </w:pPr>
            <w:r>
              <w:rPr>
                <w:rFonts w:hint="eastAsia" w:ascii="宋体" w:hAnsi="宋体"/>
                <w:b/>
                <w:color w:val="auto"/>
                <w:sz w:val="24"/>
                <w:szCs w:val="24"/>
              </w:rPr>
              <w:t>内容</w:t>
            </w:r>
          </w:p>
        </w:tc>
      </w:tr>
      <w:tr w14:paraId="37F05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4779AE4">
            <w:pPr>
              <w:pStyle w:val="181"/>
              <w:adjustRightInd/>
              <w:spacing w:line="240" w:lineRule="auto"/>
              <w:rPr>
                <w:color w:val="auto"/>
                <w:szCs w:val="24"/>
              </w:rPr>
            </w:pPr>
            <w:r>
              <w:rPr>
                <w:rFonts w:hint="eastAsia"/>
                <w:color w:val="auto"/>
                <w:szCs w:val="24"/>
              </w:rPr>
              <w:t>1</w:t>
            </w:r>
          </w:p>
        </w:tc>
        <w:tc>
          <w:tcPr>
            <w:tcW w:w="2043" w:type="dxa"/>
            <w:vAlign w:val="center"/>
          </w:tcPr>
          <w:p w14:paraId="445C8526">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238985A1">
            <w:pPr>
              <w:rPr>
                <w:rFonts w:ascii="宋体"/>
                <w:color w:val="auto"/>
                <w:sz w:val="24"/>
                <w:szCs w:val="24"/>
              </w:rPr>
            </w:pPr>
            <w:r>
              <w:rPr>
                <w:rFonts w:hint="eastAsia" w:ascii="宋体" w:hAnsi="宋体"/>
                <w:color w:val="auto"/>
                <w:sz w:val="24"/>
                <w:szCs w:val="24"/>
              </w:rPr>
              <w:t>2026年度芸悦读服务图书</w:t>
            </w:r>
          </w:p>
        </w:tc>
      </w:tr>
      <w:tr w14:paraId="0050A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FD5D4B0">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5E929527">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695802F9">
            <w:pPr>
              <w:rPr>
                <w:rFonts w:hint="default" w:ascii="宋体" w:eastAsia="宋体"/>
                <w:color w:val="auto"/>
                <w:sz w:val="24"/>
                <w:szCs w:val="24"/>
                <w:lang w:val="en-US" w:eastAsia="zh-CN"/>
              </w:rPr>
            </w:pPr>
            <w:r>
              <w:rPr>
                <w:rFonts w:hint="eastAsia" w:ascii="宋体" w:hAnsi="宋体"/>
                <w:color w:val="auto"/>
                <w:sz w:val="24"/>
                <w:szCs w:val="24"/>
              </w:rPr>
              <w:t>202</w:t>
            </w:r>
            <w:r>
              <w:rPr>
                <w:rFonts w:hint="eastAsia" w:ascii="宋体" w:hAnsi="宋体"/>
                <w:color w:val="auto"/>
                <w:sz w:val="24"/>
                <w:szCs w:val="24"/>
                <w:lang w:val="en-US" w:eastAsia="zh-CN"/>
              </w:rPr>
              <w:t>6</w:t>
            </w:r>
            <w:r>
              <w:rPr>
                <w:rFonts w:hint="eastAsia" w:ascii="宋体" w:hAnsi="宋体"/>
                <w:color w:val="auto"/>
                <w:sz w:val="24"/>
                <w:szCs w:val="24"/>
              </w:rPr>
              <w:t>-JH-CS</w:t>
            </w:r>
            <w:r>
              <w:rPr>
                <w:rFonts w:hint="eastAsia" w:ascii="宋体" w:hAnsi="宋体"/>
                <w:color w:val="auto"/>
                <w:sz w:val="24"/>
                <w:szCs w:val="24"/>
                <w:lang w:val="en-US" w:eastAsia="zh-CN"/>
              </w:rPr>
              <w:t>10</w:t>
            </w:r>
          </w:p>
        </w:tc>
      </w:tr>
      <w:tr w14:paraId="5E411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7052509">
            <w:pPr>
              <w:jc w:val="center"/>
              <w:rPr>
                <w:rFonts w:ascii="宋体"/>
                <w:color w:val="auto"/>
                <w:sz w:val="24"/>
                <w:szCs w:val="24"/>
              </w:rPr>
            </w:pPr>
          </w:p>
        </w:tc>
        <w:tc>
          <w:tcPr>
            <w:tcW w:w="2043" w:type="dxa"/>
            <w:vAlign w:val="center"/>
          </w:tcPr>
          <w:p w14:paraId="6BFC0BB9">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7516DE3B">
            <w:pPr>
              <w:pStyle w:val="30"/>
              <w:ind w:left="0" w:leftChars="0"/>
              <w:rPr>
                <w:color w:val="auto"/>
                <w:szCs w:val="24"/>
              </w:rPr>
            </w:pPr>
            <w:r>
              <w:rPr>
                <w:rFonts w:hint="eastAsia"/>
                <w:color w:val="auto"/>
                <w:szCs w:val="24"/>
              </w:rPr>
              <w:t>竞争性磋商</w:t>
            </w:r>
            <w:r>
              <w:rPr>
                <w:rFonts w:hint="eastAsia"/>
                <w:b/>
                <w:bCs/>
                <w:color w:val="auto"/>
                <w:szCs w:val="24"/>
              </w:rPr>
              <w:t>（线上电子交易）</w:t>
            </w:r>
          </w:p>
        </w:tc>
      </w:tr>
      <w:tr w14:paraId="1A7E9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E545D4F">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7E0E2B5A">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598DAF93">
            <w:pPr>
              <w:pStyle w:val="30"/>
              <w:ind w:left="0" w:leftChars="0"/>
              <w:rPr>
                <w:rFonts w:hint="eastAsia" w:eastAsia="宋体"/>
                <w:color w:val="auto"/>
                <w:szCs w:val="24"/>
                <w:lang w:eastAsia="zh-CN"/>
              </w:rPr>
            </w:pPr>
            <w:r>
              <w:rPr>
                <w:rFonts w:hint="eastAsia"/>
                <w:color w:val="auto"/>
                <w:szCs w:val="24"/>
              </w:rPr>
              <w:t>杭州电子科技大学</w:t>
            </w:r>
            <w:r>
              <w:rPr>
                <w:rFonts w:hint="eastAsia"/>
                <w:color w:val="auto"/>
                <w:kern w:val="0"/>
                <w:szCs w:val="24"/>
                <w:lang w:val="en-US" w:eastAsia="zh-CN"/>
              </w:rPr>
              <w:t>图书馆</w:t>
            </w:r>
          </w:p>
        </w:tc>
      </w:tr>
      <w:tr w14:paraId="3D26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19F348A">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74FDF39D">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36360658">
            <w:pPr>
              <w:rPr>
                <w:rFonts w:ascii="宋体"/>
                <w:color w:val="auto"/>
                <w:sz w:val="24"/>
                <w:szCs w:val="24"/>
              </w:rPr>
            </w:pPr>
            <w:r>
              <w:rPr>
                <w:rFonts w:hint="eastAsia" w:ascii="宋体" w:hAnsi="宋体"/>
                <w:color w:val="auto"/>
                <w:sz w:val="24"/>
                <w:szCs w:val="24"/>
              </w:rPr>
              <w:t>详见第三部分采购需求</w:t>
            </w:r>
          </w:p>
        </w:tc>
      </w:tr>
      <w:tr w14:paraId="68A31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915C242">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0B703BD7">
            <w:pPr>
              <w:jc w:val="center"/>
              <w:rPr>
                <w:color w:val="auto"/>
                <w:sz w:val="24"/>
              </w:rPr>
            </w:pPr>
            <w:r>
              <w:rPr>
                <w:rFonts w:hint="eastAsia"/>
                <w:color w:val="auto"/>
                <w:sz w:val="24"/>
              </w:rPr>
              <w:t>磋商报价及费用</w:t>
            </w:r>
          </w:p>
        </w:tc>
        <w:tc>
          <w:tcPr>
            <w:tcW w:w="6348" w:type="dxa"/>
            <w:vAlign w:val="center"/>
          </w:tcPr>
          <w:p w14:paraId="5E83717E">
            <w:pPr>
              <w:rPr>
                <w:color w:val="auto"/>
                <w:sz w:val="24"/>
              </w:rPr>
            </w:pPr>
            <w:r>
              <w:rPr>
                <w:rFonts w:hint="eastAsia"/>
                <w:color w:val="auto"/>
                <w:sz w:val="24"/>
              </w:rPr>
              <w:t>详见采购文件第二部分第三节第（三）点报价内容。</w:t>
            </w:r>
          </w:p>
        </w:tc>
      </w:tr>
      <w:tr w14:paraId="52A3A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47053D6">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34DC4168">
            <w:pPr>
              <w:jc w:val="center"/>
              <w:rPr>
                <w:rFonts w:ascii="宋体"/>
                <w:color w:val="auto"/>
                <w:sz w:val="24"/>
                <w:szCs w:val="24"/>
              </w:rPr>
            </w:pPr>
            <w:r>
              <w:rPr>
                <w:rFonts w:hint="eastAsia"/>
                <w:color w:val="auto"/>
                <w:sz w:val="24"/>
              </w:rPr>
              <w:t>磋商响应有效期</w:t>
            </w:r>
          </w:p>
        </w:tc>
        <w:tc>
          <w:tcPr>
            <w:tcW w:w="6348" w:type="dxa"/>
            <w:vAlign w:val="center"/>
          </w:tcPr>
          <w:p w14:paraId="55D630A9">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33C8F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6F5FC1E">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3D7304BF">
            <w:pPr>
              <w:jc w:val="center"/>
              <w:rPr>
                <w:rFonts w:ascii="宋体"/>
                <w:color w:val="auto"/>
                <w:sz w:val="24"/>
                <w:szCs w:val="24"/>
              </w:rPr>
            </w:pPr>
            <w:r>
              <w:rPr>
                <w:rFonts w:hint="eastAsia"/>
                <w:color w:val="auto"/>
                <w:sz w:val="24"/>
              </w:rPr>
              <w:t>磋商文件答疑</w:t>
            </w:r>
          </w:p>
        </w:tc>
        <w:tc>
          <w:tcPr>
            <w:tcW w:w="6348" w:type="dxa"/>
            <w:vAlign w:val="center"/>
          </w:tcPr>
          <w:p w14:paraId="61EEA885">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7</w:t>
            </w:r>
            <w:r>
              <w:rPr>
                <w:rFonts w:hint="eastAsia"/>
                <w:color w:val="auto"/>
                <w:sz w:val="24"/>
                <w:u w:val="single"/>
              </w:rPr>
              <w:t>月</w:t>
            </w:r>
            <w:r>
              <w:rPr>
                <w:rFonts w:hint="default"/>
                <w:color w:val="auto"/>
                <w:sz w:val="24"/>
                <w:u w:val="single"/>
                <w:woUserID w:val="1"/>
              </w:rPr>
              <w:t>6</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7</w:t>
            </w:r>
            <w:r>
              <w:rPr>
                <w:rFonts w:hint="eastAsia"/>
                <w:color w:val="auto"/>
                <w:sz w:val="24"/>
                <w:u w:val="single"/>
              </w:rPr>
              <w:t>月</w:t>
            </w:r>
            <w:r>
              <w:rPr>
                <w:rFonts w:hint="default"/>
                <w:color w:val="auto"/>
                <w:sz w:val="24"/>
                <w:u w:val="single"/>
                <w:woUserID w:val="1"/>
              </w:rPr>
              <w:t>6</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rPr>
              <w:t>：</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5B6B7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E91FCB0">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3E24AED4">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6D22CDF4">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@hdu.edu.cn，以便查收）。</w:t>
            </w:r>
          </w:p>
          <w:p w14:paraId="14F751C0">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1B90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FAB6740">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022C228A">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4DAA628F">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16110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89F3B44">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0A1EE774">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0DF66AEE">
            <w:pPr>
              <w:jc w:val="left"/>
              <w:rPr>
                <w:rFonts w:ascii="宋体"/>
                <w:color w:val="auto"/>
                <w:sz w:val="24"/>
                <w:szCs w:val="24"/>
              </w:rPr>
            </w:pPr>
            <w:r>
              <w:rPr>
                <w:rFonts w:hint="eastAsia"/>
                <w:color w:val="auto"/>
                <w:sz w:val="24"/>
              </w:rPr>
              <w:t>综合评分法</w:t>
            </w:r>
          </w:p>
        </w:tc>
      </w:tr>
      <w:tr w14:paraId="5379F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70A9400">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24121B2B">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0445F497">
            <w:pPr>
              <w:jc w:val="left"/>
              <w:rPr>
                <w:rFonts w:hint="default" w:ascii="宋体" w:eastAsia="宋体"/>
                <w:color w:val="auto"/>
                <w:sz w:val="24"/>
                <w:szCs w:val="24"/>
                <w:lang w:val="en-US" w:eastAsia="zh-CN"/>
              </w:rPr>
            </w:pPr>
            <w:r>
              <w:rPr>
                <w:rFonts w:hint="eastAsia"/>
                <w:color w:val="auto"/>
                <w:sz w:val="24"/>
                <w:lang w:val="en-US" w:eastAsia="zh-CN"/>
              </w:rPr>
              <w:t>杭州电子科技大学采购中心网站</w:t>
            </w:r>
          </w:p>
        </w:tc>
      </w:tr>
      <w:tr w14:paraId="39DFF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341E9A7">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7E57D11C">
            <w:pPr>
              <w:jc w:val="center"/>
              <w:rPr>
                <w:rFonts w:ascii="宋体"/>
                <w:color w:val="auto"/>
                <w:sz w:val="24"/>
                <w:szCs w:val="24"/>
              </w:rPr>
            </w:pPr>
            <w:r>
              <w:rPr>
                <w:rFonts w:hint="eastAsia"/>
                <w:color w:val="auto"/>
                <w:sz w:val="24"/>
              </w:rPr>
              <w:t>解释</w:t>
            </w:r>
          </w:p>
        </w:tc>
        <w:tc>
          <w:tcPr>
            <w:tcW w:w="6348" w:type="dxa"/>
            <w:vAlign w:val="center"/>
          </w:tcPr>
          <w:p w14:paraId="0631134D">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5152B043">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51"/>
      <w:bookmarkStart w:id="152" w:name="_Toc22060"/>
      <w:bookmarkStart w:id="153" w:name="_Toc3922"/>
      <w:bookmarkStart w:id="154" w:name="_Toc15936"/>
      <w:bookmarkStart w:id="155" w:name="_Toc11583"/>
      <w:bookmarkStart w:id="156" w:name="_Toc20897"/>
      <w:bookmarkStart w:id="157" w:name="_Toc7947"/>
      <w:bookmarkStart w:id="158" w:name="_Toc11749"/>
      <w:bookmarkStart w:id="159" w:name="_Toc18182"/>
      <w:bookmarkStart w:id="160" w:name="_Toc27769"/>
      <w:bookmarkStart w:id="161" w:name="_Toc67"/>
      <w:bookmarkStart w:id="162" w:name="_Toc26898"/>
      <w:bookmarkStart w:id="163" w:name="_Toc14022"/>
      <w:bookmarkStart w:id="164" w:name="_Toc3209"/>
      <w:bookmarkStart w:id="165" w:name="_Toc2257"/>
      <w:bookmarkStart w:id="166" w:name="_Toc7875"/>
      <w:bookmarkStart w:id="167" w:name="_Toc12127"/>
      <w:bookmarkStart w:id="168" w:name="_Toc19375"/>
      <w:bookmarkStart w:id="169" w:name="_Toc6501"/>
      <w:bookmarkStart w:id="170" w:name="_Toc6802"/>
      <w:bookmarkStart w:id="171" w:name="_Toc1408"/>
      <w:bookmarkStart w:id="172" w:name="_Toc30371"/>
      <w:bookmarkStart w:id="173" w:name="_Toc20458"/>
      <w:bookmarkStart w:id="174" w:name="_Toc15369"/>
      <w:bookmarkStart w:id="175" w:name="_Toc23407"/>
      <w:bookmarkStart w:id="176" w:name="_Toc6841"/>
      <w:bookmarkStart w:id="177" w:name="_Toc24333"/>
      <w:bookmarkStart w:id="178" w:name="_Toc689"/>
      <w:bookmarkStart w:id="179" w:name="_Toc9017"/>
      <w:bookmarkStart w:id="180" w:name="_Toc19879"/>
      <w:bookmarkStart w:id="181" w:name="_Toc6991"/>
      <w:bookmarkStart w:id="182" w:name="_Toc24686"/>
      <w:bookmarkStart w:id="183" w:name="_Toc18556"/>
      <w:bookmarkStart w:id="184" w:name="_Toc29259"/>
      <w:bookmarkStart w:id="185" w:name="_Toc15091"/>
      <w:bookmarkStart w:id="186" w:name="_Toc1492"/>
      <w:bookmarkStart w:id="187" w:name="_Toc6934"/>
      <w:r>
        <w:rPr>
          <w:rFonts w:hint="eastAsia" w:ascii="楷体" w:hAnsi="楷体" w:eastAsia="楷体" w:cs="楷体"/>
          <w:snapToGrid w:val="0"/>
          <w:color w:val="auto"/>
          <w:kern w:val="44"/>
          <w:sz w:val="32"/>
          <w:szCs w:val="32"/>
        </w:rPr>
        <w:t>一、磋商说明</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706F1A88">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088B1208">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03534634">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6A56BCD9">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3A964AA4">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39BCFB6D">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27EF2527">
      <w:pPr>
        <w:spacing w:line="288" w:lineRule="auto"/>
        <w:ind w:firstLine="420" w:firstLineChars="175"/>
        <w:rPr>
          <w:color w:val="auto"/>
          <w:sz w:val="24"/>
        </w:rPr>
      </w:pPr>
      <w:r>
        <w:rPr>
          <w:rFonts w:hint="eastAsia"/>
          <w:color w:val="auto"/>
          <w:sz w:val="24"/>
        </w:rPr>
        <w:t>（2）被质疑投诉，经证实情况严重的；</w:t>
      </w:r>
    </w:p>
    <w:p w14:paraId="4B306B7C">
      <w:pPr>
        <w:spacing w:line="288" w:lineRule="auto"/>
        <w:ind w:firstLine="420" w:firstLineChars="175"/>
        <w:rPr>
          <w:color w:val="auto"/>
          <w:sz w:val="24"/>
        </w:rPr>
      </w:pPr>
      <w:r>
        <w:rPr>
          <w:rFonts w:hint="eastAsia"/>
          <w:color w:val="auto"/>
          <w:sz w:val="24"/>
        </w:rPr>
        <w:t>（3）使用不正当竞争手段，影响采购人正常采购活动的；</w:t>
      </w:r>
    </w:p>
    <w:p w14:paraId="464E686A">
      <w:pPr>
        <w:spacing w:line="288" w:lineRule="auto"/>
        <w:ind w:firstLine="420" w:firstLineChars="175"/>
        <w:rPr>
          <w:color w:val="auto"/>
          <w:sz w:val="24"/>
        </w:rPr>
      </w:pPr>
      <w:r>
        <w:rPr>
          <w:rFonts w:hint="eastAsia"/>
          <w:color w:val="auto"/>
          <w:sz w:val="24"/>
        </w:rPr>
        <w:t>（4）响应方串通投标的；</w:t>
      </w:r>
    </w:p>
    <w:p w14:paraId="0EEB3148">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481B7B0D">
      <w:pPr>
        <w:spacing w:line="288" w:lineRule="auto"/>
        <w:ind w:firstLine="420" w:firstLineChars="175"/>
        <w:rPr>
          <w:color w:val="auto"/>
          <w:sz w:val="24"/>
        </w:rPr>
      </w:pPr>
      <w:r>
        <w:rPr>
          <w:rFonts w:hint="eastAsia"/>
          <w:color w:val="auto"/>
          <w:sz w:val="24"/>
        </w:rPr>
        <w:t>（6）响应方在投标中弄虚作假，提供虚假材料的；</w:t>
      </w:r>
    </w:p>
    <w:p w14:paraId="52D9FEB9">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3BB9BFD5">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61DF9D11">
      <w:pPr>
        <w:spacing w:line="288" w:lineRule="auto"/>
        <w:ind w:firstLine="420" w:firstLineChars="175"/>
        <w:rPr>
          <w:color w:val="auto"/>
          <w:sz w:val="24"/>
        </w:rPr>
      </w:pPr>
      <w:r>
        <w:rPr>
          <w:rFonts w:hint="eastAsia"/>
          <w:color w:val="auto"/>
          <w:sz w:val="24"/>
        </w:rPr>
        <w:t>（9）其他严重扰乱磋商程序的；</w:t>
      </w:r>
    </w:p>
    <w:p w14:paraId="2D195F8C">
      <w:pPr>
        <w:spacing w:line="288" w:lineRule="auto"/>
        <w:ind w:firstLine="420" w:firstLineChars="175"/>
        <w:rPr>
          <w:color w:val="auto"/>
          <w:sz w:val="24"/>
        </w:rPr>
      </w:pPr>
      <w:r>
        <w:rPr>
          <w:rFonts w:hint="eastAsia"/>
          <w:color w:val="auto"/>
          <w:sz w:val="24"/>
        </w:rPr>
        <w:t>（10）未成交供应商恶意质疑、投诉的。</w:t>
      </w:r>
    </w:p>
    <w:p w14:paraId="54249F73">
      <w:pPr>
        <w:spacing w:line="288" w:lineRule="auto"/>
        <w:ind w:firstLine="420" w:firstLineChars="175"/>
        <w:rPr>
          <w:color w:val="auto"/>
          <w:sz w:val="24"/>
        </w:rPr>
      </w:pPr>
      <w:r>
        <w:rPr>
          <w:rFonts w:hint="eastAsia"/>
          <w:color w:val="auto"/>
          <w:sz w:val="24"/>
        </w:rPr>
        <w:t>（11）违反法律法规和合同约定的其他情形的。</w:t>
      </w:r>
    </w:p>
    <w:p w14:paraId="23991DC4">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7C357A04">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08F6D512">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w:t>
      </w:r>
    </w:p>
    <w:p w14:paraId="255D6472">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6DD3E6DE">
      <w:pPr>
        <w:spacing w:line="288" w:lineRule="auto"/>
        <w:ind w:firstLine="477" w:firstLineChars="199"/>
        <w:rPr>
          <w:color w:val="auto"/>
          <w:sz w:val="24"/>
        </w:rPr>
      </w:pPr>
      <w:r>
        <w:rPr>
          <w:color w:val="auto"/>
          <w:sz w:val="24"/>
        </w:rPr>
        <w:t>3</w:t>
      </w:r>
      <w:r>
        <w:rPr>
          <w:rFonts w:hint="eastAsia"/>
          <w:color w:val="auto"/>
          <w:sz w:val="24"/>
        </w:rPr>
        <w:t>、“乙方”</w:t>
      </w:r>
      <w:r>
        <w:rPr>
          <w:rFonts w:hint="eastAsia"/>
          <w:color w:val="auto"/>
          <w:sz w:val="24"/>
          <w:lang w:eastAsia="zh-CN"/>
        </w:rPr>
        <w:t>“</w:t>
      </w:r>
      <w:r>
        <w:rPr>
          <w:rFonts w:hint="eastAsia"/>
          <w:color w:val="auto"/>
          <w:sz w:val="24"/>
          <w:lang w:val="en-US" w:eastAsia="zh-CN"/>
        </w:rPr>
        <w:t>成交人</w:t>
      </w:r>
      <w:r>
        <w:rPr>
          <w:rFonts w:hint="eastAsia"/>
          <w:color w:val="auto"/>
          <w:sz w:val="24"/>
          <w:lang w:eastAsia="zh-CN"/>
        </w:rPr>
        <w:t>”</w:t>
      </w:r>
      <w:r>
        <w:rPr>
          <w:rFonts w:hint="eastAsia"/>
          <w:color w:val="auto"/>
          <w:sz w:val="24"/>
        </w:rPr>
        <w:t>“成交方”“中标人”“</w:t>
      </w:r>
      <w:r>
        <w:rPr>
          <w:rFonts w:hint="eastAsia"/>
          <w:color w:val="auto"/>
          <w:sz w:val="24"/>
          <w:lang w:val="en-US" w:eastAsia="zh-CN"/>
        </w:rPr>
        <w:t>中标</w:t>
      </w:r>
      <w:r>
        <w:rPr>
          <w:rFonts w:hint="eastAsia"/>
          <w:color w:val="auto"/>
          <w:sz w:val="24"/>
        </w:rPr>
        <w:t>方”指本次磋商的成交供应商。</w:t>
      </w:r>
    </w:p>
    <w:p w14:paraId="7238E284">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48D32E6B">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02A697B1">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7728158F">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6A317059">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5F4941E3">
      <w:pPr>
        <w:spacing w:line="288" w:lineRule="auto"/>
        <w:ind w:firstLine="477" w:firstLineChars="199"/>
        <w:rPr>
          <w:color w:val="auto"/>
          <w:sz w:val="24"/>
        </w:rPr>
      </w:pPr>
      <w:r>
        <w:rPr>
          <w:rFonts w:hint="eastAsia"/>
          <w:color w:val="auto"/>
          <w:sz w:val="24"/>
        </w:rPr>
        <w:t>磋商文件对响应文件签署、盖章的要求适用于电子签名。</w:t>
      </w:r>
    </w:p>
    <w:p w14:paraId="5BF34C7F">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2F995E67">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88" w:name="_Toc4587"/>
      <w:bookmarkStart w:id="189" w:name="_Toc17921"/>
      <w:bookmarkStart w:id="190" w:name="_Toc6681"/>
      <w:bookmarkStart w:id="191" w:name="_Toc12939"/>
      <w:bookmarkStart w:id="192" w:name="_Toc4054"/>
      <w:bookmarkStart w:id="193" w:name="_Toc10095"/>
      <w:bookmarkStart w:id="194" w:name="_Toc2692"/>
      <w:bookmarkStart w:id="195" w:name="_Toc23883"/>
      <w:bookmarkStart w:id="196" w:name="_Toc14339"/>
      <w:bookmarkStart w:id="197" w:name="_Toc29315"/>
      <w:bookmarkStart w:id="198" w:name="_Toc13352"/>
      <w:bookmarkStart w:id="199" w:name="_Toc30356"/>
      <w:bookmarkStart w:id="200" w:name="_Toc11863"/>
      <w:bookmarkStart w:id="201" w:name="_Toc10503"/>
      <w:bookmarkStart w:id="202" w:name="_Toc23441"/>
      <w:bookmarkStart w:id="203" w:name="_Toc15004"/>
      <w:bookmarkStart w:id="204" w:name="_Toc16259"/>
      <w:bookmarkStart w:id="205" w:name="_Toc25478"/>
      <w:bookmarkStart w:id="206" w:name="_Toc25249"/>
      <w:bookmarkStart w:id="207" w:name="_Toc7225"/>
      <w:bookmarkStart w:id="208" w:name="_Toc14905"/>
      <w:bookmarkStart w:id="209" w:name="_Toc30651"/>
      <w:bookmarkStart w:id="210" w:name="_Toc16623"/>
      <w:bookmarkStart w:id="211" w:name="_Toc17024"/>
      <w:bookmarkStart w:id="212" w:name="_Toc12934"/>
      <w:bookmarkStart w:id="213" w:name="_Toc32029"/>
      <w:bookmarkStart w:id="214" w:name="_Toc12746"/>
      <w:bookmarkStart w:id="215" w:name="_Toc10460"/>
      <w:r>
        <w:rPr>
          <w:rFonts w:hint="eastAsia" w:ascii="楷体" w:hAnsi="楷体" w:eastAsia="楷体" w:cs="楷体"/>
          <w:snapToGrid w:val="0"/>
          <w:color w:val="auto"/>
          <w:kern w:val="44"/>
          <w:sz w:val="32"/>
          <w:szCs w:val="32"/>
        </w:rPr>
        <w:t>二、磋商文件</w:t>
      </w:r>
      <w:bookmarkEnd w:id="58"/>
      <w:bookmarkEnd w:id="59"/>
      <w:bookmarkEnd w:id="60"/>
      <w:bookmarkEnd w:id="61"/>
      <w:bookmarkEnd w:id="62"/>
      <w:bookmarkEnd w:id="63"/>
      <w:bookmarkEnd w:id="64"/>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1A124C04">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64BB42D3">
      <w:pPr>
        <w:spacing w:line="288" w:lineRule="auto"/>
        <w:ind w:firstLine="360" w:firstLineChars="150"/>
        <w:rPr>
          <w:color w:val="auto"/>
          <w:sz w:val="24"/>
        </w:rPr>
      </w:pPr>
      <w:r>
        <w:rPr>
          <w:color w:val="auto"/>
          <w:sz w:val="24"/>
        </w:rPr>
        <w:t>1</w:t>
      </w:r>
      <w:r>
        <w:rPr>
          <w:rFonts w:hint="eastAsia"/>
          <w:color w:val="auto"/>
          <w:sz w:val="24"/>
        </w:rPr>
        <w:t>、磋商公告</w:t>
      </w:r>
    </w:p>
    <w:p w14:paraId="53E7AAFD">
      <w:pPr>
        <w:spacing w:line="288" w:lineRule="auto"/>
        <w:ind w:firstLine="360" w:firstLineChars="150"/>
        <w:rPr>
          <w:color w:val="auto"/>
          <w:sz w:val="24"/>
        </w:rPr>
      </w:pPr>
      <w:r>
        <w:rPr>
          <w:color w:val="auto"/>
          <w:sz w:val="24"/>
        </w:rPr>
        <w:t>2</w:t>
      </w:r>
      <w:r>
        <w:rPr>
          <w:rFonts w:hint="eastAsia"/>
          <w:color w:val="auto"/>
          <w:sz w:val="24"/>
        </w:rPr>
        <w:t>、响应方须知</w:t>
      </w:r>
    </w:p>
    <w:p w14:paraId="54AA96C1">
      <w:pPr>
        <w:spacing w:line="288" w:lineRule="auto"/>
        <w:ind w:firstLine="360" w:firstLineChars="150"/>
        <w:rPr>
          <w:color w:val="auto"/>
          <w:sz w:val="24"/>
        </w:rPr>
      </w:pPr>
      <w:r>
        <w:rPr>
          <w:color w:val="auto"/>
          <w:sz w:val="24"/>
        </w:rPr>
        <w:t>3</w:t>
      </w:r>
      <w:r>
        <w:rPr>
          <w:rFonts w:hint="eastAsia"/>
          <w:color w:val="auto"/>
          <w:sz w:val="24"/>
        </w:rPr>
        <w:t>、采购要求</w:t>
      </w:r>
    </w:p>
    <w:p w14:paraId="1C070427">
      <w:pPr>
        <w:spacing w:line="288" w:lineRule="auto"/>
        <w:ind w:firstLine="360" w:firstLineChars="150"/>
        <w:rPr>
          <w:color w:val="auto"/>
          <w:sz w:val="24"/>
        </w:rPr>
      </w:pPr>
      <w:r>
        <w:rPr>
          <w:color w:val="auto"/>
          <w:sz w:val="24"/>
        </w:rPr>
        <w:t>4</w:t>
      </w:r>
      <w:r>
        <w:rPr>
          <w:rFonts w:hint="eastAsia"/>
          <w:color w:val="auto"/>
          <w:sz w:val="24"/>
        </w:rPr>
        <w:t>、评审办法及评分标准</w:t>
      </w:r>
    </w:p>
    <w:p w14:paraId="7338FF4A">
      <w:pPr>
        <w:spacing w:line="288" w:lineRule="auto"/>
        <w:ind w:firstLine="360" w:firstLineChars="150"/>
        <w:rPr>
          <w:color w:val="auto"/>
          <w:sz w:val="24"/>
        </w:rPr>
      </w:pPr>
      <w:r>
        <w:rPr>
          <w:color w:val="auto"/>
          <w:sz w:val="24"/>
        </w:rPr>
        <w:t>5</w:t>
      </w:r>
      <w:r>
        <w:rPr>
          <w:rFonts w:hint="eastAsia"/>
          <w:color w:val="auto"/>
          <w:sz w:val="24"/>
        </w:rPr>
        <w:t>、合同主要条款</w:t>
      </w:r>
    </w:p>
    <w:p w14:paraId="0CA2F875">
      <w:pPr>
        <w:spacing w:line="288" w:lineRule="auto"/>
        <w:ind w:firstLine="360" w:firstLineChars="150"/>
        <w:rPr>
          <w:color w:val="auto"/>
          <w:sz w:val="24"/>
        </w:rPr>
      </w:pPr>
      <w:r>
        <w:rPr>
          <w:color w:val="auto"/>
          <w:sz w:val="24"/>
        </w:rPr>
        <w:t>6</w:t>
      </w:r>
      <w:r>
        <w:rPr>
          <w:rFonts w:hint="eastAsia"/>
          <w:color w:val="auto"/>
          <w:sz w:val="24"/>
        </w:rPr>
        <w:t>、响应文件格式</w:t>
      </w:r>
    </w:p>
    <w:p w14:paraId="7014AC32">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6FC5F1B4">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4D5A5E90">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1403C05F">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1B5A57D1">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3D60756C">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08236859">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6" w:name="_Toc7515"/>
      <w:bookmarkStart w:id="217" w:name="_Toc19339"/>
      <w:bookmarkStart w:id="218" w:name="_Toc32051"/>
      <w:bookmarkStart w:id="219" w:name="_Toc30772"/>
      <w:bookmarkStart w:id="220" w:name="_Toc28569"/>
      <w:bookmarkStart w:id="221" w:name="_Toc6322"/>
      <w:bookmarkStart w:id="222" w:name="_Toc32494"/>
      <w:bookmarkStart w:id="223" w:name="_Toc9434"/>
      <w:bookmarkStart w:id="224" w:name="_Toc26634"/>
      <w:bookmarkStart w:id="225" w:name="_Toc22140"/>
      <w:bookmarkStart w:id="226" w:name="_Toc6503"/>
      <w:bookmarkStart w:id="227" w:name="_Toc4837"/>
      <w:bookmarkStart w:id="228" w:name="_Toc8035"/>
      <w:bookmarkStart w:id="229" w:name="_Toc4055"/>
      <w:bookmarkStart w:id="230" w:name="_Toc3328"/>
      <w:bookmarkStart w:id="231" w:name="_Toc25502"/>
      <w:bookmarkStart w:id="232" w:name="_Toc22572"/>
      <w:bookmarkStart w:id="233" w:name="_Toc7450"/>
      <w:bookmarkStart w:id="234" w:name="_Toc10605"/>
      <w:bookmarkStart w:id="235" w:name="_Toc11900"/>
      <w:bookmarkStart w:id="236" w:name="_Toc15797"/>
      <w:bookmarkStart w:id="237" w:name="_Toc14673"/>
      <w:bookmarkStart w:id="238" w:name="_Toc17035"/>
      <w:bookmarkStart w:id="239" w:name="_Toc28201"/>
      <w:bookmarkStart w:id="240" w:name="_Toc25933"/>
      <w:bookmarkStart w:id="241" w:name="_Toc21890"/>
      <w:bookmarkStart w:id="242" w:name="_Toc805"/>
      <w:bookmarkStart w:id="243" w:name="_Toc2334"/>
      <w:bookmarkStart w:id="244" w:name="_Toc13358"/>
      <w:bookmarkStart w:id="245" w:name="_Toc24465"/>
      <w:bookmarkStart w:id="246" w:name="_Toc789"/>
      <w:bookmarkStart w:id="247" w:name="_Toc21501"/>
      <w:bookmarkStart w:id="248" w:name="_Toc16752"/>
      <w:bookmarkStart w:id="249" w:name="_Toc15772"/>
      <w:bookmarkStart w:id="250" w:name="_Toc17978"/>
      <w:r>
        <w:rPr>
          <w:rFonts w:hint="eastAsia" w:ascii="楷体" w:hAnsi="楷体" w:eastAsia="楷体" w:cs="楷体"/>
          <w:snapToGrid w:val="0"/>
          <w:color w:val="auto"/>
          <w:kern w:val="44"/>
          <w:sz w:val="32"/>
          <w:szCs w:val="32"/>
        </w:rPr>
        <w:t>三、响应文件</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rFonts w:hint="eastAsia" w:ascii="楷体" w:hAnsi="楷体" w:eastAsia="楷体" w:cs="楷体"/>
          <w:snapToGrid w:val="0"/>
          <w:color w:val="auto"/>
          <w:kern w:val="44"/>
          <w:sz w:val="32"/>
          <w:szCs w:val="32"/>
        </w:rPr>
        <w:t>的编制</w:t>
      </w:r>
      <w:bookmarkEnd w:id="250"/>
    </w:p>
    <w:p w14:paraId="18BC90A7">
      <w:pPr>
        <w:spacing w:line="288" w:lineRule="auto"/>
        <w:outlineLvl w:val="2"/>
        <w:rPr>
          <w:b/>
          <w:bCs/>
          <w:color w:val="auto"/>
          <w:sz w:val="24"/>
        </w:rPr>
      </w:pPr>
      <w:r>
        <w:rPr>
          <w:rFonts w:hint="eastAsia"/>
          <w:b/>
          <w:bCs/>
          <w:color w:val="auto"/>
          <w:sz w:val="24"/>
        </w:rPr>
        <w:t>（一）响应文件的组成</w:t>
      </w:r>
    </w:p>
    <w:p w14:paraId="363A440B">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43FC39EE">
      <w:pPr>
        <w:spacing w:line="288" w:lineRule="auto"/>
        <w:ind w:firstLine="422" w:firstLineChars="175"/>
        <w:rPr>
          <w:color w:val="auto"/>
          <w:sz w:val="24"/>
        </w:rPr>
      </w:pPr>
      <w:r>
        <w:rPr>
          <w:rFonts w:hint="eastAsia"/>
          <w:b/>
          <w:bCs/>
          <w:color w:val="auto"/>
          <w:sz w:val="24"/>
        </w:rPr>
        <w:t>响应文件组成：详见“第六部分  响应文件格式”目录</w:t>
      </w:r>
    </w:p>
    <w:p w14:paraId="69A38B5C">
      <w:pPr>
        <w:spacing w:line="288" w:lineRule="auto"/>
        <w:outlineLvl w:val="2"/>
        <w:rPr>
          <w:b/>
          <w:bCs/>
          <w:color w:val="auto"/>
          <w:sz w:val="24"/>
        </w:rPr>
      </w:pPr>
      <w:r>
        <w:rPr>
          <w:rFonts w:hint="eastAsia"/>
          <w:b/>
          <w:bCs/>
          <w:color w:val="auto"/>
          <w:sz w:val="24"/>
        </w:rPr>
        <w:t>（二）响应文件的签署和份数</w:t>
      </w:r>
    </w:p>
    <w:p w14:paraId="17FA4BD2">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7AD570E7">
      <w:pPr>
        <w:spacing w:line="288" w:lineRule="auto"/>
        <w:ind w:firstLine="420" w:firstLineChars="175"/>
        <w:rPr>
          <w:color w:val="auto"/>
          <w:sz w:val="24"/>
        </w:rPr>
      </w:pPr>
      <w:r>
        <w:rPr>
          <w:rFonts w:hint="eastAsia"/>
          <w:color w:val="auto"/>
          <w:sz w:val="24"/>
        </w:rPr>
        <w:t>2.响应文件须由供应商在规定位置加盖公章</w:t>
      </w:r>
      <w:bookmarkStart w:id="251" w:name="_Hlk96329193"/>
      <w:r>
        <w:rPr>
          <w:rFonts w:hint="eastAsia"/>
          <w:color w:val="auto"/>
          <w:sz w:val="24"/>
        </w:rPr>
        <w:t>，供应商应写全称。</w:t>
      </w:r>
      <w:bookmarkEnd w:id="251"/>
    </w:p>
    <w:p w14:paraId="66675CED">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37CD4685">
      <w:pPr>
        <w:spacing w:line="288" w:lineRule="auto"/>
        <w:ind w:firstLine="420" w:firstLineChars="175"/>
        <w:rPr>
          <w:color w:val="auto"/>
          <w:sz w:val="24"/>
        </w:rPr>
      </w:pPr>
      <w:r>
        <w:rPr>
          <w:rFonts w:hint="eastAsia"/>
          <w:color w:val="auto"/>
          <w:sz w:val="24"/>
        </w:rPr>
        <w:t>4.响应文件份数：</w:t>
      </w:r>
    </w:p>
    <w:p w14:paraId="4BE4DD0F">
      <w:pPr>
        <w:spacing w:line="288" w:lineRule="auto"/>
        <w:ind w:firstLine="422" w:firstLineChars="175"/>
        <w:rPr>
          <w:color w:val="auto"/>
          <w:sz w:val="24"/>
        </w:rPr>
      </w:pPr>
      <w:r>
        <w:rPr>
          <w:rFonts w:hint="eastAsia"/>
          <w:b/>
          <w:bCs/>
          <w:color w:val="auto"/>
          <w:sz w:val="24"/>
        </w:rPr>
        <w:t>电子加密响应文件：政府采购云平</w:t>
      </w:r>
      <w:r>
        <w:rPr>
          <w:rFonts w:hint="eastAsia"/>
          <w:b/>
          <w:bCs/>
          <w:color w:val="auto"/>
          <w:sz w:val="24"/>
        </w:rPr>
        <w:t>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@hdu.edu.cn，以便查收）。</w:t>
      </w:r>
    </w:p>
    <w:p w14:paraId="55047A89">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003E7B91">
      <w:pPr>
        <w:spacing w:line="288" w:lineRule="auto"/>
        <w:outlineLvl w:val="2"/>
        <w:rPr>
          <w:b/>
          <w:bCs/>
          <w:color w:val="auto"/>
          <w:sz w:val="24"/>
        </w:rPr>
      </w:pPr>
      <w:r>
        <w:rPr>
          <w:rFonts w:hint="eastAsia"/>
          <w:b/>
          <w:bCs/>
          <w:color w:val="auto"/>
          <w:sz w:val="24"/>
        </w:rPr>
        <w:t>（三）响应文件的上传、递交、修改和撤回</w:t>
      </w:r>
    </w:p>
    <w:p w14:paraId="4F2AC3C7">
      <w:pPr>
        <w:spacing w:line="288" w:lineRule="auto"/>
        <w:ind w:firstLine="422" w:firstLineChars="175"/>
        <w:rPr>
          <w:b/>
          <w:bCs/>
          <w:color w:val="auto"/>
          <w:sz w:val="24"/>
        </w:rPr>
      </w:pPr>
      <w:r>
        <w:rPr>
          <w:rFonts w:hint="eastAsia"/>
          <w:b/>
          <w:bCs/>
          <w:color w:val="auto"/>
          <w:sz w:val="24"/>
        </w:rPr>
        <w:t>1.响应文件的上传、递交：</w:t>
      </w:r>
    </w:p>
    <w:p w14:paraId="0D49A2A0">
      <w:pPr>
        <w:spacing w:line="288" w:lineRule="auto"/>
        <w:ind w:firstLine="420" w:firstLineChars="175"/>
        <w:rPr>
          <w:color w:val="auto"/>
          <w:sz w:val="24"/>
        </w:rPr>
      </w:pPr>
      <w:r>
        <w:rPr>
          <w:rFonts w:hint="eastAsia"/>
          <w:color w:val="auto"/>
          <w:sz w:val="24"/>
        </w:rPr>
        <w:t>（1）电子加密响应文件的上传：</w:t>
      </w:r>
    </w:p>
    <w:p w14:paraId="04F96ABE">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29A110B2">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494B6E8D">
      <w:pPr>
        <w:spacing w:line="288" w:lineRule="auto"/>
        <w:ind w:firstLine="420" w:firstLineChars="175"/>
        <w:rPr>
          <w:color w:val="auto"/>
          <w:sz w:val="24"/>
        </w:rPr>
      </w:pPr>
      <w:r>
        <w:rPr>
          <w:rFonts w:hint="eastAsia"/>
          <w:color w:val="auto"/>
          <w:sz w:val="24"/>
        </w:rPr>
        <w:t>（2）备份响应文件的密封包装、递交：</w:t>
      </w:r>
    </w:p>
    <w:p w14:paraId="33601252">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6C37C54B">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68362564">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4F9F7D41">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045DAAFB">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4119F1A9">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08B93314">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09DF084E">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1D864BFF">
      <w:pPr>
        <w:spacing w:line="288" w:lineRule="auto"/>
        <w:outlineLvl w:val="2"/>
        <w:rPr>
          <w:b/>
          <w:bCs/>
          <w:color w:val="auto"/>
          <w:sz w:val="24"/>
        </w:rPr>
      </w:pPr>
      <w:r>
        <w:rPr>
          <w:rFonts w:hint="eastAsia"/>
          <w:b/>
          <w:bCs/>
          <w:color w:val="auto"/>
          <w:sz w:val="24"/>
        </w:rPr>
        <w:t>（四）响应文件的语言及计量</w:t>
      </w:r>
    </w:p>
    <w:p w14:paraId="10D1DA91">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0FBEBFA2">
      <w:pPr>
        <w:spacing w:line="288" w:lineRule="auto"/>
        <w:outlineLvl w:val="2"/>
        <w:rPr>
          <w:b/>
          <w:bCs/>
          <w:color w:val="auto"/>
          <w:sz w:val="24"/>
        </w:rPr>
      </w:pPr>
      <w:r>
        <w:rPr>
          <w:rFonts w:hint="eastAsia"/>
          <w:b/>
          <w:bCs/>
          <w:color w:val="auto"/>
          <w:sz w:val="24"/>
        </w:rPr>
        <w:t>（五）磋商报价</w:t>
      </w:r>
    </w:p>
    <w:p w14:paraId="232A2E97">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5FB9DEEA">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3CFD6A22">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6DE20AEE">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1D5F9C95">
      <w:pPr>
        <w:spacing w:line="288" w:lineRule="auto"/>
        <w:outlineLvl w:val="2"/>
        <w:rPr>
          <w:b/>
          <w:bCs/>
          <w:color w:val="auto"/>
          <w:sz w:val="24"/>
        </w:rPr>
      </w:pPr>
      <w:r>
        <w:rPr>
          <w:rFonts w:hint="eastAsia"/>
          <w:b/>
          <w:bCs/>
          <w:color w:val="auto"/>
          <w:sz w:val="24"/>
        </w:rPr>
        <w:t>（六）响应有效期</w:t>
      </w:r>
    </w:p>
    <w:p w14:paraId="1F0B2BD0">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29B3AE49">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52" w:name="_Toc30627"/>
      <w:r>
        <w:rPr>
          <w:rFonts w:hint="eastAsia" w:ascii="楷体" w:hAnsi="楷体" w:eastAsia="楷体" w:cs="楷体"/>
          <w:snapToGrid w:val="0"/>
          <w:color w:val="auto"/>
          <w:kern w:val="44"/>
          <w:sz w:val="32"/>
          <w:szCs w:val="32"/>
        </w:rPr>
        <w:t>四、响应无效的情形</w:t>
      </w:r>
      <w:bookmarkEnd w:id="252"/>
    </w:p>
    <w:p w14:paraId="582E0A11">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42698FE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408B181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351E1589">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06C5C42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2BA8BC0D">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15BA9F8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11009C48">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64194B23">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3）根据电子评标程序规则的需要，资格证明材料必须放在资格文件中，若放在其它地方，采购机构或评审小组有权认定其</w:t>
      </w:r>
      <w:r>
        <w:rPr>
          <w:rFonts w:hint="eastAsia" w:ascii="宋体" w:hAnsi="宋体"/>
          <w:b w:val="0"/>
          <w:bCs/>
          <w:color w:val="auto"/>
          <w:spacing w:val="-6"/>
          <w:sz w:val="24"/>
          <w:szCs w:val="24"/>
        </w:rPr>
        <w:t>资格审查不通过</w:t>
      </w:r>
      <w:r>
        <w:rPr>
          <w:rFonts w:hint="eastAsia" w:ascii="宋体" w:hAnsi="宋体"/>
          <w:color w:val="auto"/>
          <w:spacing w:val="-6"/>
          <w:sz w:val="24"/>
          <w:szCs w:val="24"/>
          <w:lang w:val="en-US" w:eastAsia="zh-CN"/>
        </w:rPr>
        <w:t>。</w:t>
      </w:r>
    </w:p>
    <w:p w14:paraId="72CC83F0">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676BBE9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27E344E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2B9E521F">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5EFE9CA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01F75A29">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76E61EE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74C43A2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74A2C23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w:t>
      </w:r>
      <w:r>
        <w:rPr>
          <w:rFonts w:hint="eastAsia" w:ascii="宋体" w:hAnsi="宋体"/>
          <w:color w:val="auto"/>
          <w:spacing w:val="-6"/>
          <w:sz w:val="24"/>
          <w:szCs w:val="24"/>
          <w:lang w:eastAsia="zh-CN"/>
        </w:rPr>
        <w:t>（</w:t>
      </w:r>
      <w:r>
        <w:rPr>
          <w:rFonts w:hint="eastAsia" w:ascii="宋体" w:hAnsi="宋体"/>
          <w:color w:val="auto"/>
          <w:spacing w:val="-6"/>
          <w:sz w:val="24"/>
          <w:szCs w:val="24"/>
        </w:rPr>
        <w:t>最高限价</w:t>
      </w:r>
      <w:r>
        <w:rPr>
          <w:rFonts w:hint="eastAsia" w:ascii="宋体" w:hAnsi="宋体"/>
          <w:color w:val="auto"/>
          <w:spacing w:val="-6"/>
          <w:sz w:val="24"/>
          <w:szCs w:val="24"/>
          <w:lang w:eastAsia="zh-CN"/>
        </w:rPr>
        <w:t>）</w:t>
      </w:r>
      <w:r>
        <w:rPr>
          <w:rFonts w:hint="eastAsia" w:ascii="宋体" w:hAnsi="宋体"/>
          <w:color w:val="auto"/>
          <w:spacing w:val="-6"/>
          <w:sz w:val="24"/>
          <w:szCs w:val="24"/>
        </w:rPr>
        <w:t>的；</w:t>
      </w:r>
    </w:p>
    <w:p w14:paraId="65290C5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r>
        <w:rPr>
          <w:rFonts w:hint="eastAsia" w:ascii="宋体" w:hAnsi="宋体"/>
          <w:color w:val="auto"/>
          <w:spacing w:val="-6"/>
          <w:sz w:val="24"/>
          <w:szCs w:val="24"/>
        </w:rPr>
        <w:t>；</w:t>
      </w:r>
    </w:p>
    <w:p w14:paraId="66226CB1">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5）最终报价出现以下异常低价情形之一，且未提供项目具体成本测算等与报价合理性相关的书面说明及必要的证明材料的，或者其提供的说明和材料不能证明其报价合理性，经评审委员会认定有可能影响产品质量或者不能诚信履约的，响应无效。</w:t>
      </w:r>
    </w:p>
    <w:p w14:paraId="3B1D02C8">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①</w:t>
      </w:r>
      <w:r>
        <w:rPr>
          <w:rFonts w:hint="eastAsia" w:ascii="宋体" w:hAnsi="宋体"/>
          <w:color w:val="auto"/>
          <w:spacing w:val="-6"/>
          <w:sz w:val="24"/>
          <w:szCs w:val="24"/>
          <w:lang w:val="en-US" w:eastAsia="zh-CN"/>
        </w:rPr>
        <w:t>投标（响应）报价低于全部通过符合性审查供应商投标（响应）报价平均值50%的，即投标（响应）报价&lt;全部通过符合性审查供应商投标（响应）报价平均值×50%； </w:t>
      </w:r>
    </w:p>
    <w:p w14:paraId="0580883D">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②</w:t>
      </w:r>
      <w:r>
        <w:rPr>
          <w:rFonts w:hint="eastAsia" w:ascii="宋体" w:hAnsi="宋体"/>
          <w:color w:val="auto"/>
          <w:spacing w:val="-6"/>
          <w:sz w:val="24"/>
          <w:szCs w:val="24"/>
          <w:lang w:val="en-US" w:eastAsia="zh-CN"/>
        </w:rPr>
        <w:t>投标（响应）报价低于通过符合性审查的次低报价供应商投标（响应）报价50%的，即投标（响应）报价&lt;通过符合性审查的次低报价供应商投标（响应）报价×50%； </w:t>
      </w:r>
    </w:p>
    <w:p w14:paraId="170628C2">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③</w:t>
      </w:r>
      <w:r>
        <w:rPr>
          <w:rFonts w:hint="eastAsia" w:ascii="宋体" w:hAnsi="宋体"/>
          <w:color w:val="auto"/>
          <w:spacing w:val="-6"/>
          <w:sz w:val="24"/>
          <w:szCs w:val="24"/>
          <w:lang w:val="en-US" w:eastAsia="zh-CN"/>
        </w:rPr>
        <w:t>投标（响应）报价低于采购项目最高限价45%的，即投标（响应）报价&lt;采购项目最高限价×45%；</w:t>
      </w:r>
    </w:p>
    <w:p w14:paraId="3864A925">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eastAsia="宋体" w:cs="宋体"/>
          <w:color w:val="auto"/>
          <w:spacing w:val="-6"/>
          <w:sz w:val="24"/>
          <w:szCs w:val="24"/>
          <w:lang w:val="en-US" w:eastAsia="zh-CN"/>
        </w:rPr>
        <w:t>④</w:t>
      </w:r>
      <w:r>
        <w:rPr>
          <w:rFonts w:hint="eastAsia" w:ascii="宋体" w:hAnsi="宋体"/>
          <w:color w:val="auto"/>
          <w:spacing w:val="-6"/>
          <w:sz w:val="24"/>
          <w:szCs w:val="24"/>
          <w:lang w:val="en-US" w:eastAsia="zh-CN"/>
        </w:rPr>
        <w:t>评审委员会基于专业判断，认为供应商报价过低，有可能影响产品质量或者不能诚信履约的其他情形。</w:t>
      </w:r>
    </w:p>
    <w:p w14:paraId="05D8675A">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57D426D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608EA05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548BA0A0">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6E9245A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59CE44FB">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03DAAE2C">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73D2B3BA">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64280013">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39CAFAEC">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65"/>
    <w:bookmarkEnd w:id="66"/>
    <w:p w14:paraId="3056AF1B">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53" w:name="_Toc24390"/>
      <w:bookmarkStart w:id="254" w:name="_Toc26820"/>
      <w:bookmarkStart w:id="255" w:name="_Toc8380"/>
      <w:bookmarkStart w:id="256" w:name="_Toc8275"/>
      <w:bookmarkStart w:id="257" w:name="_Toc20654"/>
      <w:bookmarkStart w:id="258" w:name="_Toc8571"/>
      <w:bookmarkStart w:id="259" w:name="_Toc8057"/>
      <w:bookmarkStart w:id="260" w:name="_Toc6013"/>
      <w:bookmarkStart w:id="261" w:name="_Toc11365"/>
      <w:bookmarkStart w:id="262" w:name="_Toc22208"/>
      <w:bookmarkStart w:id="263" w:name="_Toc27001"/>
      <w:bookmarkStart w:id="264" w:name="_Toc433537967"/>
      <w:bookmarkStart w:id="265" w:name="_Toc28358"/>
      <w:bookmarkStart w:id="266" w:name="_Toc207550884"/>
      <w:bookmarkStart w:id="267" w:name="_Toc25705"/>
      <w:bookmarkStart w:id="268" w:name="_Toc13917"/>
      <w:bookmarkStart w:id="269" w:name="_Toc6184"/>
      <w:bookmarkStart w:id="270" w:name="_Toc32590"/>
      <w:bookmarkStart w:id="271" w:name="_Toc30706"/>
      <w:bookmarkStart w:id="272" w:name="_Toc17194"/>
      <w:bookmarkStart w:id="273" w:name="_Toc24793"/>
      <w:bookmarkStart w:id="274" w:name="_Toc9444"/>
      <w:bookmarkStart w:id="275" w:name="_Toc14837"/>
      <w:bookmarkStart w:id="276" w:name="_Toc23374"/>
      <w:bookmarkStart w:id="277" w:name="_Toc6290"/>
      <w:bookmarkStart w:id="278" w:name="_Toc200"/>
      <w:bookmarkStart w:id="279" w:name="_Toc467"/>
      <w:bookmarkStart w:id="280" w:name="_Toc11859"/>
      <w:bookmarkStart w:id="281" w:name="_Toc4601"/>
      <w:bookmarkStart w:id="282" w:name="_Toc14125"/>
      <w:bookmarkStart w:id="283" w:name="_Toc11828"/>
      <w:bookmarkStart w:id="284" w:name="_Toc20980"/>
      <w:bookmarkStart w:id="285" w:name="_Toc6009"/>
      <w:bookmarkStart w:id="286" w:name="_Toc12201"/>
      <w:bookmarkStart w:id="287" w:name="_Toc183786419"/>
      <w:r>
        <w:rPr>
          <w:rFonts w:hint="eastAsia" w:ascii="楷体" w:hAnsi="楷体" w:eastAsia="楷体" w:cs="楷体"/>
          <w:snapToGrid w:val="0"/>
          <w:color w:val="auto"/>
          <w:kern w:val="44"/>
          <w:sz w:val="32"/>
          <w:szCs w:val="32"/>
        </w:rPr>
        <w:t>五、开启响应文件</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1C347395">
      <w:pPr>
        <w:spacing w:line="288" w:lineRule="auto"/>
        <w:ind w:firstLine="482"/>
        <w:rPr>
          <w:color w:val="auto"/>
          <w:sz w:val="24"/>
        </w:rPr>
      </w:pPr>
      <w:bookmarkStart w:id="288" w:name="_Toc841"/>
      <w:bookmarkStart w:id="289" w:name="_Toc12629"/>
      <w:bookmarkStart w:id="290" w:name="_Toc26833"/>
      <w:bookmarkStart w:id="291" w:name="_Toc27046"/>
      <w:bookmarkStart w:id="292" w:name="_Toc10811"/>
      <w:bookmarkStart w:id="293" w:name="_Toc18007"/>
      <w:bookmarkStart w:id="294" w:name="_Toc4789"/>
      <w:bookmarkStart w:id="295" w:name="_Toc9028"/>
      <w:bookmarkStart w:id="296" w:name="_Toc18579"/>
      <w:bookmarkStart w:id="297" w:name="_Toc29445"/>
      <w:bookmarkStart w:id="298" w:name="_Toc8181"/>
      <w:bookmarkStart w:id="299" w:name="_Toc26778"/>
      <w:bookmarkStart w:id="300" w:name="_Toc902"/>
      <w:bookmarkStart w:id="301" w:name="_Toc10251"/>
      <w:bookmarkStart w:id="302" w:name="_Toc5075"/>
      <w:bookmarkStart w:id="303" w:name="_Toc650"/>
      <w:bookmarkStart w:id="304" w:name="_Toc7609"/>
      <w:bookmarkStart w:id="305" w:name="_Toc13314"/>
      <w:bookmarkStart w:id="306" w:name="_Toc11659"/>
      <w:bookmarkStart w:id="307" w:name="_Toc8052"/>
      <w:bookmarkStart w:id="308" w:name="_Toc667"/>
      <w:bookmarkStart w:id="309" w:name="_Toc28057"/>
      <w:bookmarkStart w:id="310" w:name="_Toc10561"/>
      <w:bookmarkStart w:id="311" w:name="_Toc20003"/>
      <w:bookmarkStart w:id="312" w:name="_Toc15608"/>
      <w:bookmarkStart w:id="313" w:name="_Toc22094"/>
      <w:bookmarkStart w:id="314" w:name="_Toc22017"/>
      <w:bookmarkStart w:id="315" w:name="_Toc6558"/>
      <w:bookmarkStart w:id="316" w:name="_Toc30360"/>
      <w:bookmarkStart w:id="317" w:name="_Toc25227"/>
      <w:bookmarkStart w:id="318" w:name="_Toc29181"/>
      <w:bookmarkStart w:id="319" w:name="_Toc32220"/>
      <w:bookmarkStart w:id="320" w:name="_Toc30679"/>
      <w:bookmarkStart w:id="321" w:name="_Toc12021"/>
      <w:r>
        <w:rPr>
          <w:rFonts w:hint="eastAsia"/>
          <w:color w:val="auto"/>
          <w:sz w:val="24"/>
        </w:rPr>
        <w:t>采购机构按照磋商文件规定的时间通过电子交易平台组织开启，所有供应商均应当准时在线参加。供应商不足3家的，不得开启。</w:t>
      </w:r>
    </w:p>
    <w:p w14:paraId="7FE087C9">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3D7A0EC9">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4A2500D7">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04511D2F">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22" w:name="_Toc4005"/>
      <w:r>
        <w:rPr>
          <w:rFonts w:hint="eastAsia" w:ascii="楷体" w:hAnsi="楷体" w:eastAsia="楷体" w:cs="楷体"/>
          <w:snapToGrid w:val="0"/>
          <w:color w:val="auto"/>
          <w:kern w:val="44"/>
          <w:sz w:val="32"/>
          <w:szCs w:val="32"/>
        </w:rPr>
        <w:t>六、</w:t>
      </w:r>
      <w:bookmarkEnd w:id="288"/>
      <w:bookmarkEnd w:id="289"/>
      <w:bookmarkEnd w:id="290"/>
      <w:r>
        <w:rPr>
          <w:rFonts w:hint="eastAsia" w:ascii="楷体" w:hAnsi="楷体" w:eastAsia="楷体" w:cs="楷体"/>
          <w:snapToGrid w:val="0"/>
          <w:color w:val="auto"/>
          <w:kern w:val="44"/>
          <w:sz w:val="32"/>
          <w:szCs w:val="32"/>
        </w:rPr>
        <w:t>评审和磋商</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14:paraId="2383F53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1731384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32672EC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0881C35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1</w:t>
      </w:r>
      <w:r>
        <w:rPr>
          <w:rFonts w:hint="eastAsia"/>
          <w:color w:val="auto"/>
          <w:sz w:val="24"/>
        </w:rPr>
        <w:t>、无效的响应文件不再进入下一步磋商程序；</w:t>
      </w:r>
    </w:p>
    <w:p w14:paraId="7083DCF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2</w:t>
      </w:r>
      <w:r>
        <w:rPr>
          <w:rFonts w:hint="eastAsia"/>
          <w:color w:val="auto"/>
          <w:sz w:val="24"/>
        </w:rPr>
        <w:t>、判断响应文件的响应性仅基于响应文件本身而不靠外部证据；</w:t>
      </w:r>
    </w:p>
    <w:p w14:paraId="3B8170E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1B91877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0B4AD39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357D5FB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76C6CB3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60C168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0C3844D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供应商应当按照磋商文件的变动情况和磋商小组的要求通过政府采购云平台提交磋商记录，并由其法</w:t>
      </w:r>
      <w:r>
        <w:rPr>
          <w:rFonts w:hint="eastAsia"/>
          <w:color w:val="auto"/>
          <w:sz w:val="24"/>
        </w:rPr>
        <w:t>定代表人或授权代表签名或者加盖公章。</w:t>
      </w:r>
    </w:p>
    <w:p w14:paraId="5017444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rPr>
      </w:pPr>
      <w:r>
        <w:rPr>
          <w:rFonts w:hint="eastAsia"/>
          <w:color w:val="auto"/>
          <w:sz w:val="24"/>
        </w:rPr>
        <w:t>供应商的磋商内容无法通过政府采购云平台上传的，可在规定时间内（半小时内）通过指定的电子邮箱（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4BF78C7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2C9231C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40BC678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4E878C0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0B9E62B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rFonts w:hint="eastAsia"/>
          <w:color w:val="auto"/>
          <w:sz w:val="24"/>
        </w:rPr>
      </w:pPr>
      <w:r>
        <w:rPr>
          <w:rFonts w:hint="eastAsia"/>
          <w:color w:val="auto"/>
          <w:sz w:val="24"/>
        </w:rPr>
        <w:t>供应商的最后报价无法通过政府采购云平台上传的，可在规定时间内（半小时内）通过指定的电子邮箱（</w:t>
      </w:r>
      <w:r>
        <w:rPr>
          <w:rFonts w:hint="eastAsia"/>
          <w:color w:val="auto"/>
          <w:sz w:val="24"/>
          <w:u w:val="single"/>
        </w:rPr>
        <w:t>40368@hdu.edu.cn</w:t>
      </w:r>
      <w:r>
        <w:rPr>
          <w:rFonts w:hint="eastAsia"/>
          <w:color w:val="auto"/>
          <w:sz w:val="24"/>
        </w:rPr>
        <w:t>）提交。</w:t>
      </w:r>
    </w:p>
    <w:p w14:paraId="0A08ABE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2D777EA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响应文件报价出现前后不一致的，除磋商文件另有规定外，按照下列规定修正：</w:t>
      </w:r>
    </w:p>
    <w:p w14:paraId="1829E22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（一）响应文件中报价表内容与响应文件中相应内容不一致的，以报价表为准；</w:t>
      </w:r>
    </w:p>
    <w:p w14:paraId="5BEF9F5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（二）大写金额和小写金额不一致的，以大写金额为准；</w:t>
      </w:r>
    </w:p>
    <w:p w14:paraId="6A0CA3F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（三）单价金额小数点或者百分比有明显错位的，以报价表的总价为准，并修改单价；</w:t>
      </w:r>
    </w:p>
    <w:p w14:paraId="237B3F5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（四）总价金额与按单价汇总金额不一致的，以单价金额计算结果为准；</w:t>
      </w:r>
    </w:p>
    <w:p w14:paraId="5A7FF7B5">
      <w:pPr>
        <w:pStyle w:val="8"/>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175"/>
        <w:textAlignment w:val="auto"/>
        <w:rPr>
          <w:color w:val="auto"/>
          <w:sz w:val="24"/>
        </w:rPr>
      </w:pPr>
      <w:r>
        <w:rPr>
          <w:rFonts w:hint="eastAsia"/>
          <w:color w:val="auto"/>
          <w:sz w:val="24"/>
        </w:rPr>
        <w:t>同时出现两种以上不一致的，按照前款规定的顺序修正。如果是明显的笔误，经磋商小组认可，并经</w:t>
      </w:r>
      <w:r>
        <w:rPr>
          <w:rFonts w:hint="eastAsia"/>
          <w:color w:val="auto"/>
          <w:sz w:val="24"/>
        </w:rPr>
        <w:t>响应方确认，可以给予纠正。</w:t>
      </w:r>
    </w:p>
    <w:p w14:paraId="0F2D0A9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rFonts w:hint="default"/>
          <w:b/>
          <w:bCs/>
          <w:color w:val="auto"/>
          <w:sz w:val="24"/>
          <w:szCs w:val="22"/>
          <w:lang w:val="en-US" w:eastAsia="zh-CN"/>
        </w:rPr>
      </w:pPr>
      <w:r>
        <w:rPr>
          <w:rFonts w:hint="eastAsia"/>
          <w:b/>
          <w:bCs/>
          <w:color w:val="auto"/>
          <w:sz w:val="24"/>
          <w:szCs w:val="22"/>
          <w:lang w:eastAsia="zh-CN"/>
        </w:rPr>
        <w:t>（</w:t>
      </w:r>
      <w:r>
        <w:rPr>
          <w:rFonts w:hint="eastAsia"/>
          <w:b/>
          <w:bCs/>
          <w:color w:val="auto"/>
          <w:sz w:val="24"/>
          <w:szCs w:val="22"/>
          <w:lang w:val="en-US" w:eastAsia="zh-CN"/>
        </w:rPr>
        <w:t>六</w:t>
      </w:r>
      <w:r>
        <w:rPr>
          <w:rFonts w:hint="eastAsia"/>
          <w:b/>
          <w:bCs/>
          <w:color w:val="auto"/>
          <w:sz w:val="24"/>
          <w:szCs w:val="22"/>
          <w:lang w:eastAsia="zh-CN"/>
        </w:rPr>
        <w:t>）</w:t>
      </w:r>
      <w:r>
        <w:rPr>
          <w:rFonts w:hint="eastAsia"/>
          <w:b/>
          <w:bCs/>
          <w:color w:val="auto"/>
          <w:sz w:val="24"/>
          <w:szCs w:val="22"/>
          <w:lang w:val="en-US" w:eastAsia="zh-CN"/>
        </w:rPr>
        <w:t>异常低价审查</w:t>
      </w:r>
    </w:p>
    <w:p w14:paraId="1E20D98F">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评审中出现下列情形之一的，评审委员会应当启动异常低价投标（响应）审查程序： </w:t>
      </w:r>
    </w:p>
    <w:p w14:paraId="0EFE7A1F">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1.投标（响应）报价低于全部通过符合性审查供应商投标（响应）报价平均值50%的，即投标（响应）报价&lt;全部通过符合性审查供应商投标（响应）报价平均值×50%； </w:t>
      </w:r>
    </w:p>
    <w:p w14:paraId="5E2A5FFA">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2.投标（响应）报价低于通过符合性审查的次低报价供应商投标（响应）报价50%的，即投标（响应）报价&lt;通过符合性审查的次低报价供应商投标（响应）报价×50%； </w:t>
      </w:r>
    </w:p>
    <w:p w14:paraId="0A447B18">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3.投标（响应）报价低于采购项目最高限价45%的，即投标（响应）报价&lt;采购项目最高限价×45%； </w:t>
      </w:r>
    </w:p>
    <w:p w14:paraId="6DC484D6">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4.评审委员会基于专业判断，认为供应商报价过低，有可能影响产品质量或者不能诚信履约的其他情形。 </w:t>
      </w:r>
    </w:p>
    <w:p w14:paraId="5F0D9819">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评审委员会启动异常低价投标（响应）审查后，属于前述第1项至第4项情形的，</w:t>
      </w:r>
      <w:r>
        <w:rPr>
          <w:rFonts w:hint="eastAsia"/>
          <w:b/>
          <w:bCs/>
          <w:color w:val="auto"/>
          <w:sz w:val="24"/>
          <w:szCs w:val="22"/>
        </w:rPr>
        <w:t>应当要求相关供应商在评审现场合理的时间内对投标（响应）价</w:t>
      </w:r>
      <w:r>
        <w:rPr>
          <w:rFonts w:hint="eastAsia"/>
          <w:b/>
          <w:bCs/>
          <w:color w:val="auto"/>
          <w:sz w:val="24"/>
          <w:szCs w:val="22"/>
        </w:rPr>
        <w:t>格作出解释，提供项目具体成本测算等与报价合理性相关的书面说明及必要的证明材料，包括但不限于原材料成本、人工成本、制造费用等，</w:t>
      </w:r>
      <w:r>
        <w:rPr>
          <w:rFonts w:hint="eastAsia"/>
          <w:b/>
          <w:bCs/>
          <w:color w:val="auto"/>
          <w:sz w:val="24"/>
          <w:szCs w:val="22"/>
          <w:lang w:val="en-US" w:eastAsia="zh-CN"/>
        </w:rPr>
        <w:t>供应商应当同时提供</w:t>
      </w:r>
      <w:r>
        <w:rPr>
          <w:rFonts w:hint="eastAsia"/>
          <w:b/>
          <w:bCs/>
          <w:color w:val="auto"/>
          <w:sz w:val="24"/>
          <w:szCs w:val="22"/>
        </w:rPr>
        <w:t>同类项目中标（成交）价格、类似产品市场价格水平、行业人工费用标准、国家有关部门指导行业协会发布的行业平均成本</w:t>
      </w:r>
      <w:r>
        <w:rPr>
          <w:rFonts w:hint="eastAsia"/>
          <w:b/>
          <w:bCs/>
          <w:color w:val="auto"/>
          <w:sz w:val="24"/>
          <w:szCs w:val="22"/>
          <w:lang w:val="en-US" w:eastAsia="zh-CN"/>
        </w:rPr>
        <w:t>等相关证明材料</w:t>
      </w:r>
      <w:r>
        <w:rPr>
          <w:rFonts w:hint="eastAsia"/>
          <w:color w:val="auto"/>
          <w:sz w:val="24"/>
          <w:szCs w:val="22"/>
        </w:rPr>
        <w:t>，给予相关供应商的合理时间一般不少于30分钟。其中，属于第3项情形，供应商已随投标（响应）文件一并提交相关书面说明及必要的证明材料的，在评审现场可不再重复提交。 </w:t>
      </w:r>
    </w:p>
    <w:p w14:paraId="30A34895">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rFonts w:hint="eastAsia"/>
          <w:color w:val="auto"/>
          <w:sz w:val="24"/>
          <w:szCs w:val="22"/>
        </w:rPr>
      </w:pPr>
      <w:r>
        <w:rPr>
          <w:rFonts w:hint="eastAsia"/>
          <w:color w:val="auto"/>
          <w:sz w:val="24"/>
          <w:szCs w:val="2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01AF4A2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七</w:t>
      </w:r>
      <w:r>
        <w:rPr>
          <w:rFonts w:hint="eastAsia"/>
          <w:b/>
          <w:bCs/>
          <w:color w:val="auto"/>
          <w:sz w:val="24"/>
        </w:rPr>
        <w:t>）综合评分</w:t>
      </w:r>
    </w:p>
    <w:p w14:paraId="7067828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0F7AC78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4FD3F728">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八</w:t>
      </w:r>
      <w:r>
        <w:rPr>
          <w:rFonts w:hint="eastAsia"/>
          <w:b/>
          <w:bCs/>
          <w:color w:val="auto"/>
          <w:sz w:val="24"/>
        </w:rPr>
        <w:t>）汇总商务技术得分</w:t>
      </w:r>
    </w:p>
    <w:p w14:paraId="46211C8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5B5E176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60DAD50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九</w:t>
      </w:r>
      <w:r>
        <w:rPr>
          <w:rFonts w:hint="eastAsia"/>
          <w:b/>
          <w:bCs/>
          <w:color w:val="auto"/>
          <w:sz w:val="24"/>
        </w:rPr>
        <w:t>）排序与推荐</w:t>
      </w:r>
    </w:p>
    <w:p w14:paraId="7F509A1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w:t>
      </w:r>
      <w:bookmarkStart w:id="323" w:name="OLE_LINK6"/>
      <w:r>
        <w:rPr>
          <w:rFonts w:hint="eastAsia"/>
          <w:color w:val="auto"/>
          <w:sz w:val="24"/>
        </w:rPr>
        <w:t>第二十一条第三款</w:t>
      </w:r>
      <w:bookmarkEnd w:id="323"/>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7D18326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w:t>
      </w:r>
      <w:r>
        <w:rPr>
          <w:rFonts w:hint="eastAsia"/>
          <w:b/>
          <w:bCs/>
          <w:color w:val="auto"/>
          <w:sz w:val="24"/>
          <w:lang w:val="en-US" w:eastAsia="zh-CN"/>
        </w:rPr>
        <w:t>十</w:t>
      </w:r>
      <w:r>
        <w:rPr>
          <w:rFonts w:hint="eastAsia"/>
          <w:b/>
          <w:bCs/>
          <w:color w:val="auto"/>
          <w:sz w:val="24"/>
        </w:rPr>
        <w:t>）编写评审报告</w:t>
      </w:r>
    </w:p>
    <w:p w14:paraId="00CB616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w:t>
      </w:r>
      <w:r>
        <w:rPr>
          <w:rFonts w:hint="eastAsia"/>
          <w:color w:val="auto"/>
          <w:sz w:val="24"/>
        </w:rPr>
        <w:t>评审报告。</w:t>
      </w:r>
    </w:p>
    <w:p w14:paraId="630F762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w:t>
      </w:r>
      <w:r>
        <w:rPr>
          <w:rFonts w:hint="eastAsia"/>
          <w:b/>
          <w:bCs/>
          <w:color w:val="auto"/>
          <w:sz w:val="24"/>
          <w:lang w:val="en-US" w:eastAsia="zh-CN"/>
        </w:rPr>
        <w:t>一</w:t>
      </w:r>
      <w:r>
        <w:rPr>
          <w:rFonts w:hint="eastAsia"/>
          <w:b/>
          <w:bCs/>
          <w:color w:val="auto"/>
          <w:sz w:val="24"/>
        </w:rPr>
        <w:t>）磋商评审过程的保密性</w:t>
      </w:r>
    </w:p>
    <w:p w14:paraId="1A843B6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70DF6BA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4E2C291A">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24" w:name="_Toc10879"/>
      <w:bookmarkStart w:id="325" w:name="_Toc5529"/>
      <w:bookmarkStart w:id="326" w:name="_Toc18073"/>
      <w:bookmarkStart w:id="327" w:name="_Toc326"/>
      <w:bookmarkStart w:id="328" w:name="_Toc29029"/>
      <w:bookmarkStart w:id="329" w:name="_Toc13854"/>
      <w:bookmarkStart w:id="330" w:name="_Toc26288"/>
      <w:bookmarkStart w:id="331" w:name="_Toc3813"/>
      <w:bookmarkStart w:id="332" w:name="_Toc26044"/>
      <w:bookmarkStart w:id="333" w:name="_Toc21433"/>
      <w:bookmarkStart w:id="334" w:name="_Toc16451"/>
      <w:bookmarkStart w:id="335" w:name="_Toc9496"/>
      <w:bookmarkStart w:id="336" w:name="_Toc30131"/>
      <w:bookmarkStart w:id="337" w:name="_Toc17917"/>
      <w:bookmarkStart w:id="338" w:name="_Toc2251"/>
      <w:bookmarkStart w:id="339" w:name="_Toc4483"/>
      <w:bookmarkStart w:id="340" w:name="_Toc21515"/>
      <w:bookmarkStart w:id="341" w:name="_Toc26757"/>
      <w:bookmarkStart w:id="342" w:name="_Toc8603"/>
      <w:bookmarkStart w:id="343" w:name="_Toc6273"/>
      <w:bookmarkStart w:id="344" w:name="_Toc22423"/>
      <w:bookmarkStart w:id="345" w:name="_Toc20162"/>
      <w:bookmarkStart w:id="346" w:name="_Toc22706"/>
      <w:bookmarkStart w:id="347" w:name="_Toc29830"/>
      <w:bookmarkStart w:id="348" w:name="_Toc7256"/>
      <w:bookmarkStart w:id="349" w:name="_Toc14468"/>
      <w:bookmarkStart w:id="350" w:name="_Toc32587"/>
      <w:bookmarkStart w:id="351" w:name="_Toc12279"/>
      <w:bookmarkStart w:id="352" w:name="_Toc5340"/>
      <w:bookmarkStart w:id="353" w:name="_Toc28002"/>
      <w:bookmarkStart w:id="354" w:name="_Toc30041"/>
      <w:bookmarkStart w:id="355" w:name="_Toc22665"/>
      <w:bookmarkStart w:id="356" w:name="_Toc15767"/>
      <w:bookmarkStart w:id="357" w:name="_Toc17524"/>
      <w:bookmarkStart w:id="358" w:name="_Toc27426"/>
      <w:r>
        <w:rPr>
          <w:rFonts w:hint="eastAsia" w:ascii="楷体" w:hAnsi="楷体" w:eastAsia="楷体" w:cs="楷体"/>
          <w:snapToGrid w:val="0"/>
          <w:color w:val="auto"/>
          <w:kern w:val="44"/>
          <w:sz w:val="32"/>
          <w:szCs w:val="32"/>
        </w:rPr>
        <w:t>七、合同授予</w:t>
      </w:r>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21845D1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586A724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0FD76459">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3CCA155C">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421583F5">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5EE8D3E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w:t>
      </w:r>
      <w:r>
        <w:rPr>
          <w:rFonts w:hint="eastAsia"/>
          <w:color w:val="auto"/>
          <w:sz w:val="24"/>
          <w:lang w:val="en-US" w:eastAsia="zh-CN"/>
        </w:rPr>
        <w:t>杭州电子科技大学采购中心网站</w:t>
      </w:r>
      <w:r>
        <w:rPr>
          <w:rFonts w:hint="eastAsia"/>
          <w:color w:val="auto"/>
          <w:sz w:val="24"/>
        </w:rPr>
        <w:t>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1303019E">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240E8F42">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5A23495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0F064A0D">
      <w:pPr>
        <w:pStyle w:val="29"/>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55F0A69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084D96E5">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74747A2A">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189C1492">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7201F186">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2F2451B5">
      <w:pPr>
        <w:pStyle w:val="6"/>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bookmarkStart w:id="359" w:name="_Toc23941"/>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bookmarkEnd w:id="359"/>
    </w:p>
    <w:p w14:paraId="7D3E6A3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744D6CD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25BD983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34CD740C">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2488A77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0FDAF91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1F5DF970">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56E9BE89">
      <w:pPr>
        <w:pStyle w:val="4"/>
        <w:bidi w:val="0"/>
        <w:outlineLvl w:val="0"/>
        <w:rPr>
          <w:rFonts w:hint="eastAsia" w:ascii="Times New Roman" w:hAnsi="Times New Roman" w:eastAsia="黑体" w:cs="Times New Roman"/>
          <w:b/>
          <w:color w:val="auto"/>
          <w:kern w:val="44"/>
          <w:sz w:val="36"/>
          <w:szCs w:val="22"/>
          <w:lang w:val="en-US" w:eastAsia="zh-CN" w:bidi="ar-SA"/>
        </w:rPr>
      </w:pPr>
      <w:bookmarkStart w:id="360" w:name="_Toc31754"/>
      <w:bookmarkStart w:id="361" w:name="_Toc11599"/>
      <w:bookmarkStart w:id="362" w:name="_Toc30987"/>
      <w:bookmarkStart w:id="363" w:name="_Toc10023"/>
      <w:bookmarkStart w:id="364" w:name="_Toc24700"/>
      <w:bookmarkStart w:id="365" w:name="_Toc18478"/>
      <w:bookmarkStart w:id="366" w:name="_Toc27094"/>
      <w:r>
        <w:rPr>
          <w:rStyle w:val="55"/>
          <w:rFonts w:ascii="Times New Roman" w:hAnsi="Times New Roman"/>
          <w:b/>
          <w:snapToGrid w:val="0"/>
          <w:color w:val="auto"/>
        </w:rPr>
        <w:br w:type="page"/>
      </w:r>
      <w:bookmarkStart w:id="367" w:name="_Toc31068"/>
      <w:bookmarkStart w:id="368" w:name="_Toc30158"/>
      <w:bookmarkStart w:id="369" w:name="_Toc26100"/>
      <w:bookmarkStart w:id="370" w:name="_Toc17708"/>
      <w:bookmarkStart w:id="371" w:name="_Toc27781"/>
      <w:bookmarkStart w:id="372" w:name="_Toc26169"/>
      <w:bookmarkStart w:id="373" w:name="_Toc15832"/>
      <w:bookmarkStart w:id="374" w:name="_Toc7338"/>
      <w:bookmarkStart w:id="375" w:name="_Toc5470"/>
      <w:bookmarkStart w:id="376" w:name="_Toc22180"/>
      <w:bookmarkStart w:id="377" w:name="_Toc14406"/>
      <w:bookmarkStart w:id="378" w:name="_Toc16902"/>
      <w:bookmarkStart w:id="379" w:name="_Toc24396"/>
      <w:bookmarkStart w:id="380" w:name="_Toc23632"/>
      <w:bookmarkStart w:id="381" w:name="_Toc6438"/>
      <w:bookmarkStart w:id="382" w:name="_Toc32035"/>
      <w:bookmarkStart w:id="383" w:name="_Toc30301"/>
      <w:bookmarkStart w:id="384" w:name="_Toc365"/>
      <w:bookmarkStart w:id="385" w:name="_Toc7293"/>
      <w:bookmarkStart w:id="386" w:name="_Toc17768"/>
      <w:bookmarkStart w:id="387" w:name="_Toc646"/>
      <w:bookmarkStart w:id="388" w:name="_Toc20593"/>
      <w:bookmarkStart w:id="389" w:name="_Toc12012"/>
      <w:bookmarkStart w:id="390" w:name="_Toc8630"/>
      <w:bookmarkStart w:id="391" w:name="_Toc9109"/>
      <w:bookmarkStart w:id="392" w:name="_Toc23225"/>
      <w:bookmarkStart w:id="393" w:name="_Toc10406"/>
      <w:bookmarkStart w:id="394" w:name="_Toc3282"/>
      <w:bookmarkStart w:id="395" w:name="_Toc15038"/>
      <w:bookmarkStart w:id="396" w:name="_Toc27525"/>
      <w:bookmarkStart w:id="397" w:name="_Toc14142"/>
      <w:bookmarkStart w:id="398" w:name="_Toc12347"/>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67"/>
    </w:p>
    <w:bookmarkEnd w:id="360"/>
    <w:bookmarkEnd w:id="361"/>
    <w:bookmarkEnd w:id="362"/>
    <w:bookmarkEnd w:id="363"/>
    <w:bookmarkEnd w:id="364"/>
    <w:bookmarkEnd w:id="365"/>
    <w:bookmarkEnd w:id="366"/>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14:paraId="0C94F533">
      <w:pPr>
        <w:pStyle w:val="6"/>
        <w:ind w:left="0" w:firstLine="0"/>
        <w:outlineLvl w:val="1"/>
        <w:rPr>
          <w:rFonts w:hint="default" w:eastAsia="宋体"/>
          <w:color w:val="auto"/>
          <w:lang w:val="en-US" w:eastAsia="zh-CN"/>
        </w:rPr>
      </w:pPr>
      <w:bookmarkStart w:id="399" w:name="_Toc2084"/>
      <w:bookmarkStart w:id="400" w:name="_Toc27955"/>
      <w:bookmarkStart w:id="401" w:name="_Toc31434"/>
      <w:bookmarkStart w:id="402" w:name="_Toc29510"/>
      <w:bookmarkStart w:id="403" w:name="_Toc3711"/>
      <w:bookmarkStart w:id="404" w:name="_Toc14512"/>
      <w:bookmarkStart w:id="405" w:name="_Toc21296"/>
      <w:bookmarkStart w:id="406" w:name="_Toc3691"/>
      <w:bookmarkStart w:id="407" w:name="_Toc20153"/>
      <w:bookmarkStart w:id="408" w:name="_Toc1660"/>
      <w:r>
        <w:rPr>
          <w:rFonts w:hint="eastAsia"/>
          <w:color w:val="auto"/>
        </w:rPr>
        <w:t>一、</w:t>
      </w:r>
      <w:r>
        <w:rPr>
          <w:rFonts w:hint="eastAsia"/>
          <w:color w:val="auto"/>
        </w:rPr>
        <w:t>货物清单</w:t>
      </w:r>
      <w:bookmarkEnd w:id="399"/>
    </w:p>
    <w:tbl>
      <w:tblPr>
        <w:tblStyle w:val="47"/>
        <w:tblW w:w="8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00"/>
        <w:gridCol w:w="5535"/>
        <w:gridCol w:w="1080"/>
      </w:tblGrid>
      <w:tr w14:paraId="2B993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50C0F48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200" w:type="dxa"/>
            <w:noWrap w:val="0"/>
            <w:vAlign w:val="center"/>
          </w:tcPr>
          <w:p w14:paraId="3573F025">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货物</w:t>
            </w:r>
            <w:r>
              <w:rPr>
                <w:rFonts w:hint="eastAsia" w:ascii="宋体" w:hAnsi="宋体" w:eastAsia="宋体" w:cs="宋体"/>
                <w:color w:val="auto"/>
                <w:sz w:val="24"/>
                <w:szCs w:val="24"/>
              </w:rPr>
              <w:t>名称</w:t>
            </w:r>
          </w:p>
        </w:tc>
        <w:tc>
          <w:tcPr>
            <w:tcW w:w="5535" w:type="dxa"/>
            <w:noWrap w:val="0"/>
            <w:vAlign w:val="center"/>
          </w:tcPr>
          <w:p w14:paraId="288C7F5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要求简述</w:t>
            </w:r>
          </w:p>
        </w:tc>
        <w:tc>
          <w:tcPr>
            <w:tcW w:w="1080" w:type="dxa"/>
            <w:noWrap w:val="0"/>
            <w:vAlign w:val="center"/>
          </w:tcPr>
          <w:p w14:paraId="266E8A9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r>
      <w:tr w14:paraId="1C6FA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noWrap w:val="0"/>
            <w:vAlign w:val="center"/>
          </w:tcPr>
          <w:p w14:paraId="3113C16B">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200" w:type="dxa"/>
            <w:noWrap w:val="0"/>
            <w:vAlign w:val="center"/>
          </w:tcPr>
          <w:p w14:paraId="3ECD40A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图书</w:t>
            </w:r>
          </w:p>
        </w:tc>
        <w:tc>
          <w:tcPr>
            <w:tcW w:w="5535" w:type="dxa"/>
            <w:noWrap w:val="0"/>
            <w:vAlign w:val="center"/>
          </w:tcPr>
          <w:p w14:paraId="67A4DAE2">
            <w:pPr>
              <w:numPr>
                <w:ilvl w:val="0"/>
                <w:numId w:val="0"/>
              </w:num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正规出版社</w:t>
            </w:r>
            <w:r>
              <w:rPr>
                <w:rFonts w:hint="eastAsia" w:ascii="宋体" w:hAnsi="宋体" w:eastAsia="宋体" w:cs="宋体"/>
                <w:color w:val="auto"/>
                <w:sz w:val="24"/>
                <w:szCs w:val="24"/>
                <w:lang w:val="en-US" w:eastAsia="zh-CN"/>
              </w:rPr>
              <w:t>出版</w:t>
            </w:r>
            <w:r>
              <w:rPr>
                <w:rFonts w:hint="eastAsia" w:ascii="宋体" w:hAnsi="宋体" w:eastAsia="宋体" w:cs="宋体"/>
                <w:color w:val="auto"/>
                <w:sz w:val="24"/>
                <w:szCs w:val="24"/>
              </w:rPr>
              <w:t>；没有污损、破损；出版内容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意识形态合格</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响应方须提供图书采选服务平台完成借购、派送等服务。</w:t>
            </w:r>
          </w:p>
        </w:tc>
        <w:tc>
          <w:tcPr>
            <w:tcW w:w="1080" w:type="dxa"/>
            <w:noWrap w:val="0"/>
            <w:vAlign w:val="center"/>
          </w:tcPr>
          <w:p w14:paraId="6CE551C4">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批</w:t>
            </w:r>
          </w:p>
        </w:tc>
      </w:tr>
    </w:tbl>
    <w:p w14:paraId="65CF4B40">
      <w:pPr>
        <w:pStyle w:val="6"/>
        <w:ind w:left="0" w:firstLine="0"/>
        <w:outlineLvl w:val="1"/>
        <w:rPr>
          <w:rFonts w:hint="eastAsia"/>
          <w:color w:val="auto"/>
          <w:szCs w:val="22"/>
          <w:lang w:val="en-US" w:eastAsia="zh-CN"/>
        </w:rPr>
      </w:pPr>
      <w:bookmarkStart w:id="409" w:name="_Toc13142"/>
      <w:r>
        <w:rPr>
          <w:rFonts w:hint="eastAsia"/>
          <w:color w:val="auto"/>
          <w:szCs w:val="22"/>
          <w:lang w:val="en-US" w:eastAsia="zh-CN"/>
        </w:rPr>
        <w:t>二、详细服务要求</w:t>
      </w:r>
      <w:bookmarkEnd w:id="409"/>
    </w:p>
    <w:p w14:paraId="25227A76">
      <w:pPr>
        <w:adjustRightInd w:val="0"/>
        <w:snapToGrid w:val="0"/>
        <w:spacing w:line="288" w:lineRule="auto"/>
        <w:ind w:firstLine="482" w:firstLineChars="200"/>
        <w:jc w:val="left"/>
        <w:rPr>
          <w:rFonts w:ascii="宋体" w:hAnsi="宋体" w:cs="宋体"/>
          <w:b/>
          <w:bCs/>
          <w:color w:val="auto"/>
          <w:sz w:val="24"/>
        </w:rPr>
      </w:pPr>
      <w:r>
        <w:rPr>
          <w:rFonts w:hint="eastAsia" w:ascii="宋体" w:hAnsi="宋体" w:cs="宋体"/>
          <w:b/>
          <w:bCs/>
          <w:color w:val="auto"/>
          <w:sz w:val="24"/>
        </w:rPr>
        <w:t>1.支撑能力要求：</w:t>
      </w:r>
    </w:p>
    <w:p w14:paraId="067136F2">
      <w:pPr>
        <w:adjustRightInd w:val="0"/>
        <w:snapToGrid w:val="0"/>
        <w:spacing w:line="288" w:lineRule="auto"/>
        <w:ind w:firstLine="480" w:firstLineChars="200"/>
        <w:jc w:val="left"/>
        <w:rPr>
          <w:rFonts w:hint="eastAsia" w:ascii="宋体" w:hAnsi="宋体" w:cs="宋体"/>
          <w:color w:val="auto"/>
          <w:sz w:val="24"/>
        </w:rPr>
      </w:pPr>
      <w:r>
        <w:rPr>
          <w:rFonts w:hint="eastAsia" w:ascii="宋体" w:hAnsi="宋体" w:cs="宋体"/>
          <w:color w:val="auto"/>
          <w:sz w:val="24"/>
          <w:lang w:val="en-US" w:eastAsia="zh-CN"/>
        </w:rPr>
        <w:t>响应方</w:t>
      </w:r>
      <w:r>
        <w:rPr>
          <w:rFonts w:hint="eastAsia" w:ascii="宋体" w:hAnsi="宋体" w:cs="宋体"/>
          <w:color w:val="auto"/>
          <w:sz w:val="24"/>
        </w:rPr>
        <w:t>提供</w:t>
      </w:r>
      <w:r>
        <w:rPr>
          <w:rFonts w:hint="eastAsia" w:ascii="宋体" w:hAnsi="宋体" w:cs="宋体"/>
          <w:color w:val="auto"/>
          <w:sz w:val="24"/>
          <w:lang w:val="en-US" w:eastAsia="zh-CN"/>
        </w:rPr>
        <w:t>借购类</w:t>
      </w:r>
      <w:r>
        <w:rPr>
          <w:rFonts w:hint="eastAsia" w:ascii="宋体" w:hAnsi="宋体" w:cs="宋体"/>
          <w:color w:val="auto"/>
          <w:sz w:val="24"/>
        </w:rPr>
        <w:t>图书采选服务平台</w:t>
      </w:r>
      <w:r>
        <w:rPr>
          <w:rFonts w:hint="eastAsia" w:ascii="宋体" w:hAnsi="宋体" w:cs="宋体"/>
          <w:color w:val="auto"/>
          <w:sz w:val="24"/>
          <w:lang w:eastAsia="zh-CN"/>
        </w:rPr>
        <w:t>（</w:t>
      </w:r>
      <w:r>
        <w:rPr>
          <w:rFonts w:hint="eastAsia" w:ascii="宋体" w:hAnsi="宋体" w:cs="宋体"/>
          <w:color w:val="auto"/>
          <w:sz w:val="24"/>
          <w:lang w:val="en-US" w:eastAsia="zh-CN"/>
        </w:rPr>
        <w:t>以下简称采选服务平台</w:t>
      </w:r>
      <w:r>
        <w:rPr>
          <w:rFonts w:hint="eastAsia" w:ascii="宋体" w:hAnsi="宋体" w:cs="宋体"/>
          <w:color w:val="auto"/>
          <w:sz w:val="24"/>
          <w:lang w:eastAsia="zh-CN"/>
        </w:rPr>
        <w:t>）</w:t>
      </w:r>
      <w:r>
        <w:rPr>
          <w:rFonts w:hint="eastAsia" w:ascii="宋体" w:hAnsi="宋体" w:cs="宋体"/>
          <w:color w:val="auto"/>
          <w:sz w:val="24"/>
        </w:rPr>
        <w:t>。</w:t>
      </w:r>
      <w:r>
        <w:rPr>
          <w:rFonts w:hint="eastAsia" w:ascii="宋体" w:hAnsi="宋体" w:cs="宋体"/>
          <w:color w:val="auto"/>
          <w:sz w:val="24"/>
          <w:lang w:val="en-US" w:eastAsia="zh-CN"/>
        </w:rPr>
        <w:t>采选</w:t>
      </w:r>
      <w:r>
        <w:rPr>
          <w:rFonts w:hint="eastAsia" w:ascii="宋体" w:hAnsi="宋体" w:cs="宋体"/>
          <w:color w:val="auto"/>
          <w:sz w:val="24"/>
        </w:rPr>
        <w:t>服务平台同时满足以下功能：提供每周7*24小时借购服务；与采购人校园身份认证系统、</w:t>
      </w:r>
      <w:bookmarkStart w:id="410" w:name="_Hlk232406921"/>
      <w:r>
        <w:rPr>
          <w:rFonts w:hint="eastAsia" w:ascii="宋体" w:hAnsi="宋体" w:cs="宋体"/>
          <w:color w:val="auto"/>
          <w:sz w:val="24"/>
        </w:rPr>
        <w:t>图书馆集成管理系统</w:t>
      </w:r>
      <w:bookmarkEnd w:id="410"/>
      <w:r>
        <w:rPr>
          <w:rFonts w:hint="eastAsia" w:ascii="宋体" w:hAnsi="宋体" w:cs="宋体"/>
          <w:color w:val="auto"/>
          <w:sz w:val="24"/>
        </w:rPr>
        <w:t>对接，提供读者身份认证、借购图书的即时馆藏查重功能；免费提供图书快捷派送服务。</w:t>
      </w:r>
    </w:p>
    <w:p w14:paraId="2A3DCBE8">
      <w:pPr>
        <w:adjustRightInd w:val="0"/>
        <w:snapToGrid w:val="0"/>
        <w:spacing w:line="288" w:lineRule="auto"/>
        <w:ind w:firstLine="482" w:firstLineChars="200"/>
        <w:jc w:val="left"/>
        <w:rPr>
          <w:rFonts w:ascii="宋体" w:hAnsi="宋体" w:cs="宋体"/>
          <w:b/>
          <w:bCs/>
          <w:color w:val="auto"/>
          <w:sz w:val="24"/>
        </w:rPr>
      </w:pPr>
      <w:r>
        <w:rPr>
          <w:rFonts w:hint="eastAsia" w:ascii="宋体" w:hAnsi="宋体" w:cs="宋体"/>
          <w:b/>
          <w:bCs/>
          <w:color w:val="auto"/>
          <w:sz w:val="24"/>
        </w:rPr>
        <w:t>2.</w:t>
      </w:r>
      <w:r>
        <w:rPr>
          <w:rFonts w:ascii="宋体" w:hAnsi="宋体" w:cs="宋体"/>
          <w:b/>
          <w:bCs/>
          <w:color w:val="auto"/>
          <w:sz w:val="24"/>
        </w:rPr>
        <w:t xml:space="preserve"> </w:t>
      </w:r>
      <w:r>
        <w:rPr>
          <w:rFonts w:hint="eastAsia" w:ascii="宋体" w:hAnsi="宋体" w:cs="宋体"/>
          <w:b/>
          <w:bCs/>
          <w:color w:val="auto"/>
          <w:sz w:val="24"/>
        </w:rPr>
        <w:t>服务能力要求：</w:t>
      </w:r>
    </w:p>
    <w:p w14:paraId="74DD5EF9">
      <w:pPr>
        <w:adjustRightInd w:val="0"/>
        <w:snapToGrid w:val="0"/>
        <w:spacing w:line="288" w:lineRule="auto"/>
        <w:ind w:firstLine="482" w:firstLineChars="200"/>
        <w:jc w:val="left"/>
        <w:rPr>
          <w:rFonts w:ascii="宋体" w:hAnsi="宋体" w:cs="宋体"/>
          <w:b/>
          <w:bCs/>
          <w:color w:val="auto"/>
          <w:sz w:val="24"/>
        </w:rPr>
      </w:pPr>
      <w:r>
        <w:rPr>
          <w:rFonts w:hint="eastAsia" w:ascii="宋体" w:hAnsi="宋体" w:cs="宋体"/>
          <w:b/>
          <w:bCs/>
          <w:color w:val="auto"/>
          <w:sz w:val="24"/>
        </w:rPr>
        <w:t>(1)平台管理</w:t>
      </w:r>
    </w:p>
    <w:p w14:paraId="62EBD1E7">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(a)协助采购人按采购人要求设置、管理</w:t>
      </w:r>
      <w:r>
        <w:rPr>
          <w:rFonts w:hint="eastAsia" w:ascii="宋体" w:hAnsi="宋体" w:cs="宋体"/>
          <w:color w:val="auto"/>
          <w:sz w:val="24"/>
          <w:lang w:val="en-US" w:eastAsia="zh-CN"/>
        </w:rPr>
        <w:t>采选</w:t>
      </w:r>
      <w:r>
        <w:rPr>
          <w:rFonts w:hint="eastAsia" w:ascii="宋体" w:hAnsi="宋体" w:cs="宋体"/>
          <w:color w:val="auto"/>
          <w:sz w:val="24"/>
        </w:rPr>
        <w:t>服务平台，提高平台发布图书内容跟采购人馆藏建设的吻合度；</w:t>
      </w:r>
    </w:p>
    <w:p w14:paraId="41518501">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(b)保障采选服务平台的正常使用提供技术支撑，不断优化采购人用户的平台使用体验感；</w:t>
      </w:r>
    </w:p>
    <w:p w14:paraId="6B15D6D9">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(c)工作时间如遇疑难问题，</w:t>
      </w:r>
      <w:r>
        <w:rPr>
          <w:rFonts w:hint="eastAsia" w:ascii="宋体" w:hAnsi="宋体" w:cs="宋体"/>
          <w:color w:val="auto"/>
          <w:sz w:val="24"/>
          <w:lang w:val="en-US" w:eastAsia="zh-CN"/>
        </w:rPr>
        <w:t>平台</w:t>
      </w:r>
      <w:r>
        <w:rPr>
          <w:rFonts w:hint="eastAsia" w:ascii="宋体" w:hAnsi="宋体" w:cs="宋体"/>
          <w:color w:val="auto"/>
          <w:sz w:val="24"/>
        </w:rPr>
        <w:t>应在30分钟内及时响应。</w:t>
      </w:r>
    </w:p>
    <w:p w14:paraId="21F03B94">
      <w:pPr>
        <w:adjustRightInd w:val="0"/>
        <w:snapToGrid w:val="0"/>
        <w:spacing w:line="288" w:lineRule="auto"/>
        <w:ind w:firstLine="482" w:firstLineChars="200"/>
        <w:jc w:val="left"/>
        <w:rPr>
          <w:rFonts w:ascii="宋体" w:hAnsi="宋体" w:cs="宋体"/>
          <w:b/>
          <w:bCs/>
          <w:color w:val="auto"/>
          <w:sz w:val="24"/>
        </w:rPr>
      </w:pPr>
      <w:r>
        <w:rPr>
          <w:rFonts w:hint="eastAsia" w:ascii="宋体" w:hAnsi="宋体" w:cs="宋体"/>
          <w:b/>
          <w:bCs/>
          <w:color w:val="auto"/>
          <w:sz w:val="24"/>
        </w:rPr>
        <w:t>(2)图书退换</w:t>
      </w:r>
    </w:p>
    <w:p w14:paraId="22AE3D7D">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出现以下情况供应商承诺无条件予以退换，并承担所退图书的所有费用：</w:t>
      </w:r>
    </w:p>
    <w:p w14:paraId="666CC198">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(a)运输过程中出现图书破损、污损的图书；</w:t>
      </w:r>
    </w:p>
    <w:p w14:paraId="2A29E28F">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(b)出版社印刷、装订等造成的质量问题的图书；</w:t>
      </w:r>
    </w:p>
    <w:p w14:paraId="60AC3290">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(c)活页书、袋装书、线装书，小于64开本（包括64开）的图书以及不适合采购人收藏的图书；</w:t>
      </w:r>
    </w:p>
    <w:p w14:paraId="6B4E918D">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(d)出版内容或意识形态不合格的图书；</w:t>
      </w:r>
    </w:p>
    <w:p w14:paraId="1CB7C070">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(e</w:t>
      </w:r>
      <w:r>
        <w:rPr>
          <w:rFonts w:ascii="宋体" w:hAnsi="宋体" w:cs="宋体"/>
          <w:color w:val="auto"/>
          <w:sz w:val="24"/>
        </w:rPr>
        <w:t>)</w:t>
      </w:r>
      <w:r>
        <w:rPr>
          <w:rFonts w:hint="eastAsia" w:ascii="宋体" w:hAnsi="宋体" w:cs="宋体"/>
          <w:color w:val="auto"/>
          <w:sz w:val="24"/>
        </w:rPr>
        <w:t>与馆藏建设不符的图书。</w:t>
      </w:r>
    </w:p>
    <w:p w14:paraId="59B64CA6">
      <w:pPr>
        <w:adjustRightInd w:val="0"/>
        <w:snapToGrid w:val="0"/>
        <w:spacing w:line="288" w:lineRule="auto"/>
        <w:ind w:firstLine="482" w:firstLineChars="200"/>
        <w:jc w:val="left"/>
        <w:rPr>
          <w:rFonts w:ascii="宋体" w:hAnsi="宋体" w:cs="宋体"/>
          <w:b/>
          <w:bCs/>
          <w:color w:val="auto"/>
          <w:sz w:val="24"/>
        </w:rPr>
      </w:pPr>
      <w:r>
        <w:rPr>
          <w:rFonts w:hint="eastAsia" w:ascii="宋体" w:hAnsi="宋体" w:cs="宋体"/>
          <w:b/>
          <w:bCs/>
          <w:color w:val="auto"/>
          <w:sz w:val="24"/>
        </w:rPr>
        <w:t>(3) 编目数据</w:t>
      </w:r>
    </w:p>
    <w:p w14:paraId="16C4198D">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(a)供应商免费提供每种采购图书相应的规范、标准的详细级机读编目数据，编目数据使用《中国图书馆分类法（第五版）》及其使用手册准确类分图书，遵循《国际标准书目著录（ISBD）》 、《中国文献编目规则（第二版）》 、《GBT 33286-2016中国机读书目格式》 、《calis联机合作编制手册》著录原则，执行采购人相关业务规则规定，数据质量应当符合采购人要求。</w:t>
      </w:r>
    </w:p>
    <w:p w14:paraId="39C27D1F">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(b)编目数据通过电子邮件在采购人图书验收前传送至采购人指定的电子邮箱，保证100％的覆盖率，并能正确导入采购人图书馆集成管理系统。</w:t>
      </w:r>
    </w:p>
    <w:p w14:paraId="37EB99EE">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(c)供应商提供的编目数据不得侵犯第三方利益。采购人对供应商提供的编目数据拥有使用权和所有权。</w:t>
      </w:r>
    </w:p>
    <w:p w14:paraId="4C875E77">
      <w:pPr>
        <w:adjustRightInd w:val="0"/>
        <w:snapToGrid w:val="0"/>
        <w:spacing w:line="288" w:lineRule="auto"/>
        <w:ind w:firstLine="482" w:firstLineChars="200"/>
        <w:jc w:val="left"/>
        <w:rPr>
          <w:rFonts w:ascii="宋体" w:hAnsi="宋体" w:cs="宋体"/>
          <w:b/>
          <w:bCs/>
          <w:color w:val="auto"/>
          <w:sz w:val="24"/>
        </w:rPr>
      </w:pPr>
      <w:r>
        <w:rPr>
          <w:rFonts w:hint="eastAsia" w:ascii="宋体" w:hAnsi="宋体" w:cs="宋体"/>
          <w:b/>
          <w:bCs/>
          <w:color w:val="auto"/>
          <w:sz w:val="24"/>
        </w:rPr>
        <w:t>(4)图书到馆全加工</w:t>
      </w:r>
    </w:p>
    <w:p w14:paraId="4418A9CD">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(a)为确保采购人图书验收和编目数据质量，供应商须安排人员到采购人指定地点提供驻馆加工服务。图书验收和分编加工所产生的费用由供应商承担，图书验收质量和分编质量需达到采购人要求。</w:t>
      </w:r>
    </w:p>
    <w:p w14:paraId="4428904B">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(b)</w:t>
      </w:r>
      <w:bookmarkStart w:id="411" w:name="_Hlk231477498"/>
      <w:r>
        <w:rPr>
          <w:rFonts w:hint="eastAsia" w:ascii="宋体" w:hAnsi="宋体" w:cs="宋体"/>
          <w:color w:val="auto"/>
          <w:sz w:val="24"/>
        </w:rPr>
        <w:t>供应商</w:t>
      </w:r>
      <w:bookmarkEnd w:id="411"/>
      <w:r>
        <w:rPr>
          <w:rFonts w:hint="eastAsia" w:ascii="宋体" w:hAnsi="宋体" w:cs="宋体"/>
          <w:color w:val="auto"/>
          <w:sz w:val="24"/>
        </w:rPr>
        <w:t>编制的书目数据由采购人审校人员进行校对、审核，差错率不得高于3％（差错率计算公式为：差错率=错误数据条数/被抽查的编目数据条数*100％）。连续3次合格率低于95％，采购人有权提前终止合同。</w:t>
      </w:r>
    </w:p>
    <w:p w14:paraId="29C81807">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(c)根据采购人加工要求粘贴条形码，盖馆藏章以及其它相应印章，加贴16CM新安全可充消磁条。贴装的磁条应该隐蔽、平整。打印、粘贴图书书标，加贴透明保护膜。磁条由供应商提供，贴装应该隐蔽、平整。</w:t>
      </w:r>
    </w:p>
    <w:p w14:paraId="6A56807E">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 xml:space="preserve">馆藏章要求：书名页正中合适位置盖方型馆藏章（出版社上方需留出贴条码位置），目录页上方空白位置盖方型馆藏章，书口盖椭圆型章。所有章均为蓝色，要求盖得工整、无残缺。条形码、书标、保护膜及分编加工辅助设备和材料由供应商提供。 </w:t>
      </w:r>
    </w:p>
    <w:p w14:paraId="4D799489">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(d)供应商不得以任何理由拒绝完成采购人按工作规范提出的分编数据修改任务，采购人对此种修改不承担任何费用。</w:t>
      </w:r>
    </w:p>
    <w:p w14:paraId="2490B7E7">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(e)因供应商原因，发生图书的漏编、错编、误加工等错误，供应商有义务纠正并按要求补编、改正并承担相应费用。</w:t>
      </w:r>
    </w:p>
    <w:p w14:paraId="2054020A">
      <w:pPr>
        <w:adjustRightInd w:val="0"/>
        <w:snapToGrid w:val="0"/>
        <w:spacing w:line="288" w:lineRule="auto"/>
        <w:ind w:firstLine="480" w:firstLineChars="200"/>
        <w:jc w:val="left"/>
        <w:rPr>
          <w:rFonts w:ascii="宋体" w:hAnsi="宋体" w:cs="宋体"/>
          <w:color w:val="auto"/>
          <w:sz w:val="24"/>
        </w:rPr>
      </w:pPr>
      <w:r>
        <w:rPr>
          <w:rFonts w:hint="eastAsia" w:ascii="宋体" w:hAnsi="宋体" w:cs="宋体"/>
          <w:color w:val="auto"/>
          <w:sz w:val="24"/>
        </w:rPr>
        <w:t>(f)图书分编加工时间要求在图书验收后3个工作日内分编入库。</w:t>
      </w:r>
    </w:p>
    <w:p w14:paraId="47EDB120">
      <w:pPr>
        <w:adjustRightInd w:val="0"/>
        <w:snapToGrid w:val="0"/>
        <w:spacing w:line="288" w:lineRule="auto"/>
        <w:ind w:firstLine="482" w:firstLineChars="200"/>
        <w:jc w:val="left"/>
        <w:rPr>
          <w:rFonts w:ascii="宋体" w:hAnsi="宋体" w:cs="宋体"/>
          <w:b/>
          <w:bCs/>
          <w:color w:val="auto"/>
          <w:sz w:val="24"/>
        </w:rPr>
      </w:pPr>
      <w:r>
        <w:rPr>
          <w:rFonts w:hint="eastAsia" w:ascii="宋体" w:hAnsi="宋体" w:cs="宋体"/>
          <w:b/>
          <w:bCs/>
          <w:color w:val="auto"/>
          <w:sz w:val="24"/>
        </w:rPr>
        <w:t>(5)其他服务</w:t>
      </w:r>
    </w:p>
    <w:p w14:paraId="358D3AF6">
      <w:pPr>
        <w:adjustRightInd w:val="0"/>
        <w:snapToGrid w:val="0"/>
        <w:spacing w:line="288" w:lineRule="auto"/>
        <w:ind w:firstLine="480" w:firstLineChars="200"/>
        <w:jc w:val="left"/>
        <w:rPr>
          <w:rFonts w:hint="default" w:ascii="宋体" w:hAnsi="宋体" w:cs="宋体"/>
          <w:color w:val="auto"/>
          <w:sz w:val="24"/>
          <w:szCs w:val="22"/>
          <w:lang w:val="en-US" w:eastAsia="zh-CN"/>
        </w:rPr>
      </w:pPr>
      <w:r>
        <w:rPr>
          <w:rFonts w:hint="eastAsia" w:ascii="宋体" w:hAnsi="宋体" w:cs="宋体"/>
          <w:color w:val="auto"/>
          <w:sz w:val="24"/>
          <w:szCs w:val="22"/>
        </w:rPr>
        <w:t>协助采购人对</w:t>
      </w:r>
      <w:r>
        <w:rPr>
          <w:rFonts w:hint="eastAsia" w:ascii="宋体" w:hAnsi="宋体" w:cs="宋体"/>
          <w:color w:val="auto"/>
          <w:sz w:val="24"/>
          <w:szCs w:val="22"/>
          <w:lang w:val="en-US" w:eastAsia="zh-CN"/>
        </w:rPr>
        <w:t>采选</w:t>
      </w:r>
      <w:r>
        <w:rPr>
          <w:rFonts w:hint="eastAsia" w:ascii="宋体" w:hAnsi="宋体" w:cs="宋体"/>
          <w:color w:val="auto"/>
          <w:sz w:val="24"/>
          <w:szCs w:val="22"/>
        </w:rPr>
        <w:t>服务平台使用的推广，提高采购人用户的平台使用</w:t>
      </w:r>
      <w:r>
        <w:rPr>
          <w:rFonts w:hint="eastAsia" w:ascii="宋体" w:hAnsi="宋体" w:cs="宋体"/>
          <w:color w:val="auto"/>
          <w:sz w:val="24"/>
          <w:szCs w:val="22"/>
          <w:lang w:val="en-US" w:eastAsia="zh-CN"/>
        </w:rPr>
        <w:t>率</w:t>
      </w:r>
      <w:r>
        <w:rPr>
          <w:rFonts w:hint="eastAsia" w:ascii="宋体" w:hAnsi="宋体" w:cs="宋体"/>
          <w:color w:val="auto"/>
          <w:sz w:val="24"/>
          <w:szCs w:val="22"/>
        </w:rPr>
        <w:t>；供应商须配合采购人进行履约验收工作，为采购人提供必需的相关资料和文件。</w:t>
      </w:r>
    </w:p>
    <w:p w14:paraId="28468305">
      <w:pPr>
        <w:pStyle w:val="6"/>
        <w:ind w:left="0" w:firstLine="0"/>
        <w:outlineLvl w:val="1"/>
        <w:rPr>
          <w:color w:val="auto"/>
        </w:rPr>
      </w:pPr>
      <w:bookmarkStart w:id="412" w:name="_Toc28626"/>
      <w:r>
        <w:rPr>
          <w:rFonts w:hint="eastAsia"/>
          <w:color w:val="auto"/>
        </w:rPr>
        <w:t>二、商务要求</w:t>
      </w:r>
      <w:bookmarkEnd w:id="412"/>
    </w:p>
    <w:p w14:paraId="7D14E84D">
      <w:pPr>
        <w:spacing w:line="360" w:lineRule="auto"/>
        <w:ind w:firstLine="420" w:firstLineChars="175"/>
        <w:rPr>
          <w:rFonts w:hint="eastAsia"/>
          <w:color w:val="auto"/>
          <w:sz w:val="24"/>
        </w:rPr>
      </w:pPr>
      <w:r>
        <w:rPr>
          <w:rFonts w:hint="eastAsia"/>
          <w:color w:val="auto"/>
          <w:sz w:val="24"/>
        </w:rPr>
        <w:t>甲方：采购人，乙方：成交供应商</w:t>
      </w:r>
    </w:p>
    <w:p w14:paraId="278B9B3A">
      <w:pPr>
        <w:spacing w:line="360" w:lineRule="auto"/>
        <w:ind w:firstLine="422" w:firstLineChars="175"/>
        <w:rPr>
          <w:rFonts w:hAnsi="宋体" w:cs="宋体"/>
          <w:color w:val="auto"/>
          <w:sz w:val="24"/>
        </w:rPr>
      </w:pPr>
      <w:r>
        <w:rPr>
          <w:rFonts w:hint="eastAsia" w:hAnsi="宋体" w:cs="宋体"/>
          <w:b/>
          <w:bCs/>
          <w:color w:val="auto"/>
          <w:sz w:val="24"/>
        </w:rPr>
        <w:t>1、</w:t>
      </w:r>
      <w:r>
        <w:rPr>
          <w:rFonts w:hint="eastAsia" w:ascii="宋体" w:hAnsi="宋体" w:cs="宋体"/>
          <w:b/>
          <w:bCs/>
          <w:color w:val="auto"/>
          <w:sz w:val="24"/>
        </w:rPr>
        <w:t>▲</w:t>
      </w:r>
      <w:r>
        <w:rPr>
          <w:rFonts w:hint="eastAsia" w:hAnsi="宋体" w:cs="宋体"/>
          <w:b/>
          <w:bCs/>
          <w:color w:val="auto"/>
          <w:sz w:val="24"/>
        </w:rPr>
        <w:t>交货期：</w:t>
      </w:r>
      <w:r>
        <w:rPr>
          <w:rFonts w:hint="eastAsia" w:hAnsi="宋体" w:cs="宋体"/>
          <w:color w:val="auto"/>
          <w:sz w:val="24"/>
        </w:rPr>
        <w:t>自合同签订之日起</w:t>
      </w:r>
      <w:r>
        <w:rPr>
          <w:rFonts w:hint="eastAsia" w:hAnsi="宋体" w:cs="宋体"/>
          <w:color w:val="auto"/>
          <w:sz w:val="24"/>
          <w:lang w:val="en-US" w:eastAsia="zh-CN"/>
        </w:rPr>
        <w:t>至2026年12月13日</w:t>
      </w:r>
      <w:r>
        <w:rPr>
          <w:rFonts w:hint="eastAsia" w:hAnsi="宋体" w:cs="宋体"/>
          <w:color w:val="auto"/>
          <w:sz w:val="24"/>
        </w:rPr>
        <w:t>。</w:t>
      </w:r>
    </w:p>
    <w:p w14:paraId="59CA77A5">
      <w:pPr>
        <w:spacing w:line="360" w:lineRule="auto"/>
        <w:ind w:firstLine="422" w:firstLineChars="175"/>
        <w:rPr>
          <w:rFonts w:hint="eastAsia" w:hAnsi="宋体" w:cs="宋体"/>
          <w:color w:val="auto"/>
          <w:sz w:val="24"/>
        </w:rPr>
      </w:pPr>
      <w:r>
        <w:rPr>
          <w:rFonts w:hint="eastAsia" w:hAnsi="宋体" w:cs="宋体"/>
          <w:b/>
          <w:bCs/>
          <w:color w:val="auto"/>
          <w:sz w:val="24"/>
        </w:rPr>
        <w:t>2、</w:t>
      </w:r>
      <w:r>
        <w:rPr>
          <w:rFonts w:hint="eastAsia" w:ascii="宋体" w:hAnsi="宋体" w:cs="宋体"/>
          <w:b/>
          <w:bCs/>
          <w:color w:val="auto"/>
          <w:sz w:val="24"/>
        </w:rPr>
        <w:t>▲</w:t>
      </w:r>
      <w:r>
        <w:rPr>
          <w:rFonts w:hint="eastAsia" w:hAnsi="宋体" w:cs="宋体"/>
          <w:b/>
          <w:bCs/>
          <w:color w:val="auto"/>
          <w:sz w:val="24"/>
        </w:rPr>
        <w:t>交货方式：</w:t>
      </w:r>
      <w:r>
        <w:rPr>
          <w:rFonts w:hint="eastAsia" w:hAnsi="宋体" w:cs="宋体"/>
          <w:color w:val="auto"/>
          <w:sz w:val="24"/>
          <w:u w:val="single"/>
        </w:rPr>
        <w:t>　　　送货上门　　</w:t>
      </w:r>
      <w:r>
        <w:rPr>
          <w:rFonts w:hint="eastAsia" w:hAnsi="宋体" w:cs="宋体"/>
          <w:color w:val="auto"/>
          <w:sz w:val="24"/>
        </w:rPr>
        <w:t>。</w:t>
      </w:r>
    </w:p>
    <w:p w14:paraId="703A1574">
      <w:pPr>
        <w:spacing w:line="360" w:lineRule="auto"/>
        <w:ind w:firstLine="422" w:firstLineChars="175"/>
        <w:rPr>
          <w:rFonts w:hint="eastAsia" w:hAnsi="宋体" w:cs="宋体"/>
          <w:color w:val="auto"/>
          <w:sz w:val="24"/>
        </w:rPr>
      </w:pPr>
      <w:r>
        <w:rPr>
          <w:rFonts w:hint="eastAsia" w:hAnsi="宋体" w:cs="宋体"/>
          <w:b/>
          <w:bCs/>
          <w:color w:val="auto"/>
          <w:sz w:val="24"/>
        </w:rPr>
        <w:t>3、</w:t>
      </w:r>
      <w:r>
        <w:rPr>
          <w:rFonts w:hint="eastAsia" w:ascii="宋体" w:hAnsi="宋体" w:cs="宋体"/>
          <w:b/>
          <w:bCs/>
          <w:color w:val="auto"/>
          <w:sz w:val="24"/>
        </w:rPr>
        <w:t>▲</w:t>
      </w:r>
      <w:r>
        <w:rPr>
          <w:rFonts w:hint="eastAsia" w:hAnsi="宋体" w:cs="宋体"/>
          <w:b/>
          <w:bCs/>
          <w:color w:val="auto"/>
          <w:sz w:val="24"/>
        </w:rPr>
        <w:t>交货地点 ：</w:t>
      </w:r>
      <w:bookmarkStart w:id="413" w:name="OLE_LINK16"/>
      <w:r>
        <w:rPr>
          <w:rFonts w:hint="eastAsia" w:hAnsi="宋体" w:cs="宋体"/>
          <w:color w:val="auto"/>
          <w:sz w:val="24"/>
        </w:rPr>
        <w:t>杭州电子科技大学</w:t>
      </w:r>
      <w:r>
        <w:rPr>
          <w:rFonts w:hint="eastAsia" w:hAnsi="宋体" w:cs="宋体"/>
          <w:color w:val="auto"/>
          <w:sz w:val="24"/>
          <w:u w:val="single"/>
        </w:rPr>
        <w:t xml:space="preserve"> 下沙、绍兴 </w:t>
      </w:r>
      <w:r>
        <w:rPr>
          <w:rFonts w:hint="eastAsia" w:hAnsi="宋体" w:cs="宋体"/>
          <w:color w:val="auto"/>
          <w:sz w:val="24"/>
        </w:rPr>
        <w:t>校区</w:t>
      </w:r>
      <w:bookmarkEnd w:id="413"/>
      <w:r>
        <w:rPr>
          <w:rFonts w:hint="eastAsia" w:hAnsi="宋体" w:cs="宋体"/>
          <w:color w:val="auto"/>
          <w:sz w:val="24"/>
        </w:rPr>
        <w:t>甲方指定地点。</w:t>
      </w:r>
    </w:p>
    <w:p w14:paraId="5AB595FE">
      <w:pPr>
        <w:spacing w:line="360" w:lineRule="auto"/>
        <w:ind w:firstLine="422" w:firstLineChars="175"/>
        <w:rPr>
          <w:rFonts w:hint="eastAsia"/>
          <w:color w:val="auto"/>
          <w:sz w:val="24"/>
        </w:rPr>
      </w:pPr>
      <w:r>
        <w:rPr>
          <w:rFonts w:hint="eastAsia" w:hAnsi="宋体" w:cs="宋体"/>
          <w:b/>
          <w:bCs/>
          <w:color w:val="auto"/>
          <w:sz w:val="24"/>
        </w:rPr>
        <w:t>4、</w:t>
      </w:r>
      <w:r>
        <w:rPr>
          <w:rFonts w:hint="eastAsia" w:ascii="宋体" w:hAnsi="宋体" w:cs="宋体"/>
          <w:b/>
          <w:bCs/>
          <w:color w:val="auto"/>
          <w:sz w:val="24"/>
        </w:rPr>
        <w:t>▲</w:t>
      </w:r>
      <w:r>
        <w:rPr>
          <w:rFonts w:hint="eastAsia" w:hAnsi="宋体" w:cs="宋体"/>
          <w:b/>
          <w:bCs/>
          <w:color w:val="auto"/>
          <w:sz w:val="24"/>
        </w:rPr>
        <w:t>质保期</w:t>
      </w:r>
      <w:r>
        <w:rPr>
          <w:rFonts w:hint="eastAsia" w:hAnsi="宋体" w:cs="宋体"/>
          <w:color w:val="auto"/>
          <w:sz w:val="24"/>
        </w:rPr>
        <w:t>：自验收合格之日起，质保期</w:t>
      </w:r>
      <w:r>
        <w:rPr>
          <w:rFonts w:hint="eastAsia" w:hAnsi="宋体" w:cs="宋体"/>
          <w:color w:val="auto"/>
          <w:sz w:val="24"/>
          <w:u w:val="single"/>
        </w:rPr>
        <w:t xml:space="preserve"> </w:t>
      </w:r>
      <w:r>
        <w:rPr>
          <w:rFonts w:hint="eastAsia" w:hAnsi="宋体" w:cs="宋体"/>
          <w:color w:val="auto"/>
          <w:sz w:val="24"/>
          <w:u w:val="single"/>
          <w:lang w:val="en-US" w:eastAsia="zh-CN"/>
        </w:rPr>
        <w:t>1</w:t>
      </w:r>
      <w:r>
        <w:rPr>
          <w:rFonts w:hint="eastAsia" w:hAnsi="宋体" w:cs="宋体"/>
          <w:color w:val="auto"/>
          <w:sz w:val="24"/>
          <w:u w:val="single"/>
        </w:rPr>
        <w:t xml:space="preserve"> </w:t>
      </w:r>
      <w:r>
        <w:rPr>
          <w:rFonts w:hint="eastAsia" w:hAnsi="宋体" w:cs="宋体"/>
          <w:color w:val="auto"/>
          <w:sz w:val="24"/>
        </w:rPr>
        <w:t>年。</w:t>
      </w:r>
    </w:p>
    <w:p w14:paraId="4B6D77B4">
      <w:pPr>
        <w:spacing w:line="360" w:lineRule="auto"/>
        <w:ind w:firstLine="422" w:firstLineChars="175"/>
        <w:rPr>
          <w:rFonts w:hint="eastAsia"/>
          <w:b/>
          <w:bCs/>
          <w:color w:val="auto"/>
          <w:sz w:val="24"/>
          <w:szCs w:val="24"/>
        </w:rPr>
      </w:pPr>
      <w:r>
        <w:rPr>
          <w:rFonts w:hint="eastAsia" w:hAnsi="宋体" w:cs="宋体"/>
          <w:b/>
          <w:bCs/>
          <w:color w:val="auto"/>
          <w:sz w:val="24"/>
        </w:rPr>
        <w:t>5、</w:t>
      </w:r>
      <w:r>
        <w:rPr>
          <w:rFonts w:hint="eastAsia" w:ascii="宋体" w:hAnsi="宋体" w:cs="宋体"/>
          <w:b/>
          <w:bCs/>
          <w:color w:val="auto"/>
          <w:sz w:val="24"/>
        </w:rPr>
        <w:t>▲</w:t>
      </w:r>
      <w:r>
        <w:rPr>
          <w:rFonts w:hint="eastAsia"/>
          <w:b/>
          <w:bCs/>
          <w:color w:val="auto"/>
          <w:sz w:val="24"/>
        </w:rPr>
        <w:t>付款方式</w:t>
      </w:r>
      <w:r>
        <w:rPr>
          <w:rFonts w:hint="eastAsia"/>
          <w:color w:val="auto"/>
          <w:sz w:val="24"/>
        </w:rPr>
        <w:t>：全部货物送达，经甲方验收合格，收到增值税专用发票后10个工作日内，甲方向乙方支付</w:t>
      </w:r>
      <w:r>
        <w:rPr>
          <w:rFonts w:hint="eastAsia"/>
          <w:color w:val="auto"/>
          <w:sz w:val="24"/>
          <w:lang w:val="en-US" w:eastAsia="zh-CN"/>
        </w:rPr>
        <w:t>货</w:t>
      </w:r>
      <w:r>
        <w:rPr>
          <w:rFonts w:hint="eastAsia"/>
          <w:color w:val="auto"/>
          <w:sz w:val="24"/>
        </w:rPr>
        <w:t>款</w:t>
      </w:r>
      <w:r>
        <w:rPr>
          <w:rFonts w:hint="eastAsia"/>
          <w:color w:val="auto"/>
          <w:sz w:val="24"/>
          <w:lang w:eastAsia="zh-CN"/>
        </w:rPr>
        <w:t>，</w:t>
      </w:r>
      <w:r>
        <w:rPr>
          <w:rFonts w:hint="eastAsia"/>
          <w:b/>
          <w:bCs/>
          <w:color w:val="auto"/>
          <w:sz w:val="24"/>
          <w:lang w:val="en-US" w:eastAsia="zh-CN"/>
        </w:rPr>
        <w:t>按成交折扣率据实结算</w:t>
      </w:r>
      <w:r>
        <w:rPr>
          <w:rFonts w:hint="eastAsia"/>
          <w:color w:val="auto"/>
          <w:sz w:val="24"/>
        </w:rPr>
        <w:t>。</w:t>
      </w:r>
    </w:p>
    <w:p w14:paraId="4FC0B213">
      <w:pPr>
        <w:spacing w:line="360" w:lineRule="auto"/>
        <w:ind w:firstLine="422" w:firstLineChars="175"/>
        <w:rPr>
          <w:rFonts w:hint="eastAsia" w:hAnsi="宋体" w:eastAsia="宋体" w:cs="宋体"/>
          <w:b/>
          <w:bCs/>
          <w:color w:val="auto"/>
          <w:sz w:val="24"/>
          <w:szCs w:val="22"/>
          <w:lang w:eastAsia="zh-CN"/>
        </w:rPr>
      </w:pPr>
      <w:r>
        <w:rPr>
          <w:rFonts w:hint="eastAsia" w:hAnsi="宋体" w:cs="宋体"/>
          <w:b/>
          <w:bCs/>
          <w:color w:val="auto"/>
          <w:sz w:val="24"/>
          <w:szCs w:val="22"/>
          <w:lang w:val="en-US" w:eastAsia="zh-CN"/>
        </w:rPr>
        <w:t>6、</w:t>
      </w:r>
      <w:r>
        <w:rPr>
          <w:rFonts w:hint="eastAsia" w:hAnsi="宋体" w:cs="宋体"/>
          <w:b/>
          <w:bCs/>
          <w:color w:val="auto"/>
          <w:sz w:val="24"/>
          <w:szCs w:val="22"/>
        </w:rPr>
        <w:t>评分标准及</w:t>
      </w:r>
      <w:r>
        <w:rPr>
          <w:rFonts w:hint="eastAsia" w:hAnsi="宋体" w:cs="宋体"/>
          <w:b/>
          <w:bCs/>
          <w:color w:val="auto"/>
          <w:sz w:val="24"/>
          <w:szCs w:val="22"/>
          <w:lang w:val="en-US" w:eastAsia="zh-CN"/>
        </w:rPr>
        <w:t>合同基本条款</w:t>
      </w:r>
      <w:r>
        <w:rPr>
          <w:rFonts w:hint="eastAsia" w:hAnsi="宋体" w:cs="宋体"/>
          <w:b/>
          <w:bCs/>
          <w:color w:val="auto"/>
          <w:sz w:val="24"/>
          <w:szCs w:val="22"/>
        </w:rPr>
        <w:t>中明确的其它相关要求</w:t>
      </w:r>
      <w:r>
        <w:rPr>
          <w:rFonts w:hint="eastAsia" w:hAnsi="宋体" w:cs="宋体"/>
          <w:b/>
          <w:bCs/>
          <w:color w:val="auto"/>
          <w:sz w:val="24"/>
          <w:szCs w:val="22"/>
          <w:lang w:eastAsia="zh-CN"/>
        </w:rPr>
        <w:t>。</w:t>
      </w:r>
    </w:p>
    <w:p w14:paraId="68EAB7D2">
      <w:pPr>
        <w:spacing w:line="288" w:lineRule="auto"/>
        <w:jc w:val="left"/>
        <w:rPr>
          <w:rStyle w:val="55"/>
          <w:color w:val="auto"/>
        </w:rPr>
      </w:pPr>
      <w:r>
        <w:rPr>
          <w:rFonts w:hint="eastAsia" w:ascii="宋体" w:hAnsi="宋体" w:cs="宋体"/>
          <w:color w:val="auto"/>
          <w:sz w:val="24"/>
          <w:szCs w:val="24"/>
        </w:rPr>
        <w:br w:type="page"/>
      </w:r>
    </w:p>
    <w:bookmarkEnd w:id="400"/>
    <w:bookmarkEnd w:id="401"/>
    <w:bookmarkEnd w:id="402"/>
    <w:bookmarkEnd w:id="403"/>
    <w:bookmarkEnd w:id="404"/>
    <w:bookmarkEnd w:id="405"/>
    <w:bookmarkEnd w:id="406"/>
    <w:bookmarkEnd w:id="407"/>
    <w:bookmarkEnd w:id="408"/>
    <w:p w14:paraId="5065B4F4">
      <w:pPr>
        <w:pStyle w:val="4"/>
        <w:bidi w:val="0"/>
        <w:outlineLvl w:val="0"/>
        <w:rPr>
          <w:rFonts w:hint="eastAsia"/>
          <w:color w:val="auto"/>
          <w:szCs w:val="22"/>
        </w:rPr>
      </w:pPr>
      <w:bookmarkStart w:id="414" w:name="_Toc29203"/>
      <w:bookmarkStart w:id="415" w:name="_Toc26662"/>
      <w:bookmarkStart w:id="416" w:name="_Toc19846"/>
      <w:bookmarkStart w:id="417" w:name="_Toc1851"/>
      <w:bookmarkStart w:id="418" w:name="_Toc8403"/>
      <w:bookmarkStart w:id="419" w:name="_Toc16392"/>
      <w:bookmarkStart w:id="420" w:name="_Toc18295"/>
      <w:bookmarkStart w:id="421" w:name="_Toc9292"/>
      <w:bookmarkStart w:id="422" w:name="_Toc3709"/>
      <w:bookmarkStart w:id="423" w:name="_Toc19657"/>
      <w:bookmarkStart w:id="424" w:name="_Toc18980"/>
      <w:bookmarkStart w:id="425" w:name="_Toc11774"/>
      <w:bookmarkStart w:id="426" w:name="_Toc13623"/>
      <w:bookmarkStart w:id="427" w:name="_Toc3339"/>
      <w:bookmarkStart w:id="428" w:name="_Toc17732"/>
      <w:bookmarkStart w:id="429" w:name="_Toc98"/>
      <w:bookmarkStart w:id="430" w:name="_Toc25130"/>
      <w:bookmarkStart w:id="431" w:name="_Toc11902"/>
      <w:bookmarkStart w:id="432" w:name="_Toc28691"/>
      <w:bookmarkStart w:id="433" w:name="_Toc12327"/>
      <w:r>
        <w:rPr>
          <w:rFonts w:hint="eastAsia"/>
          <w:color w:val="auto"/>
          <w:szCs w:val="22"/>
        </w:rPr>
        <w:t>第四部分 评审办法与评分标准</w:t>
      </w:r>
      <w:bookmarkEnd w:id="414"/>
    </w:p>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14:paraId="4A3FD503">
      <w:pPr>
        <w:pStyle w:val="6"/>
        <w:ind w:left="0" w:firstLine="0"/>
        <w:outlineLvl w:val="1"/>
        <w:rPr>
          <w:color w:val="auto"/>
        </w:rPr>
      </w:pPr>
      <w:bookmarkStart w:id="434" w:name="_Toc11874"/>
      <w:r>
        <w:rPr>
          <w:rFonts w:hint="eastAsia"/>
          <w:color w:val="auto"/>
        </w:rPr>
        <w:t>一、评审方法</w:t>
      </w:r>
      <w:bookmarkEnd w:id="434"/>
    </w:p>
    <w:p w14:paraId="0FB0B980">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51F96EE1">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09963608">
      <w:pPr>
        <w:adjustRightInd w:val="0"/>
        <w:snapToGrid w:val="0"/>
        <w:spacing w:line="288" w:lineRule="auto"/>
        <w:ind w:firstLine="480" w:firstLineChars="200"/>
        <w:rPr>
          <w:color w:val="auto"/>
          <w:sz w:val="24"/>
          <w:szCs w:val="24"/>
        </w:rPr>
      </w:pPr>
      <w:r>
        <w:rPr>
          <w:rFonts w:hint="eastAsia"/>
          <w:color w:val="auto"/>
          <w:sz w:val="24"/>
          <w:szCs w:val="24"/>
        </w:rPr>
        <w:t>商</w:t>
      </w:r>
      <w:r>
        <w:rPr>
          <w:rFonts w:hint="eastAsia"/>
          <w:color w:val="auto"/>
          <w:sz w:val="24"/>
          <w:szCs w:val="24"/>
        </w:rPr>
        <w:t>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193914B5">
      <w:pPr>
        <w:pStyle w:val="6"/>
        <w:ind w:left="0" w:firstLine="0"/>
        <w:outlineLvl w:val="1"/>
        <w:rPr>
          <w:rFonts w:hint="eastAsia"/>
          <w:color w:val="auto"/>
          <w:szCs w:val="22"/>
        </w:rPr>
      </w:pPr>
      <w:bookmarkStart w:id="435" w:name="_Toc12721"/>
      <w:r>
        <w:rPr>
          <w:rFonts w:hint="eastAsia"/>
          <w:color w:val="auto"/>
          <w:szCs w:val="22"/>
          <w:lang w:val="en-US" w:eastAsia="zh-CN"/>
        </w:rPr>
        <w:t>二、</w:t>
      </w:r>
      <w:r>
        <w:rPr>
          <w:rFonts w:hint="eastAsia"/>
          <w:color w:val="auto"/>
          <w:szCs w:val="22"/>
        </w:rPr>
        <w:t>评审标准</w:t>
      </w:r>
      <w:bookmarkEnd w:id="435"/>
    </w:p>
    <w:tbl>
      <w:tblPr>
        <w:tblStyle w:val="4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765"/>
        <w:gridCol w:w="6907"/>
      </w:tblGrid>
      <w:tr w14:paraId="2AE6E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84" w:type="dxa"/>
            <w:shd w:val="clear" w:color="auto" w:fill="auto"/>
            <w:noWrap w:val="0"/>
            <w:vAlign w:val="center"/>
          </w:tcPr>
          <w:p w14:paraId="27899626">
            <w:pPr>
              <w:adjustRightInd w:val="0"/>
              <w:snapToGrid w:val="0"/>
              <w:spacing w:line="288" w:lineRule="auto"/>
              <w:jc w:val="center"/>
              <w:rPr>
                <w:b/>
                <w:bCs/>
                <w:color w:val="auto"/>
                <w:sz w:val="24"/>
              </w:rPr>
            </w:pPr>
            <w:r>
              <w:rPr>
                <w:rFonts w:hint="eastAsia"/>
                <w:b/>
                <w:bCs/>
                <w:color w:val="auto"/>
                <w:sz w:val="24"/>
              </w:rPr>
              <w:t>评审因素</w:t>
            </w:r>
          </w:p>
        </w:tc>
        <w:tc>
          <w:tcPr>
            <w:tcW w:w="765" w:type="dxa"/>
            <w:shd w:val="clear" w:color="auto" w:fill="auto"/>
            <w:noWrap w:val="0"/>
            <w:vAlign w:val="center"/>
          </w:tcPr>
          <w:p w14:paraId="5E0C2352">
            <w:pPr>
              <w:adjustRightInd w:val="0"/>
              <w:snapToGrid w:val="0"/>
              <w:spacing w:line="288" w:lineRule="auto"/>
              <w:jc w:val="center"/>
              <w:rPr>
                <w:b/>
                <w:bCs/>
                <w:color w:val="auto"/>
                <w:sz w:val="24"/>
              </w:rPr>
            </w:pPr>
            <w:r>
              <w:rPr>
                <w:rFonts w:hint="eastAsia"/>
                <w:b/>
                <w:bCs/>
                <w:color w:val="auto"/>
                <w:sz w:val="24"/>
              </w:rPr>
              <w:t>分值</w:t>
            </w:r>
          </w:p>
        </w:tc>
        <w:tc>
          <w:tcPr>
            <w:tcW w:w="6907" w:type="dxa"/>
            <w:shd w:val="clear" w:color="auto" w:fill="auto"/>
            <w:noWrap w:val="0"/>
            <w:vAlign w:val="center"/>
          </w:tcPr>
          <w:p w14:paraId="0FDEA579">
            <w:pPr>
              <w:adjustRightInd w:val="0"/>
              <w:snapToGrid w:val="0"/>
              <w:spacing w:line="288" w:lineRule="auto"/>
              <w:jc w:val="center"/>
              <w:rPr>
                <w:b/>
                <w:bCs/>
                <w:color w:val="auto"/>
                <w:sz w:val="24"/>
              </w:rPr>
            </w:pPr>
            <w:r>
              <w:rPr>
                <w:rFonts w:hint="eastAsia"/>
                <w:b/>
                <w:bCs/>
                <w:color w:val="auto"/>
                <w:sz w:val="24"/>
              </w:rPr>
              <w:t>评分细则</w:t>
            </w:r>
          </w:p>
        </w:tc>
      </w:tr>
      <w:tr w14:paraId="7CF60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shd w:val="clear" w:color="auto" w:fill="auto"/>
            <w:noWrap w:val="0"/>
            <w:vAlign w:val="center"/>
          </w:tcPr>
          <w:p w14:paraId="6A057CCF">
            <w:pPr>
              <w:adjustRightInd w:val="0"/>
              <w:snapToGrid w:val="0"/>
              <w:spacing w:line="288" w:lineRule="auto"/>
              <w:rPr>
                <w:color w:val="auto"/>
                <w:sz w:val="24"/>
              </w:rPr>
            </w:pPr>
            <w:r>
              <w:rPr>
                <w:rFonts w:hint="eastAsia"/>
                <w:b/>
                <w:bCs/>
                <w:color w:val="auto"/>
                <w:sz w:val="24"/>
              </w:rPr>
              <w:t>价格分（</w:t>
            </w:r>
            <w:r>
              <w:rPr>
                <w:b/>
                <w:bCs/>
                <w:color w:val="auto"/>
                <w:sz w:val="24"/>
              </w:rPr>
              <w:t>30</w:t>
            </w:r>
            <w:r>
              <w:rPr>
                <w:rFonts w:hint="eastAsia"/>
                <w:b/>
                <w:bCs/>
                <w:color w:val="auto"/>
                <w:sz w:val="24"/>
              </w:rPr>
              <w:t>）</w:t>
            </w:r>
          </w:p>
        </w:tc>
      </w:tr>
      <w:tr w14:paraId="00444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trPr>
        <w:tc>
          <w:tcPr>
            <w:tcW w:w="1684" w:type="dxa"/>
            <w:shd w:val="clear" w:color="auto" w:fill="auto"/>
            <w:noWrap w:val="0"/>
            <w:vAlign w:val="center"/>
          </w:tcPr>
          <w:p w14:paraId="51143590">
            <w:pPr>
              <w:adjustRightInd w:val="0"/>
              <w:snapToGrid w:val="0"/>
              <w:spacing w:line="288" w:lineRule="auto"/>
              <w:jc w:val="center"/>
              <w:rPr>
                <w:b/>
                <w:bCs/>
                <w:color w:val="auto"/>
                <w:sz w:val="24"/>
              </w:rPr>
            </w:pPr>
            <w:r>
              <w:rPr>
                <w:rFonts w:hint="eastAsia"/>
                <w:b/>
                <w:bCs/>
                <w:color w:val="auto"/>
                <w:sz w:val="24"/>
              </w:rPr>
              <w:t>最后磋商报价</w:t>
            </w:r>
          </w:p>
        </w:tc>
        <w:tc>
          <w:tcPr>
            <w:tcW w:w="765" w:type="dxa"/>
            <w:shd w:val="clear" w:color="auto" w:fill="auto"/>
            <w:noWrap w:val="0"/>
            <w:vAlign w:val="center"/>
          </w:tcPr>
          <w:p w14:paraId="161B2FB0">
            <w:pPr>
              <w:adjustRightInd w:val="0"/>
              <w:snapToGrid w:val="0"/>
              <w:spacing w:line="288" w:lineRule="auto"/>
              <w:jc w:val="center"/>
              <w:rPr>
                <w:b/>
                <w:bCs/>
                <w:color w:val="auto"/>
                <w:sz w:val="24"/>
              </w:rPr>
            </w:pPr>
            <w:r>
              <w:rPr>
                <w:b/>
                <w:bCs/>
                <w:color w:val="auto"/>
                <w:sz w:val="24"/>
              </w:rPr>
              <w:t>30</w:t>
            </w:r>
          </w:p>
        </w:tc>
        <w:tc>
          <w:tcPr>
            <w:tcW w:w="6907" w:type="dxa"/>
            <w:shd w:val="clear" w:color="auto" w:fill="auto"/>
            <w:noWrap w:val="0"/>
            <w:vAlign w:val="center"/>
          </w:tcPr>
          <w:p w14:paraId="79A4FB82">
            <w:pPr>
              <w:adjustRightInd w:val="0"/>
              <w:snapToGrid w:val="0"/>
              <w:spacing w:line="288" w:lineRule="auto"/>
              <w:rPr>
                <w:color w:val="auto"/>
                <w:sz w:val="24"/>
              </w:rPr>
            </w:pPr>
            <w:r>
              <w:rPr>
                <w:rFonts w:hint="eastAsia"/>
                <w:color w:val="auto"/>
                <w:sz w:val="24"/>
              </w:rPr>
              <w:t>价格分统一采用低价优先法计算，即满足磋商文件要求且最后报价最低的供应商的价格为磋商基准价，其价格分为满分。其他供应商的价格分统一按照下列公式计算：</w:t>
            </w:r>
          </w:p>
          <w:p w14:paraId="0B4C84FE">
            <w:pPr>
              <w:adjustRightInd w:val="0"/>
              <w:snapToGrid w:val="0"/>
              <w:spacing w:line="288" w:lineRule="auto"/>
              <w:rPr>
                <w:color w:val="auto"/>
              </w:rPr>
            </w:pPr>
            <w:r>
              <w:rPr>
                <w:rFonts w:hint="eastAsia"/>
                <w:color w:val="auto"/>
                <w:sz w:val="24"/>
              </w:rPr>
              <w:t>磋商报价得分</w:t>
            </w:r>
            <w:r>
              <w:rPr>
                <w:color w:val="auto"/>
                <w:sz w:val="24"/>
              </w:rPr>
              <w:t>=（磋商基准价/最后磋商报价）×</w:t>
            </w:r>
            <w:r>
              <w:rPr>
                <w:rFonts w:hint="eastAsia"/>
                <w:color w:val="auto"/>
                <w:sz w:val="24"/>
                <w:u w:val="single"/>
              </w:rPr>
              <w:t xml:space="preserve"> </w:t>
            </w:r>
            <w:r>
              <w:rPr>
                <w:color w:val="auto"/>
                <w:sz w:val="24"/>
                <w:u w:val="single"/>
              </w:rPr>
              <w:t>30</w:t>
            </w:r>
            <w:r>
              <w:rPr>
                <w:rFonts w:hint="eastAsia"/>
                <w:color w:val="auto"/>
                <w:sz w:val="24"/>
                <w:u w:val="single"/>
              </w:rPr>
              <w:t xml:space="preserve"> </w:t>
            </w:r>
            <w:r>
              <w:rPr>
                <w:rFonts w:hint="eastAsia"/>
                <w:color w:val="auto"/>
                <w:sz w:val="24"/>
              </w:rPr>
              <w:t>%×100。</w:t>
            </w:r>
          </w:p>
        </w:tc>
      </w:tr>
      <w:tr w14:paraId="40DB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shd w:val="clear" w:color="auto" w:fill="auto"/>
            <w:vAlign w:val="center"/>
          </w:tcPr>
          <w:p w14:paraId="19AA1A71">
            <w:pPr>
              <w:adjustRightInd w:val="0"/>
              <w:snapToGrid w:val="0"/>
              <w:spacing w:line="288" w:lineRule="auto"/>
              <w:rPr>
                <w:color w:val="auto"/>
                <w:sz w:val="24"/>
              </w:rPr>
            </w:pPr>
            <w:r>
              <w:rPr>
                <w:rFonts w:hint="eastAsia"/>
                <w:b/>
                <w:bCs/>
                <w:color w:val="auto"/>
                <w:sz w:val="24"/>
              </w:rPr>
              <w:t>商务分与技术分（</w:t>
            </w:r>
            <w:r>
              <w:rPr>
                <w:b/>
                <w:bCs/>
                <w:color w:val="auto"/>
                <w:sz w:val="24"/>
              </w:rPr>
              <w:t>70</w:t>
            </w:r>
            <w:r>
              <w:rPr>
                <w:rFonts w:hint="eastAsia"/>
                <w:b/>
                <w:bCs/>
                <w:color w:val="auto"/>
                <w:sz w:val="24"/>
              </w:rPr>
              <w:t>）</w:t>
            </w:r>
          </w:p>
        </w:tc>
      </w:tr>
      <w:tr w14:paraId="6B702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84" w:type="dxa"/>
            <w:shd w:val="clear" w:color="auto" w:fill="auto"/>
            <w:vAlign w:val="center"/>
          </w:tcPr>
          <w:p w14:paraId="2E6B3C7D">
            <w:pPr>
              <w:adjustRightInd w:val="0"/>
              <w:snapToGrid w:val="0"/>
              <w:spacing w:line="288" w:lineRule="auto"/>
              <w:jc w:val="center"/>
              <w:rPr>
                <w:rFonts w:hint="default" w:eastAsia="宋体"/>
                <w:b/>
                <w:bCs/>
                <w:color w:val="auto"/>
                <w:sz w:val="24"/>
                <w:lang w:val="en-US" w:eastAsia="zh-CN"/>
              </w:rPr>
            </w:pPr>
            <w:r>
              <w:rPr>
                <w:rFonts w:hint="eastAsia"/>
                <w:b/>
                <w:bCs/>
                <w:color w:val="auto"/>
                <w:sz w:val="24"/>
                <w:lang w:val="en-US" w:eastAsia="zh-CN"/>
              </w:rPr>
              <w:t>响应方实力</w:t>
            </w:r>
          </w:p>
        </w:tc>
        <w:tc>
          <w:tcPr>
            <w:tcW w:w="765" w:type="dxa"/>
            <w:shd w:val="clear" w:color="auto" w:fill="auto"/>
            <w:vAlign w:val="center"/>
          </w:tcPr>
          <w:p w14:paraId="7B835044">
            <w:pPr>
              <w:adjustRightInd w:val="0"/>
              <w:snapToGrid w:val="0"/>
              <w:spacing w:line="288" w:lineRule="auto"/>
              <w:jc w:val="center"/>
              <w:rPr>
                <w:b/>
                <w:bCs/>
                <w:color w:val="auto"/>
                <w:sz w:val="24"/>
              </w:rPr>
            </w:pPr>
            <w:r>
              <w:rPr>
                <w:b/>
                <w:bCs/>
                <w:color w:val="auto"/>
                <w:sz w:val="24"/>
              </w:rPr>
              <w:t>2</w:t>
            </w:r>
          </w:p>
        </w:tc>
        <w:tc>
          <w:tcPr>
            <w:tcW w:w="6907" w:type="dxa"/>
            <w:shd w:val="clear" w:color="auto" w:fill="auto"/>
            <w:vAlign w:val="center"/>
          </w:tcPr>
          <w:p w14:paraId="38A2542F">
            <w:pPr>
              <w:adjustRightInd w:val="0"/>
              <w:snapToGrid w:val="0"/>
              <w:spacing w:line="288" w:lineRule="auto"/>
              <w:rPr>
                <w:color w:val="auto"/>
                <w:sz w:val="24"/>
              </w:rPr>
            </w:pPr>
            <w:r>
              <w:rPr>
                <w:rFonts w:hint="eastAsia"/>
                <w:color w:val="auto"/>
                <w:sz w:val="24"/>
                <w:lang w:val="en-US" w:eastAsia="zh-CN"/>
              </w:rPr>
              <w:t>响应方</w:t>
            </w:r>
            <w:r>
              <w:rPr>
                <w:rFonts w:hint="eastAsia"/>
                <w:color w:val="auto"/>
                <w:sz w:val="24"/>
              </w:rPr>
              <w:t>具有质量管理体系ISO9001认证证书、信息安全管理体系认证证书ISO/IEC 27001:2022认证证书的，每提供一份得1分，最高得2分。</w:t>
            </w:r>
            <w:r>
              <w:rPr>
                <w:rFonts w:hint="eastAsia"/>
                <w:color w:val="auto"/>
                <w:sz w:val="24"/>
                <w:lang w:val="en-US" w:eastAsia="zh-CN"/>
              </w:rPr>
              <w:t>须</w:t>
            </w:r>
            <w:r>
              <w:rPr>
                <w:rFonts w:hint="eastAsia"/>
                <w:color w:val="auto"/>
                <w:sz w:val="24"/>
              </w:rPr>
              <w:t>提供证书复印件</w:t>
            </w:r>
            <w:r>
              <w:rPr>
                <w:rFonts w:hint="eastAsia"/>
                <w:color w:val="auto"/>
                <w:sz w:val="24"/>
                <w:lang w:eastAsia="zh-CN"/>
              </w:rPr>
              <w:t>、</w:t>
            </w:r>
            <w:r>
              <w:rPr>
                <w:rFonts w:hint="eastAsia"/>
                <w:color w:val="auto"/>
                <w:sz w:val="24"/>
              </w:rPr>
              <w:t>供认监委网站或全国认证认可信息公共服务平台网站对体系证书的信息查询截图，</w:t>
            </w:r>
            <w:r>
              <w:rPr>
                <w:rFonts w:hint="eastAsia"/>
                <w:color w:val="auto"/>
                <w:sz w:val="24"/>
                <w:lang w:val="en-US" w:eastAsia="zh-CN"/>
              </w:rPr>
              <w:t>并</w:t>
            </w:r>
            <w:r>
              <w:rPr>
                <w:rFonts w:hint="eastAsia"/>
                <w:color w:val="auto"/>
                <w:sz w:val="24"/>
              </w:rPr>
              <w:t>加盖</w:t>
            </w:r>
            <w:r>
              <w:rPr>
                <w:rFonts w:hint="eastAsia"/>
                <w:color w:val="auto"/>
                <w:sz w:val="24"/>
                <w:lang w:val="en-US" w:eastAsia="zh-CN"/>
              </w:rPr>
              <w:t>响应方</w:t>
            </w:r>
            <w:r>
              <w:rPr>
                <w:rFonts w:hint="eastAsia"/>
                <w:color w:val="auto"/>
                <w:sz w:val="24"/>
              </w:rPr>
              <w:t>公章。</w:t>
            </w:r>
            <w:r>
              <w:rPr>
                <w:rFonts w:hint="eastAsia" w:ascii="宋体" w:hAnsi="宋体" w:cs="宋体"/>
                <w:b/>
                <w:bCs/>
                <w:color w:val="auto"/>
                <w:sz w:val="24"/>
                <w:lang w:bidi="ar"/>
              </w:rPr>
              <w:t>【客观分】</w:t>
            </w:r>
          </w:p>
        </w:tc>
      </w:tr>
      <w:tr w14:paraId="0AF9E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84" w:type="dxa"/>
            <w:shd w:val="clear" w:color="auto" w:fill="auto"/>
            <w:vAlign w:val="center"/>
          </w:tcPr>
          <w:p w14:paraId="40A60735">
            <w:pPr>
              <w:adjustRightInd w:val="0"/>
              <w:snapToGrid w:val="0"/>
              <w:spacing w:line="288" w:lineRule="auto"/>
              <w:jc w:val="center"/>
              <w:rPr>
                <w:b/>
                <w:bCs/>
                <w:color w:val="auto"/>
                <w:sz w:val="24"/>
              </w:rPr>
            </w:pPr>
            <w:r>
              <w:rPr>
                <w:rFonts w:hint="eastAsia"/>
                <w:b/>
                <w:bCs/>
                <w:color w:val="auto"/>
                <w:sz w:val="24"/>
                <w:lang w:val="en-US" w:eastAsia="zh-CN"/>
              </w:rPr>
              <w:t>响应方</w:t>
            </w:r>
            <w:r>
              <w:rPr>
                <w:rFonts w:hint="eastAsia"/>
                <w:b/>
                <w:bCs/>
                <w:color w:val="auto"/>
                <w:sz w:val="24"/>
              </w:rPr>
              <w:t>业绩</w:t>
            </w:r>
          </w:p>
        </w:tc>
        <w:tc>
          <w:tcPr>
            <w:tcW w:w="765" w:type="dxa"/>
            <w:shd w:val="clear" w:color="auto" w:fill="auto"/>
            <w:vAlign w:val="center"/>
          </w:tcPr>
          <w:p w14:paraId="539D7AF6">
            <w:pPr>
              <w:adjustRightInd w:val="0"/>
              <w:snapToGrid w:val="0"/>
              <w:spacing w:line="288" w:lineRule="auto"/>
              <w:jc w:val="center"/>
              <w:rPr>
                <w:b/>
                <w:bCs/>
                <w:color w:val="auto"/>
                <w:sz w:val="24"/>
              </w:rPr>
            </w:pPr>
            <w:r>
              <w:rPr>
                <w:b/>
                <w:bCs/>
                <w:color w:val="auto"/>
                <w:sz w:val="24"/>
              </w:rPr>
              <w:t>3</w:t>
            </w:r>
          </w:p>
        </w:tc>
        <w:tc>
          <w:tcPr>
            <w:tcW w:w="6907" w:type="dxa"/>
            <w:shd w:val="clear" w:color="auto" w:fill="auto"/>
            <w:vAlign w:val="center"/>
          </w:tcPr>
          <w:p w14:paraId="409AFB4C">
            <w:pPr>
              <w:adjustRightInd w:val="0"/>
              <w:snapToGrid w:val="0"/>
              <w:spacing w:line="288" w:lineRule="auto"/>
              <w:rPr>
                <w:rFonts w:ascii="宋体" w:hAnsi="宋体"/>
                <w:color w:val="auto"/>
                <w:sz w:val="24"/>
              </w:rPr>
            </w:pPr>
            <w:r>
              <w:rPr>
                <w:rFonts w:hint="eastAsia" w:ascii="宋体" w:hAnsi="宋体"/>
                <w:color w:val="auto"/>
                <w:sz w:val="24"/>
              </w:rPr>
              <w:t>2023年1月1日以来（以合同签订时间为准）响应方具有类似图书馆借购类中文纸质图书供货合同业绩，每提供1份得0.5分，最高得3分。</w:t>
            </w:r>
            <w:r>
              <w:rPr>
                <w:rFonts w:hint="eastAsia" w:ascii="宋体" w:hAnsi="宋体" w:cs="宋体"/>
                <w:color w:val="auto"/>
                <w:spacing w:val="-6"/>
                <w:sz w:val="24"/>
                <w:lang w:val="en-US" w:eastAsia="zh-CN"/>
              </w:rPr>
              <w:t>须</w:t>
            </w:r>
            <w:r>
              <w:rPr>
                <w:rFonts w:hint="eastAsia" w:ascii="宋体" w:hAnsi="宋体" w:cs="宋体"/>
                <w:color w:val="auto"/>
                <w:spacing w:val="-6"/>
                <w:sz w:val="24"/>
              </w:rPr>
              <w:t>提供合同复印件加盖响应方公章。</w:t>
            </w:r>
            <w:r>
              <w:rPr>
                <w:rFonts w:hint="eastAsia" w:ascii="宋体" w:hAnsi="宋体" w:cs="宋体"/>
                <w:b/>
                <w:bCs/>
                <w:color w:val="auto"/>
                <w:sz w:val="24"/>
                <w:lang w:bidi="ar"/>
              </w:rPr>
              <w:t>【客观分】</w:t>
            </w:r>
          </w:p>
        </w:tc>
      </w:tr>
      <w:tr w14:paraId="7A09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84" w:type="dxa"/>
            <w:shd w:val="clear" w:color="auto" w:fill="auto"/>
            <w:vAlign w:val="center"/>
          </w:tcPr>
          <w:p w14:paraId="6599414E">
            <w:pPr>
              <w:adjustRightInd w:val="0"/>
              <w:snapToGrid w:val="0"/>
              <w:spacing w:line="288" w:lineRule="auto"/>
              <w:jc w:val="center"/>
              <w:rPr>
                <w:rFonts w:hint="default" w:eastAsia="宋体"/>
                <w:b/>
                <w:bCs/>
                <w:color w:val="auto"/>
                <w:sz w:val="24"/>
                <w:lang w:val="en-US" w:eastAsia="zh-CN"/>
              </w:rPr>
            </w:pPr>
            <w:r>
              <w:rPr>
                <w:rFonts w:hint="eastAsia"/>
                <w:b/>
                <w:bCs/>
                <w:color w:val="auto"/>
                <w:sz w:val="24"/>
              </w:rPr>
              <w:t>技术</w:t>
            </w:r>
            <w:r>
              <w:rPr>
                <w:rFonts w:hint="eastAsia"/>
                <w:b/>
                <w:bCs/>
                <w:color w:val="auto"/>
                <w:sz w:val="24"/>
                <w:lang w:val="en-US" w:eastAsia="zh-CN"/>
              </w:rPr>
              <w:t>服务</w:t>
            </w:r>
            <w:r>
              <w:rPr>
                <w:rFonts w:hint="eastAsia"/>
                <w:b/>
                <w:bCs/>
                <w:color w:val="auto"/>
                <w:sz w:val="24"/>
              </w:rPr>
              <w:t>响应程度</w:t>
            </w:r>
          </w:p>
        </w:tc>
        <w:tc>
          <w:tcPr>
            <w:tcW w:w="765" w:type="dxa"/>
            <w:shd w:val="clear" w:color="auto" w:fill="auto"/>
            <w:vAlign w:val="center"/>
          </w:tcPr>
          <w:p w14:paraId="63713F7F">
            <w:pPr>
              <w:adjustRightInd w:val="0"/>
              <w:snapToGrid w:val="0"/>
              <w:spacing w:line="288" w:lineRule="auto"/>
              <w:jc w:val="center"/>
              <w:rPr>
                <w:b/>
                <w:bCs/>
                <w:color w:val="auto"/>
                <w:sz w:val="24"/>
              </w:rPr>
            </w:pPr>
            <w:r>
              <w:rPr>
                <w:rFonts w:hint="eastAsia"/>
                <w:b/>
                <w:bCs/>
                <w:color w:val="auto"/>
                <w:sz w:val="24"/>
              </w:rPr>
              <w:t>2</w:t>
            </w:r>
            <w:r>
              <w:rPr>
                <w:b/>
                <w:bCs/>
                <w:color w:val="auto"/>
                <w:sz w:val="24"/>
              </w:rPr>
              <w:t>7</w:t>
            </w:r>
          </w:p>
        </w:tc>
        <w:tc>
          <w:tcPr>
            <w:tcW w:w="6907" w:type="dxa"/>
            <w:shd w:val="clear" w:color="auto" w:fill="auto"/>
            <w:vAlign w:val="center"/>
          </w:tcPr>
          <w:p w14:paraId="39ED282F">
            <w:pPr>
              <w:adjustRightInd w:val="0"/>
              <w:snapToGrid w:val="0"/>
              <w:spacing w:line="288" w:lineRule="auto"/>
              <w:rPr>
                <w:rFonts w:ascii="宋体" w:hAnsi="宋体" w:cs="宋体"/>
                <w:color w:val="auto"/>
                <w:spacing w:val="-6"/>
                <w:sz w:val="24"/>
              </w:rPr>
            </w:pPr>
            <w:r>
              <w:rPr>
                <w:rFonts w:hint="eastAsia" w:ascii="宋体" w:hAnsi="宋体"/>
                <w:color w:val="auto"/>
                <w:sz w:val="24"/>
              </w:rPr>
              <w:t>满足</w:t>
            </w:r>
            <w:r>
              <w:rPr>
                <w:rFonts w:hint="eastAsia" w:ascii="宋体" w:hAnsi="宋体"/>
                <w:color w:val="auto"/>
                <w:sz w:val="24"/>
                <w:lang w:val="en-US" w:eastAsia="zh-CN"/>
              </w:rPr>
              <w:t>磋商</w:t>
            </w:r>
            <w:r>
              <w:rPr>
                <w:rFonts w:hint="eastAsia" w:ascii="宋体" w:hAnsi="宋体"/>
                <w:color w:val="auto"/>
                <w:sz w:val="24"/>
              </w:rPr>
              <w:t>文件明确的全部技术</w:t>
            </w:r>
            <w:r>
              <w:rPr>
                <w:rFonts w:hint="eastAsia" w:ascii="宋体" w:hAnsi="宋体"/>
                <w:color w:val="auto"/>
                <w:sz w:val="24"/>
                <w:lang w:val="en-US" w:eastAsia="zh-CN"/>
              </w:rPr>
              <w:t>服务</w:t>
            </w:r>
            <w:r>
              <w:rPr>
                <w:rFonts w:hint="eastAsia" w:ascii="宋体" w:hAnsi="宋体"/>
                <w:color w:val="auto"/>
                <w:sz w:val="24"/>
              </w:rPr>
              <w:t>要求</w:t>
            </w:r>
            <w:r>
              <w:rPr>
                <w:rFonts w:hint="eastAsia" w:ascii="宋体" w:hAnsi="宋体"/>
                <w:color w:val="auto"/>
                <w:sz w:val="24"/>
                <w:lang w:val="en-US" w:eastAsia="zh-CN"/>
              </w:rPr>
              <w:t>的</w:t>
            </w:r>
            <w:r>
              <w:rPr>
                <w:rFonts w:hint="eastAsia" w:ascii="宋体" w:hAnsi="宋体"/>
                <w:color w:val="auto"/>
                <w:sz w:val="24"/>
              </w:rPr>
              <w:t>得满分</w:t>
            </w:r>
            <w:r>
              <w:rPr>
                <w:rFonts w:hint="eastAsia" w:ascii="宋体" w:hAnsi="宋体"/>
                <w:color w:val="auto"/>
                <w:sz w:val="24"/>
                <w:lang w:eastAsia="zh-CN"/>
              </w:rPr>
              <w:t>，</w:t>
            </w:r>
            <w:r>
              <w:rPr>
                <w:rFonts w:hint="eastAsia" w:ascii="宋体" w:hAnsi="宋体"/>
                <w:color w:val="auto"/>
                <w:sz w:val="24"/>
              </w:rPr>
              <w:t>低于要求（负偏离）的每项扣3分</w:t>
            </w:r>
            <w:r>
              <w:rPr>
                <w:rFonts w:hint="eastAsia" w:ascii="宋体" w:hAnsi="宋体"/>
                <w:color w:val="auto"/>
                <w:sz w:val="24"/>
                <w:lang w:eastAsia="zh-CN"/>
              </w:rPr>
              <w:t>，</w:t>
            </w:r>
            <w:r>
              <w:rPr>
                <w:rFonts w:hint="eastAsia" w:ascii="宋体" w:hAnsi="宋体"/>
                <w:color w:val="auto"/>
                <w:sz w:val="24"/>
                <w:lang w:val="en-US" w:eastAsia="zh-CN"/>
              </w:rPr>
              <w:t>扣完为止。本项最高27分</w:t>
            </w:r>
            <w:r>
              <w:rPr>
                <w:rFonts w:hint="eastAsia" w:ascii="宋体" w:hAnsi="宋体"/>
                <w:color w:val="auto"/>
                <w:sz w:val="24"/>
              </w:rPr>
              <w:t>。</w:t>
            </w:r>
            <w:r>
              <w:rPr>
                <w:rFonts w:hint="eastAsia" w:ascii="宋体" w:hAnsi="宋体" w:cs="宋体"/>
                <w:b/>
                <w:bCs/>
                <w:color w:val="auto"/>
                <w:sz w:val="24"/>
                <w:lang w:bidi="ar"/>
              </w:rPr>
              <w:t>【客观分】</w:t>
            </w:r>
          </w:p>
        </w:tc>
      </w:tr>
      <w:tr w14:paraId="5F028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84" w:type="dxa"/>
            <w:shd w:val="clear" w:color="auto" w:fill="auto"/>
            <w:vAlign w:val="center"/>
          </w:tcPr>
          <w:p w14:paraId="4B410F01">
            <w:pPr>
              <w:adjustRightInd w:val="0"/>
              <w:snapToGrid w:val="0"/>
              <w:spacing w:line="288" w:lineRule="auto"/>
              <w:jc w:val="center"/>
              <w:rPr>
                <w:b/>
                <w:bCs/>
                <w:color w:val="auto"/>
                <w:sz w:val="24"/>
              </w:rPr>
            </w:pPr>
            <w:r>
              <w:rPr>
                <w:rFonts w:hint="eastAsia"/>
                <w:b/>
                <w:bCs/>
                <w:color w:val="auto"/>
                <w:sz w:val="24"/>
              </w:rPr>
              <w:t>平台实践功能</w:t>
            </w:r>
          </w:p>
        </w:tc>
        <w:tc>
          <w:tcPr>
            <w:tcW w:w="765" w:type="dxa"/>
            <w:shd w:val="clear" w:color="auto" w:fill="auto"/>
            <w:vAlign w:val="center"/>
          </w:tcPr>
          <w:p w14:paraId="25C23096">
            <w:pPr>
              <w:adjustRightInd w:val="0"/>
              <w:snapToGrid w:val="0"/>
              <w:spacing w:line="288" w:lineRule="auto"/>
              <w:jc w:val="center"/>
              <w:rPr>
                <w:b/>
                <w:bCs/>
                <w:color w:val="auto"/>
                <w:sz w:val="24"/>
              </w:rPr>
            </w:pPr>
            <w:r>
              <w:rPr>
                <w:rFonts w:hint="eastAsia"/>
                <w:b/>
                <w:bCs/>
                <w:color w:val="auto"/>
                <w:sz w:val="24"/>
              </w:rPr>
              <w:t>6</w:t>
            </w:r>
          </w:p>
        </w:tc>
        <w:tc>
          <w:tcPr>
            <w:tcW w:w="6907" w:type="dxa"/>
            <w:shd w:val="clear" w:color="auto" w:fill="auto"/>
            <w:vAlign w:val="center"/>
          </w:tcPr>
          <w:p w14:paraId="619BAB19">
            <w:pPr>
              <w:adjustRightInd w:val="0"/>
              <w:snapToGrid w:val="0"/>
              <w:spacing w:line="288" w:lineRule="auto"/>
              <w:rPr>
                <w:rFonts w:ascii="宋体" w:hAnsi="宋体"/>
                <w:color w:val="auto"/>
                <w:sz w:val="24"/>
              </w:rPr>
            </w:pPr>
            <w:r>
              <w:rPr>
                <w:rFonts w:hint="eastAsia" w:ascii="宋体" w:hAnsi="宋体"/>
                <w:color w:val="auto"/>
                <w:sz w:val="24"/>
              </w:rPr>
              <w:t>1.提供每周7*24小时服务功能</w:t>
            </w:r>
            <w:r>
              <w:rPr>
                <w:rFonts w:hint="eastAsia" w:ascii="宋体" w:hAnsi="宋体"/>
                <w:color w:val="auto"/>
                <w:sz w:val="24"/>
                <w:lang w:eastAsia="zh-CN"/>
              </w:rPr>
              <w:t>。</w:t>
            </w:r>
            <w:r>
              <w:rPr>
                <w:rFonts w:hint="eastAsia" w:ascii="宋体" w:hAnsi="宋体"/>
                <w:color w:val="auto"/>
                <w:sz w:val="24"/>
              </w:rPr>
              <w:t>（1分）</w:t>
            </w:r>
          </w:p>
          <w:p w14:paraId="12B92520">
            <w:pPr>
              <w:adjustRightInd w:val="0"/>
              <w:snapToGrid w:val="0"/>
              <w:spacing w:line="288" w:lineRule="auto"/>
              <w:rPr>
                <w:rFonts w:hint="eastAsia" w:ascii="宋体" w:hAnsi="宋体" w:eastAsia="宋体"/>
                <w:color w:val="auto"/>
                <w:sz w:val="24"/>
                <w:lang w:eastAsia="zh-CN"/>
              </w:rPr>
            </w:pPr>
            <w:r>
              <w:rPr>
                <w:rFonts w:hint="eastAsia" w:ascii="宋体" w:hAnsi="宋体"/>
                <w:color w:val="auto"/>
                <w:sz w:val="24"/>
              </w:rPr>
              <w:t>2.</w:t>
            </w:r>
            <w:r>
              <w:rPr>
                <w:rFonts w:hint="eastAsia" w:ascii="宋体" w:hAnsi="宋体"/>
                <w:color w:val="auto"/>
                <w:sz w:val="24"/>
                <w:lang w:val="en-US" w:eastAsia="zh-CN"/>
              </w:rPr>
              <w:t>成交</w:t>
            </w:r>
            <w:r>
              <w:rPr>
                <w:rFonts w:hint="eastAsia" w:ascii="宋体" w:hAnsi="宋体"/>
                <w:color w:val="auto"/>
                <w:sz w:val="24"/>
              </w:rPr>
              <w:t>后与采购人校园身份认证系统、智慧图书馆服务平台对接，提供读者身份认证、借阅图书的即时馆藏查重功能；（3分）</w:t>
            </w:r>
            <w:r>
              <w:rPr>
                <w:rFonts w:hint="eastAsia" w:ascii="宋体" w:hAnsi="宋体"/>
                <w:color w:val="auto"/>
                <w:sz w:val="24"/>
                <w:lang w:eastAsia="zh-CN"/>
              </w:rPr>
              <w:t>。</w:t>
            </w:r>
          </w:p>
          <w:p w14:paraId="73BA6948">
            <w:pPr>
              <w:adjustRightInd w:val="0"/>
              <w:snapToGrid w:val="0"/>
              <w:spacing w:line="288" w:lineRule="auto"/>
              <w:rPr>
                <w:rFonts w:ascii="宋体" w:hAnsi="宋体"/>
                <w:color w:val="auto"/>
                <w:sz w:val="24"/>
              </w:rPr>
            </w:pPr>
            <w:r>
              <w:rPr>
                <w:rFonts w:hint="eastAsia" w:ascii="宋体" w:hAnsi="宋体"/>
                <w:color w:val="auto"/>
                <w:sz w:val="24"/>
              </w:rPr>
              <w:t>3.免费提供图书快捷派送服务</w:t>
            </w:r>
            <w:r>
              <w:rPr>
                <w:rFonts w:hint="eastAsia" w:ascii="宋体" w:hAnsi="宋体"/>
                <w:color w:val="auto"/>
                <w:sz w:val="24"/>
                <w:lang w:eastAsia="zh-CN"/>
              </w:rPr>
              <w:t>。</w:t>
            </w:r>
            <w:r>
              <w:rPr>
                <w:rFonts w:hint="eastAsia" w:ascii="宋体" w:hAnsi="宋体"/>
                <w:color w:val="auto"/>
                <w:sz w:val="24"/>
              </w:rPr>
              <w:t>（2分）</w:t>
            </w:r>
          </w:p>
          <w:p w14:paraId="64C7809A">
            <w:pPr>
              <w:adjustRightInd w:val="0"/>
              <w:snapToGrid w:val="0"/>
              <w:spacing w:line="288" w:lineRule="auto"/>
              <w:rPr>
                <w:rFonts w:ascii="宋体" w:hAnsi="宋体" w:cs="宋体"/>
                <w:color w:val="auto"/>
                <w:spacing w:val="-6"/>
                <w:sz w:val="24"/>
              </w:rPr>
            </w:pPr>
            <w:r>
              <w:rPr>
                <w:rFonts w:hint="eastAsia" w:ascii="宋体" w:hAnsi="宋体"/>
                <w:color w:val="auto"/>
                <w:sz w:val="24"/>
              </w:rPr>
              <w:t>注：</w:t>
            </w:r>
            <w:r>
              <w:rPr>
                <w:rFonts w:hint="eastAsia" w:ascii="宋体" w:hAnsi="宋体"/>
                <w:color w:val="auto"/>
                <w:sz w:val="24"/>
                <w:lang w:val="en-US" w:eastAsia="zh-CN"/>
              </w:rPr>
              <w:t>须</w:t>
            </w:r>
            <w:r>
              <w:rPr>
                <w:rFonts w:hint="eastAsia" w:ascii="宋体" w:hAnsi="宋体"/>
                <w:color w:val="auto"/>
                <w:sz w:val="24"/>
              </w:rPr>
              <w:t>提供</w:t>
            </w:r>
            <w:r>
              <w:rPr>
                <w:rFonts w:hint="eastAsia" w:ascii="宋体" w:hAnsi="宋体"/>
                <w:color w:val="auto"/>
                <w:sz w:val="24"/>
                <w:lang w:val="en-US" w:eastAsia="zh-CN"/>
              </w:rPr>
              <w:t>详细的</w:t>
            </w:r>
            <w:r>
              <w:rPr>
                <w:rFonts w:hint="eastAsia" w:ascii="宋体" w:hAnsi="宋体"/>
                <w:color w:val="auto"/>
                <w:sz w:val="24"/>
              </w:rPr>
              <w:t>平台功能截图或者既往服务单位对功能描述的证明材料且加盖既往服务单位章（公章或者业务章或者处室章）。</w:t>
            </w:r>
            <w:r>
              <w:rPr>
                <w:rFonts w:hint="eastAsia" w:ascii="宋体" w:hAnsi="宋体" w:cs="宋体"/>
                <w:b/>
                <w:bCs/>
                <w:color w:val="auto"/>
                <w:sz w:val="24"/>
                <w:lang w:bidi="ar"/>
              </w:rPr>
              <w:t>【客观分】</w:t>
            </w:r>
          </w:p>
        </w:tc>
      </w:tr>
      <w:tr w14:paraId="2F601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684" w:type="dxa"/>
            <w:vMerge w:val="restart"/>
            <w:shd w:val="clear" w:color="auto" w:fill="auto"/>
            <w:vAlign w:val="center"/>
          </w:tcPr>
          <w:p w14:paraId="4F457303">
            <w:pPr>
              <w:adjustRightInd w:val="0"/>
              <w:snapToGrid w:val="0"/>
              <w:spacing w:line="288" w:lineRule="auto"/>
              <w:jc w:val="center"/>
              <w:rPr>
                <w:rFonts w:hint="eastAsia"/>
                <w:b/>
                <w:bCs/>
                <w:color w:val="auto"/>
                <w:sz w:val="24"/>
              </w:rPr>
            </w:pPr>
            <w:r>
              <w:rPr>
                <w:rFonts w:hint="eastAsia"/>
                <w:b/>
                <w:bCs/>
                <w:color w:val="auto"/>
                <w:sz w:val="24"/>
              </w:rPr>
              <w:t>现采能力</w:t>
            </w:r>
          </w:p>
        </w:tc>
        <w:tc>
          <w:tcPr>
            <w:tcW w:w="765" w:type="dxa"/>
            <w:shd w:val="clear" w:color="auto" w:fill="auto"/>
            <w:vAlign w:val="center"/>
          </w:tcPr>
          <w:p w14:paraId="6F12721B">
            <w:pPr>
              <w:adjustRightInd w:val="0"/>
              <w:snapToGrid w:val="0"/>
              <w:spacing w:line="288" w:lineRule="auto"/>
              <w:jc w:val="center"/>
              <w:rPr>
                <w:rFonts w:hint="eastAsia"/>
                <w:b/>
                <w:bCs/>
                <w:color w:val="auto"/>
                <w:sz w:val="24"/>
              </w:rPr>
            </w:pPr>
            <w:r>
              <w:rPr>
                <w:b/>
                <w:bCs/>
                <w:color w:val="auto"/>
                <w:sz w:val="24"/>
              </w:rPr>
              <w:t>2</w:t>
            </w:r>
          </w:p>
        </w:tc>
        <w:tc>
          <w:tcPr>
            <w:tcW w:w="6907" w:type="dxa"/>
            <w:shd w:val="clear" w:color="auto" w:fill="auto"/>
            <w:vAlign w:val="center"/>
          </w:tcPr>
          <w:p w14:paraId="1378F338">
            <w:pPr>
              <w:adjustRightInd w:val="0"/>
              <w:snapToGrid w:val="0"/>
              <w:spacing w:line="288" w:lineRule="auto"/>
              <w:rPr>
                <w:rFonts w:hint="eastAsia" w:ascii="宋体" w:hAnsi="宋体" w:cs="宋体"/>
                <w:color w:val="auto"/>
                <w:sz w:val="24"/>
              </w:rPr>
            </w:pPr>
            <w:r>
              <w:rPr>
                <w:rFonts w:hint="eastAsia" w:ascii="宋体" w:hAnsi="宋体" w:cs="宋体"/>
                <w:color w:val="auto"/>
                <w:sz w:val="24"/>
              </w:rPr>
              <w:t>具有一定规模的现采场所、现采基地库房得 2 分，须提供自有的房产证明或租赁合同等证明材料复印件加盖公章，须提供有现货承诺</w:t>
            </w:r>
            <w:r>
              <w:rPr>
                <w:rFonts w:hint="eastAsia" w:ascii="宋体" w:hAnsi="宋体" w:cs="宋体"/>
                <w:color w:val="auto"/>
                <w:sz w:val="24"/>
                <w:lang w:eastAsia="zh-CN"/>
              </w:rPr>
              <w:t>。</w:t>
            </w:r>
            <w:r>
              <w:rPr>
                <w:rFonts w:hint="eastAsia" w:ascii="宋体" w:hAnsi="宋体" w:cs="宋体"/>
                <w:b/>
                <w:bCs/>
                <w:color w:val="auto"/>
                <w:sz w:val="24"/>
                <w:lang w:bidi="ar"/>
              </w:rPr>
              <w:t>【客观分】</w:t>
            </w:r>
          </w:p>
        </w:tc>
      </w:tr>
      <w:tr w14:paraId="4E7E5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684" w:type="dxa"/>
            <w:vMerge w:val="continue"/>
            <w:shd w:val="clear" w:color="auto" w:fill="auto"/>
            <w:vAlign w:val="center"/>
          </w:tcPr>
          <w:p w14:paraId="18891BC4">
            <w:pPr>
              <w:adjustRightInd w:val="0"/>
              <w:snapToGrid w:val="0"/>
              <w:spacing w:line="288" w:lineRule="auto"/>
              <w:jc w:val="center"/>
              <w:rPr>
                <w:rFonts w:hint="eastAsia"/>
                <w:b/>
                <w:bCs/>
                <w:color w:val="auto"/>
                <w:sz w:val="24"/>
              </w:rPr>
            </w:pPr>
          </w:p>
        </w:tc>
        <w:tc>
          <w:tcPr>
            <w:tcW w:w="765" w:type="dxa"/>
            <w:shd w:val="clear" w:color="auto" w:fill="auto"/>
            <w:vAlign w:val="center"/>
          </w:tcPr>
          <w:p w14:paraId="50B10613">
            <w:pPr>
              <w:adjustRightInd w:val="0"/>
              <w:snapToGrid w:val="0"/>
              <w:spacing w:line="288" w:lineRule="auto"/>
              <w:jc w:val="center"/>
              <w:rPr>
                <w:rFonts w:hint="eastAsia"/>
                <w:b/>
                <w:bCs/>
                <w:color w:val="auto"/>
                <w:sz w:val="24"/>
              </w:rPr>
            </w:pPr>
            <w:r>
              <w:rPr>
                <w:rFonts w:hint="eastAsia"/>
                <w:b/>
                <w:bCs/>
                <w:color w:val="auto"/>
                <w:sz w:val="24"/>
              </w:rPr>
              <w:t>3</w:t>
            </w:r>
          </w:p>
        </w:tc>
        <w:tc>
          <w:tcPr>
            <w:tcW w:w="6907" w:type="dxa"/>
            <w:shd w:val="clear" w:color="auto" w:fill="auto"/>
            <w:vAlign w:val="center"/>
          </w:tcPr>
          <w:p w14:paraId="69AE0350">
            <w:pPr>
              <w:adjustRightInd w:val="0"/>
              <w:snapToGrid w:val="0"/>
              <w:spacing w:line="288" w:lineRule="auto"/>
              <w:rPr>
                <w:rFonts w:hint="eastAsia" w:ascii="宋体" w:hAnsi="宋体" w:cs="宋体"/>
                <w:color w:val="auto"/>
                <w:sz w:val="24"/>
              </w:rPr>
            </w:pPr>
            <w:r>
              <w:rPr>
                <w:rFonts w:hint="eastAsia" w:ascii="宋体" w:hAnsi="宋体" w:cs="宋体"/>
                <w:color w:val="auto"/>
                <w:sz w:val="24"/>
              </w:rPr>
              <w:t>提供2023年以来组织参与现采活动的相关证明材料，组织参与一次得</w:t>
            </w:r>
            <w:r>
              <w:rPr>
                <w:rFonts w:ascii="宋体" w:hAnsi="宋体" w:cs="宋体"/>
                <w:color w:val="auto"/>
                <w:sz w:val="24"/>
              </w:rPr>
              <w:t>1</w:t>
            </w:r>
            <w:r>
              <w:rPr>
                <w:rFonts w:hint="eastAsia" w:ascii="宋体" w:hAnsi="宋体" w:cs="宋体"/>
                <w:color w:val="auto"/>
                <w:sz w:val="24"/>
              </w:rPr>
              <w:t>分，满分</w:t>
            </w:r>
            <w:r>
              <w:rPr>
                <w:rFonts w:ascii="宋体" w:hAnsi="宋体" w:cs="宋体"/>
                <w:color w:val="auto"/>
                <w:sz w:val="24"/>
              </w:rPr>
              <w:t>3</w:t>
            </w:r>
            <w:r>
              <w:rPr>
                <w:rFonts w:hint="eastAsia" w:ascii="宋体" w:hAnsi="宋体" w:cs="宋体"/>
                <w:color w:val="auto"/>
                <w:sz w:val="24"/>
              </w:rPr>
              <w:t>分。（须提供有关办会的通知、证明或办会邀请函等证明材料复印件加盖公章）。</w:t>
            </w:r>
            <w:r>
              <w:rPr>
                <w:rFonts w:hint="eastAsia" w:ascii="宋体" w:hAnsi="宋体" w:cs="宋体"/>
                <w:b/>
                <w:bCs/>
                <w:color w:val="auto"/>
                <w:sz w:val="24"/>
                <w:lang w:bidi="ar"/>
              </w:rPr>
              <w:t>【客观分】</w:t>
            </w:r>
          </w:p>
        </w:tc>
      </w:tr>
      <w:tr w14:paraId="2CA6C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684" w:type="dxa"/>
            <w:vMerge w:val="restart"/>
            <w:shd w:val="clear" w:color="auto" w:fill="auto"/>
            <w:vAlign w:val="center"/>
          </w:tcPr>
          <w:p w14:paraId="233733C5">
            <w:pPr>
              <w:adjustRightInd w:val="0"/>
              <w:snapToGrid w:val="0"/>
              <w:spacing w:line="288" w:lineRule="auto"/>
              <w:jc w:val="center"/>
              <w:rPr>
                <w:b/>
                <w:bCs/>
                <w:color w:val="auto"/>
                <w:sz w:val="24"/>
              </w:rPr>
            </w:pPr>
            <w:r>
              <w:rPr>
                <w:rFonts w:hint="eastAsia"/>
                <w:b/>
                <w:bCs/>
                <w:color w:val="auto"/>
                <w:sz w:val="24"/>
              </w:rPr>
              <w:t>对接方案</w:t>
            </w:r>
          </w:p>
        </w:tc>
        <w:tc>
          <w:tcPr>
            <w:tcW w:w="765" w:type="dxa"/>
            <w:shd w:val="clear" w:color="auto" w:fill="auto"/>
            <w:vAlign w:val="center"/>
          </w:tcPr>
          <w:p w14:paraId="7B5BAA84">
            <w:pPr>
              <w:adjustRightInd w:val="0"/>
              <w:snapToGrid w:val="0"/>
              <w:spacing w:line="288" w:lineRule="auto"/>
              <w:jc w:val="center"/>
              <w:rPr>
                <w:b/>
                <w:bCs/>
                <w:color w:val="auto"/>
                <w:sz w:val="24"/>
              </w:rPr>
            </w:pPr>
            <w:r>
              <w:rPr>
                <w:rFonts w:hint="eastAsia"/>
                <w:b/>
                <w:bCs/>
                <w:color w:val="auto"/>
                <w:sz w:val="24"/>
              </w:rPr>
              <w:t>3</w:t>
            </w:r>
          </w:p>
        </w:tc>
        <w:tc>
          <w:tcPr>
            <w:tcW w:w="6907" w:type="dxa"/>
            <w:shd w:val="clear" w:color="auto" w:fill="auto"/>
            <w:vAlign w:val="center"/>
          </w:tcPr>
          <w:p w14:paraId="4332CFC5">
            <w:pPr>
              <w:adjustRightInd w:val="0"/>
              <w:snapToGrid w:val="0"/>
              <w:spacing w:line="288" w:lineRule="auto"/>
              <w:rPr>
                <w:rFonts w:ascii="宋体" w:hAnsi="宋体"/>
                <w:color w:val="auto"/>
                <w:sz w:val="24"/>
                <w:u w:val="single"/>
              </w:rPr>
            </w:pPr>
            <w:r>
              <w:rPr>
                <w:rFonts w:hint="eastAsia" w:ascii="宋体" w:hAnsi="宋体" w:cs="宋体"/>
                <w:color w:val="auto"/>
                <w:sz w:val="24"/>
              </w:rPr>
              <w:t>响应方对校园身份认证系统对接方案的完善性，是否针对采购需求及实际特点、有利于采购标的实现及合同履约。</w:t>
            </w:r>
            <w:r>
              <w:rPr>
                <w:rFonts w:hint="eastAsia" w:ascii="宋体" w:hAnsi="宋体" w:cs="宋体"/>
                <w:color w:val="auto"/>
                <w:sz w:val="24"/>
                <w:lang w:val="en-US" w:eastAsia="zh-CN"/>
              </w:rPr>
              <w:t>方案</w:t>
            </w:r>
            <w:r>
              <w:rPr>
                <w:rFonts w:hint="eastAsia" w:ascii="宋体" w:hAnsi="宋体" w:cs="宋体"/>
                <w:color w:val="auto"/>
                <w:sz w:val="24"/>
              </w:rPr>
              <w:t>有欠缺或不合理的，每处扣1分。</w:t>
            </w:r>
            <w:r>
              <w:rPr>
                <w:rFonts w:hint="eastAsia" w:ascii="宋体" w:hAnsi="宋体" w:cs="宋体"/>
                <w:color w:val="auto"/>
                <w:sz w:val="24"/>
                <w:lang w:val="en-US" w:eastAsia="zh-CN"/>
              </w:rPr>
              <w:t>本项最高得3分。</w:t>
            </w:r>
            <w:r>
              <w:rPr>
                <w:rFonts w:hint="eastAsia" w:ascii="宋体" w:hAnsi="宋体" w:cs="宋体"/>
                <w:b/>
                <w:bCs/>
                <w:color w:val="auto"/>
                <w:sz w:val="24"/>
                <w:lang w:bidi="ar"/>
              </w:rPr>
              <w:t>【主观分】</w:t>
            </w:r>
          </w:p>
        </w:tc>
      </w:tr>
      <w:tr w14:paraId="2626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684" w:type="dxa"/>
            <w:vMerge w:val="continue"/>
            <w:shd w:val="clear" w:color="auto" w:fill="auto"/>
            <w:vAlign w:val="center"/>
          </w:tcPr>
          <w:p w14:paraId="63A675D7">
            <w:pPr>
              <w:adjustRightInd w:val="0"/>
              <w:snapToGrid w:val="0"/>
              <w:spacing w:line="288" w:lineRule="auto"/>
              <w:jc w:val="center"/>
              <w:rPr>
                <w:b/>
                <w:bCs/>
                <w:color w:val="auto"/>
                <w:sz w:val="24"/>
              </w:rPr>
            </w:pPr>
          </w:p>
        </w:tc>
        <w:tc>
          <w:tcPr>
            <w:tcW w:w="765" w:type="dxa"/>
            <w:shd w:val="clear" w:color="auto" w:fill="auto"/>
            <w:vAlign w:val="center"/>
          </w:tcPr>
          <w:p w14:paraId="0821462F">
            <w:pPr>
              <w:adjustRightInd w:val="0"/>
              <w:snapToGrid w:val="0"/>
              <w:spacing w:line="288" w:lineRule="auto"/>
              <w:jc w:val="center"/>
              <w:rPr>
                <w:b/>
                <w:bCs/>
                <w:color w:val="auto"/>
                <w:sz w:val="24"/>
              </w:rPr>
            </w:pPr>
            <w:r>
              <w:rPr>
                <w:rFonts w:hint="eastAsia"/>
                <w:b/>
                <w:bCs/>
                <w:color w:val="auto"/>
                <w:sz w:val="24"/>
              </w:rPr>
              <w:t>3</w:t>
            </w:r>
          </w:p>
        </w:tc>
        <w:tc>
          <w:tcPr>
            <w:tcW w:w="6907" w:type="dxa"/>
            <w:shd w:val="clear" w:color="auto" w:fill="auto"/>
            <w:vAlign w:val="center"/>
          </w:tcPr>
          <w:p w14:paraId="7327AD83">
            <w:pPr>
              <w:adjustRightInd w:val="0"/>
              <w:snapToGrid w:val="0"/>
              <w:spacing w:line="288" w:lineRule="auto"/>
              <w:rPr>
                <w:rFonts w:ascii="宋体" w:hAnsi="宋体" w:cs="宋体"/>
                <w:color w:val="auto"/>
                <w:sz w:val="24"/>
              </w:rPr>
            </w:pPr>
            <w:r>
              <w:rPr>
                <w:rFonts w:hint="eastAsia" w:ascii="宋体" w:hAnsi="宋体" w:cs="宋体"/>
                <w:color w:val="auto"/>
                <w:sz w:val="24"/>
              </w:rPr>
              <w:t>响应方对图书馆集成管理系统对接方案的完善性，是否针对采购需求及实际特点、有利于采购标的实现及合同履约。方案有欠缺或不合理的，每处扣1分。</w:t>
            </w:r>
            <w:r>
              <w:rPr>
                <w:rFonts w:hint="eastAsia" w:ascii="宋体" w:hAnsi="宋体" w:cs="宋体"/>
                <w:color w:val="auto"/>
                <w:sz w:val="24"/>
                <w:lang w:val="en-US" w:eastAsia="zh-CN"/>
              </w:rPr>
              <w:t>本项最高得3分。</w:t>
            </w:r>
            <w:r>
              <w:rPr>
                <w:rFonts w:hint="eastAsia" w:ascii="宋体" w:hAnsi="宋体" w:cs="宋体"/>
                <w:b/>
                <w:bCs/>
                <w:color w:val="auto"/>
                <w:sz w:val="24"/>
                <w:lang w:bidi="ar"/>
              </w:rPr>
              <w:t>【主观分】</w:t>
            </w:r>
          </w:p>
        </w:tc>
      </w:tr>
      <w:tr w14:paraId="00632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684" w:type="dxa"/>
            <w:shd w:val="clear" w:color="auto" w:fill="auto"/>
            <w:vAlign w:val="center"/>
          </w:tcPr>
          <w:p w14:paraId="09A58B8E">
            <w:pPr>
              <w:adjustRightInd w:val="0"/>
              <w:snapToGrid w:val="0"/>
              <w:spacing w:line="288" w:lineRule="auto"/>
              <w:jc w:val="center"/>
              <w:rPr>
                <w:rFonts w:hint="eastAsia" w:eastAsia="宋体"/>
                <w:b/>
                <w:bCs/>
                <w:color w:val="auto"/>
                <w:sz w:val="24"/>
                <w:lang w:val="en-US" w:eastAsia="zh-CN"/>
              </w:rPr>
            </w:pPr>
            <w:r>
              <w:rPr>
                <w:rFonts w:hint="eastAsia"/>
                <w:b/>
                <w:bCs/>
                <w:color w:val="auto"/>
                <w:sz w:val="24"/>
              </w:rPr>
              <w:t>平台管理</w:t>
            </w:r>
            <w:r>
              <w:rPr>
                <w:rFonts w:hint="eastAsia"/>
                <w:b/>
                <w:bCs/>
                <w:color w:val="auto"/>
                <w:sz w:val="24"/>
                <w:lang w:val="en-US" w:eastAsia="zh-CN"/>
              </w:rPr>
              <w:t>方案</w:t>
            </w:r>
          </w:p>
        </w:tc>
        <w:tc>
          <w:tcPr>
            <w:tcW w:w="765" w:type="dxa"/>
            <w:shd w:val="clear" w:color="auto" w:fill="auto"/>
            <w:vAlign w:val="center"/>
          </w:tcPr>
          <w:p w14:paraId="260E94F6">
            <w:pPr>
              <w:adjustRightInd w:val="0"/>
              <w:snapToGrid w:val="0"/>
              <w:spacing w:line="288" w:lineRule="auto"/>
              <w:jc w:val="center"/>
              <w:rPr>
                <w:b/>
                <w:bCs/>
                <w:color w:val="auto"/>
                <w:sz w:val="24"/>
              </w:rPr>
            </w:pPr>
            <w:r>
              <w:rPr>
                <w:rFonts w:hint="eastAsia"/>
                <w:b/>
                <w:bCs/>
                <w:color w:val="auto"/>
                <w:sz w:val="24"/>
              </w:rPr>
              <w:t>3</w:t>
            </w:r>
          </w:p>
        </w:tc>
        <w:tc>
          <w:tcPr>
            <w:tcW w:w="6907" w:type="dxa"/>
            <w:shd w:val="clear" w:color="auto" w:fill="auto"/>
            <w:vAlign w:val="center"/>
          </w:tcPr>
          <w:p w14:paraId="19BDE513">
            <w:pPr>
              <w:adjustRightInd w:val="0"/>
              <w:snapToGrid w:val="0"/>
              <w:spacing w:line="288" w:lineRule="auto"/>
              <w:rPr>
                <w:rFonts w:ascii="宋体" w:hAnsi="宋体" w:cs="宋体"/>
                <w:color w:val="auto"/>
                <w:sz w:val="24"/>
              </w:rPr>
            </w:pPr>
            <w:r>
              <w:rPr>
                <w:rFonts w:hint="eastAsia" w:ascii="宋体" w:hAnsi="宋体" w:cs="宋体"/>
                <w:color w:val="auto"/>
                <w:sz w:val="24"/>
              </w:rPr>
              <w:t>响应方提供的平台管理及技术支撑方案的完善性，如何确保平台的稳定运行、提升用户体验、优化管理流程以及提供持续的技术支持措施。</w:t>
            </w:r>
            <w:r>
              <w:rPr>
                <w:rFonts w:hint="eastAsia" w:ascii="宋体" w:hAnsi="宋体" w:cs="宋体"/>
                <w:color w:val="auto"/>
                <w:sz w:val="24"/>
                <w:lang w:val="en-US" w:eastAsia="zh-CN"/>
              </w:rPr>
              <w:t>方案</w:t>
            </w:r>
            <w:r>
              <w:rPr>
                <w:rFonts w:hint="eastAsia" w:ascii="宋体" w:hAnsi="宋体" w:cs="宋体"/>
                <w:color w:val="auto"/>
                <w:sz w:val="24"/>
              </w:rPr>
              <w:t>有欠缺或不合理的，每处扣1分。</w:t>
            </w:r>
            <w:r>
              <w:rPr>
                <w:rFonts w:hint="eastAsia" w:ascii="宋体" w:hAnsi="宋体" w:cs="宋体"/>
                <w:color w:val="auto"/>
                <w:sz w:val="24"/>
                <w:lang w:val="en-US" w:eastAsia="zh-CN"/>
              </w:rPr>
              <w:t>本项最高得3分。</w:t>
            </w:r>
            <w:r>
              <w:rPr>
                <w:rFonts w:hint="eastAsia" w:ascii="宋体" w:hAnsi="宋体" w:cs="宋体"/>
                <w:b/>
                <w:bCs/>
                <w:color w:val="auto"/>
                <w:sz w:val="24"/>
                <w:lang w:bidi="ar"/>
              </w:rPr>
              <w:t>【主观分】</w:t>
            </w:r>
          </w:p>
        </w:tc>
      </w:tr>
      <w:tr w14:paraId="25728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684" w:type="dxa"/>
            <w:shd w:val="clear" w:color="auto" w:fill="auto"/>
            <w:vAlign w:val="center"/>
          </w:tcPr>
          <w:p w14:paraId="25178F3E">
            <w:pPr>
              <w:adjustRightInd w:val="0"/>
              <w:snapToGrid w:val="0"/>
              <w:spacing w:line="288" w:lineRule="auto"/>
              <w:jc w:val="center"/>
              <w:rPr>
                <w:rFonts w:hint="eastAsia" w:eastAsia="宋体"/>
                <w:b/>
                <w:bCs/>
                <w:color w:val="auto"/>
                <w:sz w:val="24"/>
                <w:lang w:val="en-US" w:eastAsia="zh-CN"/>
              </w:rPr>
            </w:pPr>
            <w:r>
              <w:rPr>
                <w:rFonts w:hint="eastAsia"/>
                <w:b/>
                <w:bCs/>
                <w:color w:val="auto"/>
                <w:sz w:val="24"/>
              </w:rPr>
              <w:t>数据安全</w:t>
            </w:r>
            <w:r>
              <w:rPr>
                <w:rFonts w:hint="eastAsia"/>
                <w:b/>
                <w:bCs/>
                <w:color w:val="auto"/>
                <w:sz w:val="24"/>
                <w:lang w:val="en-US" w:eastAsia="zh-CN"/>
              </w:rPr>
              <w:t>方案</w:t>
            </w:r>
          </w:p>
        </w:tc>
        <w:tc>
          <w:tcPr>
            <w:tcW w:w="765" w:type="dxa"/>
            <w:shd w:val="clear" w:color="auto" w:fill="auto"/>
            <w:vAlign w:val="center"/>
          </w:tcPr>
          <w:p w14:paraId="7F9C3C83">
            <w:pPr>
              <w:adjustRightInd w:val="0"/>
              <w:snapToGrid w:val="0"/>
              <w:spacing w:line="288" w:lineRule="auto"/>
              <w:jc w:val="center"/>
              <w:rPr>
                <w:b/>
                <w:bCs/>
                <w:color w:val="auto"/>
                <w:sz w:val="24"/>
              </w:rPr>
            </w:pPr>
            <w:r>
              <w:rPr>
                <w:rFonts w:hint="eastAsia"/>
                <w:b/>
                <w:bCs/>
                <w:color w:val="auto"/>
                <w:sz w:val="24"/>
              </w:rPr>
              <w:t>3</w:t>
            </w:r>
          </w:p>
        </w:tc>
        <w:tc>
          <w:tcPr>
            <w:tcW w:w="6907" w:type="dxa"/>
            <w:shd w:val="clear" w:color="auto" w:fill="auto"/>
            <w:vAlign w:val="center"/>
          </w:tcPr>
          <w:p w14:paraId="6484DD77">
            <w:pPr>
              <w:adjustRightInd w:val="0"/>
              <w:snapToGrid w:val="0"/>
              <w:spacing w:line="288" w:lineRule="auto"/>
              <w:rPr>
                <w:rFonts w:ascii="宋体" w:hAnsi="宋体"/>
                <w:color w:val="auto"/>
                <w:sz w:val="24"/>
                <w:u w:val="single"/>
              </w:rPr>
            </w:pPr>
            <w:r>
              <w:rPr>
                <w:rFonts w:hint="eastAsia" w:ascii="宋体" w:hAnsi="宋体" w:cs="宋体"/>
                <w:color w:val="auto"/>
                <w:spacing w:val="-6"/>
                <w:sz w:val="24"/>
              </w:rPr>
              <w:t>分级权限管控、读者信息保密、定期数据备份</w:t>
            </w:r>
            <w:r>
              <w:rPr>
                <w:rFonts w:hint="eastAsia" w:ascii="宋体" w:hAnsi="宋体" w:cs="宋体"/>
                <w:color w:val="auto"/>
                <w:spacing w:val="-6"/>
                <w:sz w:val="24"/>
                <w:lang w:eastAsia="zh-CN"/>
              </w:rPr>
              <w:t>、</w:t>
            </w:r>
            <w:r>
              <w:rPr>
                <w:rFonts w:hint="eastAsia" w:ascii="宋体" w:hAnsi="宋体" w:cs="宋体"/>
                <w:color w:val="auto"/>
                <w:spacing w:val="-6"/>
                <w:sz w:val="24"/>
              </w:rPr>
              <w:t>泄露丢失全责承担方案。</w:t>
            </w:r>
            <w:r>
              <w:rPr>
                <w:rFonts w:hint="eastAsia" w:ascii="宋体" w:hAnsi="宋体" w:cs="宋体"/>
                <w:color w:val="auto"/>
                <w:sz w:val="24"/>
                <w:lang w:val="en-US" w:eastAsia="zh-CN"/>
              </w:rPr>
              <w:t>方案</w:t>
            </w:r>
            <w:r>
              <w:rPr>
                <w:rFonts w:hint="eastAsia" w:ascii="宋体" w:hAnsi="宋体" w:cs="宋体"/>
                <w:color w:val="auto"/>
                <w:sz w:val="24"/>
              </w:rPr>
              <w:t>有欠缺或不合理的，每处扣1分。</w:t>
            </w:r>
            <w:r>
              <w:rPr>
                <w:rFonts w:hint="eastAsia" w:ascii="宋体" w:hAnsi="宋体" w:cs="宋体"/>
                <w:color w:val="auto"/>
                <w:sz w:val="24"/>
                <w:lang w:val="en-US" w:eastAsia="zh-CN"/>
              </w:rPr>
              <w:t>本项最高得3分。</w:t>
            </w:r>
            <w:r>
              <w:rPr>
                <w:rFonts w:hint="eastAsia" w:ascii="宋体" w:hAnsi="宋体" w:cs="宋体"/>
                <w:b/>
                <w:bCs/>
                <w:color w:val="auto"/>
                <w:sz w:val="24"/>
                <w:lang w:bidi="ar"/>
              </w:rPr>
              <w:t>【主观分】</w:t>
            </w:r>
          </w:p>
        </w:tc>
      </w:tr>
      <w:tr w14:paraId="7B460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684" w:type="dxa"/>
            <w:shd w:val="clear" w:color="auto" w:fill="auto"/>
            <w:vAlign w:val="center"/>
          </w:tcPr>
          <w:p w14:paraId="64D973C9">
            <w:pPr>
              <w:adjustRightInd w:val="0"/>
              <w:snapToGrid w:val="0"/>
              <w:spacing w:line="288" w:lineRule="auto"/>
              <w:jc w:val="center"/>
              <w:rPr>
                <w:b/>
                <w:bCs/>
                <w:color w:val="auto"/>
                <w:sz w:val="24"/>
              </w:rPr>
            </w:pPr>
            <w:r>
              <w:rPr>
                <w:rFonts w:hint="eastAsia"/>
                <w:b/>
                <w:bCs/>
                <w:color w:val="auto"/>
                <w:sz w:val="24"/>
              </w:rPr>
              <w:t>平台推广方案</w:t>
            </w:r>
          </w:p>
        </w:tc>
        <w:tc>
          <w:tcPr>
            <w:tcW w:w="765" w:type="dxa"/>
            <w:shd w:val="clear" w:color="auto" w:fill="auto"/>
            <w:vAlign w:val="center"/>
          </w:tcPr>
          <w:p w14:paraId="41E5ABFA">
            <w:pPr>
              <w:adjustRightInd w:val="0"/>
              <w:snapToGrid w:val="0"/>
              <w:spacing w:line="288" w:lineRule="auto"/>
              <w:jc w:val="center"/>
              <w:rPr>
                <w:b/>
                <w:bCs/>
                <w:color w:val="auto"/>
                <w:sz w:val="24"/>
              </w:rPr>
            </w:pPr>
            <w:r>
              <w:rPr>
                <w:rFonts w:hint="eastAsia"/>
                <w:b/>
                <w:bCs/>
                <w:color w:val="auto"/>
                <w:sz w:val="24"/>
              </w:rPr>
              <w:t>3</w:t>
            </w:r>
          </w:p>
        </w:tc>
        <w:tc>
          <w:tcPr>
            <w:tcW w:w="6907" w:type="dxa"/>
            <w:shd w:val="clear" w:color="auto" w:fill="auto"/>
            <w:vAlign w:val="center"/>
          </w:tcPr>
          <w:p w14:paraId="0EA76F42">
            <w:pPr>
              <w:adjustRightInd w:val="0"/>
              <w:snapToGrid w:val="0"/>
              <w:spacing w:line="288" w:lineRule="auto"/>
              <w:rPr>
                <w:rFonts w:ascii="宋体" w:hAnsi="宋体" w:cs="宋体"/>
                <w:color w:val="auto"/>
                <w:sz w:val="24"/>
              </w:rPr>
            </w:pPr>
            <w:r>
              <w:rPr>
                <w:rFonts w:hint="eastAsia" w:ascii="宋体" w:hAnsi="宋体" w:cs="宋体"/>
                <w:color w:val="auto"/>
                <w:sz w:val="24"/>
              </w:rPr>
              <w:t>平台推广参与方案合理性和可行性，是否针对采购需求及实际特点、有利于采购标的实现及合同履约。方案有欠缺或不合理的，每处扣1分。本项最高得3分。</w:t>
            </w:r>
            <w:r>
              <w:rPr>
                <w:rFonts w:hint="eastAsia" w:ascii="宋体" w:hAnsi="宋体" w:cs="宋体"/>
                <w:b/>
                <w:bCs/>
                <w:color w:val="auto"/>
                <w:sz w:val="24"/>
                <w:lang w:bidi="ar"/>
              </w:rPr>
              <w:t>【主观分】</w:t>
            </w:r>
          </w:p>
        </w:tc>
      </w:tr>
      <w:tr w14:paraId="772C3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684" w:type="dxa"/>
            <w:shd w:val="clear" w:color="auto" w:fill="auto"/>
            <w:vAlign w:val="center"/>
          </w:tcPr>
          <w:p w14:paraId="2CF41582">
            <w:pPr>
              <w:adjustRightInd w:val="0"/>
              <w:snapToGrid w:val="0"/>
              <w:spacing w:line="288" w:lineRule="auto"/>
              <w:jc w:val="center"/>
              <w:rPr>
                <w:b/>
                <w:bCs/>
                <w:color w:val="auto"/>
                <w:sz w:val="24"/>
              </w:rPr>
            </w:pPr>
            <w:r>
              <w:rPr>
                <w:rFonts w:hint="eastAsia"/>
                <w:b/>
                <w:bCs/>
                <w:color w:val="auto"/>
                <w:sz w:val="24"/>
              </w:rPr>
              <w:t>售后服务方案</w:t>
            </w:r>
          </w:p>
        </w:tc>
        <w:tc>
          <w:tcPr>
            <w:tcW w:w="765" w:type="dxa"/>
            <w:shd w:val="clear" w:color="auto" w:fill="auto"/>
            <w:vAlign w:val="center"/>
          </w:tcPr>
          <w:p w14:paraId="5A40E6DA">
            <w:pPr>
              <w:adjustRightInd w:val="0"/>
              <w:snapToGrid w:val="0"/>
              <w:spacing w:line="288" w:lineRule="auto"/>
              <w:jc w:val="center"/>
              <w:rPr>
                <w:b/>
                <w:bCs/>
                <w:color w:val="auto"/>
                <w:sz w:val="24"/>
              </w:rPr>
            </w:pPr>
            <w:r>
              <w:rPr>
                <w:rFonts w:hint="eastAsia"/>
                <w:b/>
                <w:bCs/>
                <w:color w:val="auto"/>
                <w:sz w:val="24"/>
              </w:rPr>
              <w:t>3</w:t>
            </w:r>
          </w:p>
        </w:tc>
        <w:tc>
          <w:tcPr>
            <w:tcW w:w="6907" w:type="dxa"/>
            <w:shd w:val="clear" w:color="auto" w:fill="auto"/>
            <w:vAlign w:val="center"/>
          </w:tcPr>
          <w:p w14:paraId="5A7449BB">
            <w:pPr>
              <w:adjustRightInd w:val="0"/>
              <w:snapToGrid w:val="0"/>
              <w:spacing w:line="288" w:lineRule="auto"/>
              <w:rPr>
                <w:rFonts w:hint="eastAsia" w:ascii="宋体" w:hAnsi="宋体" w:cs="宋体"/>
                <w:color w:val="auto"/>
                <w:sz w:val="24"/>
              </w:rPr>
            </w:pPr>
            <w:r>
              <w:rPr>
                <w:rFonts w:hint="eastAsia" w:ascii="宋体" w:hAnsi="宋体" w:cs="宋体"/>
                <w:color w:val="auto"/>
                <w:sz w:val="24"/>
              </w:rPr>
              <w:t>售后服务方案的完善程度（方案包括售后响应速度、售后服务流程、图书分编正确率保障磋商及整改方案和整改时效</w:t>
            </w:r>
            <w:r>
              <w:rPr>
                <w:rFonts w:hint="eastAsia" w:ascii="宋体" w:hAnsi="宋体" w:cs="宋体"/>
                <w:color w:val="auto"/>
                <w:sz w:val="24"/>
                <w:lang w:eastAsia="zh-CN"/>
              </w:rPr>
              <w:t>。</w:t>
            </w:r>
            <w:r>
              <w:rPr>
                <w:rFonts w:hint="eastAsia" w:ascii="宋体" w:hAnsi="宋体" w:cs="宋体"/>
                <w:color w:val="auto"/>
                <w:sz w:val="24"/>
              </w:rPr>
              <w:t>方案有欠缺或不合理的，每处扣1分。本项最高得3分。</w:t>
            </w:r>
            <w:r>
              <w:rPr>
                <w:rFonts w:hint="eastAsia" w:ascii="宋体" w:hAnsi="宋体" w:cs="宋体"/>
                <w:b/>
                <w:bCs/>
                <w:color w:val="auto"/>
                <w:sz w:val="24"/>
                <w:lang w:bidi="ar"/>
              </w:rPr>
              <w:t>【主观分】</w:t>
            </w:r>
          </w:p>
        </w:tc>
      </w:tr>
      <w:tr w14:paraId="64229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684" w:type="dxa"/>
            <w:shd w:val="clear" w:color="auto" w:fill="auto"/>
            <w:vAlign w:val="center"/>
          </w:tcPr>
          <w:p w14:paraId="4B4A484E">
            <w:pPr>
              <w:adjustRightInd w:val="0"/>
              <w:snapToGrid w:val="0"/>
              <w:spacing w:line="288" w:lineRule="auto"/>
              <w:jc w:val="center"/>
              <w:rPr>
                <w:rFonts w:hint="eastAsia"/>
                <w:b/>
                <w:bCs/>
                <w:color w:val="auto"/>
                <w:sz w:val="24"/>
              </w:rPr>
            </w:pPr>
            <w:r>
              <w:rPr>
                <w:rFonts w:hint="eastAsia"/>
                <w:b/>
                <w:bCs/>
                <w:color w:val="auto"/>
                <w:sz w:val="24"/>
              </w:rPr>
              <w:t>服务团队的人员配置情况</w:t>
            </w:r>
          </w:p>
        </w:tc>
        <w:tc>
          <w:tcPr>
            <w:tcW w:w="765" w:type="dxa"/>
            <w:shd w:val="clear" w:color="auto" w:fill="auto"/>
            <w:vAlign w:val="center"/>
          </w:tcPr>
          <w:p w14:paraId="4D0726FC">
            <w:pPr>
              <w:adjustRightInd w:val="0"/>
              <w:snapToGrid w:val="0"/>
              <w:spacing w:line="288" w:lineRule="auto"/>
              <w:jc w:val="center"/>
              <w:rPr>
                <w:rFonts w:hint="eastAsia"/>
                <w:b/>
                <w:bCs/>
                <w:color w:val="auto"/>
                <w:sz w:val="24"/>
              </w:rPr>
            </w:pPr>
            <w:r>
              <w:rPr>
                <w:b/>
                <w:bCs/>
                <w:color w:val="auto"/>
                <w:sz w:val="24"/>
              </w:rPr>
              <w:t>3</w:t>
            </w:r>
          </w:p>
        </w:tc>
        <w:tc>
          <w:tcPr>
            <w:tcW w:w="6907" w:type="dxa"/>
            <w:shd w:val="clear" w:color="auto" w:fill="auto"/>
            <w:vAlign w:val="center"/>
          </w:tcPr>
          <w:p w14:paraId="66B5E555">
            <w:pPr>
              <w:adjustRightInd w:val="0"/>
              <w:snapToGrid w:val="0"/>
              <w:spacing w:line="288" w:lineRule="auto"/>
              <w:rPr>
                <w:rFonts w:hint="eastAsia" w:ascii="宋体" w:hAnsi="宋体" w:cs="宋体"/>
                <w:color w:val="auto"/>
                <w:sz w:val="24"/>
              </w:rPr>
            </w:pPr>
            <w:r>
              <w:rPr>
                <w:rFonts w:hint="eastAsia" w:ascii="宋体" w:hAnsi="宋体" w:cs="宋体"/>
                <w:color w:val="auto"/>
                <w:sz w:val="24"/>
                <w:szCs w:val="22"/>
                <w:lang w:val="en-US" w:eastAsia="zh-CN"/>
              </w:rPr>
              <w:t>响应方</w:t>
            </w:r>
            <w:r>
              <w:rPr>
                <w:rFonts w:hint="eastAsia" w:ascii="宋体" w:hAnsi="宋体" w:cs="宋体"/>
                <w:color w:val="auto"/>
                <w:sz w:val="24"/>
                <w:szCs w:val="22"/>
              </w:rPr>
              <w:t>提供的服务团队的人员数量、分工合理性包含但不限于职称、类似项目经验、人员资质、配置合理性。</w:t>
            </w:r>
            <w:r>
              <w:rPr>
                <w:rFonts w:hint="eastAsia" w:ascii="宋体" w:hAnsi="宋体" w:cs="宋体"/>
                <w:color w:val="auto"/>
                <w:sz w:val="24"/>
                <w:szCs w:val="22"/>
                <w:lang w:val="en-US" w:eastAsia="zh-CN"/>
              </w:rPr>
              <w:t>配置</w:t>
            </w:r>
            <w:r>
              <w:rPr>
                <w:rFonts w:hint="eastAsia" w:ascii="宋体" w:hAnsi="宋体" w:cs="宋体"/>
                <w:color w:val="auto"/>
                <w:sz w:val="24"/>
                <w:szCs w:val="22"/>
              </w:rPr>
              <w:t>有欠缺或不合理的，每处扣1分。本项最高得3分。</w:t>
            </w:r>
            <w:r>
              <w:rPr>
                <w:rFonts w:hint="eastAsia" w:ascii="宋体" w:hAnsi="宋体" w:cs="宋体"/>
                <w:b/>
                <w:bCs/>
                <w:color w:val="auto"/>
                <w:sz w:val="24"/>
                <w:lang w:bidi="ar"/>
              </w:rPr>
              <w:t>【主观分】</w:t>
            </w:r>
          </w:p>
        </w:tc>
      </w:tr>
      <w:tr w14:paraId="40619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84" w:type="dxa"/>
            <w:vMerge w:val="restart"/>
            <w:shd w:val="clear" w:color="auto" w:fill="auto"/>
            <w:vAlign w:val="center"/>
          </w:tcPr>
          <w:p w14:paraId="359B56A2">
            <w:pPr>
              <w:adjustRightInd w:val="0"/>
              <w:snapToGrid w:val="0"/>
              <w:spacing w:line="288" w:lineRule="auto"/>
              <w:jc w:val="center"/>
              <w:rPr>
                <w:rFonts w:hint="eastAsia" w:ascii="宋体" w:hAnsi="宋体" w:eastAsia="宋体" w:cs="宋体"/>
                <w:b/>
                <w:bCs/>
                <w:color w:val="auto"/>
                <w:sz w:val="24"/>
                <w:lang w:val="en-US" w:eastAsia="zh-CN" w:bidi="ar"/>
              </w:rPr>
            </w:pPr>
            <w:r>
              <w:rPr>
                <w:rFonts w:hint="eastAsia"/>
                <w:b/>
                <w:bCs/>
                <w:color w:val="auto"/>
                <w:sz w:val="24"/>
              </w:rPr>
              <w:t>特色需求服务</w:t>
            </w:r>
            <w:r>
              <w:rPr>
                <w:rFonts w:hint="eastAsia"/>
                <w:b/>
                <w:bCs/>
                <w:color w:val="auto"/>
                <w:sz w:val="24"/>
                <w:lang w:val="en-US" w:eastAsia="zh-CN"/>
              </w:rPr>
              <w:t>方案</w:t>
            </w:r>
          </w:p>
        </w:tc>
        <w:tc>
          <w:tcPr>
            <w:tcW w:w="765" w:type="dxa"/>
            <w:shd w:val="clear" w:color="auto" w:fill="auto"/>
            <w:vAlign w:val="center"/>
          </w:tcPr>
          <w:p w14:paraId="3D008773">
            <w:pPr>
              <w:adjustRightInd w:val="0"/>
              <w:snapToGrid w:val="0"/>
              <w:spacing w:line="288" w:lineRule="auto"/>
              <w:jc w:val="center"/>
              <w:rPr>
                <w:rFonts w:cs="宋体"/>
                <w:b/>
                <w:bCs/>
                <w:color w:val="auto"/>
                <w:spacing w:val="-6"/>
                <w:sz w:val="24"/>
                <w:lang w:bidi="ar"/>
              </w:rPr>
            </w:pPr>
            <w:r>
              <w:rPr>
                <w:rFonts w:hint="eastAsia"/>
                <w:b/>
                <w:bCs/>
                <w:color w:val="auto"/>
                <w:sz w:val="24"/>
              </w:rPr>
              <w:t>3</w:t>
            </w:r>
          </w:p>
        </w:tc>
        <w:tc>
          <w:tcPr>
            <w:tcW w:w="6907" w:type="dxa"/>
            <w:shd w:val="clear" w:color="auto" w:fill="auto"/>
            <w:vAlign w:val="center"/>
          </w:tcPr>
          <w:p w14:paraId="1604E583">
            <w:pPr>
              <w:adjustRightInd w:val="0"/>
              <w:snapToGrid w:val="0"/>
              <w:spacing w:line="288" w:lineRule="auto"/>
              <w:rPr>
                <w:rFonts w:ascii="宋体" w:hAnsi="宋体" w:cs="宋体"/>
                <w:color w:val="auto"/>
                <w:spacing w:val="-6"/>
                <w:sz w:val="24"/>
              </w:rPr>
            </w:pPr>
            <w:r>
              <w:rPr>
                <w:rFonts w:hint="eastAsia" w:ascii="宋体" w:hAnsi="宋体" w:cs="宋体"/>
                <w:color w:val="auto"/>
                <w:sz w:val="24"/>
              </w:rPr>
              <w:t>响应方了解采购人的学科、专业设置、教学科研概况和图书馆的需求及馆藏重点、结构体系，为用户的馆藏建设提供其它特色需求服务及为图书馆读书文化节等相关活动提供特色服务情况等。</w:t>
            </w:r>
            <w:r>
              <w:rPr>
                <w:rFonts w:hint="eastAsia" w:ascii="宋体" w:hAnsi="宋体" w:cs="宋体"/>
                <w:color w:val="auto"/>
                <w:sz w:val="24"/>
                <w:lang w:val="en-US" w:eastAsia="zh-CN"/>
              </w:rPr>
              <w:t>根据方案详细程度、针对性、可操作性打分。</w:t>
            </w:r>
            <w:r>
              <w:rPr>
                <w:rFonts w:hint="eastAsia" w:ascii="宋体" w:hAnsi="宋体" w:cs="宋体"/>
                <w:color w:val="auto"/>
                <w:sz w:val="24"/>
              </w:rPr>
              <w:t>本项最高得3分。</w:t>
            </w:r>
            <w:r>
              <w:rPr>
                <w:rFonts w:hint="eastAsia" w:ascii="宋体" w:hAnsi="宋体" w:cs="宋体"/>
                <w:b/>
                <w:bCs/>
                <w:color w:val="auto"/>
                <w:sz w:val="24"/>
                <w:lang w:bidi="ar"/>
              </w:rPr>
              <w:t>【主观分】</w:t>
            </w:r>
          </w:p>
        </w:tc>
      </w:tr>
      <w:tr w14:paraId="37F54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684" w:type="dxa"/>
            <w:vMerge w:val="continue"/>
            <w:shd w:val="clear" w:color="auto" w:fill="auto"/>
            <w:vAlign w:val="center"/>
          </w:tcPr>
          <w:p w14:paraId="3357CDE0">
            <w:pPr>
              <w:adjustRightInd w:val="0"/>
              <w:snapToGrid w:val="0"/>
              <w:spacing w:line="288" w:lineRule="auto"/>
              <w:jc w:val="center"/>
              <w:rPr>
                <w:rFonts w:ascii="宋体" w:hAnsi="宋体" w:cs="宋体"/>
                <w:b/>
                <w:bCs/>
                <w:color w:val="auto"/>
                <w:sz w:val="24"/>
                <w:lang w:bidi="ar"/>
              </w:rPr>
            </w:pPr>
          </w:p>
        </w:tc>
        <w:tc>
          <w:tcPr>
            <w:tcW w:w="765" w:type="dxa"/>
            <w:shd w:val="clear" w:color="auto" w:fill="auto"/>
            <w:vAlign w:val="center"/>
          </w:tcPr>
          <w:p w14:paraId="03CA905F">
            <w:pPr>
              <w:adjustRightInd w:val="0"/>
              <w:snapToGrid w:val="0"/>
              <w:spacing w:line="288" w:lineRule="auto"/>
              <w:jc w:val="center"/>
              <w:rPr>
                <w:rFonts w:cs="宋体"/>
                <w:b/>
                <w:bCs/>
                <w:color w:val="auto"/>
                <w:spacing w:val="-6"/>
                <w:sz w:val="24"/>
                <w:lang w:bidi="ar"/>
              </w:rPr>
            </w:pPr>
            <w:r>
              <w:rPr>
                <w:b/>
                <w:bCs/>
                <w:color w:val="auto"/>
                <w:sz w:val="24"/>
              </w:rPr>
              <w:t>3</w:t>
            </w:r>
          </w:p>
        </w:tc>
        <w:tc>
          <w:tcPr>
            <w:tcW w:w="6907" w:type="dxa"/>
            <w:shd w:val="clear" w:color="auto" w:fill="auto"/>
            <w:vAlign w:val="center"/>
          </w:tcPr>
          <w:p w14:paraId="2E9A7723">
            <w:pPr>
              <w:adjustRightInd w:val="0"/>
              <w:snapToGrid w:val="0"/>
              <w:spacing w:line="288" w:lineRule="auto"/>
              <w:rPr>
                <w:rFonts w:ascii="宋体" w:hAnsi="宋体" w:cs="宋体"/>
                <w:color w:val="auto"/>
                <w:spacing w:val="-6"/>
                <w:sz w:val="24"/>
              </w:rPr>
            </w:pPr>
            <w:r>
              <w:rPr>
                <w:rFonts w:hint="eastAsia" w:ascii="宋体" w:hAnsi="宋体" w:cs="宋体"/>
                <w:color w:val="auto"/>
                <w:sz w:val="24"/>
              </w:rPr>
              <w:t>根据响应方配合借购类中文纸质图书项目宣传、推广活动方案进行打分。</w:t>
            </w:r>
            <w:r>
              <w:rPr>
                <w:rFonts w:hint="eastAsia" w:ascii="宋体" w:hAnsi="宋体" w:cs="宋体"/>
                <w:color w:val="auto"/>
                <w:sz w:val="24"/>
                <w:lang w:val="en-US" w:eastAsia="zh-CN"/>
              </w:rPr>
              <w:t>根据方案详细程度、针对性、可操作性打分。</w:t>
            </w:r>
            <w:r>
              <w:rPr>
                <w:rFonts w:hint="eastAsia" w:ascii="宋体" w:hAnsi="宋体" w:cs="宋体"/>
                <w:color w:val="auto"/>
                <w:sz w:val="24"/>
              </w:rPr>
              <w:t>本项最高得3分。</w:t>
            </w:r>
            <w:r>
              <w:rPr>
                <w:rFonts w:hint="eastAsia" w:ascii="宋体" w:hAnsi="宋体" w:cs="宋体"/>
                <w:b/>
                <w:bCs/>
                <w:color w:val="auto"/>
                <w:sz w:val="24"/>
                <w:lang w:bidi="ar"/>
              </w:rPr>
              <w:t>【主观分】</w:t>
            </w:r>
          </w:p>
        </w:tc>
      </w:tr>
    </w:tbl>
    <w:p w14:paraId="4585AD13">
      <w:pPr>
        <w:pStyle w:val="23"/>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1E370619">
      <w:pPr>
        <w:rPr>
          <w:rFonts w:hint="eastAsia"/>
          <w:color w:val="auto"/>
          <w:sz w:val="24"/>
        </w:rPr>
      </w:pPr>
      <w:bookmarkStart w:id="436" w:name="_Toc17908"/>
      <w:bookmarkStart w:id="437" w:name="_Toc11101"/>
      <w:bookmarkStart w:id="438" w:name="_Toc12648"/>
      <w:bookmarkStart w:id="439" w:name="_Toc29628"/>
      <w:bookmarkStart w:id="440" w:name="_Toc10961"/>
      <w:bookmarkStart w:id="441" w:name="_Toc30909"/>
      <w:bookmarkStart w:id="442" w:name="_Toc32547"/>
      <w:bookmarkStart w:id="443" w:name="_Toc7720"/>
      <w:bookmarkStart w:id="444" w:name="_Toc22186"/>
      <w:bookmarkStart w:id="445" w:name="_Toc4881"/>
      <w:bookmarkStart w:id="446" w:name="_Toc11975"/>
      <w:bookmarkStart w:id="447" w:name="_Toc2437"/>
      <w:bookmarkStart w:id="448" w:name="_Toc10743"/>
      <w:bookmarkStart w:id="449" w:name="_Toc20227"/>
      <w:bookmarkStart w:id="450" w:name="_Toc9271"/>
      <w:bookmarkStart w:id="451" w:name="_Toc31149"/>
      <w:bookmarkStart w:id="452" w:name="_Toc27538"/>
      <w:bookmarkStart w:id="453" w:name="_Toc5912"/>
      <w:bookmarkStart w:id="454" w:name="_Toc24073"/>
      <w:bookmarkStart w:id="455" w:name="_Toc11193"/>
      <w:bookmarkStart w:id="456" w:name="_Toc30074"/>
      <w:bookmarkStart w:id="457" w:name="_Hlk163050796"/>
      <w:bookmarkStart w:id="458" w:name="_Toc11103"/>
      <w:bookmarkStart w:id="459" w:name="_Toc26629"/>
      <w:bookmarkStart w:id="460" w:name="_Toc18687"/>
      <w:bookmarkStart w:id="461" w:name="_Toc2560"/>
      <w:bookmarkStart w:id="462" w:name="_Toc11486"/>
      <w:bookmarkStart w:id="463" w:name="_Toc18610"/>
      <w:bookmarkStart w:id="464" w:name="_Toc10262"/>
      <w:bookmarkStart w:id="465" w:name="_Toc3807"/>
      <w:bookmarkStart w:id="466" w:name="_Toc3727"/>
      <w:bookmarkStart w:id="467" w:name="_Toc8338"/>
      <w:bookmarkStart w:id="468" w:name="_Toc1047"/>
      <w:bookmarkStart w:id="469" w:name="_Toc22722"/>
      <w:bookmarkStart w:id="470" w:name="_Toc13533"/>
      <w:bookmarkStart w:id="471" w:name="_Toc8356"/>
      <w:bookmarkStart w:id="472" w:name="_Toc32613"/>
      <w:bookmarkStart w:id="473" w:name="_Toc22400"/>
      <w:bookmarkStart w:id="474" w:name="_Toc8120"/>
      <w:bookmarkStart w:id="475" w:name="_Toc16244"/>
      <w:bookmarkStart w:id="476" w:name="_Toc16795"/>
      <w:bookmarkStart w:id="477" w:name="_Toc24190"/>
      <w:bookmarkStart w:id="478" w:name="_Toc10667"/>
      <w:bookmarkStart w:id="479" w:name="_Toc12834"/>
      <w:bookmarkStart w:id="480" w:name="_Toc1600"/>
      <w:bookmarkStart w:id="481" w:name="_Toc6559"/>
      <w:r>
        <w:rPr>
          <w:rFonts w:hint="eastAsia"/>
          <w:color w:val="auto"/>
          <w:sz w:val="24"/>
        </w:rPr>
        <w:br w:type="page"/>
      </w:r>
    </w:p>
    <w:p w14:paraId="297C768D">
      <w:pPr>
        <w:pStyle w:val="4"/>
        <w:keepNext/>
        <w:keepLines/>
        <w:pageBreakBefore w:val="0"/>
        <w:widowControl w:val="0"/>
        <w:kinsoku/>
        <w:wordWrap/>
        <w:overflowPunct/>
        <w:topLinePunct w:val="0"/>
        <w:autoSpaceDE/>
        <w:autoSpaceDN/>
        <w:bidi w:val="0"/>
        <w:adjustRightInd w:val="0"/>
        <w:snapToGrid/>
        <w:spacing w:before="0" w:after="0" w:line="360" w:lineRule="auto"/>
        <w:textAlignment w:val="auto"/>
        <w:outlineLvl w:val="0"/>
        <w:rPr>
          <w:color w:val="auto"/>
        </w:rPr>
      </w:pPr>
      <w:bookmarkStart w:id="482" w:name="_Toc29573"/>
      <w:r>
        <w:rPr>
          <w:rFonts w:hint="eastAsia"/>
          <w:color w:val="auto"/>
        </w:rPr>
        <w:t>第五部分 合同基本条款</w:t>
      </w:r>
      <w:bookmarkEnd w:id="482"/>
    </w:p>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14:paraId="63E5D2F5">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w:t>
      </w:r>
      <w:r>
        <w:rPr>
          <w:rFonts w:hint="eastAsia" w:hAnsi="宋体"/>
          <w:b/>
          <w:bCs/>
          <w:color w:val="auto"/>
          <w:spacing w:val="-6"/>
          <w:szCs w:val="21"/>
          <w:lang w:val="en-US" w:eastAsia="zh-CN"/>
        </w:rPr>
        <w:t>样稿</w:t>
      </w:r>
      <w:r>
        <w:rPr>
          <w:rFonts w:hint="eastAsia" w:hAnsi="宋体"/>
          <w:b/>
          <w:bCs/>
          <w:color w:val="auto"/>
          <w:spacing w:val="-6"/>
          <w:szCs w:val="21"/>
        </w:rPr>
        <w:t>为</w:t>
      </w:r>
      <w:r>
        <w:rPr>
          <w:rFonts w:hint="eastAsia" w:hAnsi="宋体"/>
          <w:b/>
          <w:bCs/>
          <w:color w:val="auto"/>
          <w:spacing w:val="-6"/>
          <w:szCs w:val="21"/>
          <w:lang w:val="en-US" w:eastAsia="zh-CN"/>
        </w:rPr>
        <w:t>采购统一</w:t>
      </w:r>
      <w:r>
        <w:rPr>
          <w:rFonts w:hint="eastAsia" w:hAnsi="宋体"/>
          <w:b/>
          <w:bCs/>
          <w:color w:val="auto"/>
          <w:spacing w:val="-6"/>
          <w:szCs w:val="21"/>
        </w:rPr>
        <w:t>合同</w:t>
      </w:r>
      <w:r>
        <w:rPr>
          <w:rFonts w:hint="eastAsia" w:hAnsi="宋体"/>
          <w:b/>
          <w:bCs/>
          <w:color w:val="auto"/>
          <w:spacing w:val="-6"/>
          <w:szCs w:val="21"/>
          <w:lang w:val="en-US" w:eastAsia="zh-CN"/>
        </w:rPr>
        <w:t>模板</w:t>
      </w:r>
      <w:r>
        <w:rPr>
          <w:rFonts w:hint="eastAsia" w:hAnsi="宋体"/>
          <w:b/>
          <w:bCs/>
          <w:color w:val="auto"/>
          <w:spacing w:val="-6"/>
          <w:szCs w:val="21"/>
        </w:rPr>
        <w:t>，</w:t>
      </w:r>
      <w:r>
        <w:rPr>
          <w:rFonts w:hint="eastAsia" w:hAnsi="宋体"/>
          <w:b/>
          <w:bCs/>
          <w:color w:val="auto"/>
          <w:spacing w:val="-6"/>
          <w:szCs w:val="21"/>
          <w:lang w:val="en-US" w:eastAsia="zh-CN"/>
        </w:rPr>
        <w:t>实际签订时以采购文件和采购结果为准，如有争议</w:t>
      </w:r>
      <w:r>
        <w:rPr>
          <w:rFonts w:hint="eastAsia" w:hAnsi="宋体"/>
          <w:b/>
          <w:bCs/>
          <w:color w:val="auto"/>
          <w:spacing w:val="-6"/>
          <w:szCs w:val="21"/>
        </w:rPr>
        <w:t>以甲方法务审核后的版本为准。</w:t>
      </w:r>
      <w:bookmarkEnd w:id="457"/>
    </w:p>
    <w:p w14:paraId="5D1B5F77">
      <w:pPr>
        <w:keepNext w:val="0"/>
        <w:keepLines w:val="0"/>
        <w:pageBreakBefore w:val="0"/>
        <w:widowControl w:val="0"/>
        <w:kinsoku/>
        <w:wordWrap/>
        <w:overflowPunct/>
        <w:topLinePunct w:val="0"/>
        <w:autoSpaceDE/>
        <w:autoSpaceDN/>
        <w:bidi w:val="0"/>
        <w:adjustRightInd/>
        <w:spacing w:line="312" w:lineRule="auto"/>
        <w:jc w:val="center"/>
        <w:textAlignment w:val="auto"/>
        <w:rPr>
          <w:b/>
          <w:bCs/>
          <w:color w:val="auto"/>
          <w:sz w:val="28"/>
          <w:szCs w:val="28"/>
        </w:rPr>
      </w:pPr>
      <w:bookmarkStart w:id="483" w:name="_Toc30517"/>
      <w:bookmarkStart w:id="484" w:name="_Toc886"/>
      <w:r>
        <w:rPr>
          <w:rFonts w:hint="eastAsia"/>
          <w:b/>
          <w:bCs/>
          <w:color w:val="auto"/>
          <w:sz w:val="28"/>
          <w:szCs w:val="28"/>
        </w:rPr>
        <w:t>杭州电子科技大学采购合同（货物类）</w:t>
      </w:r>
    </w:p>
    <w:p w14:paraId="5F76273F">
      <w:pPr>
        <w:keepNext w:val="0"/>
        <w:keepLines w:val="0"/>
        <w:pageBreakBefore w:val="0"/>
        <w:widowControl w:val="0"/>
        <w:kinsoku/>
        <w:wordWrap/>
        <w:overflowPunct/>
        <w:topLinePunct w:val="0"/>
        <w:autoSpaceDE/>
        <w:autoSpaceDN/>
        <w:bidi w:val="0"/>
        <w:adjustRightInd/>
        <w:spacing w:line="312" w:lineRule="auto"/>
        <w:jc w:val="right"/>
        <w:textAlignment w:val="auto"/>
        <w:rPr>
          <w:color w:val="auto"/>
        </w:rPr>
      </w:pPr>
      <w:r>
        <w:rPr>
          <w:rFonts w:hint="eastAsia"/>
          <w:color w:val="auto"/>
        </w:rPr>
        <w:t>合同编号_</w:t>
      </w:r>
      <w:r>
        <w:rPr>
          <w:color w:val="auto"/>
        </w:rPr>
        <w:t xml:space="preserve">________________ </w:t>
      </w:r>
    </w:p>
    <w:p w14:paraId="4A196E07">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确认书号：</w:t>
      </w:r>
    </w:p>
    <w:p w14:paraId="5B2C4BF1">
      <w:pPr>
        <w:keepNext w:val="0"/>
        <w:keepLines w:val="0"/>
        <w:pageBreakBefore w:val="0"/>
        <w:widowControl w:val="0"/>
        <w:kinsoku/>
        <w:wordWrap/>
        <w:overflowPunct/>
        <w:topLinePunct w:val="0"/>
        <w:autoSpaceDE/>
        <w:autoSpaceDN/>
        <w:bidi w:val="0"/>
        <w:adjustRightInd/>
        <w:snapToGrid/>
        <w:spacing w:line="288" w:lineRule="auto"/>
        <w:ind w:firstLine="396"/>
        <w:textAlignment w:val="auto"/>
        <w:rPr>
          <w:rFonts w:ascii="宋体" w:hAnsi="宋体" w:cs="宋体"/>
          <w:color w:val="auto"/>
          <w:spacing w:val="-6"/>
          <w:szCs w:val="21"/>
        </w:rPr>
      </w:pPr>
      <w:r>
        <w:rPr>
          <w:rFonts w:hint="eastAsia" w:ascii="宋体" w:hAnsi="宋体" w:cs="宋体"/>
          <w:color w:val="auto"/>
          <w:spacing w:val="-6"/>
          <w:szCs w:val="21"/>
        </w:rPr>
        <w:t>项目编号：</w:t>
      </w:r>
    </w:p>
    <w:p w14:paraId="46902F1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 xml:space="preserve">甲方（采购人）：杭州电子科技大学 </w:t>
      </w:r>
      <w:r>
        <w:rPr>
          <w:color w:val="auto"/>
        </w:rPr>
        <w:t xml:space="preserve"> </w:t>
      </w:r>
    </w:p>
    <w:p w14:paraId="35D1FFA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乙方（供应商）：</w:t>
      </w:r>
      <w:r>
        <w:rPr>
          <w:color w:val="auto"/>
        </w:rPr>
        <w:t xml:space="preserve"> </w:t>
      </w:r>
    </w:p>
    <w:p w14:paraId="40602C2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u w:val="none"/>
          <w:lang w:eastAsia="zh-CN"/>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6D46480F">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一、采购货物与合同价格</w:t>
      </w:r>
    </w:p>
    <w:tbl>
      <w:tblPr>
        <w:tblStyle w:val="47"/>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2B8B3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96C1DA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509A1CE0">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01F6CB64">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7DC27F2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1FF7043A">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B1B89F8">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66C6213C">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rFonts w:hint="eastAsia"/>
                <w:color w:val="auto"/>
              </w:rPr>
              <w:t>总价</w:t>
            </w:r>
          </w:p>
        </w:tc>
      </w:tr>
      <w:tr w14:paraId="3380C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3"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84588CE">
            <w:pPr>
              <w:keepNext w:val="0"/>
              <w:keepLines w:val="0"/>
              <w:pageBreakBefore w:val="0"/>
              <w:widowControl w:val="0"/>
              <w:kinsoku/>
              <w:wordWrap/>
              <w:overflowPunct/>
              <w:topLinePunct w:val="0"/>
              <w:autoSpaceDE/>
              <w:autoSpaceDN/>
              <w:bidi w:val="0"/>
              <w:adjustRightInd/>
              <w:snapToGrid/>
              <w:spacing w:line="288" w:lineRule="auto"/>
              <w:jc w:val="center"/>
              <w:textAlignment w:val="auto"/>
              <w:rPr>
                <w:color w:val="auto"/>
              </w:rPr>
            </w:pPr>
            <w:r>
              <w:rPr>
                <w:color w:val="auto"/>
              </w:rPr>
              <w:t>1</w:t>
            </w:r>
          </w:p>
        </w:tc>
        <w:tc>
          <w:tcPr>
            <w:tcW w:w="1270" w:type="dxa"/>
            <w:tcBorders>
              <w:top w:val="single" w:color="auto" w:sz="4" w:space="0"/>
              <w:left w:val="single" w:color="auto" w:sz="4" w:space="0"/>
              <w:bottom w:val="single" w:color="auto" w:sz="4" w:space="0"/>
              <w:right w:val="single" w:color="auto" w:sz="4" w:space="0"/>
            </w:tcBorders>
            <w:vAlign w:val="center"/>
          </w:tcPr>
          <w:p w14:paraId="23E5137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22A24710">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629A08B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595E110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3A3E478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2160C96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161AE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1ED5C2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70" w:type="dxa"/>
            <w:tcBorders>
              <w:top w:val="single" w:color="auto" w:sz="4" w:space="0"/>
              <w:left w:val="single" w:color="auto" w:sz="4" w:space="0"/>
              <w:bottom w:val="single" w:color="auto" w:sz="4" w:space="0"/>
              <w:right w:val="single" w:color="auto" w:sz="4" w:space="0"/>
            </w:tcBorders>
            <w:vAlign w:val="center"/>
          </w:tcPr>
          <w:p w14:paraId="395197C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3200" w:type="dxa"/>
            <w:tcBorders>
              <w:top w:val="single" w:color="auto" w:sz="4" w:space="0"/>
              <w:left w:val="single" w:color="auto" w:sz="4" w:space="0"/>
              <w:bottom w:val="single" w:color="auto" w:sz="4" w:space="0"/>
              <w:right w:val="single" w:color="auto" w:sz="4" w:space="0"/>
            </w:tcBorders>
          </w:tcPr>
          <w:p w14:paraId="0C5D744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5B3246F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46CA247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206" w:type="dxa"/>
            <w:tcBorders>
              <w:top w:val="single" w:color="auto" w:sz="4" w:space="0"/>
              <w:left w:val="single" w:color="auto" w:sz="4" w:space="0"/>
              <w:bottom w:val="single" w:color="auto" w:sz="4" w:space="0"/>
              <w:right w:val="single" w:color="auto" w:sz="4" w:space="0"/>
            </w:tcBorders>
            <w:vAlign w:val="center"/>
          </w:tcPr>
          <w:p w14:paraId="7DD70A2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c>
          <w:tcPr>
            <w:tcW w:w="1134" w:type="dxa"/>
            <w:tcBorders>
              <w:top w:val="single" w:color="auto" w:sz="4" w:space="0"/>
              <w:left w:val="single" w:color="auto" w:sz="4" w:space="0"/>
              <w:bottom w:val="single" w:color="auto" w:sz="4" w:space="0"/>
              <w:right w:val="single" w:color="auto" w:sz="4" w:space="0"/>
            </w:tcBorders>
            <w:vAlign w:val="center"/>
          </w:tcPr>
          <w:p w14:paraId="73E3BFC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p>
        </w:tc>
      </w:tr>
      <w:tr w14:paraId="7263F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0BB80AE6">
            <w:pPr>
              <w:keepNext w:val="0"/>
              <w:keepLines w:val="0"/>
              <w:pageBreakBefore w:val="0"/>
              <w:widowControl w:val="0"/>
              <w:kinsoku/>
              <w:wordWrap/>
              <w:overflowPunct/>
              <w:topLinePunct w:val="0"/>
              <w:autoSpaceDE/>
              <w:autoSpaceDN/>
              <w:bidi w:val="0"/>
              <w:adjustRightInd/>
              <w:snapToGrid/>
              <w:spacing w:line="288" w:lineRule="auto"/>
              <w:textAlignment w:val="auto"/>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1FF0918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4216BE4D">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二、供货范围</w:t>
      </w:r>
    </w:p>
    <w:p w14:paraId="3A78618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合同供货范围包括所有合同货物、相关的技术资料。</w:t>
      </w:r>
    </w:p>
    <w:p w14:paraId="406CC3D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159B68C1">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三、质保期、履约保证金与货款结算</w:t>
      </w:r>
    </w:p>
    <w:p w14:paraId="0D86E732">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1</w:t>
      </w:r>
      <w:r>
        <w:rPr>
          <w:rFonts w:ascii="宋体" w:hAnsi="宋体"/>
          <w:b/>
          <w:bCs/>
          <w:color w:val="auto"/>
          <w:spacing w:val="-6"/>
        </w:rPr>
        <w:t>.</w:t>
      </w:r>
      <w:r>
        <w:rPr>
          <w:rFonts w:hint="eastAsia"/>
          <w:b/>
          <w:bCs/>
          <w:color w:val="auto"/>
        </w:rPr>
        <w:t>质保期</w:t>
      </w:r>
      <w:r>
        <w:rPr>
          <w:rFonts w:hint="eastAsia"/>
          <w:color w:val="auto"/>
        </w:rPr>
        <w:t>：自验收合格之日起，质保期</w:t>
      </w:r>
      <w:r>
        <w:rPr>
          <w:color w:val="auto"/>
          <w:u w:val="single"/>
        </w:rPr>
        <w:t xml:space="preserve">   </w:t>
      </w:r>
      <w:r>
        <w:rPr>
          <w:rFonts w:hint="eastAsia"/>
          <w:color w:val="auto"/>
          <w:u w:val="single"/>
          <w:lang w:val="en-US" w:eastAsia="zh-CN"/>
        </w:rPr>
        <w:t xml:space="preserve">  </w:t>
      </w:r>
      <w:r>
        <w:rPr>
          <w:rFonts w:hint="eastAsia"/>
          <w:color w:val="auto"/>
          <w:u w:val="none"/>
          <w:lang w:val="en-US" w:eastAsia="zh-CN"/>
        </w:rPr>
        <w:t xml:space="preserve"> 月</w:t>
      </w:r>
      <w:r>
        <w:rPr>
          <w:rFonts w:hint="eastAsia"/>
          <w:color w:val="auto"/>
        </w:rPr>
        <w:t>。超过质保期的货物，终生维修，维修时只收部件成本费。软件的质保期即维护期，乙方应提供升级服务。质保期内质保维护升级等费用包含在合同总价中，不额外收取。</w:t>
      </w:r>
      <w:r>
        <w:rPr>
          <w:rFonts w:hint="eastAsia"/>
          <w:color w:val="auto"/>
          <w:lang w:val="en-US" w:eastAsia="zh-CN"/>
        </w:rPr>
        <w:t>其他质保说明（如有）：</w:t>
      </w:r>
      <w:r>
        <w:rPr>
          <w:rFonts w:hint="eastAsia"/>
          <w:color w:val="auto"/>
          <w:u w:val="single"/>
          <w:lang w:val="en-US" w:eastAsia="zh-CN"/>
        </w:rPr>
        <w:t xml:space="preserve">                </w:t>
      </w:r>
      <w:r>
        <w:rPr>
          <w:rFonts w:hint="eastAsia"/>
          <w:color w:val="auto"/>
          <w:u w:val="none"/>
          <w:lang w:val="en-US" w:eastAsia="zh-CN"/>
        </w:rPr>
        <w:t>。</w:t>
      </w:r>
    </w:p>
    <w:p w14:paraId="252E9824">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2.</w:t>
      </w:r>
      <w:r>
        <w:rPr>
          <w:rFonts w:hint="eastAsia"/>
          <w:b/>
          <w:bCs/>
          <w:color w:val="auto"/>
        </w:rPr>
        <w:t>履约保证金（如</w:t>
      </w:r>
      <w:r>
        <w:rPr>
          <w:rFonts w:hint="eastAsia"/>
          <w:b/>
          <w:bCs/>
          <w:color w:val="auto"/>
          <w:lang w:val="en-US" w:eastAsia="zh-CN"/>
        </w:rPr>
        <w:t>有</w:t>
      </w:r>
      <w:r>
        <w:rPr>
          <w:rFonts w:hint="eastAsia"/>
          <w:b/>
          <w:bCs/>
          <w:color w:val="auto"/>
        </w:rPr>
        <w:t>）：</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w:t>
      </w:r>
      <w:r>
        <w:rPr>
          <w:rFonts w:hint="eastAsia"/>
          <w:color w:val="auto"/>
          <w:lang w:eastAsia="zh-CN"/>
        </w:rPr>
        <w:t>（</w:t>
      </w:r>
      <w:r>
        <w:rPr>
          <w:rFonts w:hint="eastAsia"/>
          <w:color w:val="auto"/>
          <w:lang w:val="en-US" w:eastAsia="zh-CN"/>
        </w:rPr>
        <w:t>须到学校</w:t>
      </w:r>
      <w:r>
        <w:rPr>
          <w:rFonts w:hint="eastAsia"/>
          <w:color w:val="auto"/>
        </w:rPr>
        <w:t>计划财务</w:t>
      </w:r>
      <w:r>
        <w:rPr>
          <w:rFonts w:hint="eastAsia"/>
          <w:color w:val="auto"/>
          <w:lang w:val="en-US" w:eastAsia="zh-CN"/>
        </w:rPr>
        <w:t>处办理退还手续</w:t>
      </w:r>
      <w:r>
        <w:rPr>
          <w:rFonts w:hint="eastAsia"/>
          <w:color w:val="auto"/>
          <w:lang w:eastAsia="zh-CN"/>
        </w:rPr>
        <w:t>）</w:t>
      </w:r>
      <w:r>
        <w:rPr>
          <w:rFonts w:hint="eastAsia"/>
          <w:color w:val="auto"/>
        </w:rPr>
        <w:t>，以保函形式提交的履约保证金无需办理退还手续。收款单位（户名）：杭州电子科技大学。开户银行：工行高新支行。银行账号：</w:t>
      </w:r>
      <w:r>
        <w:rPr>
          <w:color w:val="auto"/>
        </w:rPr>
        <w:t>1202026209008806216</w:t>
      </w:r>
      <w:r>
        <w:rPr>
          <w:rFonts w:hint="eastAsia"/>
          <w:color w:val="auto"/>
        </w:rPr>
        <w:t>。</w:t>
      </w:r>
    </w:p>
    <w:p w14:paraId="4F1B856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asciiTheme="minorEastAsia" w:hAnsiTheme="minorEastAsia" w:eastAsiaTheme="minorEastAsia"/>
          <w:b/>
          <w:bCs/>
          <w:color w:val="auto"/>
        </w:rPr>
        <w:t>3</w:t>
      </w:r>
      <w:r>
        <w:rPr>
          <w:rFonts w:ascii="宋体" w:hAnsi="宋体"/>
          <w:b/>
          <w:bCs/>
          <w:color w:val="auto"/>
          <w:spacing w:val="-6"/>
        </w:rPr>
        <w:t>.</w:t>
      </w:r>
      <w:r>
        <w:rPr>
          <w:rFonts w:hint="eastAsia"/>
          <w:b/>
          <w:bCs/>
          <w:color w:val="auto"/>
        </w:rPr>
        <w:t>货款结算</w:t>
      </w:r>
      <w:r>
        <w:rPr>
          <w:rFonts w:hint="eastAsia"/>
          <w:b/>
          <w:bCs/>
          <w:color w:val="auto"/>
          <w:lang w:eastAsia="zh-CN"/>
        </w:rPr>
        <w:t>：</w:t>
      </w:r>
      <w:r>
        <w:rPr>
          <w:rFonts w:hint="eastAsia"/>
          <w:color w:val="auto"/>
        </w:rPr>
        <w:t>按以下第</w:t>
      </w:r>
      <w:r>
        <w:rPr>
          <w:rFonts w:hint="eastAsia"/>
          <w:color w:val="auto"/>
          <w:u w:val="single"/>
        </w:rPr>
        <w:t xml:space="preserve">        </w:t>
      </w:r>
      <w:r>
        <w:rPr>
          <w:rFonts w:hint="eastAsia"/>
          <w:color w:val="auto"/>
        </w:rPr>
        <w:t>种方式支付乙方合同价款。</w:t>
      </w:r>
    </w:p>
    <w:p w14:paraId="7428ED5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宋体" w:hAnsi="宋体"/>
          <w:color w:val="auto"/>
          <w:spacing w:val="-6"/>
        </w:rPr>
        <w:t>1</w:t>
      </w:r>
      <w:r>
        <w:rPr>
          <w:rFonts w:hint="eastAsia"/>
          <w:color w:val="auto"/>
        </w:rPr>
        <w:t>）预付款方式：合同生效以及具备实施条件且乙方已向甲方提交银行、保险公司等金融机构出具的预付款保函</w:t>
      </w:r>
      <w:r>
        <w:rPr>
          <w:rFonts w:hint="eastAsia"/>
          <w:color w:val="auto"/>
          <w:lang w:val="en-US" w:eastAsia="zh-CN"/>
        </w:rPr>
        <w:t>后</w:t>
      </w:r>
      <w:r>
        <w:rPr>
          <w:rFonts w:hint="eastAsia"/>
          <w:color w:val="auto"/>
        </w:rPr>
        <w:t>，</w:t>
      </w:r>
      <w:r>
        <w:rPr>
          <w:color w:val="auto"/>
        </w:rPr>
        <w:t>7</w:t>
      </w:r>
      <w:r>
        <w:rPr>
          <w:rFonts w:hint="eastAsia"/>
          <w:color w:val="auto"/>
        </w:rPr>
        <w:t>个工作日内，甲方向乙方支付合同总价的</w:t>
      </w:r>
      <w:r>
        <w:rPr>
          <w:color w:val="auto"/>
          <w:u w:val="single"/>
        </w:rPr>
        <w:t xml:space="preserve">      </w:t>
      </w:r>
      <w:r>
        <w:rPr>
          <w:color w:val="auto"/>
        </w:rPr>
        <w:t>%（</w:t>
      </w:r>
      <w:r>
        <w:rPr>
          <w:rFonts w:hint="eastAsia"/>
          <w:color w:val="auto"/>
          <w:lang w:val="en-US" w:eastAsia="zh-CN"/>
        </w:rPr>
        <w:t>中小微企业限</w:t>
      </w:r>
      <w:r>
        <w:rPr>
          <w:rFonts w:hint="eastAsia" w:ascii="仿宋_GB2312" w:hAnsi="仿宋" w:eastAsia="仿宋_GB2312" w:cs="仿宋_GB2312"/>
          <w:color w:val="auto"/>
          <w:kern w:val="2"/>
          <w:sz w:val="24"/>
          <w:szCs w:val="24"/>
          <w:lang w:val="en-US" w:eastAsia="zh-CN"/>
        </w:rPr>
        <w:t>3</w:t>
      </w:r>
      <w:r>
        <w:rPr>
          <w:rFonts w:hint="eastAsia" w:ascii="仿宋_GB2312" w:hAnsi="仿宋" w:eastAsia="仿宋_GB2312" w:cs="仿宋_GB2312"/>
          <w:color w:val="auto"/>
          <w:kern w:val="2"/>
          <w:sz w:val="24"/>
          <w:szCs w:val="24"/>
        </w:rPr>
        <w:t>0％</w:t>
      </w:r>
      <w:r>
        <w:rPr>
          <w:rFonts w:hint="eastAsia" w:ascii="仿宋_GB2312" w:hAnsi="仿宋" w:eastAsia="仿宋_GB2312" w:cs="仿宋_GB2312"/>
          <w:color w:val="auto"/>
          <w:kern w:val="2"/>
          <w:sz w:val="24"/>
          <w:szCs w:val="24"/>
          <w:lang w:val="en-US" w:eastAsia="zh-CN"/>
        </w:rPr>
        <w:t>-7</w:t>
      </w:r>
      <w:r>
        <w:rPr>
          <w:rFonts w:hint="eastAsia" w:ascii="仿宋_GB2312" w:hAnsi="仿宋" w:eastAsia="仿宋_GB2312" w:cs="仿宋_GB2312"/>
          <w:color w:val="auto"/>
          <w:kern w:val="2"/>
          <w:sz w:val="24"/>
          <w:szCs w:val="24"/>
        </w:rPr>
        <w:t>0%</w:t>
      </w:r>
      <w:r>
        <w:rPr>
          <w:color w:val="auto"/>
        </w:rPr>
        <w:t>）</w:t>
      </w:r>
      <w:r>
        <w:rPr>
          <w:rFonts w:hint="eastAsia"/>
          <w:color w:val="auto"/>
        </w:rPr>
        <w:t>；货物在乙方安装调试完毕经甲方验收合格并收到</w:t>
      </w:r>
      <w:r>
        <w:rPr>
          <w:rFonts w:hint="eastAsia"/>
          <w:color w:val="auto"/>
          <w:lang w:val="en-US" w:eastAsia="zh-CN"/>
        </w:rPr>
        <w:t>增值税专用</w:t>
      </w:r>
      <w:r>
        <w:rPr>
          <w:rFonts w:hint="eastAsia"/>
          <w:color w:val="auto"/>
        </w:rPr>
        <w:t>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。若供应商收取预付款，要求预付款保函有效期覆盖项目验收合格时间；提供了预付款保函则供应商无需再缴纳履约保证金。</w:t>
      </w:r>
    </w:p>
    <w:p w14:paraId="6277C09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rFonts w:asciiTheme="minorEastAsia" w:hAnsiTheme="minorEastAsia" w:eastAsiaTheme="minorEastAsia"/>
          <w:color w:val="auto"/>
        </w:rPr>
        <w:t>2</w:t>
      </w:r>
      <w:r>
        <w:rPr>
          <w:rFonts w:hint="eastAsia"/>
          <w:color w:val="auto"/>
        </w:rPr>
        <w:t>）无需预付款的，可以采用以下付款方式：</w:t>
      </w:r>
    </w:p>
    <w:p w14:paraId="79E5C28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①</w:t>
      </w:r>
      <w:r>
        <w:rPr>
          <w:rFonts w:hint="eastAsia"/>
          <w:bCs/>
          <w:color w:val="auto"/>
        </w:rPr>
        <w:t>货到分期付款：</w:t>
      </w:r>
      <w:r>
        <w:rPr>
          <w:rFonts w:hint="eastAsia"/>
          <w:color w:val="auto"/>
        </w:rPr>
        <w:t>货物送达并经甲方初步验收并收到有效票据后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个工作日内，甲方向乙方支付合同总价的</w:t>
      </w:r>
      <w:r>
        <w:rPr>
          <w:color w:val="auto"/>
        </w:rPr>
        <w:t>30%</w:t>
      </w:r>
      <w:r>
        <w:rPr>
          <w:rFonts w:hint="eastAsia"/>
          <w:color w:val="auto"/>
        </w:rPr>
        <w:t>。</w:t>
      </w:r>
    </w:p>
    <w:p w14:paraId="123CC5F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②货到一次性支付：</w:t>
      </w:r>
    </w:p>
    <w:p w14:paraId="7EA79D0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全部货物送达安装调试完毕，经甲方验收合格，收到</w:t>
      </w:r>
      <w:r>
        <w:rPr>
          <w:rFonts w:hint="eastAsia"/>
          <w:color w:val="auto"/>
          <w:lang w:val="en-US" w:eastAsia="zh-CN"/>
        </w:rPr>
        <w:t>增值税专用</w:t>
      </w:r>
      <w:r>
        <w:rPr>
          <w:rFonts w:hint="eastAsia"/>
          <w:color w:val="auto"/>
        </w:rPr>
        <w:t>发票后</w:t>
      </w:r>
      <w:r>
        <w:rPr>
          <w:color w:val="auto"/>
        </w:rPr>
        <w:t>10</w:t>
      </w:r>
      <w:r>
        <w:rPr>
          <w:rFonts w:hint="eastAsia"/>
          <w:color w:val="auto"/>
        </w:rPr>
        <w:t>个工作日内，甲方向乙方支付全部合同价款。</w:t>
      </w:r>
      <w:r>
        <w:rPr>
          <w:color w:val="auto"/>
        </w:rPr>
        <w:t xml:space="preserve"> </w:t>
      </w:r>
    </w:p>
    <w:p w14:paraId="3BFD5E9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③其它支付形式</w:t>
      </w:r>
      <w:r>
        <w:rPr>
          <w:rFonts w:hint="eastAsia"/>
          <w:color w:val="auto"/>
          <w:lang w:eastAsia="zh-CN"/>
        </w:rPr>
        <w:t>（</w:t>
      </w:r>
      <w:r>
        <w:rPr>
          <w:rFonts w:hint="eastAsia"/>
          <w:color w:val="auto"/>
        </w:rPr>
        <w:t>双方协商一致，</w:t>
      </w:r>
      <w:r>
        <w:rPr>
          <w:rFonts w:hint="eastAsia"/>
          <w:color w:val="auto"/>
          <w:lang w:val="en-US" w:eastAsia="zh-CN"/>
        </w:rPr>
        <w:t>须</w:t>
      </w:r>
      <w:r>
        <w:rPr>
          <w:rFonts w:hint="eastAsia"/>
          <w:color w:val="auto"/>
        </w:rPr>
        <w:t>符合采购法规</w:t>
      </w:r>
      <w:r>
        <w:rPr>
          <w:rFonts w:hint="eastAsia"/>
          <w:color w:val="auto"/>
          <w:lang w:eastAsia="zh-CN"/>
        </w:rPr>
        <w:t>）：</w:t>
      </w:r>
      <w:r>
        <w:rPr>
          <w:rFonts w:hint="eastAsia"/>
          <w:color w:val="auto"/>
          <w:u w:val="single"/>
          <w:lang w:val="en-US" w:eastAsia="zh-CN"/>
        </w:rPr>
        <w:t xml:space="preserve">                                </w:t>
      </w:r>
      <w:r>
        <w:rPr>
          <w:rFonts w:hint="eastAsia"/>
          <w:color w:val="auto"/>
        </w:rPr>
        <w:t>。</w:t>
      </w:r>
      <w:r>
        <w:rPr>
          <w:color w:val="auto"/>
        </w:rPr>
        <w:t xml:space="preserve">                </w:t>
      </w:r>
    </w:p>
    <w:p w14:paraId="01602D0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无论何种结算方式，付款前，乙方须交纳合同约定的履约保证金（如有）并提供</w:t>
      </w:r>
      <w:r>
        <w:rPr>
          <w:rFonts w:hint="eastAsia"/>
          <w:color w:val="auto"/>
          <w:lang w:val="en-US" w:eastAsia="zh-CN"/>
        </w:rPr>
        <w:t>履约保证金保函或</w:t>
      </w:r>
      <w:r>
        <w:rPr>
          <w:rFonts w:hint="eastAsia"/>
          <w:color w:val="auto"/>
        </w:rPr>
        <w:t>甲方财务处开具的履约保证金收据，乙方向甲方开具等额有效的票据。甲方开票信息如下：</w:t>
      </w:r>
    </w:p>
    <w:p w14:paraId="68FAC3A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单位名称：杭州电子科技大学。税号：</w:t>
      </w:r>
      <w:r>
        <w:rPr>
          <w:color w:val="auto"/>
        </w:rPr>
        <w:t>12330000470009026T</w:t>
      </w:r>
    </w:p>
    <w:p w14:paraId="2DCF546D">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开户银行：工行杭州高新支行。账号：</w:t>
      </w:r>
      <w:r>
        <w:rPr>
          <w:color w:val="auto"/>
        </w:rPr>
        <w:t>1202026209008806216</w:t>
      </w:r>
    </w:p>
    <w:p w14:paraId="3CEA45DB">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四、知识产权</w:t>
      </w:r>
      <w:r>
        <w:rPr>
          <w:color w:val="auto"/>
        </w:rPr>
        <w:t xml:space="preserve"> </w:t>
      </w:r>
    </w:p>
    <w:p w14:paraId="562E6E7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85" w:name="_Hlk155103594"/>
    </w:p>
    <w:bookmarkEnd w:id="485"/>
    <w:p w14:paraId="70593FE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hint="eastAsia"/>
          <w:color w:val="auto"/>
        </w:rPr>
        <w:t>.涉及产品定做的，甲方交付给乙方的设计图纸、样品、模具等商业秘密和知识产权归属于甲方，许可乙方在合同范围内使用，乙方负有保密责任。</w:t>
      </w:r>
    </w:p>
    <w:p w14:paraId="3ABADD7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692FA2E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五、转包或分包</w:t>
      </w:r>
    </w:p>
    <w:p w14:paraId="65E7D48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本合同范围的货物，应由乙方直接供应，不得转让他人供应。</w:t>
      </w:r>
    </w:p>
    <w:p w14:paraId="0A6E540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2.</w:t>
      </w:r>
      <w:r>
        <w:rPr>
          <w:rFonts w:hint="eastAsia" w:asciiTheme="minorEastAsia" w:hAnsiTheme="minorEastAsia" w:eastAsiaTheme="minorEastAsia"/>
          <w:color w:val="auto"/>
          <w:szCs w:val="22"/>
        </w:rPr>
        <w:t>除非得到甲方的书面同意，乙方不得将本合同范围的货物分包给他人供应。</w:t>
      </w:r>
    </w:p>
    <w:p w14:paraId="5B1E2C9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3.</w:t>
      </w:r>
      <w:r>
        <w:rPr>
          <w:rFonts w:hint="eastAsia" w:asciiTheme="minorEastAsia" w:hAnsiTheme="minorEastAsia" w:eastAsiaTheme="minorEastAsia"/>
          <w:color w:val="auto"/>
          <w:szCs w:val="22"/>
        </w:rPr>
        <w:t>如有转让或未经甲方同意的分包行为，甲方有权解除合同，没收履约保证金并要求乙方支付合同总价15%的违约金。</w:t>
      </w:r>
    </w:p>
    <w:p w14:paraId="5594798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六、货物交付</w:t>
      </w:r>
    </w:p>
    <w:p w14:paraId="7E59D0D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377BD414">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交货方式：</w:t>
      </w:r>
      <w:bookmarkStart w:id="486" w:name="_Hlk155602651"/>
      <w:r>
        <w:rPr>
          <w:rFonts w:hint="eastAsia"/>
          <w:color w:val="auto"/>
        </w:rPr>
        <w:t>送</w:t>
      </w:r>
      <w:r>
        <w:rPr>
          <w:color w:val="auto"/>
        </w:rPr>
        <w:t>货上门</w:t>
      </w:r>
      <w:bookmarkStart w:id="487" w:name="_Hlk155602451"/>
      <w:r>
        <w:rPr>
          <w:color w:val="auto"/>
        </w:rPr>
        <w:t>。</w:t>
      </w:r>
      <w:bookmarkEnd w:id="486"/>
      <w:bookmarkEnd w:id="487"/>
    </w:p>
    <w:p w14:paraId="2CE364E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交货地点：</w:t>
      </w:r>
      <w:bookmarkStart w:id="488" w:name="_Hlk155602663"/>
      <w:r>
        <w:rPr>
          <w:rFonts w:hint="eastAsia"/>
          <w:color w:val="auto"/>
        </w:rPr>
        <w:t>甲方指定地点</w:t>
      </w:r>
      <w:r>
        <w:rPr>
          <w:color w:val="auto"/>
        </w:rPr>
        <w:t>。</w:t>
      </w:r>
      <w:bookmarkEnd w:id="488"/>
    </w:p>
    <w:p w14:paraId="00DB3716">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联系人及电话：</w:t>
      </w:r>
      <w:bookmarkStart w:id="489" w:name="_Hlk155181628"/>
      <w:r>
        <w:rPr>
          <w:rFonts w:hint="eastAsia"/>
          <w:color w:val="auto"/>
        </w:rPr>
        <w:t>甲方</w:t>
      </w:r>
      <w:r>
        <w:rPr>
          <w:color w:val="auto"/>
        </w:rPr>
        <w:t xml:space="preserve"> </w:t>
      </w:r>
      <w:r>
        <w:rPr>
          <w:rFonts w:hint="eastAsia"/>
          <w:color w:val="auto"/>
        </w:rPr>
        <w:t>姓名</w:t>
      </w:r>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；乙方</w:t>
      </w:r>
      <w:r>
        <w:rPr>
          <w:color w:val="auto"/>
        </w:rPr>
        <w:t xml:space="preserve"> </w:t>
      </w:r>
      <w:r>
        <w:rPr>
          <w:rFonts w:hint="eastAsia"/>
          <w:color w:val="auto"/>
        </w:rPr>
        <w:t>姓名</w:t>
      </w:r>
      <w:bookmarkEnd w:id="489"/>
      <w:r>
        <w:rPr>
          <w:rFonts w:hint="eastAsia"/>
          <w:color w:val="auto"/>
          <w:u w:val="single"/>
          <w:lang w:val="en-US" w:eastAsia="zh-CN"/>
        </w:rPr>
        <w:t xml:space="preserve">            </w:t>
      </w:r>
      <w:r>
        <w:rPr>
          <w:rFonts w:hint="eastAsia"/>
          <w:color w:val="auto"/>
          <w:lang w:eastAsia="zh-CN"/>
        </w:rPr>
        <w:t>，</w:t>
      </w:r>
      <w:r>
        <w:rPr>
          <w:rFonts w:hint="eastAsia"/>
          <w:color w:val="auto"/>
        </w:rPr>
        <w:t>联系</w:t>
      </w:r>
      <w:r>
        <w:rPr>
          <w:rFonts w:hint="eastAsia"/>
          <w:color w:val="auto"/>
          <w:lang w:val="en-US" w:eastAsia="zh-CN"/>
        </w:rPr>
        <w:t>电话</w:t>
      </w:r>
      <w:r>
        <w:rPr>
          <w:rFonts w:hint="eastAsia"/>
          <w:color w:val="auto"/>
          <w:u w:val="single"/>
          <w:lang w:val="en-US" w:eastAsia="zh-CN"/>
        </w:rPr>
        <w:t xml:space="preserve">             </w:t>
      </w:r>
      <w:r>
        <w:rPr>
          <w:rFonts w:hint="eastAsia"/>
          <w:color w:val="auto"/>
          <w:u w:val="single"/>
        </w:rPr>
        <w:t xml:space="preserve"> </w:t>
      </w:r>
      <w:r>
        <w:rPr>
          <w:rFonts w:hint="eastAsia"/>
          <w:color w:val="auto"/>
        </w:rPr>
        <w:t>。</w:t>
      </w:r>
    </w:p>
    <w:p w14:paraId="1FF292E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5B81EDA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6</w:t>
      </w:r>
      <w:r>
        <w:rPr>
          <w:rFonts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4AD910F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7</w:t>
      </w:r>
      <w:r>
        <w:rPr>
          <w:rFonts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35B705A6">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七、安装与验收</w:t>
      </w:r>
    </w:p>
    <w:p w14:paraId="087BEB0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验收由甲方负责实施，甲乙双方验收人员在安装数量和合同价格清单上签字确认。</w:t>
      </w:r>
    </w:p>
    <w:p w14:paraId="3D1EE44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98E22E0">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62C1069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最终验收：货物经安装调试完成且符合技术要求后，甲方负责在</w:t>
      </w:r>
      <w:r>
        <w:rPr>
          <w:rFonts w:hint="eastAsia"/>
          <w:color w:val="auto"/>
          <w:u w:val="single"/>
        </w:rPr>
        <w:t xml:space="preserve"> </w:t>
      </w:r>
      <w:r>
        <w:rPr>
          <w:rFonts w:hint="eastAsia"/>
          <w:color w:val="auto"/>
          <w:u w:val="single"/>
          <w:lang w:val="en-US" w:eastAsia="zh-CN"/>
        </w:rPr>
        <w:t>10</w:t>
      </w:r>
      <w:r>
        <w:rPr>
          <w:rFonts w:hint="eastAsia"/>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90" w:name="_Hlk155181772"/>
    </w:p>
    <w:bookmarkEnd w:id="490"/>
    <w:p w14:paraId="341FA14E">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八、质量保证与售后服务</w:t>
      </w:r>
    </w:p>
    <w:p w14:paraId="2556796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b w:val="0"/>
          <w:bCs w:val="0"/>
          <w:color w:val="auto"/>
        </w:rPr>
        <w:t>1</w:t>
      </w:r>
      <w:r>
        <w:rPr>
          <w:rFonts w:ascii="宋体" w:hAnsi="宋体"/>
          <w:b w:val="0"/>
          <w:bCs w:val="0"/>
          <w:color w:val="auto"/>
          <w:spacing w:val="-6"/>
        </w:rPr>
        <w:t>.</w:t>
      </w:r>
      <w:r>
        <w:rPr>
          <w:rFonts w:hint="eastAsia"/>
          <w:b w:val="0"/>
          <w:bCs w:val="0"/>
          <w:color w:val="auto"/>
        </w:rPr>
        <w:t>乙方</w:t>
      </w:r>
      <w:bookmarkStart w:id="491" w:name="_Hlk154577956"/>
      <w:r>
        <w:rPr>
          <w:rFonts w:hint="eastAsia"/>
          <w:b w:val="0"/>
          <w:bCs w:val="0"/>
          <w:color w:val="auto"/>
        </w:rPr>
        <w:t>应按</w:t>
      </w:r>
      <w:r>
        <w:rPr>
          <w:rFonts w:hint="eastAsia"/>
          <w:color w:val="auto"/>
        </w:rPr>
        <w:t>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91"/>
    </w:p>
    <w:p w14:paraId="3F47264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b w:val="0"/>
          <w:bCs w:val="0"/>
          <w:color w:val="auto"/>
        </w:rPr>
      </w:pPr>
      <w:r>
        <w:rPr>
          <w:rFonts w:asciiTheme="minorEastAsia" w:hAnsiTheme="minorEastAsia" w:eastAsiaTheme="minorEastAsia"/>
          <w:b w:val="0"/>
          <w:bCs w:val="0"/>
          <w:color w:val="auto"/>
        </w:rPr>
        <w:t>2</w:t>
      </w:r>
      <w:r>
        <w:rPr>
          <w:rFonts w:ascii="宋体" w:hAnsi="宋体"/>
          <w:b w:val="0"/>
          <w:bCs w:val="0"/>
          <w:color w:val="auto"/>
          <w:spacing w:val="-6"/>
        </w:rPr>
        <w:t>.</w:t>
      </w:r>
      <w:r>
        <w:rPr>
          <w:rFonts w:hint="eastAsia"/>
          <w:b w:val="0"/>
          <w:bCs w:val="0"/>
          <w:color w:val="auto"/>
        </w:rPr>
        <w:t>售后服务</w:t>
      </w:r>
    </w:p>
    <w:p w14:paraId="4CD7151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17EFEDB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u w:val="single"/>
          <w:lang w:val="en-US" w:eastAsia="zh-CN"/>
        </w:rPr>
        <w:t>48</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u w:val="single"/>
          <w:lang w:val="en-US" w:eastAsia="zh-CN"/>
        </w:rPr>
        <w:t>4</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u w:val="single"/>
          <w:lang w:val="en-US" w:eastAsia="zh-CN"/>
        </w:rPr>
        <w:t>3</w:t>
      </w:r>
      <w:r>
        <w:rPr>
          <w:color w:val="auto"/>
          <w:u w:val="single"/>
        </w:rPr>
        <w:t xml:space="preserve">  </w:t>
      </w:r>
      <w:r>
        <w:rPr>
          <w:rFonts w:hint="eastAsia"/>
          <w:color w:val="auto"/>
        </w:rPr>
        <w:t>次维修后仍不能稳定、可靠运行的，甲方有权要求乙方免费更换。</w:t>
      </w:r>
    </w:p>
    <w:p w14:paraId="75984039">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九、保密条款</w:t>
      </w:r>
    </w:p>
    <w:p w14:paraId="292158EE">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4569E5C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十、违约责任</w:t>
      </w:r>
    </w:p>
    <w:p w14:paraId="4D4F22F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lang w:val="en-US" w:eastAsia="zh-CN"/>
        </w:rPr>
        <w:t xml:space="preserve"> 万分之叁 </w:t>
      </w:r>
      <w:r>
        <w:rPr>
          <w:rFonts w:hint="eastAsia"/>
          <w:color w:val="auto"/>
        </w:rPr>
        <w:t>向乙方支付违约金。</w:t>
      </w:r>
    </w:p>
    <w:p w14:paraId="24592BDF">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乙方逾期交货完工的，每逾期一日，应按合同总价</w:t>
      </w:r>
      <w:r>
        <w:rPr>
          <w:rFonts w:hint="eastAsia"/>
          <w:color w:val="auto"/>
          <w:u w:val="single"/>
          <w:lang w:val="en-US" w:eastAsia="zh-CN"/>
        </w:rPr>
        <w:t xml:space="preserve"> 万分之叁 </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4C02370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2EE29C6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乙方未能按约定要求履行保修义务的，</w:t>
      </w:r>
      <w:bookmarkStart w:id="492" w:name="_Hlk154755811"/>
      <w:r>
        <w:rPr>
          <w:rFonts w:hint="eastAsia"/>
          <w:color w:val="auto"/>
        </w:rPr>
        <w:t>每发生一次应向甲方支付</w:t>
      </w:r>
      <w:r>
        <w:rPr>
          <w:color w:val="auto"/>
          <w:u w:val="single"/>
        </w:rPr>
        <w:t xml:space="preserve"> </w:t>
      </w:r>
      <w:r>
        <w:rPr>
          <w:rFonts w:hint="eastAsia"/>
          <w:color w:val="auto"/>
          <w:u w:val="single"/>
          <w:lang w:val="en-US" w:eastAsia="zh-CN"/>
        </w:rPr>
        <w:t>1000</w:t>
      </w:r>
      <w:r>
        <w:rPr>
          <w:color w:val="auto"/>
          <w:u w:val="single"/>
        </w:rPr>
        <w:t xml:space="preserve"> </w:t>
      </w:r>
      <w:r>
        <w:rPr>
          <w:rFonts w:hint="eastAsia"/>
          <w:color w:val="auto"/>
        </w:rPr>
        <w:t>元的违约金，同时，甲方有权委托第三方进行保修，所产生的费用由乙方承担。</w:t>
      </w:r>
      <w:bookmarkEnd w:id="492"/>
      <w:r>
        <w:rPr>
          <w:rFonts w:hint="eastAsia"/>
          <w:color w:val="auto"/>
        </w:rPr>
        <w:t>若因货物缺陷或乙方服务质量等问题造成甲方或任何人员人身、财产损害的，乙方应承担有关责任并作出相应赔偿。</w:t>
      </w:r>
    </w:p>
    <w:p w14:paraId="61415235">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5</w:t>
      </w:r>
      <w:r>
        <w:rPr>
          <w:rFonts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71619C24">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十一、不可抗力</w:t>
      </w:r>
    </w:p>
    <w:p w14:paraId="30A8313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0644E6A1">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w:t>
      </w:r>
      <w:r>
        <w:rPr>
          <w:rFonts w:ascii="宋体" w:hAnsi="宋体" w:cs="宋体"/>
          <w:color w:val="auto"/>
        </w:rPr>
        <w:t>3日内</w:t>
      </w:r>
      <w:r>
        <w:rPr>
          <w:rFonts w:hint="eastAsia"/>
          <w:color w:val="auto"/>
        </w:rPr>
        <w:t>通知对方，并寄送有关权威机构出具的证明。同时应立即尽一切合理努力采取措施，消除影响，减少损失。</w:t>
      </w:r>
    </w:p>
    <w:p w14:paraId="6854803B">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2461576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本条所述的“不可抗力”依法律规定。</w:t>
      </w:r>
    </w:p>
    <w:p w14:paraId="6F4A6405">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color w:val="auto"/>
        </w:rPr>
      </w:pPr>
      <w:r>
        <w:rPr>
          <w:rFonts w:hint="eastAsia"/>
          <w:b/>
          <w:bCs/>
          <w:color w:val="auto"/>
        </w:rPr>
        <w:t>十二、法律适用与争议解决</w:t>
      </w:r>
    </w:p>
    <w:p w14:paraId="3DA1DFD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本合同的订立、解释、履行及争议解决，均适用中华人民共和国法律。</w:t>
      </w:r>
    </w:p>
    <w:p w14:paraId="32010C0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2</w:t>
      </w:r>
      <w:r>
        <w:rPr>
          <w:rFonts w:ascii="宋体" w:hAnsi="宋体"/>
          <w:color w:val="auto"/>
          <w:spacing w:val="-6"/>
        </w:rPr>
        <w:t>.</w:t>
      </w:r>
      <w:r>
        <w:rPr>
          <w:rFonts w:hint="eastAsia"/>
          <w:color w:val="auto"/>
        </w:rPr>
        <w:t>本合同履行过程中发生争议的，甲乙双方应友好协商；协商不成的，任何一方可向甲方所在地人民法院起诉。</w:t>
      </w:r>
    </w:p>
    <w:p w14:paraId="612799B3">
      <w:pPr>
        <w:keepNext w:val="0"/>
        <w:keepLines w:val="0"/>
        <w:pageBreakBefore w:val="0"/>
        <w:widowControl w:val="0"/>
        <w:kinsoku/>
        <w:wordWrap/>
        <w:overflowPunct/>
        <w:topLinePunct w:val="0"/>
        <w:autoSpaceDE/>
        <w:autoSpaceDN/>
        <w:bidi w:val="0"/>
        <w:adjustRightInd/>
        <w:snapToGrid/>
        <w:spacing w:line="288" w:lineRule="auto"/>
        <w:ind w:left="0" w:leftChars="0" w:firstLine="422" w:firstLineChars="200"/>
        <w:textAlignment w:val="auto"/>
        <w:rPr>
          <w:b/>
          <w:bCs/>
          <w:color w:val="auto"/>
        </w:rPr>
      </w:pPr>
      <w:r>
        <w:rPr>
          <w:rFonts w:hint="eastAsia"/>
          <w:b/>
          <w:bCs/>
          <w:color w:val="auto"/>
        </w:rPr>
        <w:t>十三、合同生效及其他</w:t>
      </w:r>
    </w:p>
    <w:p w14:paraId="1E5CD9D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1</w:t>
      </w:r>
      <w:r>
        <w:rPr>
          <w:rFonts w:ascii="宋体" w:hAnsi="宋体"/>
          <w:color w:val="auto"/>
          <w:spacing w:val="-6"/>
        </w:rPr>
        <w:t>.</w:t>
      </w:r>
      <w:r>
        <w:rPr>
          <w:rFonts w:hint="eastAsia"/>
          <w:color w:val="auto"/>
        </w:rPr>
        <w:t>本合同经甲、乙双方代表签字并加盖单位公章或合同专用章后生效，甲方的单位公章盖采购中心合同专用章。</w:t>
      </w:r>
    </w:p>
    <w:p w14:paraId="1E96B60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cs="宋体" w:asciiTheme="minorEastAsia" w:hAnsiTheme="minorEastAsia" w:eastAsiaTheme="minorEastAsia"/>
          <w:color w:val="auto"/>
        </w:rPr>
        <w:t>2</w:t>
      </w:r>
      <w:r>
        <w:rPr>
          <w:rFonts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16758D4A">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3</w:t>
      </w:r>
      <w:r>
        <w:rPr>
          <w:rFonts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07308EC7">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1</w:t>
      </w:r>
      <w:r>
        <w:rPr>
          <w:rFonts w:hint="eastAsia"/>
          <w:color w:val="auto"/>
        </w:rPr>
        <w:t>）本合同及其补充合同、变更协议；</w:t>
      </w:r>
    </w:p>
    <w:p w14:paraId="59D5AEC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hint="eastAsia"/>
          <w:color w:val="auto"/>
        </w:rPr>
        <w:t>（</w:t>
      </w:r>
      <w:r>
        <w:rPr>
          <w:color w:val="auto"/>
        </w:rPr>
        <w:t>2</w:t>
      </w:r>
      <w:r>
        <w:rPr>
          <w:rFonts w:hint="eastAsia"/>
          <w:color w:val="auto"/>
        </w:rPr>
        <w:t>）中标（成交）通知书；</w:t>
      </w:r>
    </w:p>
    <w:p w14:paraId="05FAB4FC">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（3）投标（</w:t>
      </w:r>
      <w:r>
        <w:rPr>
          <w:rFonts w:hint="eastAsia"/>
          <w:color w:val="auto"/>
          <w:szCs w:val="22"/>
          <w:lang w:val="zh-CN"/>
        </w:rPr>
        <w:t>响应）文件（含澄清或者说明文件）；</w:t>
      </w:r>
    </w:p>
    <w:p w14:paraId="32E439F3">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lang w:val="zh-CN"/>
        </w:rPr>
      </w:pPr>
      <w:r>
        <w:rPr>
          <w:rFonts w:hint="eastAsia"/>
          <w:color w:val="auto"/>
          <w:szCs w:val="22"/>
        </w:rPr>
        <w:t>（4）招标（非招标）</w:t>
      </w:r>
      <w:r>
        <w:rPr>
          <w:rFonts w:hint="eastAsia"/>
          <w:color w:val="auto"/>
          <w:szCs w:val="22"/>
          <w:lang w:val="zh-CN"/>
        </w:rPr>
        <w:t>文件（含澄清或者修改文件）；</w:t>
      </w:r>
    </w:p>
    <w:p w14:paraId="31864BB8">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hint="eastAsia"/>
          <w:color w:val="auto"/>
          <w:szCs w:val="22"/>
        </w:rPr>
      </w:pPr>
      <w:r>
        <w:rPr>
          <w:rFonts w:hint="eastAsia"/>
          <w:color w:val="auto"/>
          <w:szCs w:val="22"/>
        </w:rPr>
        <w:t>（5）</w:t>
      </w:r>
      <w:r>
        <w:rPr>
          <w:rFonts w:hint="eastAsia"/>
          <w:color w:val="auto"/>
          <w:szCs w:val="22"/>
          <w:lang w:val="zh-CN"/>
        </w:rPr>
        <w:t>其他相关采购文件。</w:t>
      </w:r>
    </w:p>
    <w:p w14:paraId="4DDF0392">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color w:val="auto"/>
        </w:rPr>
      </w:pPr>
      <w:r>
        <w:rPr>
          <w:rFonts w:asciiTheme="minorEastAsia" w:hAnsiTheme="minorEastAsia" w:eastAsiaTheme="minorEastAsia"/>
          <w:color w:val="auto"/>
        </w:rPr>
        <w:t>4</w:t>
      </w:r>
      <w:r>
        <w:rPr>
          <w:rFonts w:ascii="宋体" w:hAnsi="宋体"/>
          <w:color w:val="auto"/>
          <w:spacing w:val="-6"/>
        </w:rPr>
        <w:t>.</w:t>
      </w:r>
      <w:r>
        <w:rPr>
          <w:rFonts w:hint="eastAsia"/>
          <w:color w:val="auto"/>
        </w:rPr>
        <w:t>本合同未尽事宜，遵照《中华人民共和国民法典》有关条文执行。</w:t>
      </w:r>
    </w:p>
    <w:p w14:paraId="7A8927C9">
      <w:pPr>
        <w:keepNext w:val="0"/>
        <w:keepLines w:val="0"/>
        <w:pageBreakBefore w:val="0"/>
        <w:widowControl w:val="0"/>
        <w:kinsoku/>
        <w:wordWrap/>
        <w:overflowPunct/>
        <w:topLinePunct w:val="0"/>
        <w:autoSpaceDE/>
        <w:autoSpaceDN/>
        <w:bidi w:val="0"/>
        <w:adjustRightInd/>
        <w:snapToGrid/>
        <w:spacing w:line="288" w:lineRule="auto"/>
        <w:ind w:left="0" w:leftChars="0" w:firstLine="420" w:firstLineChars="200"/>
        <w:textAlignment w:val="auto"/>
        <w:rPr>
          <w:rFonts w:asciiTheme="minorEastAsia" w:hAnsiTheme="minorEastAsia" w:eastAsiaTheme="minorEastAsia"/>
          <w:color w:val="auto"/>
          <w:szCs w:val="22"/>
        </w:rPr>
      </w:pPr>
      <w:r>
        <w:rPr>
          <w:rFonts w:asciiTheme="minorEastAsia" w:hAnsiTheme="minorEastAsia" w:eastAsiaTheme="minorEastAsia"/>
          <w:color w:val="auto"/>
          <w:szCs w:val="22"/>
        </w:rPr>
        <w:t>5.</w:t>
      </w:r>
      <w:r>
        <w:rPr>
          <w:rFonts w:hint="eastAsia" w:asciiTheme="minorEastAsia" w:hAnsiTheme="minorEastAsia" w:eastAsiaTheme="minorEastAsia"/>
          <w:color w:val="auto"/>
          <w:szCs w:val="22"/>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Cs w:val="22"/>
        </w:rPr>
        <w:t>份，甲方执</w:t>
      </w:r>
      <w:r>
        <w:rPr>
          <w:rFonts w:hint="eastAsia" w:asciiTheme="minorEastAsia" w:hAnsiTheme="minorEastAsia" w:eastAsiaTheme="minorEastAsia"/>
          <w:color w:val="auto"/>
          <w:szCs w:val="22"/>
          <w:lang w:val="en-US" w:eastAsia="zh-CN"/>
        </w:rPr>
        <w:t>叁</w:t>
      </w:r>
      <w:r>
        <w:rPr>
          <w:rFonts w:hint="eastAsia" w:asciiTheme="minorEastAsia" w:hAnsiTheme="minorEastAsia" w:eastAsiaTheme="minorEastAsia"/>
          <w:color w:val="auto"/>
          <w:szCs w:val="22"/>
        </w:rPr>
        <w:t>份，乙方执</w:t>
      </w:r>
      <w:r>
        <w:rPr>
          <w:rFonts w:hint="eastAsia" w:asciiTheme="minorEastAsia" w:hAnsiTheme="minorEastAsia" w:eastAsiaTheme="minorEastAsia"/>
          <w:color w:val="auto"/>
          <w:szCs w:val="22"/>
          <w:lang w:val="en-US" w:eastAsia="zh-CN"/>
        </w:rPr>
        <w:t>壹</w:t>
      </w:r>
      <w:r>
        <w:rPr>
          <w:rFonts w:hint="eastAsia" w:asciiTheme="minorEastAsia" w:hAnsiTheme="minorEastAsia" w:eastAsiaTheme="minorEastAsia"/>
          <w:color w:val="auto"/>
          <w:szCs w:val="22"/>
        </w:rPr>
        <w:t>份，具有同等法律效力。</w:t>
      </w:r>
    </w:p>
    <w:p w14:paraId="15F974BF">
      <w:pPr>
        <w:keepNext w:val="0"/>
        <w:keepLines w:val="0"/>
        <w:pageBreakBefore w:val="0"/>
        <w:widowControl w:val="0"/>
        <w:kinsoku/>
        <w:wordWrap/>
        <w:overflowPunct/>
        <w:topLinePunct w:val="0"/>
        <w:autoSpaceDE/>
        <w:autoSpaceDN/>
        <w:bidi w:val="0"/>
        <w:adjustRightInd/>
        <w:spacing w:line="312" w:lineRule="auto"/>
        <w:textAlignment w:val="auto"/>
        <w:rPr>
          <w:color w:val="auto"/>
        </w:rPr>
      </w:pPr>
    </w:p>
    <w:p w14:paraId="5F430C87">
      <w:pPr>
        <w:pStyle w:val="8"/>
        <w:keepNext w:val="0"/>
        <w:keepLines w:val="0"/>
        <w:pageBreakBefore w:val="0"/>
        <w:widowControl w:val="0"/>
        <w:kinsoku/>
        <w:wordWrap/>
        <w:overflowPunct/>
        <w:topLinePunct w:val="0"/>
        <w:autoSpaceDE/>
        <w:autoSpaceDN/>
        <w:bidi w:val="0"/>
        <w:adjustRightInd/>
        <w:spacing w:line="312" w:lineRule="auto"/>
        <w:textAlignment w:val="auto"/>
        <w:rPr>
          <w:color w:val="auto"/>
        </w:rPr>
      </w:pPr>
      <w:r>
        <w:rPr>
          <w:rFonts w:hint="eastAsia"/>
          <w:b/>
          <w:bCs/>
          <w:color w:val="auto"/>
        </w:rPr>
        <w:t>合同附件：</w:t>
      </w:r>
      <w:r>
        <w:rPr>
          <w:color w:val="auto"/>
        </w:rPr>
        <w:t xml:space="preserve"> </w:t>
      </w:r>
      <w:r>
        <w:rPr>
          <w:rFonts w:hint="eastAsia"/>
          <w:color w:val="auto"/>
        </w:rPr>
        <w:t>（附件名称</w:t>
      </w:r>
      <w:r>
        <w:rPr>
          <w:rFonts w:hint="eastAsia"/>
          <w:color w:val="auto"/>
          <w:u w:val="single"/>
          <w:lang w:val="en-US" w:eastAsia="zh-CN"/>
        </w:rPr>
        <w:t xml:space="preserve">                        </w:t>
      </w:r>
      <w:r>
        <w:rPr>
          <w:rFonts w:hint="eastAsia"/>
          <w:color w:val="auto"/>
          <w:u w:val="single"/>
        </w:rPr>
        <w:t>）</w:t>
      </w:r>
      <w:r>
        <w:rPr>
          <w:rFonts w:hint="eastAsia"/>
          <w:color w:val="auto"/>
        </w:rPr>
        <w:t>（如有）</w:t>
      </w:r>
    </w:p>
    <w:tbl>
      <w:tblPr>
        <w:tblStyle w:val="47"/>
        <w:tblW w:w="9249" w:type="dxa"/>
        <w:jc w:val="center"/>
        <w:tblLayout w:type="fixed"/>
        <w:tblCellMar>
          <w:top w:w="0" w:type="dxa"/>
          <w:left w:w="108" w:type="dxa"/>
          <w:bottom w:w="0" w:type="dxa"/>
          <w:right w:w="108" w:type="dxa"/>
        </w:tblCellMar>
      </w:tblPr>
      <w:tblGrid>
        <w:gridCol w:w="4438"/>
        <w:gridCol w:w="4811"/>
      </w:tblGrid>
      <w:tr w14:paraId="1976A5A7">
        <w:tblPrEx>
          <w:tblCellMar>
            <w:top w:w="0" w:type="dxa"/>
            <w:left w:w="108" w:type="dxa"/>
            <w:bottom w:w="0" w:type="dxa"/>
            <w:right w:w="108" w:type="dxa"/>
          </w:tblCellMar>
        </w:tblPrEx>
        <w:trPr>
          <w:trHeight w:val="1112" w:hRule="atLeast"/>
          <w:jc w:val="center"/>
        </w:trPr>
        <w:tc>
          <w:tcPr>
            <w:tcW w:w="4438" w:type="dxa"/>
            <w:vAlign w:val="center"/>
          </w:tcPr>
          <w:p w14:paraId="461F76BC">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甲方：杭州电子科技大学（公章）</w:t>
            </w:r>
          </w:p>
        </w:tc>
        <w:tc>
          <w:tcPr>
            <w:tcW w:w="4811" w:type="dxa"/>
            <w:vAlign w:val="center"/>
          </w:tcPr>
          <w:p w14:paraId="5A5ADA9A">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乙方：（公章）</w:t>
            </w:r>
          </w:p>
        </w:tc>
      </w:tr>
      <w:tr w14:paraId="2DBEF528">
        <w:tblPrEx>
          <w:tblCellMar>
            <w:top w:w="0" w:type="dxa"/>
            <w:left w:w="108" w:type="dxa"/>
            <w:bottom w:w="0" w:type="dxa"/>
            <w:right w:w="108" w:type="dxa"/>
          </w:tblCellMar>
        </w:tblPrEx>
        <w:trPr>
          <w:trHeight w:val="1261" w:hRule="atLeast"/>
          <w:jc w:val="center"/>
        </w:trPr>
        <w:tc>
          <w:tcPr>
            <w:tcW w:w="4438" w:type="dxa"/>
            <w:vAlign w:val="top"/>
          </w:tcPr>
          <w:p w14:paraId="2FE5A0F8">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7A45B161">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c>
          <w:tcPr>
            <w:tcW w:w="4811" w:type="dxa"/>
            <w:vAlign w:val="top"/>
          </w:tcPr>
          <w:p w14:paraId="1D1869B4">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color w:val="auto"/>
                <w:szCs w:val="21"/>
              </w:rPr>
            </w:pPr>
            <w:r>
              <w:rPr>
                <w:rFonts w:hint="eastAsia"/>
                <w:color w:val="auto"/>
                <w:szCs w:val="21"/>
              </w:rPr>
              <w:t>法定（授权）代表人：</w:t>
            </w:r>
          </w:p>
          <w:p w14:paraId="66CEA7A8">
            <w:pPr>
              <w:keepNext w:val="0"/>
              <w:keepLines w:val="0"/>
              <w:pageBreakBefore w:val="0"/>
              <w:widowControl w:val="0"/>
              <w:kinsoku/>
              <w:wordWrap/>
              <w:overflowPunct/>
              <w:topLinePunct w:val="0"/>
              <w:autoSpaceDE/>
              <w:autoSpaceDN/>
              <w:bidi w:val="0"/>
              <w:adjustRightInd/>
              <w:spacing w:line="312" w:lineRule="auto"/>
              <w:ind w:left="0" w:leftChars="0" w:firstLine="0" w:firstLineChars="0"/>
              <w:jc w:val="both"/>
              <w:textAlignment w:val="auto"/>
              <w:rPr>
                <w:rFonts w:ascii="宋体" w:hAnsi="宋体"/>
                <w:color w:val="auto"/>
                <w:spacing w:val="-6"/>
                <w:szCs w:val="21"/>
              </w:rPr>
            </w:pPr>
            <w:r>
              <w:rPr>
                <w:rFonts w:hint="eastAsia" w:ascii="宋体" w:hAnsi="宋体"/>
                <w:color w:val="auto"/>
                <w:spacing w:val="-6"/>
                <w:szCs w:val="21"/>
              </w:rPr>
              <w:t>（签字）</w:t>
            </w:r>
          </w:p>
        </w:tc>
      </w:tr>
      <w:tr w14:paraId="12D96457">
        <w:tblPrEx>
          <w:tblCellMar>
            <w:top w:w="0" w:type="dxa"/>
            <w:left w:w="108" w:type="dxa"/>
            <w:bottom w:w="0" w:type="dxa"/>
            <w:right w:w="108" w:type="dxa"/>
          </w:tblCellMar>
        </w:tblPrEx>
        <w:trPr>
          <w:jc w:val="center"/>
        </w:trPr>
        <w:tc>
          <w:tcPr>
            <w:tcW w:w="4438" w:type="dxa"/>
            <w:vAlign w:val="center"/>
          </w:tcPr>
          <w:p w14:paraId="7EB41F61">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地址：杭州下沙高教园区二号大街1158号</w:t>
            </w:r>
          </w:p>
        </w:tc>
        <w:tc>
          <w:tcPr>
            <w:tcW w:w="4811" w:type="dxa"/>
            <w:vAlign w:val="center"/>
          </w:tcPr>
          <w:p w14:paraId="6AF96D01">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地址：</w:t>
            </w:r>
            <w:r>
              <w:rPr>
                <w:rFonts w:hint="eastAsia" w:ascii="宋体" w:hAnsi="宋体"/>
                <w:color w:val="auto"/>
                <w:spacing w:val="-6"/>
                <w:szCs w:val="21"/>
              </w:rPr>
              <w:tab/>
            </w:r>
            <w:r>
              <w:rPr>
                <w:rFonts w:hint="eastAsia" w:ascii="宋体" w:hAnsi="宋体"/>
                <w:color w:val="auto"/>
                <w:spacing w:val="-6"/>
                <w:szCs w:val="21"/>
              </w:rPr>
              <w:tab/>
            </w:r>
          </w:p>
        </w:tc>
      </w:tr>
      <w:tr w14:paraId="44132D1D">
        <w:tblPrEx>
          <w:tblCellMar>
            <w:top w:w="0" w:type="dxa"/>
            <w:left w:w="108" w:type="dxa"/>
            <w:bottom w:w="0" w:type="dxa"/>
            <w:right w:w="108" w:type="dxa"/>
          </w:tblCellMar>
        </w:tblPrEx>
        <w:trPr>
          <w:jc w:val="center"/>
        </w:trPr>
        <w:tc>
          <w:tcPr>
            <w:tcW w:w="4438" w:type="dxa"/>
            <w:vAlign w:val="center"/>
          </w:tcPr>
          <w:p w14:paraId="0F058A58">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电话： </w:t>
            </w:r>
          </w:p>
        </w:tc>
        <w:tc>
          <w:tcPr>
            <w:tcW w:w="4811" w:type="dxa"/>
            <w:vAlign w:val="center"/>
          </w:tcPr>
          <w:p w14:paraId="5D722745">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电话：</w:t>
            </w:r>
            <w:r>
              <w:rPr>
                <w:rFonts w:hint="eastAsia" w:ascii="宋体" w:hAnsi="宋体"/>
                <w:color w:val="auto"/>
                <w:spacing w:val="-6"/>
                <w:szCs w:val="21"/>
              </w:rPr>
              <w:tab/>
            </w:r>
          </w:p>
        </w:tc>
      </w:tr>
      <w:tr w14:paraId="3B8A84AB">
        <w:tblPrEx>
          <w:tblCellMar>
            <w:top w:w="0" w:type="dxa"/>
            <w:left w:w="108" w:type="dxa"/>
            <w:bottom w:w="0" w:type="dxa"/>
            <w:right w:w="108" w:type="dxa"/>
          </w:tblCellMar>
        </w:tblPrEx>
        <w:trPr>
          <w:jc w:val="center"/>
        </w:trPr>
        <w:tc>
          <w:tcPr>
            <w:tcW w:w="4438" w:type="dxa"/>
            <w:vAlign w:val="center"/>
          </w:tcPr>
          <w:p w14:paraId="18F57879">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 xml:space="preserve">开户银行：工行高新支行 </w:t>
            </w:r>
          </w:p>
        </w:tc>
        <w:tc>
          <w:tcPr>
            <w:tcW w:w="4811" w:type="dxa"/>
            <w:vAlign w:val="center"/>
          </w:tcPr>
          <w:p w14:paraId="625B08A2">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开户银行：</w:t>
            </w:r>
            <w:r>
              <w:rPr>
                <w:rFonts w:hint="eastAsia" w:ascii="宋体" w:hAnsi="宋体"/>
                <w:color w:val="auto"/>
                <w:spacing w:val="-6"/>
                <w:szCs w:val="21"/>
              </w:rPr>
              <w:tab/>
            </w:r>
          </w:p>
        </w:tc>
      </w:tr>
      <w:tr w14:paraId="0EEAD6A6">
        <w:tblPrEx>
          <w:tblCellMar>
            <w:top w:w="0" w:type="dxa"/>
            <w:left w:w="108" w:type="dxa"/>
            <w:bottom w:w="0" w:type="dxa"/>
            <w:right w:w="108" w:type="dxa"/>
          </w:tblCellMar>
        </w:tblPrEx>
        <w:trPr>
          <w:jc w:val="center"/>
        </w:trPr>
        <w:tc>
          <w:tcPr>
            <w:tcW w:w="4438" w:type="dxa"/>
            <w:vAlign w:val="center"/>
          </w:tcPr>
          <w:p w14:paraId="4EA49F5E">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帐号：1202026209008806216</w:t>
            </w:r>
          </w:p>
        </w:tc>
        <w:tc>
          <w:tcPr>
            <w:tcW w:w="4811" w:type="dxa"/>
            <w:vAlign w:val="center"/>
          </w:tcPr>
          <w:p w14:paraId="6EA49BB5">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帐号：</w:t>
            </w:r>
          </w:p>
        </w:tc>
      </w:tr>
      <w:tr w14:paraId="3A65F703">
        <w:tblPrEx>
          <w:tblCellMar>
            <w:top w:w="0" w:type="dxa"/>
            <w:left w:w="108" w:type="dxa"/>
            <w:bottom w:w="0" w:type="dxa"/>
            <w:right w:w="108" w:type="dxa"/>
          </w:tblCellMar>
        </w:tblPrEx>
        <w:trPr>
          <w:jc w:val="center"/>
        </w:trPr>
        <w:tc>
          <w:tcPr>
            <w:tcW w:w="4438" w:type="dxa"/>
            <w:vAlign w:val="center"/>
          </w:tcPr>
          <w:p w14:paraId="5D162DB9">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c>
          <w:tcPr>
            <w:tcW w:w="4811" w:type="dxa"/>
            <w:vAlign w:val="center"/>
          </w:tcPr>
          <w:p w14:paraId="7738519C">
            <w:pPr>
              <w:keepNext w:val="0"/>
              <w:keepLines w:val="0"/>
              <w:pageBreakBefore w:val="0"/>
              <w:widowControl w:val="0"/>
              <w:kinsoku/>
              <w:wordWrap/>
              <w:overflowPunct/>
              <w:topLinePunct w:val="0"/>
              <w:autoSpaceDE/>
              <w:autoSpaceDN/>
              <w:bidi w:val="0"/>
              <w:adjustRightInd/>
              <w:spacing w:line="312" w:lineRule="auto"/>
              <w:ind w:left="0" w:leftChars="0" w:firstLine="0" w:firstLineChars="0"/>
              <w:textAlignment w:val="auto"/>
              <w:rPr>
                <w:rFonts w:ascii="宋体" w:hAnsi="宋体"/>
                <w:color w:val="auto"/>
                <w:spacing w:val="-6"/>
                <w:szCs w:val="21"/>
              </w:rPr>
            </w:pPr>
            <w:r>
              <w:rPr>
                <w:rFonts w:hint="eastAsia" w:ascii="宋体" w:hAnsi="宋体"/>
                <w:color w:val="auto"/>
                <w:spacing w:val="-6"/>
                <w:szCs w:val="21"/>
              </w:rPr>
              <w:t>签字日期：      年    月    日</w:t>
            </w:r>
          </w:p>
        </w:tc>
      </w:tr>
    </w:tbl>
    <w:p w14:paraId="31631E21">
      <w:pPr>
        <w:snapToGrid w:val="0"/>
        <w:spacing w:line="312" w:lineRule="auto"/>
        <w:ind w:firstLine="727" w:firstLineChars="202"/>
        <w:rPr>
          <w:rStyle w:val="55"/>
          <w:b w:val="0"/>
          <w:color w:val="auto"/>
          <w:szCs w:val="22"/>
        </w:rPr>
      </w:pPr>
      <w:r>
        <w:rPr>
          <w:rStyle w:val="55"/>
          <w:b w:val="0"/>
          <w:color w:val="auto"/>
          <w:szCs w:val="22"/>
        </w:rPr>
        <w:br w:type="page"/>
      </w:r>
    </w:p>
    <w:bookmarkEnd w:id="483"/>
    <w:bookmarkEnd w:id="484"/>
    <w:p w14:paraId="76C944A8">
      <w:pPr>
        <w:snapToGrid w:val="0"/>
        <w:spacing w:before="240" w:beforeLines="100" w:after="240" w:afterLines="100"/>
        <w:jc w:val="center"/>
        <w:outlineLvl w:val="0"/>
        <w:rPr>
          <w:rStyle w:val="55"/>
          <w:color w:val="auto"/>
        </w:rPr>
      </w:pPr>
      <w:bookmarkStart w:id="493" w:name="_Toc26254"/>
      <w:bookmarkStart w:id="494" w:name="_Toc816"/>
      <w:bookmarkStart w:id="495" w:name="_Toc2191"/>
      <w:bookmarkStart w:id="496" w:name="_Toc7308"/>
      <w:bookmarkStart w:id="497" w:name="_Toc23835"/>
      <w:bookmarkStart w:id="498" w:name="_Toc721"/>
      <w:bookmarkStart w:id="499" w:name="_Toc5553"/>
      <w:bookmarkStart w:id="500" w:name="_Toc762"/>
      <w:bookmarkStart w:id="501" w:name="_Toc641"/>
      <w:bookmarkStart w:id="502" w:name="_Toc8672"/>
      <w:bookmarkStart w:id="503" w:name="_Toc27502"/>
      <w:bookmarkStart w:id="504" w:name="_Toc32708"/>
      <w:bookmarkStart w:id="505" w:name="_Toc22294"/>
      <w:bookmarkStart w:id="506" w:name="_Toc32309"/>
      <w:bookmarkStart w:id="507" w:name="_Toc11617"/>
      <w:r>
        <w:rPr>
          <w:rStyle w:val="55"/>
          <w:rFonts w:hint="eastAsia"/>
          <w:color w:val="auto"/>
        </w:rPr>
        <w:t>第六部分</w:t>
      </w:r>
      <w:r>
        <w:rPr>
          <w:rStyle w:val="55"/>
          <w:color w:val="auto"/>
        </w:rPr>
        <w:t xml:space="preserve"> </w:t>
      </w:r>
      <w:r>
        <w:rPr>
          <w:rStyle w:val="55"/>
          <w:rFonts w:hint="eastAsia"/>
          <w:color w:val="auto"/>
        </w:rPr>
        <w:t>响应文件格式</w:t>
      </w:r>
      <w:bookmarkEnd w:id="493"/>
    </w:p>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14:paraId="7CD04ABE">
      <w:pPr>
        <w:adjustRightInd w:val="0"/>
        <w:snapToGrid w:val="0"/>
        <w:spacing w:line="288" w:lineRule="auto"/>
        <w:jc w:val="center"/>
        <w:outlineLvl w:val="0"/>
        <w:rPr>
          <w:b/>
          <w:bCs/>
          <w:color w:val="auto"/>
          <w:sz w:val="24"/>
          <w:szCs w:val="24"/>
        </w:rPr>
      </w:pPr>
      <w:bookmarkStart w:id="508" w:name="_Toc10731"/>
      <w:bookmarkStart w:id="509" w:name="_Toc3725"/>
      <w:bookmarkStart w:id="510" w:name="_Toc32522"/>
      <w:bookmarkStart w:id="511" w:name="_Toc6868"/>
      <w:bookmarkStart w:id="512" w:name="_Toc9623"/>
      <w:bookmarkStart w:id="513" w:name="_Toc27551"/>
      <w:bookmarkStart w:id="514" w:name="_Toc14400"/>
      <w:bookmarkStart w:id="515" w:name="_Toc20870"/>
      <w:bookmarkStart w:id="516" w:name="_Toc32288"/>
      <w:bookmarkStart w:id="517" w:name="_Toc2886"/>
      <w:bookmarkStart w:id="518" w:name="_Toc3964"/>
      <w:bookmarkStart w:id="519" w:name="_Toc32185"/>
      <w:bookmarkStart w:id="520" w:name="_Toc23756"/>
      <w:bookmarkStart w:id="521" w:name="_Toc19286"/>
      <w:bookmarkStart w:id="522" w:name="_Toc31085"/>
      <w:bookmarkStart w:id="523" w:name="_Toc17119"/>
      <w:bookmarkStart w:id="524" w:name="_Toc24168"/>
      <w:bookmarkStart w:id="525" w:name="_Toc4274"/>
      <w:bookmarkStart w:id="526" w:name="_Toc8070"/>
      <w:bookmarkStart w:id="527" w:name="_Toc26648"/>
      <w:bookmarkStart w:id="528" w:name="_Toc20766"/>
      <w:bookmarkStart w:id="529" w:name="_Toc9502"/>
      <w:bookmarkStart w:id="530" w:name="_Toc7409"/>
      <w:bookmarkStart w:id="531" w:name="_Toc7710"/>
      <w:bookmarkStart w:id="532" w:name="_Toc11204"/>
      <w:bookmarkStart w:id="533" w:name="_Toc14202"/>
      <w:bookmarkStart w:id="534" w:name="_Toc13819"/>
      <w:bookmarkStart w:id="535" w:name="_Toc706"/>
      <w:bookmarkStart w:id="536" w:name="_Toc32223"/>
      <w:bookmarkStart w:id="537" w:name="_Toc20738"/>
      <w:bookmarkStart w:id="538" w:name="_Toc2326"/>
      <w:bookmarkStart w:id="539" w:name="_Toc25819"/>
      <w:bookmarkStart w:id="540" w:name="_Toc28159"/>
      <w:bookmarkStart w:id="541" w:name="_Toc9636"/>
      <w:bookmarkStart w:id="542" w:name="_Toc19804"/>
      <w:bookmarkStart w:id="543" w:name="_Toc4610"/>
      <w:bookmarkStart w:id="544" w:name="_Toc7013"/>
      <w:bookmarkStart w:id="545" w:name="_Toc22675"/>
      <w:bookmarkStart w:id="546" w:name="_Toc27063"/>
      <w:bookmarkStart w:id="547" w:name="_Toc28613"/>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508"/>
      <w:bookmarkEnd w:id="509"/>
    </w:p>
    <w:p w14:paraId="3C63A2E0">
      <w:pPr>
        <w:adjustRightInd w:val="0"/>
        <w:snapToGrid w:val="0"/>
        <w:spacing w:line="288" w:lineRule="auto"/>
        <w:rPr>
          <w:color w:val="auto"/>
          <w:sz w:val="24"/>
          <w:szCs w:val="24"/>
        </w:rPr>
      </w:pPr>
    </w:p>
    <w:p w14:paraId="66FC4C71">
      <w:pPr>
        <w:adjustRightInd w:val="0"/>
        <w:snapToGrid w:val="0"/>
        <w:spacing w:line="288" w:lineRule="auto"/>
        <w:ind w:firstLine="482" w:firstLineChars="200"/>
        <w:outlineLvl w:val="0"/>
        <w:rPr>
          <w:b/>
          <w:bCs/>
          <w:color w:val="auto"/>
          <w:sz w:val="24"/>
          <w:szCs w:val="24"/>
        </w:rPr>
      </w:pPr>
      <w:bookmarkStart w:id="548" w:name="_Toc4425"/>
      <w:bookmarkStart w:id="549" w:name="_Toc27927"/>
      <w:bookmarkStart w:id="550" w:name="_Hlk71884160"/>
      <w:r>
        <w:rPr>
          <w:rFonts w:hint="eastAsia"/>
          <w:b/>
          <w:bCs/>
          <w:color w:val="auto"/>
          <w:sz w:val="24"/>
          <w:szCs w:val="24"/>
        </w:rPr>
        <w:t>1.资格文件</w:t>
      </w:r>
      <w:bookmarkEnd w:id="548"/>
      <w:bookmarkEnd w:id="549"/>
    </w:p>
    <w:p w14:paraId="179A1992">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50"/>
    <w:p w14:paraId="0F1B83D0">
      <w:pPr>
        <w:adjustRightInd w:val="0"/>
        <w:snapToGrid w:val="0"/>
        <w:spacing w:line="288" w:lineRule="auto"/>
        <w:ind w:firstLine="480" w:firstLineChars="200"/>
        <w:outlineLvl w:val="1"/>
        <w:rPr>
          <w:color w:val="auto"/>
          <w:sz w:val="24"/>
          <w:szCs w:val="24"/>
        </w:rPr>
      </w:pPr>
      <w:bookmarkStart w:id="551" w:name="_Toc5044"/>
      <w:bookmarkStart w:id="552" w:name="_Toc13643"/>
      <w:r>
        <w:rPr>
          <w:rFonts w:hint="eastAsia"/>
          <w:color w:val="auto"/>
          <w:sz w:val="24"/>
          <w:szCs w:val="24"/>
        </w:rPr>
        <w:t>（1）</w:t>
      </w:r>
      <w:r>
        <w:rPr>
          <w:rFonts w:hint="eastAsia"/>
          <w:b/>
          <w:bCs/>
          <w:color w:val="auto"/>
          <w:sz w:val="24"/>
          <w:szCs w:val="24"/>
        </w:rPr>
        <w:t>▲</w:t>
      </w:r>
      <w:r>
        <w:rPr>
          <w:rFonts w:hint="eastAsia"/>
          <w:color w:val="auto"/>
          <w:sz w:val="24"/>
          <w:szCs w:val="24"/>
        </w:rPr>
        <w:t>有效的法人或者其他组织的营业执照等证明文件，自然人的身份证明</w:t>
      </w:r>
      <w:bookmarkEnd w:id="551"/>
      <w:bookmarkEnd w:id="552"/>
    </w:p>
    <w:p w14:paraId="48F720F9">
      <w:pPr>
        <w:adjustRightInd w:val="0"/>
        <w:snapToGrid w:val="0"/>
        <w:spacing w:line="288" w:lineRule="auto"/>
        <w:ind w:firstLine="480" w:firstLineChars="200"/>
        <w:outlineLvl w:val="1"/>
        <w:rPr>
          <w:color w:val="auto"/>
          <w:sz w:val="24"/>
          <w:szCs w:val="24"/>
        </w:rPr>
      </w:pPr>
      <w:bookmarkStart w:id="553" w:name="_Toc27410"/>
      <w:bookmarkStart w:id="554" w:name="_Toc18350"/>
      <w:bookmarkStart w:id="555"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bookmarkEnd w:id="553"/>
      <w:bookmarkEnd w:id="554"/>
    </w:p>
    <w:p w14:paraId="1448682F">
      <w:pPr>
        <w:adjustRightInd w:val="0"/>
        <w:snapToGrid w:val="0"/>
        <w:spacing w:line="288" w:lineRule="auto"/>
        <w:ind w:firstLine="480" w:firstLineChars="200"/>
        <w:outlineLvl w:val="1"/>
        <w:rPr>
          <w:color w:val="auto"/>
          <w:sz w:val="24"/>
          <w:szCs w:val="24"/>
        </w:rPr>
      </w:pPr>
      <w:bookmarkStart w:id="556" w:name="_Toc12553"/>
      <w:bookmarkStart w:id="557" w:name="_Toc3008"/>
      <w:r>
        <w:rPr>
          <w:rFonts w:hint="eastAsia"/>
          <w:color w:val="auto"/>
          <w:sz w:val="24"/>
          <w:szCs w:val="24"/>
        </w:rPr>
        <w:t>（</w:t>
      </w:r>
      <w:r>
        <w:rPr>
          <w:color w:val="auto"/>
          <w:sz w:val="24"/>
          <w:szCs w:val="24"/>
        </w:rPr>
        <w:t>3）</w:t>
      </w:r>
      <w:r>
        <w:rPr>
          <w:rFonts w:hint="eastAsia"/>
          <w:b/>
          <w:bCs/>
          <w:color w:val="auto"/>
          <w:sz w:val="24"/>
          <w:szCs w:val="24"/>
        </w:rPr>
        <w:t>▲</w:t>
      </w:r>
      <w:r>
        <w:rPr>
          <w:rFonts w:hint="eastAsia"/>
          <w:color w:val="auto"/>
          <w:sz w:val="24"/>
          <w:szCs w:val="24"/>
        </w:rPr>
        <w:t>本项目的特定资格要求</w:t>
      </w:r>
      <w:r>
        <w:rPr>
          <w:color w:val="auto"/>
          <w:sz w:val="24"/>
          <w:szCs w:val="24"/>
        </w:rPr>
        <w:t>证明材料：</w:t>
      </w:r>
      <w:r>
        <w:rPr>
          <w:rFonts w:hint="eastAsia"/>
          <w:color w:val="auto"/>
          <w:sz w:val="24"/>
          <w:szCs w:val="24"/>
        </w:rPr>
        <w:t>《出版物经营许可证》</w:t>
      </w:r>
      <w:bookmarkEnd w:id="556"/>
      <w:bookmarkEnd w:id="557"/>
    </w:p>
    <w:bookmarkEnd w:id="555"/>
    <w:p w14:paraId="564759C0">
      <w:pPr>
        <w:adjustRightInd w:val="0"/>
        <w:snapToGrid w:val="0"/>
        <w:spacing w:line="288" w:lineRule="auto"/>
        <w:ind w:firstLine="482" w:firstLineChars="200"/>
        <w:outlineLvl w:val="0"/>
        <w:rPr>
          <w:b/>
          <w:bCs/>
          <w:color w:val="auto"/>
          <w:sz w:val="24"/>
          <w:szCs w:val="24"/>
        </w:rPr>
      </w:pPr>
      <w:bookmarkStart w:id="558" w:name="_Toc22835"/>
      <w:bookmarkStart w:id="559" w:name="_Toc811"/>
      <w:r>
        <w:rPr>
          <w:rFonts w:hint="eastAsia"/>
          <w:b/>
          <w:bCs/>
          <w:color w:val="auto"/>
          <w:sz w:val="24"/>
          <w:szCs w:val="24"/>
        </w:rPr>
        <w:t>2.报价文件</w:t>
      </w:r>
      <w:bookmarkEnd w:id="558"/>
      <w:bookmarkEnd w:id="559"/>
    </w:p>
    <w:p w14:paraId="3929E773">
      <w:pPr>
        <w:adjustRightInd w:val="0"/>
        <w:snapToGrid w:val="0"/>
        <w:spacing w:line="288" w:lineRule="auto"/>
        <w:ind w:firstLine="480" w:firstLineChars="200"/>
        <w:outlineLvl w:val="1"/>
        <w:rPr>
          <w:color w:val="auto"/>
          <w:sz w:val="24"/>
          <w:szCs w:val="24"/>
        </w:rPr>
      </w:pPr>
      <w:bookmarkStart w:id="560" w:name="_Toc21216"/>
      <w:bookmarkStart w:id="561" w:name="_Toc14036"/>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bookmarkEnd w:id="560"/>
      <w:bookmarkEnd w:id="561"/>
    </w:p>
    <w:p w14:paraId="03092728">
      <w:pPr>
        <w:adjustRightInd w:val="0"/>
        <w:snapToGrid w:val="0"/>
        <w:spacing w:line="288" w:lineRule="auto"/>
        <w:ind w:firstLine="482" w:firstLineChars="200"/>
        <w:outlineLvl w:val="0"/>
        <w:rPr>
          <w:b/>
          <w:bCs/>
          <w:color w:val="auto"/>
          <w:sz w:val="24"/>
          <w:szCs w:val="24"/>
        </w:rPr>
      </w:pPr>
      <w:bookmarkStart w:id="562" w:name="_Toc15071"/>
      <w:bookmarkStart w:id="563" w:name="_Toc21303"/>
      <w:r>
        <w:rPr>
          <w:rFonts w:hint="eastAsia"/>
          <w:b/>
          <w:bCs/>
          <w:color w:val="auto"/>
          <w:sz w:val="24"/>
          <w:szCs w:val="24"/>
        </w:rPr>
        <w:t>3.商务和技术文件</w:t>
      </w:r>
      <w:bookmarkEnd w:id="562"/>
      <w:bookmarkEnd w:id="563"/>
    </w:p>
    <w:p w14:paraId="39BACF81">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6AB50345">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622F95CA">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6</w:t>
      </w:r>
      <w:r>
        <w:rPr>
          <w:rFonts w:hint="eastAsia"/>
          <w:color w:val="auto"/>
          <w:sz w:val="24"/>
          <w:szCs w:val="24"/>
        </w:rPr>
        <w:t>年</w:t>
      </w:r>
      <w:r>
        <w:rPr>
          <w:rFonts w:hint="eastAsia"/>
          <w:color w:val="auto"/>
          <w:sz w:val="24"/>
          <w:szCs w:val="24"/>
          <w:lang w:val="en-US" w:eastAsia="zh-CN"/>
        </w:rPr>
        <w:t>1</w:t>
      </w:r>
      <w:r>
        <w:rPr>
          <w:rFonts w:hint="eastAsia"/>
          <w:color w:val="auto"/>
          <w:sz w:val="24"/>
          <w:szCs w:val="24"/>
        </w:rPr>
        <w:t>月（含）以后任意一月供应商授权代表社保缴纳证明（非法定代表人参加时提供）</w:t>
      </w:r>
    </w:p>
    <w:p w14:paraId="5D369FB2">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5D5FEB23">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39E684F2">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4B7F690F">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64" w:name="_Hlk71884196"/>
      <w:r>
        <w:rPr>
          <w:rFonts w:hint="eastAsia"/>
          <w:color w:val="auto"/>
          <w:sz w:val="24"/>
          <w:szCs w:val="24"/>
        </w:rPr>
        <w:t>详细技术和服务方案</w:t>
      </w:r>
    </w:p>
    <w:p w14:paraId="245C8008">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37189C35">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64"/>
    <w:p w14:paraId="37D2BF3C">
      <w:pPr>
        <w:adjustRightInd w:val="0"/>
        <w:snapToGrid w:val="0"/>
        <w:spacing w:line="288" w:lineRule="auto"/>
        <w:ind w:firstLine="482" w:firstLineChars="200"/>
        <w:outlineLvl w:val="0"/>
        <w:rPr>
          <w:b/>
          <w:bCs/>
          <w:color w:val="auto"/>
          <w:sz w:val="24"/>
          <w:szCs w:val="24"/>
        </w:rPr>
      </w:pPr>
      <w:bookmarkStart w:id="565" w:name="_Toc2214"/>
      <w:bookmarkStart w:id="566" w:name="_Toc16700"/>
      <w:r>
        <w:rPr>
          <w:rFonts w:hint="eastAsia"/>
          <w:b/>
          <w:bCs/>
          <w:color w:val="auto"/>
          <w:sz w:val="24"/>
          <w:szCs w:val="24"/>
        </w:rPr>
        <w:t>4.评分标准索引表</w:t>
      </w:r>
      <w:r>
        <w:rPr>
          <w:rFonts w:hint="eastAsia"/>
          <w:b/>
          <w:bCs/>
          <w:color w:val="auto"/>
          <w:sz w:val="24"/>
          <w:szCs w:val="24"/>
        </w:rPr>
        <w:br w:type="page"/>
      </w:r>
      <w:bookmarkEnd w:id="565"/>
      <w:bookmarkEnd w:id="566"/>
    </w:p>
    <w:p w14:paraId="1BEC90FA">
      <w:pPr>
        <w:adjustRightInd w:val="0"/>
        <w:snapToGrid w:val="0"/>
        <w:spacing w:line="288" w:lineRule="auto"/>
        <w:jc w:val="center"/>
        <w:outlineLvl w:val="0"/>
        <w:rPr>
          <w:b/>
          <w:bCs/>
          <w:color w:val="auto"/>
          <w:sz w:val="84"/>
          <w:szCs w:val="84"/>
        </w:rPr>
      </w:pPr>
      <w:bookmarkStart w:id="567" w:name="_Toc2368"/>
      <w:r>
        <w:rPr>
          <w:rFonts w:hint="eastAsia"/>
          <w:b/>
          <w:bCs/>
          <w:color w:val="auto"/>
          <w:sz w:val="84"/>
          <w:szCs w:val="84"/>
        </w:rPr>
        <w:t>资格文件</w:t>
      </w:r>
      <w:bookmarkEnd w:id="567"/>
    </w:p>
    <w:p w14:paraId="36E2B672">
      <w:pPr>
        <w:adjustRightInd w:val="0"/>
        <w:snapToGrid w:val="0"/>
        <w:spacing w:line="288" w:lineRule="auto"/>
        <w:jc w:val="center"/>
        <w:outlineLvl w:val="0"/>
        <w:rPr>
          <w:b/>
          <w:bCs/>
          <w:color w:val="auto"/>
          <w:sz w:val="24"/>
          <w:szCs w:val="24"/>
        </w:rPr>
      </w:pPr>
      <w:bookmarkStart w:id="568" w:name="_Hlk94097338"/>
      <w:bookmarkStart w:id="569" w:name="_Toc8880"/>
      <w:bookmarkStart w:id="570" w:name="_Toc10011"/>
      <w:r>
        <w:rPr>
          <w:rFonts w:hint="eastAsia"/>
          <w:b/>
          <w:bCs/>
          <w:color w:val="auto"/>
          <w:sz w:val="24"/>
          <w:szCs w:val="24"/>
        </w:rPr>
        <w:t>资格审查要求的资格证明材料(均需加盖公章)</w:t>
      </w:r>
      <w:bookmarkEnd w:id="568"/>
      <w:bookmarkEnd w:id="569"/>
      <w:bookmarkEnd w:id="570"/>
    </w:p>
    <w:p w14:paraId="09F6822A">
      <w:pPr>
        <w:pStyle w:val="24"/>
        <w:ind w:firstLine="480"/>
        <w:rPr>
          <w:color w:val="auto"/>
          <w:sz w:val="24"/>
        </w:rPr>
      </w:pPr>
    </w:p>
    <w:p w14:paraId="5EAEE867">
      <w:pPr>
        <w:adjustRightInd w:val="0"/>
        <w:snapToGrid w:val="0"/>
        <w:spacing w:line="288" w:lineRule="auto"/>
        <w:jc w:val="left"/>
        <w:outlineLvl w:val="9"/>
        <w:rPr>
          <w:b/>
          <w:bCs/>
          <w:color w:val="auto"/>
          <w:sz w:val="24"/>
          <w:szCs w:val="24"/>
        </w:rPr>
      </w:pPr>
    </w:p>
    <w:p w14:paraId="4F8C1F0D">
      <w:pPr>
        <w:adjustRightInd w:val="0"/>
        <w:snapToGrid w:val="0"/>
        <w:spacing w:line="288" w:lineRule="auto"/>
        <w:jc w:val="left"/>
        <w:outlineLvl w:val="9"/>
        <w:rPr>
          <w:b/>
          <w:bCs/>
          <w:color w:val="auto"/>
          <w:sz w:val="24"/>
          <w:szCs w:val="24"/>
        </w:rPr>
      </w:pPr>
    </w:p>
    <w:p w14:paraId="772A2C47">
      <w:pPr>
        <w:adjustRightInd w:val="0"/>
        <w:snapToGrid w:val="0"/>
        <w:spacing w:line="288" w:lineRule="auto"/>
        <w:jc w:val="left"/>
        <w:outlineLvl w:val="9"/>
        <w:rPr>
          <w:b/>
          <w:bCs/>
          <w:color w:val="auto"/>
          <w:sz w:val="24"/>
          <w:szCs w:val="24"/>
        </w:rPr>
      </w:pPr>
    </w:p>
    <w:p w14:paraId="18B9BB83">
      <w:pPr>
        <w:adjustRightInd w:val="0"/>
        <w:snapToGrid w:val="0"/>
        <w:spacing w:line="288" w:lineRule="auto"/>
        <w:jc w:val="left"/>
        <w:outlineLvl w:val="9"/>
        <w:rPr>
          <w:b/>
          <w:bCs/>
          <w:color w:val="auto"/>
          <w:sz w:val="24"/>
          <w:szCs w:val="24"/>
        </w:rPr>
      </w:pPr>
    </w:p>
    <w:p w14:paraId="3370AB24">
      <w:pPr>
        <w:pStyle w:val="6"/>
        <w:ind w:left="0" w:firstLine="0"/>
        <w:outlineLvl w:val="0"/>
        <w:rPr>
          <w:color w:val="auto"/>
        </w:rPr>
      </w:pPr>
      <w:bookmarkStart w:id="571" w:name="_Toc19163"/>
      <w:r>
        <w:rPr>
          <w:rFonts w:hint="eastAsia"/>
          <w:color w:val="auto"/>
        </w:rPr>
        <w:t>1）有效的法人或者其他组织的营业执照等证明文件，自然人的身份证明</w:t>
      </w:r>
      <w:bookmarkEnd w:id="571"/>
    </w:p>
    <w:p w14:paraId="2FF16A2C">
      <w:pPr>
        <w:adjustRightInd w:val="0"/>
        <w:snapToGrid w:val="0"/>
        <w:spacing w:line="288" w:lineRule="auto"/>
        <w:rPr>
          <w:b/>
          <w:bCs/>
          <w:color w:val="auto"/>
          <w:sz w:val="24"/>
          <w:szCs w:val="24"/>
        </w:rPr>
      </w:pPr>
      <w:r>
        <w:rPr>
          <w:rFonts w:hint="eastAsia"/>
          <w:b/>
          <w:bCs/>
          <w:color w:val="auto"/>
          <w:sz w:val="24"/>
          <w:szCs w:val="24"/>
        </w:rPr>
        <w:t>说明：</w:t>
      </w:r>
    </w:p>
    <w:p w14:paraId="425692F7">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60CBC45F">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6CCEDCD8">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6952D1DC">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333F6F16">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3D4DE3B4">
      <w:pPr>
        <w:adjustRightInd w:val="0"/>
        <w:snapToGrid w:val="0"/>
        <w:spacing w:line="288" w:lineRule="auto"/>
        <w:rPr>
          <w:color w:val="auto"/>
          <w:szCs w:val="21"/>
        </w:rPr>
      </w:pPr>
      <w:r>
        <w:rPr>
          <w:rFonts w:hint="eastAsia"/>
          <w:color w:val="auto"/>
          <w:szCs w:val="21"/>
        </w:rPr>
        <w:br w:type="page"/>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14:paraId="62BD1877">
      <w:pPr>
        <w:jc w:val="center"/>
        <w:rPr>
          <w:b/>
          <w:bCs/>
          <w:color w:val="auto"/>
          <w:sz w:val="32"/>
          <w:szCs w:val="32"/>
        </w:rPr>
      </w:pPr>
    </w:p>
    <w:p w14:paraId="1307DDBB">
      <w:pPr>
        <w:pStyle w:val="6"/>
        <w:ind w:left="0" w:firstLine="0"/>
        <w:outlineLvl w:val="0"/>
        <w:rPr>
          <w:color w:val="auto"/>
        </w:rPr>
      </w:pPr>
      <w:bookmarkStart w:id="572" w:name="_Toc25171"/>
      <w:r>
        <w:rPr>
          <w:rFonts w:hint="eastAsia"/>
          <w:color w:val="auto"/>
        </w:rPr>
        <w:t>2）资格条件承诺函</w:t>
      </w:r>
      <w:bookmarkEnd w:id="572"/>
    </w:p>
    <w:p w14:paraId="7CA04220">
      <w:pPr>
        <w:jc w:val="center"/>
        <w:outlineLvl w:val="1"/>
        <w:rPr>
          <w:b/>
          <w:bCs/>
          <w:color w:val="auto"/>
          <w:sz w:val="32"/>
          <w:szCs w:val="32"/>
        </w:rPr>
      </w:pPr>
      <w:bookmarkStart w:id="573" w:name="_Toc25518"/>
      <w:bookmarkStart w:id="574" w:name="_Toc4304"/>
      <w:r>
        <w:rPr>
          <w:rFonts w:hint="eastAsia"/>
          <w:b/>
          <w:bCs/>
          <w:color w:val="auto"/>
          <w:sz w:val="32"/>
          <w:szCs w:val="32"/>
        </w:rPr>
        <w:t>资格条件承诺函</w:t>
      </w:r>
      <w:bookmarkEnd w:id="573"/>
      <w:bookmarkEnd w:id="574"/>
    </w:p>
    <w:p w14:paraId="4A4713B6">
      <w:pPr>
        <w:snapToGrid w:val="0"/>
        <w:spacing w:line="360" w:lineRule="auto"/>
        <w:rPr>
          <w:color w:val="auto"/>
          <w:sz w:val="24"/>
        </w:rPr>
      </w:pPr>
    </w:p>
    <w:p w14:paraId="5324DF14">
      <w:pPr>
        <w:snapToGrid w:val="0"/>
        <w:spacing w:line="360" w:lineRule="auto"/>
        <w:rPr>
          <w:color w:val="auto"/>
          <w:sz w:val="24"/>
        </w:rPr>
      </w:pPr>
      <w:r>
        <w:rPr>
          <w:rFonts w:hint="eastAsia"/>
          <w:color w:val="auto"/>
          <w:sz w:val="24"/>
        </w:rPr>
        <w:t>杭州电子科技大学：</w:t>
      </w:r>
    </w:p>
    <w:p w14:paraId="03DFDCA3">
      <w:pPr>
        <w:snapToGrid w:val="0"/>
        <w:spacing w:line="360" w:lineRule="auto"/>
        <w:ind w:firstLine="480" w:firstLineChars="200"/>
        <w:rPr>
          <w:color w:val="auto"/>
          <w:sz w:val="24"/>
        </w:rPr>
      </w:pPr>
      <w:r>
        <w:rPr>
          <w:rFonts w:hint="eastAsia"/>
          <w:color w:val="auto"/>
          <w:sz w:val="24"/>
        </w:rPr>
        <w:t>我方（供应商）承诺：</w:t>
      </w:r>
    </w:p>
    <w:p w14:paraId="66F2A986">
      <w:pPr>
        <w:snapToGrid w:val="0"/>
        <w:spacing w:line="360" w:lineRule="auto"/>
        <w:ind w:firstLine="480" w:firstLineChars="200"/>
        <w:rPr>
          <w:color w:val="auto"/>
          <w:sz w:val="24"/>
        </w:rPr>
      </w:pPr>
      <w:r>
        <w:rPr>
          <w:rFonts w:hint="eastAsia"/>
          <w:color w:val="auto"/>
          <w:sz w:val="24"/>
        </w:rPr>
        <w:t>1、具有良好的商业信誉和健全的财务会计制度；</w:t>
      </w:r>
    </w:p>
    <w:p w14:paraId="3569F000">
      <w:pPr>
        <w:snapToGrid w:val="0"/>
        <w:spacing w:line="360" w:lineRule="auto"/>
        <w:ind w:firstLine="480" w:firstLineChars="200"/>
        <w:rPr>
          <w:color w:val="auto"/>
          <w:sz w:val="24"/>
        </w:rPr>
      </w:pPr>
      <w:r>
        <w:rPr>
          <w:rFonts w:hint="eastAsia"/>
          <w:color w:val="auto"/>
          <w:sz w:val="24"/>
        </w:rPr>
        <w:t>2、具有履行合同所必需的设备和专业技术能力；</w:t>
      </w:r>
    </w:p>
    <w:p w14:paraId="40F79952">
      <w:pPr>
        <w:snapToGrid w:val="0"/>
        <w:spacing w:line="360" w:lineRule="auto"/>
        <w:ind w:firstLine="480" w:firstLineChars="200"/>
        <w:rPr>
          <w:color w:val="auto"/>
          <w:sz w:val="24"/>
        </w:rPr>
      </w:pPr>
      <w:r>
        <w:rPr>
          <w:rFonts w:hint="eastAsia"/>
          <w:color w:val="auto"/>
          <w:sz w:val="24"/>
        </w:rPr>
        <w:t>3、严格依法缴纳税收和社会保障资金；</w:t>
      </w:r>
    </w:p>
    <w:p w14:paraId="29DEB192">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400BD08">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7BA03A20">
      <w:pPr>
        <w:snapToGrid w:val="0"/>
        <w:spacing w:line="360" w:lineRule="auto"/>
        <w:ind w:firstLine="480" w:firstLineChars="200"/>
        <w:rPr>
          <w:color w:val="auto"/>
          <w:sz w:val="24"/>
        </w:rPr>
      </w:pPr>
      <w:r>
        <w:rPr>
          <w:rFonts w:hint="eastAsia"/>
          <w:color w:val="auto"/>
          <w:sz w:val="24"/>
        </w:rPr>
        <w:t>6、不存在以下情况：</w:t>
      </w:r>
    </w:p>
    <w:p w14:paraId="01DA6C28">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603CF508">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4E19C3A5">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6398C160">
      <w:pPr>
        <w:snapToGrid w:val="0"/>
        <w:spacing w:line="360" w:lineRule="auto"/>
        <w:ind w:firstLine="480" w:firstLineChars="200"/>
        <w:rPr>
          <w:color w:val="auto"/>
          <w:sz w:val="24"/>
        </w:rPr>
      </w:pPr>
      <w:r>
        <w:rPr>
          <w:rFonts w:hint="eastAsia"/>
          <w:color w:val="auto"/>
          <w:sz w:val="24"/>
        </w:rPr>
        <w:t> </w:t>
      </w:r>
    </w:p>
    <w:p w14:paraId="7C304964">
      <w:pPr>
        <w:snapToGrid w:val="0"/>
        <w:spacing w:line="360" w:lineRule="auto"/>
        <w:ind w:firstLine="480" w:firstLineChars="200"/>
        <w:rPr>
          <w:color w:val="auto"/>
          <w:sz w:val="24"/>
        </w:rPr>
      </w:pPr>
      <w:r>
        <w:rPr>
          <w:rFonts w:hint="eastAsia"/>
          <w:color w:val="auto"/>
          <w:sz w:val="24"/>
        </w:rPr>
        <w:t>特此承诺！</w:t>
      </w:r>
    </w:p>
    <w:p w14:paraId="4228DC8A">
      <w:pPr>
        <w:pStyle w:val="8"/>
        <w:rPr>
          <w:color w:val="auto"/>
          <w:sz w:val="24"/>
        </w:rPr>
      </w:pPr>
    </w:p>
    <w:p w14:paraId="00ACF0B6">
      <w:pPr>
        <w:rPr>
          <w:color w:val="auto"/>
          <w:sz w:val="24"/>
        </w:rPr>
      </w:pPr>
    </w:p>
    <w:p w14:paraId="6F2A5E73">
      <w:pPr>
        <w:pStyle w:val="8"/>
        <w:rPr>
          <w:color w:val="auto"/>
        </w:rPr>
      </w:pPr>
    </w:p>
    <w:p w14:paraId="6AC85162">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7E182EC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106F3B6">
      <w:pPr>
        <w:pStyle w:val="29"/>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372C0950">
      <w:pPr>
        <w:adjustRightInd w:val="0"/>
        <w:snapToGrid w:val="0"/>
        <w:spacing w:line="288" w:lineRule="auto"/>
        <w:ind w:firstLine="480" w:firstLineChars="200"/>
        <w:rPr>
          <w:color w:val="auto"/>
          <w:sz w:val="24"/>
          <w:szCs w:val="24"/>
        </w:rPr>
      </w:pPr>
    </w:p>
    <w:p w14:paraId="5DB1C55B">
      <w:pPr>
        <w:adjustRightInd w:val="0"/>
        <w:snapToGrid w:val="0"/>
        <w:spacing w:line="288" w:lineRule="auto"/>
        <w:ind w:firstLine="480" w:firstLineChars="200"/>
        <w:rPr>
          <w:color w:val="auto"/>
          <w:sz w:val="24"/>
          <w:szCs w:val="24"/>
        </w:rPr>
      </w:pPr>
    </w:p>
    <w:p w14:paraId="0988CDE0">
      <w:pPr>
        <w:rPr>
          <w:rFonts w:hint="eastAsia"/>
          <w:color w:val="auto"/>
          <w:lang w:val="en-US" w:eastAsia="zh-CN"/>
        </w:rPr>
      </w:pPr>
      <w:r>
        <w:rPr>
          <w:rFonts w:hint="eastAsia"/>
          <w:color w:val="auto"/>
          <w:lang w:val="en-US" w:eastAsia="zh-CN"/>
        </w:rPr>
        <w:br w:type="page"/>
      </w:r>
    </w:p>
    <w:p w14:paraId="3AB2673F">
      <w:pPr>
        <w:pStyle w:val="6"/>
        <w:ind w:left="0" w:firstLine="0"/>
        <w:outlineLvl w:val="0"/>
        <w:rPr>
          <w:rFonts w:hint="eastAsia"/>
          <w:color w:val="auto"/>
          <w:szCs w:val="22"/>
        </w:rPr>
      </w:pPr>
      <w:bookmarkStart w:id="575" w:name="_Toc24906"/>
      <w:r>
        <w:rPr>
          <w:rFonts w:hint="eastAsia"/>
          <w:color w:val="auto"/>
          <w:szCs w:val="22"/>
          <w:lang w:val="en-US" w:eastAsia="zh-CN"/>
        </w:rPr>
        <w:t>3）</w:t>
      </w:r>
      <w:r>
        <w:rPr>
          <w:rFonts w:hint="eastAsia"/>
          <w:color w:val="auto"/>
          <w:szCs w:val="22"/>
        </w:rPr>
        <w:t>本项目的特定资格要求证明材料：《出版物经营许可证》</w:t>
      </w:r>
      <w:bookmarkEnd w:id="575"/>
    </w:p>
    <w:p w14:paraId="617A9FA6">
      <w:pPr>
        <w:pStyle w:val="6"/>
        <w:ind w:left="0" w:firstLine="0"/>
        <w:jc w:val="left"/>
        <w:outlineLvl w:val="9"/>
        <w:rPr>
          <w:rFonts w:hint="eastAsia"/>
          <w:color w:val="auto"/>
        </w:rPr>
      </w:pPr>
    </w:p>
    <w:p w14:paraId="375F46FD">
      <w:pPr>
        <w:pStyle w:val="6"/>
        <w:ind w:left="0" w:firstLine="0"/>
        <w:jc w:val="left"/>
        <w:outlineLvl w:val="9"/>
        <w:rPr>
          <w:rFonts w:hint="eastAsia"/>
          <w:color w:val="auto"/>
        </w:rPr>
      </w:pPr>
    </w:p>
    <w:p w14:paraId="64537846">
      <w:pPr>
        <w:pStyle w:val="6"/>
        <w:ind w:left="0" w:firstLine="0"/>
        <w:jc w:val="left"/>
        <w:outlineLvl w:val="9"/>
        <w:rPr>
          <w:rFonts w:hint="eastAsia"/>
          <w:color w:val="auto"/>
        </w:rPr>
      </w:pPr>
    </w:p>
    <w:p w14:paraId="4D8FA181">
      <w:pPr>
        <w:pStyle w:val="6"/>
        <w:ind w:left="0" w:firstLine="0"/>
        <w:jc w:val="center"/>
        <w:outlineLvl w:val="9"/>
        <w:rPr>
          <w:rFonts w:hint="default" w:eastAsia="宋体"/>
          <w:color w:val="auto"/>
          <w:lang w:val="en-US" w:eastAsia="zh-CN"/>
        </w:rPr>
      </w:pPr>
      <w:r>
        <w:rPr>
          <w:rFonts w:hint="eastAsia"/>
          <w:color w:val="auto"/>
        </w:rPr>
        <w:t>《出版物经营许可证》</w:t>
      </w:r>
      <w:r>
        <w:rPr>
          <w:rFonts w:hint="eastAsia"/>
          <w:color w:val="auto"/>
          <w:lang w:val="en-US" w:eastAsia="zh-CN"/>
        </w:rPr>
        <w:t>复印件并加盖公章</w:t>
      </w:r>
    </w:p>
    <w:p w14:paraId="2C7671A5">
      <w:pPr>
        <w:snapToGrid w:val="0"/>
        <w:spacing w:line="360" w:lineRule="auto"/>
        <w:rPr>
          <w:rFonts w:ascii="宋体" w:hAnsi="宋体" w:cs="宋体"/>
          <w:color w:val="auto"/>
          <w:sz w:val="24"/>
        </w:rPr>
      </w:pPr>
    </w:p>
    <w:p w14:paraId="651110A7">
      <w:pPr>
        <w:rPr>
          <w:rFonts w:hint="eastAsia"/>
          <w:b/>
          <w:bCs/>
          <w:color w:val="auto"/>
          <w:sz w:val="84"/>
          <w:szCs w:val="84"/>
        </w:rPr>
      </w:pPr>
      <w:r>
        <w:rPr>
          <w:rFonts w:hint="eastAsia"/>
          <w:b/>
          <w:bCs/>
          <w:color w:val="auto"/>
          <w:sz w:val="84"/>
          <w:szCs w:val="84"/>
        </w:rPr>
        <w:br w:type="page"/>
      </w:r>
    </w:p>
    <w:p w14:paraId="086008EB">
      <w:pPr>
        <w:adjustRightInd w:val="0"/>
        <w:snapToGrid w:val="0"/>
        <w:spacing w:line="288" w:lineRule="auto"/>
        <w:jc w:val="center"/>
        <w:outlineLvl w:val="0"/>
        <w:rPr>
          <w:b/>
          <w:bCs/>
          <w:color w:val="auto"/>
          <w:sz w:val="84"/>
          <w:szCs w:val="84"/>
        </w:rPr>
      </w:pPr>
      <w:bookmarkStart w:id="576" w:name="_Toc6307"/>
      <w:r>
        <w:rPr>
          <w:rFonts w:hint="eastAsia"/>
          <w:b/>
          <w:bCs/>
          <w:color w:val="auto"/>
          <w:sz w:val="84"/>
          <w:szCs w:val="84"/>
        </w:rPr>
        <w:t>报价文件</w:t>
      </w:r>
      <w:bookmarkEnd w:id="576"/>
    </w:p>
    <w:p w14:paraId="75B465BF">
      <w:pPr>
        <w:pStyle w:val="6"/>
        <w:ind w:left="0" w:firstLine="0"/>
        <w:outlineLvl w:val="0"/>
        <w:rPr>
          <w:color w:val="auto"/>
        </w:rPr>
      </w:pPr>
      <w:bookmarkStart w:id="577" w:name="_Toc639"/>
      <w:bookmarkStart w:id="578" w:name="_Toc18705"/>
      <w:bookmarkStart w:id="579" w:name="_Toc23539"/>
      <w:bookmarkStart w:id="580" w:name="_Toc3471"/>
      <w:bookmarkStart w:id="581" w:name="_Toc14186"/>
      <w:bookmarkStart w:id="582" w:name="_Toc28619"/>
      <w:bookmarkStart w:id="583" w:name="_Toc16624"/>
      <w:bookmarkStart w:id="584" w:name="_Toc25012"/>
      <w:bookmarkStart w:id="585" w:name="_Toc25418"/>
      <w:bookmarkStart w:id="586" w:name="_Toc6771"/>
      <w:bookmarkStart w:id="587" w:name="_Toc10749"/>
      <w:bookmarkStart w:id="588" w:name="_Toc14637"/>
      <w:bookmarkStart w:id="589" w:name="_Toc24738"/>
      <w:bookmarkStart w:id="590" w:name="_Toc32416"/>
      <w:bookmarkStart w:id="591" w:name="_Toc19897"/>
      <w:bookmarkStart w:id="592" w:name="_Toc20907"/>
      <w:bookmarkStart w:id="593" w:name="_Toc11579"/>
      <w:bookmarkStart w:id="594" w:name="_Toc13470"/>
      <w:bookmarkStart w:id="595" w:name="_Toc19949"/>
      <w:bookmarkStart w:id="596" w:name="_Toc27484"/>
      <w:bookmarkStart w:id="597" w:name="_Toc15307"/>
      <w:bookmarkStart w:id="598" w:name="_Toc28695"/>
      <w:bookmarkStart w:id="599" w:name="_Toc23089"/>
      <w:bookmarkStart w:id="600" w:name="_Toc24403"/>
      <w:bookmarkStart w:id="601" w:name="_Toc22542"/>
      <w:bookmarkStart w:id="602" w:name="_Toc4455"/>
      <w:bookmarkStart w:id="603" w:name="_Toc25971"/>
      <w:bookmarkStart w:id="604" w:name="_Toc19268"/>
      <w:bookmarkStart w:id="605" w:name="_Toc12332"/>
      <w:bookmarkStart w:id="606" w:name="_Toc16736"/>
      <w:bookmarkStart w:id="607" w:name="_Toc13060"/>
      <w:bookmarkStart w:id="608" w:name="_Toc5206"/>
      <w:bookmarkStart w:id="609" w:name="_Toc23410"/>
      <w:bookmarkStart w:id="610" w:name="_Toc2198"/>
      <w:bookmarkStart w:id="611" w:name="_Toc25718"/>
      <w:bookmarkStart w:id="612" w:name="_Toc24678"/>
      <w:r>
        <w:rPr>
          <w:rFonts w:hint="eastAsia"/>
          <w:color w:val="auto"/>
        </w:rPr>
        <w:t>（1）初次报价一览表</w:t>
      </w:r>
      <w:bookmarkEnd w:id="577"/>
    </w:p>
    <w:p w14:paraId="50C261D1">
      <w:pPr>
        <w:pStyle w:val="6"/>
        <w:tabs>
          <w:tab w:val="left" w:pos="0"/>
          <w:tab w:val="clear" w:pos="1275"/>
        </w:tabs>
        <w:ind w:left="15" w:hanging="15"/>
        <w:outlineLvl w:val="9"/>
        <w:rPr>
          <w:rFonts w:ascii="黑体" w:hAnsi="黑体" w:eastAsia="黑体" w:cs="黑体"/>
          <w:color w:val="auto"/>
          <w:szCs w:val="28"/>
        </w:rPr>
      </w:pPr>
    </w:p>
    <w:p w14:paraId="4615B9C6">
      <w:pPr>
        <w:jc w:val="center"/>
        <w:outlineLvl w:val="1"/>
        <w:rPr>
          <w:b/>
          <w:bCs/>
          <w:color w:val="auto"/>
          <w:sz w:val="32"/>
          <w:szCs w:val="32"/>
        </w:rPr>
      </w:pPr>
      <w:bookmarkStart w:id="613" w:name="_Toc6217"/>
      <w:bookmarkStart w:id="614" w:name="_Toc29666"/>
      <w:r>
        <w:rPr>
          <w:rFonts w:hint="eastAsia"/>
          <w:b/>
          <w:bCs/>
          <w:color w:val="auto"/>
          <w:sz w:val="32"/>
          <w:szCs w:val="32"/>
        </w:rPr>
        <w:t>初次报价一览表</w:t>
      </w:r>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13"/>
      <w:bookmarkEnd w:id="614"/>
    </w:p>
    <w:p w14:paraId="193C08B4">
      <w:pPr>
        <w:spacing w:line="460" w:lineRule="exact"/>
        <w:rPr>
          <w:color w:val="auto"/>
          <w:sz w:val="24"/>
        </w:rPr>
      </w:pPr>
      <w:r>
        <w:rPr>
          <w:rFonts w:hint="eastAsia"/>
          <w:color w:val="auto"/>
          <w:sz w:val="24"/>
        </w:rPr>
        <w:t>项目名称：</w:t>
      </w:r>
    </w:p>
    <w:p w14:paraId="26110AB7">
      <w:pPr>
        <w:spacing w:line="460" w:lineRule="exact"/>
        <w:rPr>
          <w:color w:val="auto"/>
          <w:sz w:val="24"/>
        </w:rPr>
      </w:pPr>
      <w:r>
        <w:rPr>
          <w:rFonts w:hint="eastAsia"/>
          <w:color w:val="auto"/>
          <w:sz w:val="24"/>
        </w:rPr>
        <w:t>项目编号：</w:t>
      </w:r>
    </w:p>
    <w:p w14:paraId="34D93850">
      <w:pPr>
        <w:rPr>
          <w:color w:val="auto"/>
        </w:rPr>
      </w:pPr>
    </w:p>
    <w:tbl>
      <w:tblPr>
        <w:tblStyle w:val="4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773B78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255D5DBA">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r>
              <w:rPr>
                <w:rFonts w:hint="eastAsia" w:ascii="宋体" w:hAnsi="宋体"/>
                <w:color w:val="auto"/>
                <w:spacing w:val="-6"/>
                <w:sz w:val="24"/>
              </w:rPr>
              <w:t>折扣）</w:t>
            </w:r>
          </w:p>
        </w:tc>
      </w:tr>
      <w:tr w14:paraId="53EE85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2910853E">
            <w:pPr>
              <w:spacing w:line="360" w:lineRule="auto"/>
              <w:rPr>
                <w:rFonts w:ascii="宋体" w:hAnsi="宋体"/>
                <w:color w:val="auto"/>
                <w:spacing w:val="-6"/>
                <w:sz w:val="24"/>
              </w:rPr>
            </w:pPr>
          </w:p>
          <w:p w14:paraId="5F5E84D0">
            <w:pPr>
              <w:spacing w:line="360" w:lineRule="auto"/>
              <w:rPr>
                <w:rFonts w:ascii="宋体" w:hAnsi="宋体"/>
                <w:color w:val="auto"/>
                <w:spacing w:val="-6"/>
                <w:sz w:val="24"/>
                <w:u w:val="single"/>
              </w:rPr>
            </w:pPr>
            <w:r>
              <w:rPr>
                <w:rFonts w:hint="eastAsia" w:ascii="宋体" w:hAnsi="宋体"/>
                <w:color w:val="auto"/>
                <w:spacing w:val="-6"/>
                <w:sz w:val="24"/>
              </w:rPr>
              <w:t>大写：百分之</w:t>
            </w:r>
            <w:r>
              <w:rPr>
                <w:rFonts w:hint="eastAsia" w:ascii="宋体" w:hAnsi="宋体"/>
                <w:color w:val="auto"/>
                <w:spacing w:val="-6"/>
                <w:sz w:val="24"/>
                <w:u w:val="single"/>
              </w:rPr>
              <w:t xml:space="preserve">                </w:t>
            </w:r>
            <w:r>
              <w:rPr>
                <w:rFonts w:hint="eastAsia" w:ascii="宋体" w:hAnsi="宋体"/>
                <w:color w:val="auto"/>
                <w:spacing w:val="-6"/>
                <w:sz w:val="24"/>
              </w:rPr>
              <w:t xml:space="preserve">       小写：</w:t>
            </w:r>
            <w:r>
              <w:rPr>
                <w:rFonts w:hint="eastAsia" w:ascii="宋体" w:hAnsi="宋体"/>
                <w:color w:val="auto"/>
                <w:spacing w:val="-6"/>
                <w:sz w:val="24"/>
                <w:u w:val="single"/>
              </w:rPr>
              <w:t xml:space="preserve">         </w:t>
            </w:r>
            <w:r>
              <w:rPr>
                <w:rFonts w:hint="eastAsia" w:ascii="宋体" w:hAnsi="宋体"/>
                <w:color w:val="auto"/>
                <w:spacing w:val="-6"/>
                <w:sz w:val="24"/>
              </w:rPr>
              <w:t>%</w:t>
            </w:r>
          </w:p>
          <w:p w14:paraId="0834EC32">
            <w:pPr>
              <w:spacing w:line="360" w:lineRule="auto"/>
              <w:rPr>
                <w:rFonts w:ascii="宋体" w:hAnsi="宋体"/>
                <w:b/>
                <w:color w:val="auto"/>
                <w:spacing w:val="-6"/>
                <w:sz w:val="24"/>
              </w:rPr>
            </w:pPr>
            <w:r>
              <w:rPr>
                <w:rFonts w:hint="eastAsia" w:ascii="宋体" w:hAnsi="宋体"/>
                <w:bCs/>
                <w:color w:val="auto"/>
                <w:spacing w:val="-6"/>
                <w:sz w:val="24"/>
              </w:rPr>
              <w:t>注：整数</w:t>
            </w:r>
          </w:p>
        </w:tc>
      </w:tr>
    </w:tbl>
    <w:p w14:paraId="27D7AE1E">
      <w:pPr>
        <w:pStyle w:val="44"/>
        <w:snapToGrid w:val="0"/>
        <w:spacing w:line="400" w:lineRule="exact"/>
        <w:rPr>
          <w:color w:val="auto"/>
          <w:szCs w:val="24"/>
        </w:rPr>
      </w:pPr>
      <w:r>
        <w:rPr>
          <w:rFonts w:hint="eastAsia"/>
          <w:color w:val="auto"/>
          <w:szCs w:val="24"/>
        </w:rPr>
        <w:t>注：报价为图书的折扣（原价以出版社官方网站公布价为准</w:t>
      </w:r>
      <w:r>
        <w:rPr>
          <w:rFonts w:hint="eastAsia"/>
          <w:color w:val="auto"/>
          <w:szCs w:val="24"/>
          <w:lang w:eastAsia="zh-CN"/>
        </w:rPr>
        <w:t>）。</w:t>
      </w:r>
      <w:r>
        <w:rPr>
          <w:rFonts w:hint="eastAsia"/>
          <w:color w:val="auto"/>
          <w:szCs w:val="24"/>
        </w:rPr>
        <w:t>本报价中应包含货物到达甲方或甲方指定用户并能正常使用所需的一切费用，包括但不限于包装费、运输费、装卸费、保险费、安装调试费、技术服务费、培训费、保修保换费、税费等。</w:t>
      </w:r>
    </w:p>
    <w:p w14:paraId="63513757">
      <w:pPr>
        <w:spacing w:line="360" w:lineRule="auto"/>
        <w:ind w:right="-21" w:rightChars="-10"/>
        <w:rPr>
          <w:color w:val="auto"/>
          <w:sz w:val="24"/>
        </w:rPr>
      </w:pPr>
    </w:p>
    <w:p w14:paraId="20086100">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0757E9E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A9077E5">
      <w:pPr>
        <w:spacing w:before="240" w:beforeLines="100" w:after="240" w:afterLines="100"/>
        <w:jc w:val="left"/>
        <w:rPr>
          <w:color w:val="auto"/>
          <w:sz w:val="24"/>
          <w:szCs w:val="24"/>
        </w:rPr>
      </w:pPr>
      <w:r>
        <w:rPr>
          <w:rFonts w:hint="eastAsia" w:ascii="宋体" w:hAnsi="宋体" w:cs="宋体"/>
          <w:color w:val="auto"/>
          <w:sz w:val="24"/>
        </w:rPr>
        <w:t>日期：      年   月   日</w:t>
      </w:r>
    </w:p>
    <w:p w14:paraId="4979CD44">
      <w:pPr>
        <w:spacing w:line="360" w:lineRule="auto"/>
        <w:ind w:right="-21" w:rightChars="-10"/>
        <w:rPr>
          <w:color w:val="auto"/>
          <w:sz w:val="24"/>
        </w:rPr>
      </w:pPr>
    </w:p>
    <w:p w14:paraId="09955103">
      <w:pPr>
        <w:tabs>
          <w:tab w:val="left" w:pos="1055"/>
        </w:tabs>
        <w:jc w:val="left"/>
        <w:rPr>
          <w:color w:val="auto"/>
        </w:rPr>
        <w:sectPr>
          <w:footerReference r:id="rId5" w:type="default"/>
          <w:pgSz w:w="11907" w:h="16840"/>
          <w:pgMar w:top="1134" w:right="1247" w:bottom="1247" w:left="1247" w:header="567" w:footer="794" w:gutter="0"/>
          <w:cols w:space="720" w:num="1"/>
          <w:rtlGutter w:val="0"/>
        </w:sectPr>
      </w:pPr>
    </w:p>
    <w:bookmarkEnd w:id="605"/>
    <w:bookmarkEnd w:id="606"/>
    <w:bookmarkEnd w:id="607"/>
    <w:bookmarkEnd w:id="608"/>
    <w:bookmarkEnd w:id="609"/>
    <w:bookmarkEnd w:id="610"/>
    <w:bookmarkEnd w:id="611"/>
    <w:bookmarkEnd w:id="612"/>
    <w:p w14:paraId="2323B4E2">
      <w:pPr>
        <w:adjustRightInd w:val="0"/>
        <w:snapToGrid w:val="0"/>
        <w:spacing w:line="288" w:lineRule="auto"/>
        <w:jc w:val="center"/>
        <w:outlineLvl w:val="0"/>
        <w:rPr>
          <w:b/>
          <w:bCs/>
          <w:color w:val="auto"/>
          <w:sz w:val="84"/>
          <w:szCs w:val="84"/>
        </w:rPr>
      </w:pPr>
      <w:bookmarkStart w:id="615" w:name="_Toc14017"/>
      <w:bookmarkStart w:id="616" w:name="_Toc31197"/>
      <w:bookmarkStart w:id="617" w:name="_Toc9514"/>
      <w:bookmarkStart w:id="618" w:name="_Toc8554"/>
      <w:bookmarkStart w:id="619" w:name="_Toc21390"/>
      <w:bookmarkStart w:id="620" w:name="_Toc17061"/>
      <w:bookmarkStart w:id="621" w:name="_Toc27848"/>
      <w:bookmarkStart w:id="622" w:name="_Toc5305"/>
      <w:bookmarkStart w:id="623" w:name="_Toc432"/>
      <w:bookmarkStart w:id="624" w:name="_Toc19321"/>
      <w:bookmarkStart w:id="625" w:name="_Toc4882"/>
      <w:bookmarkStart w:id="626" w:name="_Toc10583"/>
      <w:bookmarkStart w:id="627" w:name="_Toc6658"/>
      <w:bookmarkStart w:id="628" w:name="_Toc27765"/>
      <w:bookmarkStart w:id="629" w:name="_Toc22262"/>
      <w:bookmarkStart w:id="630" w:name="_Toc20322"/>
      <w:bookmarkStart w:id="631" w:name="_Toc2960"/>
      <w:bookmarkStart w:id="632" w:name="_Toc4954"/>
      <w:bookmarkStart w:id="633" w:name="_Toc21599"/>
      <w:bookmarkStart w:id="634" w:name="_Toc29034"/>
      <w:bookmarkStart w:id="635" w:name="_Toc11033"/>
      <w:bookmarkStart w:id="636" w:name="_Toc23382"/>
      <w:bookmarkStart w:id="637" w:name="_Toc1234"/>
      <w:bookmarkStart w:id="638" w:name="_Toc13355"/>
      <w:bookmarkStart w:id="639" w:name="_Toc17483"/>
      <w:bookmarkStart w:id="640" w:name="_Toc25574"/>
      <w:bookmarkStart w:id="641" w:name="_Toc4245"/>
      <w:bookmarkStart w:id="642" w:name="_Toc13604"/>
      <w:bookmarkStart w:id="643" w:name="_Toc3902"/>
      <w:bookmarkStart w:id="644" w:name="_Toc4011"/>
      <w:bookmarkStart w:id="645" w:name="_Toc593"/>
      <w:bookmarkStart w:id="646" w:name="_Toc10465"/>
      <w:bookmarkStart w:id="647" w:name="_Toc2678"/>
      <w:bookmarkStart w:id="648" w:name="_Toc30975"/>
      <w:bookmarkStart w:id="649" w:name="_Toc28796"/>
      <w:bookmarkStart w:id="650" w:name="_Toc32174"/>
      <w:bookmarkStart w:id="651" w:name="_Toc118516210"/>
      <w:r>
        <w:rPr>
          <w:rFonts w:hint="eastAsia"/>
          <w:b/>
          <w:bCs/>
          <w:color w:val="auto"/>
          <w:sz w:val="84"/>
          <w:szCs w:val="84"/>
        </w:rPr>
        <w:t>商务和技术文件</w:t>
      </w:r>
      <w:bookmarkEnd w:id="615"/>
    </w:p>
    <w:p w14:paraId="1A9881A4">
      <w:pPr>
        <w:pStyle w:val="6"/>
        <w:tabs>
          <w:tab w:val="left" w:pos="0"/>
          <w:tab w:val="clear" w:pos="1275"/>
        </w:tabs>
        <w:ind w:left="15" w:hanging="15"/>
        <w:outlineLvl w:val="9"/>
        <w:rPr>
          <w:color w:val="auto"/>
          <w:sz w:val="24"/>
          <w:szCs w:val="24"/>
        </w:rPr>
      </w:pPr>
    </w:p>
    <w:p w14:paraId="761DDE73">
      <w:pPr>
        <w:pStyle w:val="6"/>
        <w:ind w:left="0" w:firstLine="0"/>
        <w:outlineLvl w:val="0"/>
        <w:rPr>
          <w:color w:val="auto"/>
        </w:rPr>
      </w:pPr>
      <w:bookmarkStart w:id="652" w:name="_Toc32061"/>
      <w:r>
        <w:rPr>
          <w:rFonts w:hint="eastAsia"/>
          <w:color w:val="auto"/>
        </w:rPr>
        <w:t>（1）磋商响应函</w:t>
      </w:r>
      <w:bookmarkEnd w:id="652"/>
      <w:r>
        <w:rPr>
          <w:rFonts w:hint="eastAsia"/>
          <w:color w:val="auto"/>
        </w:rPr>
        <w:t xml:space="preserve">   </w:t>
      </w:r>
    </w:p>
    <w:p w14:paraId="59103475">
      <w:pPr>
        <w:jc w:val="center"/>
        <w:outlineLvl w:val="1"/>
        <w:rPr>
          <w:b/>
          <w:color w:val="auto"/>
          <w:sz w:val="32"/>
          <w:szCs w:val="32"/>
        </w:rPr>
      </w:pPr>
      <w:bookmarkStart w:id="653" w:name="_Toc19083"/>
      <w:bookmarkStart w:id="654" w:name="_Toc16363"/>
      <w:r>
        <w:rPr>
          <w:rFonts w:hint="eastAsia"/>
          <w:b/>
          <w:color w:val="auto"/>
          <w:sz w:val="32"/>
          <w:szCs w:val="32"/>
        </w:rPr>
        <w:t>磋商响应函</w:t>
      </w:r>
      <w:bookmarkEnd w:id="653"/>
      <w:bookmarkEnd w:id="654"/>
    </w:p>
    <w:p w14:paraId="7A1B5834">
      <w:pPr>
        <w:pStyle w:val="29"/>
        <w:ind w:left="-27" w:firstLine="530"/>
        <w:rPr>
          <w:rFonts w:ascii="Times New Roman" w:hAnsi="Times New Roman"/>
          <w:b/>
          <w:color w:val="auto"/>
          <w:sz w:val="30"/>
        </w:rPr>
      </w:pPr>
    </w:p>
    <w:p w14:paraId="77BFE54C">
      <w:pPr>
        <w:pStyle w:val="29"/>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6DF142FB">
      <w:pPr>
        <w:pStyle w:val="29"/>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0C65C186">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4FF55940">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750B0032">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22A977F2">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7B4A0CE0">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58C26FD4">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2D8654BB">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1F4C4A83">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2E1BAE53">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55F971F5">
      <w:pPr>
        <w:pStyle w:val="29"/>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734640F3">
      <w:pPr>
        <w:pStyle w:val="29"/>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32451444">
      <w:pPr>
        <w:pStyle w:val="29"/>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7C1E2B43">
      <w:pPr>
        <w:pStyle w:val="29"/>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37942383">
      <w:pPr>
        <w:pStyle w:val="29"/>
        <w:spacing w:line="312" w:lineRule="auto"/>
        <w:ind w:left="-27" w:firstLine="422"/>
        <w:rPr>
          <w:rFonts w:ascii="Times New Roman" w:hAnsi="Times New Roman"/>
          <w:color w:val="auto"/>
          <w:sz w:val="24"/>
        </w:rPr>
      </w:pPr>
    </w:p>
    <w:p w14:paraId="73E68C99">
      <w:pPr>
        <w:pStyle w:val="29"/>
        <w:spacing w:line="312" w:lineRule="auto"/>
        <w:ind w:left="-27" w:firstLine="480" w:firstLineChars="200"/>
        <w:rPr>
          <w:rFonts w:ascii="Times New Roman" w:hAnsi="Times New Roman"/>
          <w:color w:val="auto"/>
          <w:sz w:val="24"/>
        </w:rPr>
      </w:pPr>
    </w:p>
    <w:p w14:paraId="2685A85A">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0768622">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815068E">
      <w:pPr>
        <w:spacing w:before="240" w:beforeLines="100" w:after="240" w:afterLines="100"/>
        <w:jc w:val="left"/>
        <w:rPr>
          <w:color w:val="auto"/>
          <w:sz w:val="24"/>
          <w:szCs w:val="24"/>
        </w:rPr>
      </w:pPr>
      <w:r>
        <w:rPr>
          <w:rFonts w:hint="eastAsia" w:ascii="宋体" w:hAnsi="宋体" w:cs="宋体"/>
          <w:color w:val="auto"/>
          <w:sz w:val="24"/>
        </w:rPr>
        <w:t>日期：      年   月   日</w:t>
      </w:r>
    </w:p>
    <w:p w14:paraId="7D38EC30">
      <w:pPr>
        <w:rPr>
          <w:color w:val="auto"/>
          <w:sz w:val="24"/>
          <w:szCs w:val="24"/>
        </w:rPr>
      </w:pPr>
    </w:p>
    <w:p w14:paraId="66EE1A8C">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006E0A9F">
      <w:pPr>
        <w:pStyle w:val="6"/>
        <w:ind w:left="0" w:firstLine="0"/>
        <w:outlineLvl w:val="0"/>
        <w:rPr>
          <w:color w:val="auto"/>
        </w:rPr>
      </w:pPr>
      <w:bookmarkStart w:id="655" w:name="_Toc11052"/>
      <w:r>
        <w:rPr>
          <w:rFonts w:hint="eastAsia"/>
          <w:color w:val="auto"/>
        </w:rPr>
        <w:t>（2）法定代表人授权书（非法定代表人参加时提供）</w:t>
      </w:r>
      <w:bookmarkEnd w:id="655"/>
    </w:p>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14:paraId="5E118D6B">
      <w:pPr>
        <w:pStyle w:val="29"/>
        <w:tabs>
          <w:tab w:val="left" w:pos="450"/>
        </w:tabs>
        <w:spacing w:line="400" w:lineRule="atLeast"/>
        <w:ind w:left="-27" w:firstLine="422"/>
        <w:rPr>
          <w:rFonts w:ascii="Times New Roman" w:hAnsi="Times New Roman"/>
          <w:color w:val="auto"/>
          <w:sz w:val="24"/>
          <w:szCs w:val="24"/>
        </w:rPr>
      </w:pPr>
    </w:p>
    <w:p w14:paraId="2B2D6534">
      <w:pPr>
        <w:pStyle w:val="29"/>
        <w:tabs>
          <w:tab w:val="left" w:pos="450"/>
        </w:tabs>
        <w:spacing w:line="400" w:lineRule="atLeast"/>
        <w:ind w:left="-27" w:firstLine="565"/>
        <w:jc w:val="center"/>
        <w:outlineLvl w:val="1"/>
        <w:rPr>
          <w:rFonts w:ascii="Times New Roman" w:hAnsi="Times New Roman"/>
          <w:b/>
          <w:color w:val="auto"/>
          <w:sz w:val="32"/>
          <w:szCs w:val="32"/>
        </w:rPr>
      </w:pPr>
      <w:bookmarkStart w:id="656" w:name="_Toc11470"/>
      <w:bookmarkStart w:id="657" w:name="_Toc11896"/>
      <w:r>
        <w:rPr>
          <w:rFonts w:hint="eastAsia" w:ascii="Times New Roman" w:hAnsi="Times New Roman"/>
          <w:b/>
          <w:color w:val="auto"/>
          <w:sz w:val="32"/>
          <w:szCs w:val="32"/>
        </w:rPr>
        <w:t>法定代表人授权书</w:t>
      </w:r>
      <w:bookmarkEnd w:id="656"/>
      <w:bookmarkEnd w:id="657"/>
    </w:p>
    <w:p w14:paraId="43032C41">
      <w:pPr>
        <w:pStyle w:val="29"/>
        <w:spacing w:line="600" w:lineRule="atLeast"/>
        <w:ind w:left="-27" w:firstLine="493"/>
        <w:rPr>
          <w:rFonts w:ascii="Times New Roman" w:hAnsi="Times New Roman"/>
          <w:color w:val="auto"/>
          <w:sz w:val="28"/>
          <w:u w:val="single"/>
        </w:rPr>
      </w:pPr>
    </w:p>
    <w:p w14:paraId="7889370E">
      <w:pPr>
        <w:pStyle w:val="29"/>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4EA3F3E9">
      <w:pPr>
        <w:pStyle w:val="29"/>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3D114E6F">
      <w:pPr>
        <w:pStyle w:val="29"/>
        <w:spacing w:line="600" w:lineRule="atLeast"/>
        <w:ind w:left="-27" w:firstLine="422"/>
        <w:rPr>
          <w:rFonts w:ascii="Times New Roman" w:hAnsi="Times New Roman"/>
          <w:color w:val="auto"/>
          <w:sz w:val="24"/>
          <w:szCs w:val="24"/>
        </w:rPr>
      </w:pPr>
    </w:p>
    <w:p w14:paraId="25855A7D">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响应方授权代表必须为投标人本单位在职职工，并提供202</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1</w:t>
      </w:r>
      <w:r>
        <w:rPr>
          <w:rFonts w:hint="eastAsia" w:ascii="宋体" w:hAnsi="宋体"/>
          <w:b/>
          <w:bCs/>
          <w:color w:val="auto"/>
          <w:spacing w:val="-6"/>
          <w:sz w:val="24"/>
          <w:szCs w:val="24"/>
          <w:u w:val="single"/>
        </w:rPr>
        <w:t>月（含）以后任意一月社保缴纳证明。</w:t>
      </w:r>
    </w:p>
    <w:p w14:paraId="023CA5A4">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0248A714">
      <w:pPr>
        <w:pStyle w:val="29"/>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4CDFD2CE">
      <w:pPr>
        <w:pStyle w:val="29"/>
        <w:spacing w:line="400" w:lineRule="atLeast"/>
        <w:ind w:left="-27" w:firstLine="422"/>
        <w:rPr>
          <w:rFonts w:ascii="Times New Roman" w:hAnsi="Times New Roman"/>
          <w:color w:val="auto"/>
          <w:sz w:val="24"/>
          <w:szCs w:val="24"/>
        </w:rPr>
      </w:pPr>
    </w:p>
    <w:p w14:paraId="163E2FD6">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641511CD">
      <w:pPr>
        <w:pStyle w:val="29"/>
        <w:spacing w:line="400" w:lineRule="atLeast"/>
        <w:ind w:left="-27" w:firstLine="422"/>
        <w:rPr>
          <w:rFonts w:ascii="Times New Roman" w:hAnsi="Times New Roman"/>
          <w:color w:val="auto"/>
          <w:sz w:val="24"/>
          <w:szCs w:val="24"/>
        </w:rPr>
      </w:pPr>
    </w:p>
    <w:p w14:paraId="79547E51">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51573069">
      <w:pPr>
        <w:pStyle w:val="29"/>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2EF7B987">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5416EB85">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422C5DC5">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04F2C0F9">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0EAB6558">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6647696E">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0E2BB594">
      <w:pPr>
        <w:pStyle w:val="29"/>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17439BA9">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0C2190DE">
      <w:pPr>
        <w:widowControl/>
        <w:ind w:firstLine="723" w:firstLineChars="225"/>
        <w:jc w:val="left"/>
        <w:rPr>
          <w:b/>
          <w:color w:val="auto"/>
          <w:sz w:val="32"/>
          <w:szCs w:val="32"/>
        </w:rPr>
      </w:pPr>
    </w:p>
    <w:p w14:paraId="76AD446F">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2AF1D105">
      <w:pPr>
        <w:widowControl/>
        <w:ind w:firstLine="723" w:firstLineChars="225"/>
        <w:jc w:val="left"/>
        <w:rPr>
          <w:b/>
          <w:color w:val="auto"/>
          <w:sz w:val="32"/>
          <w:szCs w:val="32"/>
        </w:rPr>
      </w:pPr>
    </w:p>
    <w:p w14:paraId="262CC2CE">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0547CD94">
      <w:pPr>
        <w:pStyle w:val="6"/>
        <w:ind w:left="0" w:firstLine="0"/>
        <w:outlineLvl w:val="0"/>
        <w:rPr>
          <w:color w:val="auto"/>
        </w:rPr>
      </w:pPr>
      <w:bookmarkStart w:id="658" w:name="_Toc30871"/>
      <w:r>
        <w:rPr>
          <w:rFonts w:hint="eastAsia"/>
          <w:color w:val="auto"/>
        </w:rPr>
        <w:t>（3）授权代表社保缴纳证明</w:t>
      </w:r>
      <w:bookmarkEnd w:id="658"/>
    </w:p>
    <w:p w14:paraId="6B507DAB">
      <w:pPr>
        <w:rPr>
          <w:rFonts w:ascii="宋体" w:hAnsi="宋体" w:cs="宋体"/>
          <w:b/>
          <w:color w:val="auto"/>
          <w:spacing w:val="-6"/>
          <w:sz w:val="32"/>
          <w:szCs w:val="32"/>
        </w:rPr>
      </w:pPr>
    </w:p>
    <w:p w14:paraId="5AC914C9">
      <w:pPr>
        <w:jc w:val="center"/>
        <w:outlineLvl w:val="1"/>
        <w:rPr>
          <w:rFonts w:ascii="宋体" w:hAnsi="宋体" w:cs="宋体"/>
          <w:b/>
          <w:color w:val="auto"/>
          <w:spacing w:val="-6"/>
          <w:sz w:val="32"/>
          <w:szCs w:val="32"/>
        </w:rPr>
      </w:pPr>
      <w:bookmarkStart w:id="659" w:name="_Toc29858"/>
      <w:bookmarkStart w:id="660" w:name="_Toc13818"/>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1</w:t>
      </w:r>
      <w:r>
        <w:rPr>
          <w:rFonts w:hint="eastAsia" w:ascii="宋体" w:hAnsi="宋体" w:cs="宋体"/>
          <w:b/>
          <w:color w:val="auto"/>
          <w:spacing w:val="-6"/>
          <w:sz w:val="32"/>
          <w:szCs w:val="32"/>
        </w:rPr>
        <w:t>月（含）以后任意一月授权代表社保缴纳证明</w:t>
      </w:r>
      <w:bookmarkEnd w:id="659"/>
      <w:bookmarkEnd w:id="660"/>
    </w:p>
    <w:p w14:paraId="6DE20783">
      <w:pPr>
        <w:spacing w:line="200" w:lineRule="atLeast"/>
        <w:ind w:firstLine="420"/>
        <w:jc w:val="center"/>
        <w:outlineLvl w:val="0"/>
        <w:rPr>
          <w:rFonts w:ascii="宋体" w:hAnsi="宋体"/>
          <w:b/>
          <w:color w:val="auto"/>
          <w:spacing w:val="-4"/>
          <w:sz w:val="28"/>
          <w:szCs w:val="28"/>
        </w:rPr>
      </w:pPr>
      <w:bookmarkStart w:id="661" w:name="_Toc32315"/>
      <w:bookmarkStart w:id="662" w:name="_Toc11770"/>
      <w:r>
        <w:rPr>
          <w:rFonts w:hint="eastAsia" w:ascii="宋体" w:hAnsi="宋体"/>
          <w:b/>
          <w:color w:val="auto"/>
          <w:spacing w:val="-6"/>
          <w:sz w:val="28"/>
          <w:szCs w:val="28"/>
        </w:rPr>
        <w:t>（授权代表为法定代表人可不提供）</w:t>
      </w:r>
      <w:bookmarkEnd w:id="661"/>
      <w:bookmarkEnd w:id="662"/>
    </w:p>
    <w:p w14:paraId="1CD9F7C0">
      <w:pPr>
        <w:widowControl/>
        <w:ind w:firstLine="723" w:firstLineChars="225"/>
        <w:jc w:val="left"/>
        <w:rPr>
          <w:b/>
          <w:color w:val="auto"/>
          <w:sz w:val="32"/>
          <w:szCs w:val="32"/>
        </w:rPr>
      </w:pPr>
    </w:p>
    <w:p w14:paraId="4BDCB94D">
      <w:pPr>
        <w:widowControl/>
        <w:ind w:firstLine="723" w:firstLineChars="225"/>
        <w:jc w:val="left"/>
        <w:rPr>
          <w:b/>
          <w:color w:val="auto"/>
          <w:sz w:val="32"/>
          <w:szCs w:val="32"/>
        </w:rPr>
        <w:sectPr>
          <w:footerReference r:id="rId6" w:type="default"/>
          <w:pgSz w:w="11907" w:h="16840"/>
          <w:pgMar w:top="1134" w:right="1247" w:bottom="1247" w:left="1247" w:header="567" w:footer="794" w:gutter="0"/>
          <w:cols w:space="720" w:num="1"/>
          <w:rtlGutter w:val="0"/>
        </w:sectPr>
      </w:pPr>
    </w:p>
    <w:p w14:paraId="5EAE64F6">
      <w:pPr>
        <w:pStyle w:val="6"/>
        <w:ind w:left="0" w:firstLine="0"/>
        <w:outlineLvl w:val="0"/>
        <w:rPr>
          <w:color w:val="auto"/>
        </w:rPr>
      </w:pPr>
      <w:bookmarkStart w:id="663" w:name="_Toc4883"/>
      <w:bookmarkStart w:id="664" w:name="_Toc21021"/>
      <w:bookmarkStart w:id="665" w:name="_Toc25890"/>
      <w:bookmarkStart w:id="666" w:name="_Toc2212"/>
      <w:bookmarkStart w:id="667" w:name="_Toc26387"/>
      <w:bookmarkStart w:id="668" w:name="_Toc30038"/>
      <w:bookmarkStart w:id="669" w:name="_Toc14222"/>
      <w:bookmarkStart w:id="670" w:name="_Toc19676"/>
      <w:bookmarkStart w:id="671" w:name="_Toc23121"/>
      <w:bookmarkStart w:id="672" w:name="_Toc25749"/>
      <w:bookmarkStart w:id="673" w:name="_Toc885"/>
      <w:bookmarkStart w:id="674" w:name="_Toc14954"/>
      <w:bookmarkStart w:id="675" w:name="_Toc31758"/>
      <w:bookmarkStart w:id="676" w:name="_Toc28598"/>
      <w:bookmarkStart w:id="677" w:name="_Toc30387"/>
      <w:bookmarkStart w:id="678" w:name="_Toc2974"/>
      <w:bookmarkStart w:id="679" w:name="_Toc26242"/>
      <w:bookmarkStart w:id="680" w:name="_Toc11813"/>
      <w:bookmarkStart w:id="681" w:name="_Toc2570"/>
      <w:bookmarkStart w:id="682" w:name="_Toc32360"/>
      <w:bookmarkStart w:id="683" w:name="_Toc20129"/>
      <w:bookmarkStart w:id="684" w:name="_Toc3968"/>
      <w:bookmarkStart w:id="685" w:name="_Toc26592"/>
      <w:bookmarkStart w:id="686" w:name="_Toc772"/>
      <w:bookmarkStart w:id="687" w:name="_Toc20443"/>
      <w:bookmarkStart w:id="688" w:name="_Toc9338"/>
      <w:bookmarkStart w:id="689" w:name="_Toc24848"/>
      <w:bookmarkStart w:id="690" w:name="_Toc11332"/>
      <w:bookmarkStart w:id="691" w:name="_Toc24184"/>
      <w:bookmarkStart w:id="692" w:name="_Toc31464"/>
      <w:bookmarkStart w:id="693" w:name="_Toc5481"/>
      <w:bookmarkStart w:id="694" w:name="_Toc22103"/>
      <w:bookmarkStart w:id="695" w:name="_Toc14198"/>
      <w:bookmarkStart w:id="696" w:name="_Toc4577"/>
      <w:bookmarkStart w:id="697" w:name="_Toc12615"/>
      <w:bookmarkStart w:id="698" w:name="_Toc18481"/>
      <w:bookmarkStart w:id="699" w:name="_Toc350"/>
      <w:bookmarkStart w:id="700" w:name="_Toc31568"/>
      <w:bookmarkStart w:id="701" w:name="_Toc14931"/>
      <w:r>
        <w:rPr>
          <w:rFonts w:hint="eastAsia"/>
          <w:color w:val="auto"/>
        </w:rPr>
        <w:t>（4）法定代表人资格证明书</w:t>
      </w:r>
      <w:bookmarkEnd w:id="663"/>
      <w:bookmarkEnd w:id="664"/>
      <w:bookmarkEnd w:id="665"/>
      <w:bookmarkEnd w:id="666"/>
      <w:bookmarkEnd w:id="667"/>
      <w:bookmarkEnd w:id="668"/>
      <w:bookmarkEnd w:id="669"/>
      <w:bookmarkEnd w:id="670"/>
      <w:bookmarkEnd w:id="671"/>
      <w:bookmarkEnd w:id="672"/>
      <w:r>
        <w:rPr>
          <w:rFonts w:hint="eastAsia"/>
          <w:color w:val="auto"/>
        </w:rPr>
        <w:t>（法定代表人参加时提供）</w:t>
      </w:r>
      <w:bookmarkEnd w:id="673"/>
    </w:p>
    <w:p w14:paraId="07C72C66">
      <w:pPr>
        <w:pStyle w:val="24"/>
        <w:ind w:left="0" w:leftChars="0" w:firstLine="0" w:firstLineChars="0"/>
        <w:rPr>
          <w:color w:val="auto"/>
        </w:rPr>
      </w:pPr>
    </w:p>
    <w:p w14:paraId="50FC4E17">
      <w:pPr>
        <w:pStyle w:val="29"/>
        <w:tabs>
          <w:tab w:val="left" w:pos="450"/>
        </w:tabs>
        <w:spacing w:line="400" w:lineRule="atLeast"/>
        <w:ind w:left="-27" w:firstLine="565"/>
        <w:jc w:val="center"/>
        <w:outlineLvl w:val="1"/>
        <w:rPr>
          <w:rFonts w:ascii="Times New Roman" w:hAnsi="Times New Roman"/>
          <w:b/>
          <w:color w:val="auto"/>
          <w:sz w:val="32"/>
          <w:szCs w:val="32"/>
        </w:rPr>
      </w:pPr>
      <w:bookmarkStart w:id="702" w:name="_Toc1537"/>
      <w:bookmarkStart w:id="703" w:name="_Toc10019"/>
      <w:bookmarkStart w:id="704" w:name="_Toc8365"/>
      <w:r>
        <w:rPr>
          <w:rFonts w:hint="eastAsia" w:ascii="Times New Roman" w:hAnsi="Times New Roman"/>
          <w:b/>
          <w:color w:val="auto"/>
          <w:sz w:val="32"/>
          <w:szCs w:val="32"/>
        </w:rPr>
        <w:t>法定代表人资格证明书</w:t>
      </w:r>
      <w:bookmarkEnd w:id="702"/>
      <w:bookmarkEnd w:id="703"/>
      <w:bookmarkEnd w:id="704"/>
    </w:p>
    <w:p w14:paraId="28FC906A">
      <w:pPr>
        <w:spacing w:line="360" w:lineRule="auto"/>
        <w:jc w:val="center"/>
        <w:rPr>
          <w:b/>
          <w:color w:val="auto"/>
          <w:spacing w:val="-6"/>
          <w:sz w:val="24"/>
        </w:rPr>
      </w:pPr>
    </w:p>
    <w:p w14:paraId="3F093956">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6F024F06">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5EDB918F">
      <w:pPr>
        <w:spacing w:line="360" w:lineRule="auto"/>
        <w:ind w:firstLine="456" w:firstLineChars="200"/>
        <w:rPr>
          <w:bCs/>
          <w:color w:val="auto"/>
          <w:spacing w:val="-6"/>
          <w:sz w:val="24"/>
        </w:rPr>
      </w:pPr>
      <w:r>
        <w:rPr>
          <w:bCs/>
          <w:color w:val="auto"/>
          <w:spacing w:val="-6"/>
          <w:sz w:val="24"/>
        </w:rPr>
        <w:t>特此证明。</w:t>
      </w:r>
    </w:p>
    <w:p w14:paraId="6E2BBB18">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BB0E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6A1B941E">
            <w:pPr>
              <w:jc w:val="center"/>
              <w:rPr>
                <w:color w:val="auto"/>
                <w:sz w:val="24"/>
              </w:rPr>
            </w:pPr>
            <w:r>
              <w:rPr>
                <w:color w:val="auto"/>
                <w:sz w:val="24"/>
              </w:rPr>
              <w:t>法定代表人身份证(正、反面)复印件粘贴处</w:t>
            </w:r>
          </w:p>
          <w:p w14:paraId="47B02B03">
            <w:pPr>
              <w:spacing w:line="360" w:lineRule="auto"/>
              <w:jc w:val="center"/>
              <w:rPr>
                <w:bCs/>
                <w:color w:val="auto"/>
                <w:spacing w:val="-6"/>
                <w:sz w:val="24"/>
              </w:rPr>
            </w:pPr>
          </w:p>
        </w:tc>
      </w:tr>
    </w:tbl>
    <w:p w14:paraId="57ACBFF7">
      <w:pPr>
        <w:spacing w:line="360" w:lineRule="auto"/>
        <w:rPr>
          <w:bCs/>
          <w:color w:val="auto"/>
          <w:spacing w:val="-6"/>
          <w:sz w:val="24"/>
        </w:rPr>
      </w:pPr>
    </w:p>
    <w:p w14:paraId="2F79FFE0">
      <w:pPr>
        <w:spacing w:line="360" w:lineRule="auto"/>
        <w:ind w:right="456"/>
        <w:rPr>
          <w:b/>
          <w:bCs/>
          <w:color w:val="auto"/>
          <w:spacing w:val="-6"/>
          <w:sz w:val="24"/>
        </w:rPr>
      </w:pPr>
    </w:p>
    <w:p w14:paraId="2EDC74FD">
      <w:pPr>
        <w:pStyle w:val="29"/>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161159AD">
      <w:pPr>
        <w:pStyle w:val="29"/>
        <w:spacing w:line="400" w:lineRule="atLeast"/>
        <w:ind w:left="-27" w:firstLine="2530" w:firstLineChars="1050"/>
        <w:rPr>
          <w:rFonts w:ascii="Times New Roman" w:hAnsi="Times New Roman"/>
          <w:b/>
          <w:bCs/>
          <w:color w:val="auto"/>
          <w:sz w:val="24"/>
          <w:szCs w:val="24"/>
        </w:rPr>
      </w:pPr>
    </w:p>
    <w:p w14:paraId="34254F63">
      <w:pPr>
        <w:pStyle w:val="29"/>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75347B91">
      <w:pPr>
        <w:spacing w:line="360" w:lineRule="auto"/>
        <w:ind w:left="3578" w:leftChars="1704" w:right="456"/>
        <w:rPr>
          <w:b/>
          <w:bCs/>
          <w:color w:val="auto"/>
          <w:sz w:val="24"/>
          <w:szCs w:val="24"/>
        </w:rPr>
      </w:pPr>
      <w:r>
        <w:rPr>
          <w:rFonts w:hint="eastAsia"/>
          <w:b/>
          <w:bCs/>
          <w:color w:val="auto"/>
          <w:sz w:val="24"/>
          <w:szCs w:val="24"/>
        </w:rPr>
        <w:t xml:space="preserve"> </w:t>
      </w:r>
    </w:p>
    <w:p w14:paraId="473DEE92">
      <w:pPr>
        <w:spacing w:line="360" w:lineRule="auto"/>
        <w:ind w:left="3360" w:leftChars="1600" w:right="456"/>
        <w:rPr>
          <w:color w:val="auto"/>
          <w:sz w:val="24"/>
          <w:szCs w:val="24"/>
        </w:rPr>
      </w:pPr>
    </w:p>
    <w:p w14:paraId="5AF1B1C3">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p w14:paraId="4772EC10">
      <w:pPr>
        <w:pStyle w:val="6"/>
        <w:ind w:left="0" w:firstLine="0"/>
        <w:outlineLvl w:val="0"/>
        <w:rPr>
          <w:color w:val="auto"/>
        </w:rPr>
      </w:pPr>
      <w:bookmarkStart w:id="705" w:name="_Toc18815"/>
      <w:bookmarkStart w:id="706" w:name="_Toc32367"/>
      <w:bookmarkStart w:id="707" w:name="_Toc24989"/>
      <w:bookmarkStart w:id="708" w:name="_Toc25655"/>
      <w:bookmarkStart w:id="709" w:name="_Toc5970"/>
      <w:bookmarkStart w:id="710" w:name="_Toc2218"/>
      <w:bookmarkStart w:id="711" w:name="_Toc16347"/>
      <w:bookmarkStart w:id="712" w:name="_Toc27024"/>
      <w:bookmarkStart w:id="713" w:name="_Toc11889"/>
      <w:bookmarkStart w:id="714" w:name="_Toc23078"/>
      <w:bookmarkStart w:id="715" w:name="_Toc15720"/>
      <w:bookmarkStart w:id="716" w:name="_Toc17126"/>
      <w:bookmarkStart w:id="717" w:name="_Toc11492"/>
      <w:bookmarkStart w:id="718" w:name="_Toc27347"/>
      <w:bookmarkStart w:id="719" w:name="_Toc4163"/>
      <w:bookmarkStart w:id="720" w:name="_Toc27945"/>
      <w:bookmarkStart w:id="721" w:name="_Toc20101"/>
      <w:bookmarkStart w:id="722" w:name="_Toc20480"/>
      <w:bookmarkStart w:id="723" w:name="_Toc17219"/>
      <w:bookmarkStart w:id="724" w:name="_Toc1553"/>
      <w:bookmarkStart w:id="725" w:name="_Toc3893"/>
      <w:bookmarkStart w:id="726" w:name="_Toc30022"/>
      <w:bookmarkStart w:id="727" w:name="_Toc30921"/>
      <w:bookmarkStart w:id="728" w:name="_Toc24530"/>
      <w:bookmarkStart w:id="729" w:name="_Toc30169"/>
      <w:bookmarkStart w:id="730" w:name="_Toc6625"/>
      <w:bookmarkStart w:id="731" w:name="_Toc29343"/>
      <w:bookmarkStart w:id="732" w:name="_Toc26243"/>
      <w:bookmarkStart w:id="733" w:name="_Toc441"/>
      <w:bookmarkStart w:id="734" w:name="_Toc32465"/>
      <w:bookmarkStart w:id="735" w:name="_Toc15510"/>
      <w:bookmarkStart w:id="736" w:name="_Toc21741"/>
      <w:bookmarkStart w:id="737" w:name="_Toc3162"/>
      <w:bookmarkStart w:id="738" w:name="_Toc21937"/>
      <w:bookmarkStart w:id="739" w:name="_Toc1334"/>
      <w:bookmarkStart w:id="740" w:name="_Toc22052"/>
      <w:r>
        <w:rPr>
          <w:rFonts w:hint="eastAsia"/>
          <w:color w:val="auto"/>
        </w:rPr>
        <w:t>（5）采购需求偏离表</w:t>
      </w:r>
      <w:bookmarkEnd w:id="705"/>
    </w:p>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14:paraId="0BC30250">
      <w:pPr>
        <w:jc w:val="center"/>
        <w:outlineLvl w:val="1"/>
        <w:rPr>
          <w:b/>
          <w:bCs/>
          <w:color w:val="auto"/>
          <w:sz w:val="32"/>
        </w:rPr>
      </w:pPr>
      <w:bookmarkStart w:id="741" w:name="_Toc332"/>
      <w:bookmarkStart w:id="742" w:name="_Toc1385"/>
      <w:r>
        <w:rPr>
          <w:rFonts w:hint="eastAsia"/>
          <w:b/>
          <w:bCs/>
          <w:color w:val="auto"/>
          <w:sz w:val="32"/>
        </w:rPr>
        <w:t>采购需求偏离表</w:t>
      </w:r>
      <w:bookmarkEnd w:id="741"/>
      <w:bookmarkEnd w:id="742"/>
    </w:p>
    <w:p w14:paraId="30E1FEB3">
      <w:pPr>
        <w:rPr>
          <w:b/>
          <w:bCs/>
          <w:color w:val="auto"/>
          <w:sz w:val="32"/>
        </w:rPr>
      </w:pPr>
    </w:p>
    <w:p w14:paraId="2D510904">
      <w:pPr>
        <w:pStyle w:val="29"/>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28C57D91">
      <w:pPr>
        <w:pStyle w:val="29"/>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04A2BC65">
      <w:pPr>
        <w:pStyle w:val="29"/>
        <w:spacing w:line="400" w:lineRule="atLeast"/>
        <w:ind w:left="-27" w:firstLine="422"/>
        <w:rPr>
          <w:rFonts w:ascii="Times New Roman" w:hAnsi="Times New Roman"/>
          <w:color w:val="auto"/>
          <w:sz w:val="24"/>
        </w:rPr>
      </w:pPr>
    </w:p>
    <w:tbl>
      <w:tblPr>
        <w:tblStyle w:val="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559A4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4BD40DBD">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441F83CF">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5982F5B4">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0E0B0762">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60F9E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A0AC4D5">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328AC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D5E0060">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1C494CC6">
            <w:pPr>
              <w:rPr>
                <w:rFonts w:ascii="宋体" w:hAnsi="宋体" w:cs="宋体"/>
                <w:color w:val="auto"/>
                <w:szCs w:val="21"/>
              </w:rPr>
            </w:pPr>
          </w:p>
        </w:tc>
        <w:tc>
          <w:tcPr>
            <w:tcW w:w="2574" w:type="dxa"/>
            <w:vAlign w:val="center"/>
          </w:tcPr>
          <w:p w14:paraId="5F0D8F63">
            <w:pPr>
              <w:rPr>
                <w:rFonts w:ascii="宋体" w:hAnsi="宋体" w:cs="宋体"/>
                <w:color w:val="auto"/>
                <w:szCs w:val="21"/>
              </w:rPr>
            </w:pPr>
          </w:p>
        </w:tc>
        <w:tc>
          <w:tcPr>
            <w:tcW w:w="2124" w:type="dxa"/>
            <w:vAlign w:val="center"/>
          </w:tcPr>
          <w:p w14:paraId="0B1D69F3">
            <w:pPr>
              <w:rPr>
                <w:rFonts w:ascii="宋体" w:hAnsi="宋体" w:cs="宋体"/>
                <w:color w:val="auto"/>
                <w:szCs w:val="21"/>
              </w:rPr>
            </w:pPr>
          </w:p>
        </w:tc>
      </w:tr>
      <w:tr w14:paraId="21CD2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08610CC">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7673A91A">
            <w:pPr>
              <w:rPr>
                <w:rFonts w:ascii="宋体" w:hAnsi="宋体" w:cs="宋体"/>
                <w:color w:val="auto"/>
                <w:szCs w:val="21"/>
              </w:rPr>
            </w:pPr>
          </w:p>
        </w:tc>
        <w:tc>
          <w:tcPr>
            <w:tcW w:w="2574" w:type="dxa"/>
            <w:vAlign w:val="center"/>
          </w:tcPr>
          <w:p w14:paraId="0CD5ACD0">
            <w:pPr>
              <w:rPr>
                <w:rFonts w:ascii="宋体" w:hAnsi="宋体" w:cs="宋体"/>
                <w:color w:val="auto"/>
                <w:szCs w:val="21"/>
              </w:rPr>
            </w:pPr>
          </w:p>
        </w:tc>
        <w:tc>
          <w:tcPr>
            <w:tcW w:w="2124" w:type="dxa"/>
            <w:vAlign w:val="center"/>
          </w:tcPr>
          <w:p w14:paraId="489EB2BA">
            <w:pPr>
              <w:rPr>
                <w:rFonts w:ascii="宋体" w:hAnsi="宋体" w:cs="宋体"/>
                <w:color w:val="auto"/>
                <w:szCs w:val="21"/>
              </w:rPr>
            </w:pPr>
          </w:p>
        </w:tc>
      </w:tr>
      <w:tr w14:paraId="37C15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DF818A7">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59B76824">
            <w:pPr>
              <w:rPr>
                <w:rFonts w:ascii="宋体" w:hAnsi="宋体" w:cs="宋体"/>
                <w:color w:val="auto"/>
                <w:szCs w:val="21"/>
              </w:rPr>
            </w:pPr>
          </w:p>
        </w:tc>
        <w:tc>
          <w:tcPr>
            <w:tcW w:w="2574" w:type="dxa"/>
            <w:vAlign w:val="center"/>
          </w:tcPr>
          <w:p w14:paraId="250BA7B1">
            <w:pPr>
              <w:rPr>
                <w:rFonts w:ascii="宋体" w:hAnsi="宋体" w:cs="宋体"/>
                <w:color w:val="auto"/>
                <w:szCs w:val="21"/>
              </w:rPr>
            </w:pPr>
          </w:p>
        </w:tc>
        <w:tc>
          <w:tcPr>
            <w:tcW w:w="2124" w:type="dxa"/>
            <w:vAlign w:val="center"/>
          </w:tcPr>
          <w:p w14:paraId="6D87EAD6">
            <w:pPr>
              <w:rPr>
                <w:rFonts w:ascii="宋体" w:hAnsi="宋体" w:cs="宋体"/>
                <w:color w:val="auto"/>
                <w:szCs w:val="21"/>
              </w:rPr>
            </w:pPr>
          </w:p>
        </w:tc>
      </w:tr>
      <w:tr w14:paraId="45FF0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4B0C233F">
            <w:pPr>
              <w:rPr>
                <w:rFonts w:ascii="宋体" w:hAnsi="宋体" w:cs="宋体"/>
                <w:color w:val="auto"/>
                <w:szCs w:val="21"/>
              </w:rPr>
            </w:pPr>
            <w:r>
              <w:rPr>
                <w:rFonts w:hint="eastAsia" w:ascii="宋体" w:hAnsi="宋体" w:cs="宋体"/>
                <w:b/>
                <w:bCs/>
                <w:color w:val="auto"/>
                <w:szCs w:val="21"/>
              </w:rPr>
              <w:t>技术参数、功能、服务等技术要求</w:t>
            </w:r>
          </w:p>
        </w:tc>
      </w:tr>
      <w:tr w14:paraId="2D240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EE2B54B">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2C5E1EBE">
            <w:pPr>
              <w:jc w:val="left"/>
              <w:rPr>
                <w:rFonts w:ascii="宋体" w:hAnsi="宋体" w:cs="宋体"/>
                <w:color w:val="auto"/>
                <w:szCs w:val="21"/>
              </w:rPr>
            </w:pPr>
          </w:p>
        </w:tc>
        <w:tc>
          <w:tcPr>
            <w:tcW w:w="2574" w:type="dxa"/>
            <w:vAlign w:val="center"/>
          </w:tcPr>
          <w:p w14:paraId="6204D843">
            <w:pPr>
              <w:jc w:val="left"/>
              <w:rPr>
                <w:rFonts w:ascii="宋体" w:hAnsi="宋体" w:cs="宋体"/>
                <w:color w:val="auto"/>
                <w:szCs w:val="21"/>
              </w:rPr>
            </w:pPr>
          </w:p>
        </w:tc>
        <w:tc>
          <w:tcPr>
            <w:tcW w:w="2124" w:type="dxa"/>
            <w:vAlign w:val="center"/>
          </w:tcPr>
          <w:p w14:paraId="537F43B9">
            <w:pPr>
              <w:jc w:val="left"/>
              <w:rPr>
                <w:rFonts w:ascii="宋体" w:hAnsi="宋体" w:cs="宋体"/>
                <w:color w:val="auto"/>
                <w:szCs w:val="21"/>
              </w:rPr>
            </w:pPr>
          </w:p>
        </w:tc>
      </w:tr>
      <w:tr w14:paraId="2723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A4CAB32">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7B79286D">
            <w:pPr>
              <w:jc w:val="left"/>
              <w:rPr>
                <w:rFonts w:ascii="宋体" w:hAnsi="宋体" w:cs="宋体"/>
                <w:color w:val="auto"/>
                <w:szCs w:val="21"/>
              </w:rPr>
            </w:pPr>
          </w:p>
        </w:tc>
        <w:tc>
          <w:tcPr>
            <w:tcW w:w="2574" w:type="dxa"/>
            <w:vAlign w:val="center"/>
          </w:tcPr>
          <w:p w14:paraId="04F4FD83">
            <w:pPr>
              <w:jc w:val="left"/>
              <w:rPr>
                <w:rFonts w:ascii="宋体" w:hAnsi="宋体" w:cs="宋体"/>
                <w:color w:val="auto"/>
                <w:szCs w:val="21"/>
              </w:rPr>
            </w:pPr>
          </w:p>
        </w:tc>
        <w:tc>
          <w:tcPr>
            <w:tcW w:w="2124" w:type="dxa"/>
            <w:vAlign w:val="center"/>
          </w:tcPr>
          <w:p w14:paraId="7AA1AE26">
            <w:pPr>
              <w:jc w:val="left"/>
              <w:rPr>
                <w:rFonts w:ascii="宋体" w:hAnsi="宋体" w:cs="宋体"/>
                <w:color w:val="auto"/>
                <w:szCs w:val="21"/>
              </w:rPr>
            </w:pPr>
          </w:p>
        </w:tc>
      </w:tr>
      <w:tr w14:paraId="0ABC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3920E41">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3F94CC98">
            <w:pPr>
              <w:jc w:val="left"/>
              <w:rPr>
                <w:rFonts w:ascii="宋体" w:hAnsi="宋体" w:cs="宋体"/>
                <w:color w:val="auto"/>
                <w:szCs w:val="21"/>
              </w:rPr>
            </w:pPr>
          </w:p>
        </w:tc>
        <w:tc>
          <w:tcPr>
            <w:tcW w:w="2574" w:type="dxa"/>
            <w:vAlign w:val="center"/>
          </w:tcPr>
          <w:p w14:paraId="1C567024">
            <w:pPr>
              <w:jc w:val="left"/>
              <w:rPr>
                <w:rFonts w:ascii="宋体" w:hAnsi="宋体" w:cs="宋体"/>
                <w:color w:val="auto"/>
                <w:szCs w:val="21"/>
              </w:rPr>
            </w:pPr>
          </w:p>
        </w:tc>
        <w:tc>
          <w:tcPr>
            <w:tcW w:w="2124" w:type="dxa"/>
            <w:vAlign w:val="center"/>
          </w:tcPr>
          <w:p w14:paraId="09B890A7">
            <w:pPr>
              <w:jc w:val="left"/>
              <w:rPr>
                <w:rFonts w:ascii="宋体" w:hAnsi="宋体" w:cs="宋体"/>
                <w:color w:val="auto"/>
                <w:szCs w:val="21"/>
              </w:rPr>
            </w:pPr>
          </w:p>
        </w:tc>
      </w:tr>
    </w:tbl>
    <w:p w14:paraId="5F413407">
      <w:pPr>
        <w:spacing w:line="360" w:lineRule="auto"/>
        <w:rPr>
          <w:rFonts w:ascii="宋体" w:hAnsi="宋体"/>
          <w:b/>
          <w:bCs/>
          <w:color w:val="auto"/>
          <w:spacing w:val="-6"/>
          <w:szCs w:val="21"/>
        </w:rPr>
      </w:pPr>
    </w:p>
    <w:p w14:paraId="5626039B">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63CD3FA1">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386A6A15">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6EABC507">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02F5762B">
      <w:pPr>
        <w:pStyle w:val="29"/>
        <w:spacing w:line="400" w:lineRule="atLeast"/>
        <w:ind w:left="-27" w:firstLine="422"/>
        <w:rPr>
          <w:rFonts w:ascii="Times New Roman" w:hAnsi="Times New Roman"/>
          <w:color w:val="auto"/>
          <w:sz w:val="24"/>
        </w:rPr>
      </w:pPr>
    </w:p>
    <w:p w14:paraId="4BC6DED2">
      <w:pPr>
        <w:pStyle w:val="29"/>
        <w:spacing w:line="400" w:lineRule="atLeast"/>
        <w:ind w:left="-27" w:firstLine="422"/>
        <w:rPr>
          <w:rFonts w:ascii="Times New Roman" w:hAnsi="Times New Roman"/>
          <w:color w:val="auto"/>
          <w:sz w:val="24"/>
        </w:rPr>
      </w:pPr>
    </w:p>
    <w:p w14:paraId="2EE340C5">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346E44E1">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095A1CF4">
      <w:pPr>
        <w:spacing w:before="240" w:beforeLines="100" w:after="240" w:afterLines="100"/>
        <w:jc w:val="left"/>
        <w:rPr>
          <w:color w:val="auto"/>
          <w:sz w:val="24"/>
          <w:szCs w:val="24"/>
        </w:rPr>
      </w:pPr>
      <w:r>
        <w:rPr>
          <w:rFonts w:hint="eastAsia" w:ascii="宋体" w:hAnsi="宋体" w:cs="宋体"/>
          <w:color w:val="auto"/>
          <w:sz w:val="24"/>
        </w:rPr>
        <w:t>日期：      年   月   日</w:t>
      </w:r>
    </w:p>
    <w:p w14:paraId="63A17296">
      <w:pPr>
        <w:pStyle w:val="29"/>
        <w:spacing w:line="400" w:lineRule="atLeast"/>
        <w:ind w:left="-27" w:firstLine="528"/>
        <w:rPr>
          <w:rFonts w:ascii="Times New Roman" w:hAnsi="Times New Roman"/>
          <w:color w:val="auto"/>
          <w:sz w:val="30"/>
        </w:rPr>
      </w:pPr>
    </w:p>
    <w:p w14:paraId="32AB5B16">
      <w:pPr>
        <w:pStyle w:val="6"/>
        <w:ind w:left="0" w:firstLine="0"/>
        <w:outlineLvl w:val="0"/>
        <w:rPr>
          <w:color w:val="auto"/>
        </w:rPr>
      </w:pPr>
      <w:r>
        <w:rPr>
          <w:bCs/>
          <w:color w:val="auto"/>
          <w:sz w:val="32"/>
        </w:rPr>
        <w:br w:type="page"/>
      </w:r>
      <w:bookmarkStart w:id="743" w:name="_Toc26631"/>
      <w:bookmarkStart w:id="744" w:name="_Toc24720"/>
      <w:bookmarkStart w:id="745" w:name="_Toc10611"/>
      <w:bookmarkStart w:id="746" w:name="_Toc16944"/>
      <w:bookmarkStart w:id="747" w:name="_Toc5267"/>
      <w:bookmarkStart w:id="748" w:name="_Toc5417"/>
      <w:bookmarkStart w:id="749" w:name="_Toc15291"/>
      <w:bookmarkStart w:id="750" w:name="_Toc18149"/>
      <w:bookmarkStart w:id="751" w:name="_Toc1162"/>
      <w:bookmarkStart w:id="752" w:name="_Toc12587"/>
      <w:bookmarkStart w:id="753" w:name="_Toc29052"/>
      <w:bookmarkStart w:id="754" w:name="_Toc14028"/>
      <w:bookmarkStart w:id="755" w:name="_Toc31125"/>
      <w:bookmarkStart w:id="756" w:name="_Toc5561"/>
      <w:bookmarkStart w:id="757" w:name="_Toc8117"/>
      <w:bookmarkStart w:id="758" w:name="_Toc13471"/>
      <w:bookmarkStart w:id="759" w:name="_Toc13064"/>
      <w:bookmarkStart w:id="760" w:name="_Toc27033"/>
      <w:bookmarkStart w:id="761" w:name="_Toc24911"/>
      <w:bookmarkStart w:id="762" w:name="_Toc31984"/>
      <w:bookmarkStart w:id="763" w:name="_Toc23576"/>
      <w:bookmarkStart w:id="764" w:name="_Toc27408"/>
      <w:bookmarkStart w:id="765" w:name="_Toc21289"/>
      <w:bookmarkStart w:id="766" w:name="_Toc28469"/>
      <w:bookmarkStart w:id="767" w:name="_Toc10664"/>
      <w:bookmarkStart w:id="768" w:name="_Toc21740"/>
      <w:bookmarkStart w:id="769" w:name="_Toc19442"/>
      <w:bookmarkStart w:id="770" w:name="_Toc4311"/>
      <w:bookmarkStart w:id="771" w:name="_Toc21842"/>
      <w:bookmarkStart w:id="772" w:name="_Toc2658"/>
      <w:bookmarkStart w:id="773" w:name="_Toc21423"/>
      <w:bookmarkStart w:id="774" w:name="_Toc7973"/>
      <w:bookmarkStart w:id="775" w:name="_Toc32055"/>
      <w:bookmarkStart w:id="776" w:name="_Toc12636"/>
      <w:bookmarkStart w:id="777" w:name="_Toc18959"/>
      <w:bookmarkStart w:id="778" w:name="_Toc25833"/>
      <w:bookmarkStart w:id="779" w:name="_Toc9470"/>
      <w:bookmarkStart w:id="780" w:name="_Toc23923"/>
      <w:bookmarkStart w:id="781" w:name="_Toc23122"/>
      <w:bookmarkStart w:id="782" w:name="_Toc1110"/>
      <w:bookmarkStart w:id="783" w:name="_Toc27705"/>
      <w:bookmarkStart w:id="784" w:name="_Toc17790"/>
      <w:bookmarkStart w:id="785" w:name="_Toc19416"/>
      <w:bookmarkStart w:id="786" w:name="_Toc16636"/>
      <w:bookmarkStart w:id="787" w:name="_Toc22794"/>
      <w:bookmarkStart w:id="788" w:name="_Toc26450"/>
      <w:bookmarkStart w:id="789" w:name="_Toc22688"/>
      <w:bookmarkStart w:id="790" w:name="_Toc22720"/>
      <w:bookmarkStart w:id="791" w:name="_Toc3703"/>
      <w:bookmarkStart w:id="792" w:name="_Toc14653"/>
      <w:bookmarkStart w:id="793" w:name="_Toc32508"/>
      <w:bookmarkStart w:id="794" w:name="_Toc18451"/>
      <w:bookmarkStart w:id="795" w:name="_Toc26665"/>
      <w:bookmarkStart w:id="796" w:name="_Toc16502"/>
      <w:bookmarkStart w:id="797" w:name="_Toc12787"/>
      <w:bookmarkStart w:id="798" w:name="_Toc3061"/>
      <w:bookmarkStart w:id="799" w:name="_Toc25187"/>
      <w:bookmarkStart w:id="800" w:name="_Toc15898"/>
      <w:bookmarkStart w:id="801" w:name="_Toc20418"/>
      <w:bookmarkStart w:id="802" w:name="_Toc13985"/>
      <w:bookmarkStart w:id="803" w:name="_Toc16423"/>
      <w:r>
        <w:rPr>
          <w:rFonts w:hint="eastAsia"/>
          <w:color w:val="auto"/>
        </w:rPr>
        <w:t>（6）响应方基本情况表</w:t>
      </w:r>
      <w:bookmarkEnd w:id="743"/>
    </w:p>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14:paraId="6E47E8F4">
      <w:pPr>
        <w:jc w:val="center"/>
        <w:outlineLvl w:val="1"/>
        <w:rPr>
          <w:b/>
          <w:bCs/>
          <w:color w:val="auto"/>
          <w:sz w:val="32"/>
        </w:rPr>
      </w:pPr>
      <w:bookmarkStart w:id="804" w:name="_Toc9155"/>
      <w:bookmarkStart w:id="805" w:name="_Toc23199"/>
      <w:r>
        <w:rPr>
          <w:rFonts w:hint="eastAsia"/>
          <w:b/>
          <w:bCs/>
          <w:color w:val="auto"/>
          <w:sz w:val="32"/>
        </w:rPr>
        <w:t>响应方基本情况表</w:t>
      </w:r>
      <w:bookmarkEnd w:id="804"/>
      <w:bookmarkEnd w:id="805"/>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3F34D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B0C1B53">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008B9E91">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038CB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3193617">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1BDC0B3D">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594F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B0D4C26">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0E40FF7B">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1D8B9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D17DBEE">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188F4FC4">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4DE4E23E">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26C9B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00B6B23">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70960EDC">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5A5A1874">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34B4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2E5B5AC">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027611F7">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346594D0">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3ED78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FE1AE7F">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7608A12E">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相关证书及证明材料</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07D5D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3624904">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1E136652">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14:paraId="3BE9C72A">
            <w:pPr>
              <w:spacing w:line="360" w:lineRule="auto"/>
              <w:rPr>
                <w:rFonts w:hint="default" w:ascii="宋体" w:hAnsi="宋体" w:eastAsia="宋体" w:cs="宋体"/>
                <w:color w:val="auto"/>
                <w:sz w:val="24"/>
                <w:szCs w:val="24"/>
                <w:lang w:val="en-US"/>
              </w:rPr>
            </w:pPr>
            <w:r>
              <w:rPr>
                <w:rFonts w:hint="eastAsia" w:ascii="宋体" w:hAnsi="宋体" w:cs="宋体"/>
                <w:color w:val="auto"/>
                <w:spacing w:val="-6"/>
                <w:sz w:val="24"/>
                <w:szCs w:val="24"/>
                <w:lang w:val="en-US" w:eastAsia="zh-CN"/>
              </w:rPr>
              <w:t>公司所属行业</w:t>
            </w:r>
            <w:r>
              <w:rPr>
                <w:rFonts w:hint="eastAsia" w:ascii="宋体" w:hAnsi="宋体" w:cs="宋体"/>
                <w:color w:val="auto"/>
                <w:spacing w:val="-6"/>
                <w:sz w:val="24"/>
                <w:szCs w:val="24"/>
                <w:u w:val="single"/>
                <w:lang w:val="en-US" w:eastAsia="zh-CN"/>
              </w:rPr>
              <w:t xml:space="preserve">       </w:t>
            </w:r>
            <w:r>
              <w:rPr>
                <w:rFonts w:hint="eastAsia" w:ascii="宋体" w:hAnsi="宋体" w:cs="宋体"/>
                <w:color w:val="auto"/>
                <w:spacing w:val="-6"/>
                <w:sz w:val="24"/>
                <w:szCs w:val="24"/>
                <w:lang w:val="en-US" w:eastAsia="zh-CN"/>
              </w:rPr>
              <w:t>，公司</w:t>
            </w:r>
            <w:r>
              <w:rPr>
                <w:rFonts w:hint="eastAsia" w:ascii="宋体" w:hAnsi="宋体" w:eastAsia="宋体" w:cs="宋体"/>
                <w:color w:val="auto"/>
                <w:spacing w:val="-6"/>
                <w:sz w:val="24"/>
                <w:szCs w:val="24"/>
              </w:rPr>
              <w:t>从业人员</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p>
        </w:tc>
      </w:tr>
      <w:tr w14:paraId="62215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C0B0609">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14F1561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4ED197F1">
            <w:pPr>
              <w:spacing w:line="360" w:lineRule="auto"/>
              <w:rPr>
                <w:rFonts w:hint="eastAsia" w:ascii="宋体" w:hAnsi="宋体" w:eastAsia="宋体" w:cs="宋体"/>
                <w:color w:val="auto"/>
                <w:sz w:val="24"/>
                <w:szCs w:val="24"/>
              </w:rPr>
            </w:pPr>
          </w:p>
        </w:tc>
      </w:tr>
    </w:tbl>
    <w:p w14:paraId="7072C580">
      <w:pPr>
        <w:spacing w:line="360" w:lineRule="auto"/>
        <w:ind w:firstLine="240" w:firstLineChars="100"/>
        <w:rPr>
          <w:color w:val="auto"/>
          <w:sz w:val="24"/>
          <w:szCs w:val="24"/>
        </w:rPr>
      </w:pPr>
      <w:r>
        <w:rPr>
          <w:rFonts w:hint="eastAsia"/>
          <w:color w:val="auto"/>
          <w:sz w:val="24"/>
          <w:szCs w:val="24"/>
        </w:rPr>
        <w:t>说明：</w:t>
      </w:r>
    </w:p>
    <w:p w14:paraId="4CCA8BAE">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4B5009E3">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1EECD880">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5DA2AD7A">
      <w:pPr>
        <w:spacing w:line="480" w:lineRule="auto"/>
        <w:rPr>
          <w:rFonts w:hint="eastAsia"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EA512D4">
      <w:pPr>
        <w:spacing w:line="480" w:lineRule="auto"/>
        <w:rPr>
          <w:color w:val="auto"/>
          <w:sz w:val="24"/>
          <w:szCs w:val="24"/>
        </w:rPr>
      </w:pPr>
      <w:r>
        <w:rPr>
          <w:rFonts w:hint="eastAsia" w:ascii="宋体" w:hAnsi="宋体" w:cs="宋体"/>
          <w:color w:val="auto"/>
          <w:sz w:val="24"/>
        </w:rPr>
        <w:t>日期：      年   月   日</w:t>
      </w:r>
    </w:p>
    <w:p w14:paraId="617597F8">
      <w:pPr>
        <w:rPr>
          <w:rFonts w:hint="eastAsia" w:ascii="宋体" w:hAnsi="宋体" w:eastAsia="宋体" w:cs="宋体"/>
          <w:b/>
          <w:bCs/>
          <w:color w:val="auto"/>
          <w:sz w:val="24"/>
          <w:szCs w:val="22"/>
          <w:lang w:val="en-US" w:eastAsia="zh-CN" w:bidi="ar-SA"/>
        </w:rPr>
      </w:pPr>
    </w:p>
    <w:p w14:paraId="72EA6DAE">
      <w:pPr>
        <w:rPr>
          <w:rFonts w:hint="eastAsia" w:ascii="宋体" w:hAnsi="宋体" w:eastAsia="宋体" w:cs="宋体"/>
          <w:b/>
          <w:bCs/>
          <w:color w:val="auto"/>
          <w:sz w:val="24"/>
          <w:szCs w:val="22"/>
          <w:lang w:val="en-US" w:eastAsia="zh-CN" w:bidi="ar-SA"/>
        </w:rPr>
      </w:pPr>
      <w:r>
        <w:rPr>
          <w:rFonts w:hint="eastAsia" w:ascii="宋体" w:hAnsi="宋体" w:eastAsia="宋体" w:cs="宋体"/>
          <w:b/>
          <w:bCs/>
          <w:color w:val="auto"/>
          <w:sz w:val="24"/>
          <w:szCs w:val="22"/>
          <w:lang w:val="en-US" w:eastAsia="zh-CN" w:bidi="ar-SA"/>
        </w:rPr>
        <w:t>附以下材料（如有）：</w:t>
      </w:r>
    </w:p>
    <w:p w14:paraId="7A45B87D">
      <w:pPr>
        <w:pStyle w:val="29"/>
        <w:spacing w:line="360" w:lineRule="auto"/>
        <w:rPr>
          <w:rFonts w:hint="eastAsia" w:hAnsi="宋体" w:cs="宋体"/>
          <w:b/>
          <w:bCs/>
          <w:color w:val="auto"/>
          <w:sz w:val="24"/>
          <w:szCs w:val="22"/>
          <w:lang w:val="en-US" w:eastAsia="zh-CN"/>
        </w:rPr>
      </w:pPr>
      <w:r>
        <w:rPr>
          <w:rFonts w:hint="eastAsia" w:hAnsi="宋体" w:cs="宋体"/>
          <w:b/>
          <w:bCs/>
          <w:color w:val="auto"/>
          <w:sz w:val="24"/>
          <w:szCs w:val="22"/>
        </w:rPr>
        <w:t>质量管理体系ISO9001认证证书、信息安全管理体系认证证书ISO/IEC 27001:2022认证证书复印件加盖公章</w:t>
      </w:r>
      <w:r>
        <w:rPr>
          <w:rFonts w:hint="eastAsia" w:hAnsi="宋体" w:cs="宋体"/>
          <w:b/>
          <w:bCs/>
          <w:color w:val="auto"/>
          <w:sz w:val="24"/>
          <w:szCs w:val="22"/>
          <w:lang w:val="en-US" w:eastAsia="zh-CN"/>
        </w:rPr>
        <w:t>；认监委网站或全国认证认可信息公共服务平台网站对体系证书的信息查询截图加盖公章。</w:t>
      </w:r>
    </w:p>
    <w:p w14:paraId="6A0F999E">
      <w:pPr>
        <w:pStyle w:val="29"/>
        <w:spacing w:line="360" w:lineRule="auto"/>
        <w:rPr>
          <w:rFonts w:hint="eastAsia" w:hAnsi="宋体" w:cs="宋体"/>
          <w:b/>
          <w:bCs/>
          <w:color w:val="auto"/>
          <w:sz w:val="24"/>
          <w:szCs w:val="22"/>
          <w:lang w:val="en-US" w:eastAsia="zh-CN"/>
        </w:rPr>
      </w:pPr>
    </w:p>
    <w:p w14:paraId="41E28017">
      <w:pPr>
        <w:pStyle w:val="29"/>
        <w:spacing w:line="360" w:lineRule="auto"/>
        <w:rPr>
          <w:rFonts w:hint="eastAsia" w:hAnsi="宋体" w:cs="宋体"/>
          <w:b/>
          <w:bCs/>
          <w:color w:val="auto"/>
          <w:sz w:val="24"/>
          <w:szCs w:val="22"/>
          <w:lang w:val="en-US" w:eastAsia="zh-CN"/>
        </w:rPr>
      </w:pPr>
      <w:r>
        <w:rPr>
          <w:rFonts w:hint="eastAsia" w:hAnsi="宋体" w:cs="宋体"/>
          <w:b/>
          <w:bCs/>
          <w:color w:val="auto"/>
          <w:sz w:val="24"/>
          <w:szCs w:val="22"/>
          <w:lang w:val="en-US" w:eastAsia="zh-CN"/>
        </w:rPr>
        <w:t>现采场所、现采基地库房自有的房产证明或租赁合同等证明材料复印件加盖公章，及有现货承诺书。</w:t>
      </w:r>
    </w:p>
    <w:p w14:paraId="51BE2EE1">
      <w:pPr>
        <w:pStyle w:val="30"/>
        <w:rPr>
          <w:rFonts w:hint="eastAsia"/>
          <w:color w:val="auto"/>
          <w:lang w:val="en-US" w:eastAsia="zh-CN"/>
        </w:rPr>
      </w:pPr>
    </w:p>
    <w:p w14:paraId="6B6B081A">
      <w:pPr>
        <w:pStyle w:val="6"/>
        <w:ind w:left="0" w:firstLine="0"/>
        <w:outlineLvl w:val="0"/>
        <w:rPr>
          <w:rFonts w:hint="eastAsia" w:hAnsi="宋体" w:cs="宋体"/>
          <w:b/>
          <w:bCs/>
          <w:color w:val="auto"/>
          <w:sz w:val="24"/>
          <w:szCs w:val="22"/>
          <w:lang w:val="en-US" w:eastAsia="zh-CN"/>
        </w:rPr>
      </w:pPr>
      <w:bookmarkStart w:id="806" w:name="_Toc23279"/>
      <w:bookmarkStart w:id="807" w:name="_Toc30903"/>
      <w:r>
        <w:rPr>
          <w:rFonts w:hint="eastAsia" w:hAnsi="宋体" w:cs="宋体"/>
          <w:b/>
          <w:bCs/>
          <w:color w:val="auto"/>
          <w:sz w:val="24"/>
          <w:szCs w:val="22"/>
          <w:lang w:val="en-US" w:eastAsia="zh-CN"/>
        </w:rPr>
        <w:t>参与现采活动证明材料：有关办会的通知、证明或办会邀请函等证明材料复印件加盖公章。</w:t>
      </w:r>
      <w:bookmarkEnd w:id="806"/>
      <w:bookmarkEnd w:id="807"/>
      <w:bookmarkStart w:id="808" w:name="_Toc21767"/>
      <w:bookmarkStart w:id="809" w:name="_Toc5024"/>
      <w:bookmarkStart w:id="810" w:name="_Toc24426"/>
      <w:bookmarkStart w:id="811" w:name="_Toc20174"/>
      <w:bookmarkStart w:id="812" w:name="_Toc21110"/>
      <w:bookmarkStart w:id="813" w:name="_Toc17265"/>
      <w:bookmarkStart w:id="814" w:name="_Toc3841"/>
      <w:bookmarkStart w:id="815" w:name="_Toc18777"/>
      <w:bookmarkStart w:id="816" w:name="_Toc3327"/>
      <w:bookmarkStart w:id="817" w:name="_Toc16592"/>
    </w:p>
    <w:p w14:paraId="47D9A10E">
      <w:pPr>
        <w:rPr>
          <w:rFonts w:hint="eastAsia" w:hAnsi="宋体" w:cs="宋体"/>
          <w:b/>
          <w:bCs/>
          <w:color w:val="auto"/>
          <w:sz w:val="24"/>
          <w:szCs w:val="22"/>
          <w:lang w:val="en-US" w:eastAsia="zh-CN"/>
        </w:rPr>
      </w:pPr>
      <w:r>
        <w:rPr>
          <w:rFonts w:hint="eastAsia" w:hAnsi="宋体" w:cs="宋体"/>
          <w:b/>
          <w:bCs/>
          <w:color w:val="auto"/>
          <w:sz w:val="24"/>
          <w:szCs w:val="22"/>
          <w:lang w:val="en-US" w:eastAsia="zh-CN"/>
        </w:rPr>
        <w:br w:type="page"/>
      </w:r>
    </w:p>
    <w:p w14:paraId="629369D2">
      <w:pPr>
        <w:pStyle w:val="6"/>
        <w:ind w:left="0" w:firstLine="0"/>
        <w:outlineLvl w:val="0"/>
        <w:rPr>
          <w:color w:val="auto"/>
        </w:rPr>
      </w:pPr>
      <w:bookmarkStart w:id="818" w:name="_Toc11368"/>
      <w:r>
        <w:rPr>
          <w:rFonts w:hint="eastAsia"/>
          <w:color w:val="auto"/>
        </w:rPr>
        <w:t>（7）供应商同类合同一览表</w:t>
      </w:r>
      <w:bookmarkEnd w:id="818"/>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8"/>
    <w:bookmarkEnd w:id="809"/>
    <w:bookmarkEnd w:id="810"/>
    <w:bookmarkEnd w:id="811"/>
    <w:bookmarkEnd w:id="812"/>
    <w:bookmarkEnd w:id="813"/>
    <w:bookmarkEnd w:id="814"/>
    <w:bookmarkEnd w:id="815"/>
    <w:bookmarkEnd w:id="816"/>
    <w:bookmarkEnd w:id="817"/>
    <w:p w14:paraId="426291FE">
      <w:pPr>
        <w:adjustRightInd w:val="0"/>
        <w:snapToGrid w:val="0"/>
        <w:spacing w:line="288" w:lineRule="auto"/>
        <w:jc w:val="center"/>
        <w:outlineLvl w:val="1"/>
        <w:rPr>
          <w:rFonts w:hint="eastAsia"/>
          <w:color w:val="auto"/>
          <w:sz w:val="24"/>
          <w:szCs w:val="24"/>
        </w:rPr>
      </w:pPr>
      <w:bookmarkStart w:id="819" w:name="_Toc28844"/>
      <w:bookmarkStart w:id="820" w:name="_Toc6105"/>
      <w:bookmarkStart w:id="821" w:name="_Toc18264"/>
      <w:r>
        <w:rPr>
          <w:rFonts w:hint="eastAsia"/>
          <w:color w:val="auto"/>
          <w:sz w:val="24"/>
          <w:szCs w:val="24"/>
        </w:rPr>
        <w:t>同类合同一览表</w:t>
      </w:r>
      <w:bookmarkEnd w:id="819"/>
      <w:bookmarkEnd w:id="820"/>
    </w:p>
    <w:tbl>
      <w:tblPr>
        <w:tblStyle w:val="48"/>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3CFEF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3ACDC93">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7CFA201A">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1750F2E4">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38C5E256">
            <w:pPr>
              <w:adjustRightInd w:val="0"/>
              <w:snapToGrid w:val="0"/>
              <w:spacing w:line="288" w:lineRule="auto"/>
              <w:jc w:val="center"/>
              <w:rPr>
                <w:color w:val="auto"/>
                <w:sz w:val="24"/>
                <w:szCs w:val="24"/>
              </w:rPr>
            </w:pPr>
            <w:r>
              <w:rPr>
                <w:rFonts w:hint="eastAsia"/>
                <w:color w:val="auto"/>
                <w:sz w:val="24"/>
                <w:szCs w:val="24"/>
              </w:rPr>
              <w:t>合同金额</w:t>
            </w:r>
          </w:p>
          <w:p w14:paraId="534FB59F">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16655AC5">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222C7CF7">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06BFFA9E">
            <w:pPr>
              <w:adjustRightInd w:val="0"/>
              <w:snapToGrid w:val="0"/>
              <w:spacing w:line="288" w:lineRule="auto"/>
              <w:jc w:val="center"/>
              <w:rPr>
                <w:color w:val="auto"/>
                <w:sz w:val="24"/>
                <w:szCs w:val="24"/>
              </w:rPr>
            </w:pPr>
            <w:r>
              <w:rPr>
                <w:rFonts w:hint="eastAsia"/>
                <w:color w:val="auto"/>
                <w:sz w:val="24"/>
                <w:szCs w:val="24"/>
              </w:rPr>
              <w:t>采购单位</w:t>
            </w:r>
          </w:p>
          <w:p w14:paraId="05CC125B">
            <w:pPr>
              <w:adjustRightInd w:val="0"/>
              <w:snapToGrid w:val="0"/>
              <w:spacing w:line="288" w:lineRule="auto"/>
              <w:jc w:val="center"/>
              <w:rPr>
                <w:color w:val="auto"/>
                <w:sz w:val="24"/>
                <w:szCs w:val="24"/>
              </w:rPr>
            </w:pPr>
            <w:r>
              <w:rPr>
                <w:rFonts w:hint="eastAsia"/>
                <w:color w:val="auto"/>
                <w:sz w:val="24"/>
                <w:szCs w:val="24"/>
              </w:rPr>
              <w:t>联系人及电话</w:t>
            </w:r>
          </w:p>
        </w:tc>
      </w:tr>
      <w:tr w14:paraId="45C67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D8D771E">
            <w:pPr>
              <w:adjustRightInd w:val="0"/>
              <w:snapToGrid w:val="0"/>
              <w:spacing w:line="288" w:lineRule="auto"/>
              <w:jc w:val="center"/>
              <w:rPr>
                <w:color w:val="auto"/>
                <w:sz w:val="24"/>
                <w:szCs w:val="24"/>
              </w:rPr>
            </w:pPr>
          </w:p>
        </w:tc>
        <w:tc>
          <w:tcPr>
            <w:tcW w:w="1380" w:type="dxa"/>
            <w:vAlign w:val="center"/>
          </w:tcPr>
          <w:p w14:paraId="7268F5B6">
            <w:pPr>
              <w:adjustRightInd w:val="0"/>
              <w:snapToGrid w:val="0"/>
              <w:spacing w:line="288" w:lineRule="auto"/>
              <w:jc w:val="center"/>
              <w:rPr>
                <w:color w:val="auto"/>
                <w:sz w:val="24"/>
                <w:szCs w:val="24"/>
              </w:rPr>
            </w:pPr>
          </w:p>
        </w:tc>
        <w:tc>
          <w:tcPr>
            <w:tcW w:w="1510" w:type="dxa"/>
            <w:vAlign w:val="center"/>
          </w:tcPr>
          <w:p w14:paraId="5C71F61A">
            <w:pPr>
              <w:adjustRightInd w:val="0"/>
              <w:snapToGrid w:val="0"/>
              <w:spacing w:line="288" w:lineRule="auto"/>
              <w:jc w:val="center"/>
              <w:rPr>
                <w:color w:val="auto"/>
                <w:sz w:val="24"/>
                <w:szCs w:val="24"/>
              </w:rPr>
            </w:pPr>
          </w:p>
        </w:tc>
        <w:tc>
          <w:tcPr>
            <w:tcW w:w="1256" w:type="dxa"/>
            <w:vAlign w:val="center"/>
          </w:tcPr>
          <w:p w14:paraId="4BA41DDD">
            <w:pPr>
              <w:adjustRightInd w:val="0"/>
              <w:snapToGrid w:val="0"/>
              <w:spacing w:line="288" w:lineRule="auto"/>
              <w:jc w:val="center"/>
              <w:rPr>
                <w:color w:val="auto"/>
                <w:sz w:val="24"/>
                <w:szCs w:val="24"/>
              </w:rPr>
            </w:pPr>
          </w:p>
        </w:tc>
        <w:tc>
          <w:tcPr>
            <w:tcW w:w="732" w:type="dxa"/>
            <w:vAlign w:val="center"/>
          </w:tcPr>
          <w:p w14:paraId="3F3C3A14">
            <w:pPr>
              <w:adjustRightInd w:val="0"/>
              <w:snapToGrid w:val="0"/>
              <w:spacing w:line="288" w:lineRule="auto"/>
              <w:jc w:val="center"/>
              <w:rPr>
                <w:color w:val="auto"/>
                <w:sz w:val="24"/>
                <w:szCs w:val="24"/>
              </w:rPr>
            </w:pPr>
          </w:p>
        </w:tc>
        <w:tc>
          <w:tcPr>
            <w:tcW w:w="1005" w:type="dxa"/>
            <w:vAlign w:val="center"/>
          </w:tcPr>
          <w:p w14:paraId="51AA4ACE">
            <w:pPr>
              <w:adjustRightInd w:val="0"/>
              <w:snapToGrid w:val="0"/>
              <w:spacing w:line="288" w:lineRule="auto"/>
              <w:jc w:val="center"/>
              <w:rPr>
                <w:color w:val="auto"/>
                <w:sz w:val="24"/>
                <w:szCs w:val="24"/>
              </w:rPr>
            </w:pPr>
          </w:p>
        </w:tc>
        <w:tc>
          <w:tcPr>
            <w:tcW w:w="1675" w:type="dxa"/>
            <w:vAlign w:val="center"/>
          </w:tcPr>
          <w:p w14:paraId="2061FDC6">
            <w:pPr>
              <w:adjustRightInd w:val="0"/>
              <w:snapToGrid w:val="0"/>
              <w:spacing w:line="288" w:lineRule="auto"/>
              <w:jc w:val="center"/>
              <w:rPr>
                <w:color w:val="auto"/>
                <w:sz w:val="24"/>
                <w:szCs w:val="24"/>
              </w:rPr>
            </w:pPr>
          </w:p>
        </w:tc>
      </w:tr>
      <w:tr w14:paraId="2DB09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5606976F">
            <w:pPr>
              <w:adjustRightInd w:val="0"/>
              <w:snapToGrid w:val="0"/>
              <w:spacing w:line="288" w:lineRule="auto"/>
              <w:jc w:val="center"/>
              <w:rPr>
                <w:color w:val="auto"/>
                <w:sz w:val="24"/>
                <w:szCs w:val="24"/>
              </w:rPr>
            </w:pPr>
          </w:p>
        </w:tc>
        <w:tc>
          <w:tcPr>
            <w:tcW w:w="1380" w:type="dxa"/>
            <w:vAlign w:val="center"/>
          </w:tcPr>
          <w:p w14:paraId="6F6F1CDB">
            <w:pPr>
              <w:adjustRightInd w:val="0"/>
              <w:snapToGrid w:val="0"/>
              <w:spacing w:line="288" w:lineRule="auto"/>
              <w:jc w:val="center"/>
              <w:rPr>
                <w:color w:val="auto"/>
                <w:sz w:val="24"/>
                <w:szCs w:val="24"/>
              </w:rPr>
            </w:pPr>
          </w:p>
        </w:tc>
        <w:tc>
          <w:tcPr>
            <w:tcW w:w="1510" w:type="dxa"/>
            <w:vAlign w:val="center"/>
          </w:tcPr>
          <w:p w14:paraId="05335FDB">
            <w:pPr>
              <w:adjustRightInd w:val="0"/>
              <w:snapToGrid w:val="0"/>
              <w:spacing w:line="288" w:lineRule="auto"/>
              <w:jc w:val="center"/>
              <w:rPr>
                <w:color w:val="auto"/>
                <w:sz w:val="24"/>
                <w:szCs w:val="24"/>
              </w:rPr>
            </w:pPr>
          </w:p>
        </w:tc>
        <w:tc>
          <w:tcPr>
            <w:tcW w:w="1256" w:type="dxa"/>
            <w:vAlign w:val="center"/>
          </w:tcPr>
          <w:p w14:paraId="1003C242">
            <w:pPr>
              <w:adjustRightInd w:val="0"/>
              <w:snapToGrid w:val="0"/>
              <w:spacing w:line="288" w:lineRule="auto"/>
              <w:jc w:val="center"/>
              <w:rPr>
                <w:color w:val="auto"/>
                <w:sz w:val="24"/>
                <w:szCs w:val="24"/>
              </w:rPr>
            </w:pPr>
          </w:p>
        </w:tc>
        <w:tc>
          <w:tcPr>
            <w:tcW w:w="732" w:type="dxa"/>
            <w:vAlign w:val="center"/>
          </w:tcPr>
          <w:p w14:paraId="61EE25F9">
            <w:pPr>
              <w:adjustRightInd w:val="0"/>
              <w:snapToGrid w:val="0"/>
              <w:spacing w:line="288" w:lineRule="auto"/>
              <w:jc w:val="center"/>
              <w:rPr>
                <w:color w:val="auto"/>
                <w:sz w:val="24"/>
                <w:szCs w:val="24"/>
              </w:rPr>
            </w:pPr>
          </w:p>
        </w:tc>
        <w:tc>
          <w:tcPr>
            <w:tcW w:w="1005" w:type="dxa"/>
            <w:vAlign w:val="center"/>
          </w:tcPr>
          <w:p w14:paraId="23BD2749">
            <w:pPr>
              <w:adjustRightInd w:val="0"/>
              <w:snapToGrid w:val="0"/>
              <w:spacing w:line="288" w:lineRule="auto"/>
              <w:jc w:val="center"/>
              <w:rPr>
                <w:color w:val="auto"/>
                <w:sz w:val="24"/>
                <w:szCs w:val="24"/>
              </w:rPr>
            </w:pPr>
          </w:p>
        </w:tc>
        <w:tc>
          <w:tcPr>
            <w:tcW w:w="1675" w:type="dxa"/>
            <w:vAlign w:val="center"/>
          </w:tcPr>
          <w:p w14:paraId="4180E831">
            <w:pPr>
              <w:adjustRightInd w:val="0"/>
              <w:snapToGrid w:val="0"/>
              <w:spacing w:line="288" w:lineRule="auto"/>
              <w:jc w:val="center"/>
              <w:rPr>
                <w:color w:val="auto"/>
                <w:sz w:val="24"/>
                <w:szCs w:val="24"/>
              </w:rPr>
            </w:pPr>
          </w:p>
        </w:tc>
      </w:tr>
      <w:tr w14:paraId="0972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F065E71">
            <w:pPr>
              <w:adjustRightInd w:val="0"/>
              <w:snapToGrid w:val="0"/>
              <w:spacing w:line="288" w:lineRule="auto"/>
              <w:jc w:val="center"/>
              <w:rPr>
                <w:color w:val="auto"/>
                <w:sz w:val="24"/>
                <w:szCs w:val="24"/>
              </w:rPr>
            </w:pPr>
          </w:p>
        </w:tc>
        <w:tc>
          <w:tcPr>
            <w:tcW w:w="1380" w:type="dxa"/>
            <w:vAlign w:val="center"/>
          </w:tcPr>
          <w:p w14:paraId="405DA0C9">
            <w:pPr>
              <w:adjustRightInd w:val="0"/>
              <w:snapToGrid w:val="0"/>
              <w:spacing w:line="288" w:lineRule="auto"/>
              <w:jc w:val="center"/>
              <w:rPr>
                <w:color w:val="auto"/>
                <w:sz w:val="24"/>
                <w:szCs w:val="24"/>
              </w:rPr>
            </w:pPr>
          </w:p>
        </w:tc>
        <w:tc>
          <w:tcPr>
            <w:tcW w:w="1510" w:type="dxa"/>
            <w:vAlign w:val="center"/>
          </w:tcPr>
          <w:p w14:paraId="621ABEBA">
            <w:pPr>
              <w:adjustRightInd w:val="0"/>
              <w:snapToGrid w:val="0"/>
              <w:spacing w:line="288" w:lineRule="auto"/>
              <w:jc w:val="center"/>
              <w:rPr>
                <w:color w:val="auto"/>
                <w:sz w:val="24"/>
                <w:szCs w:val="24"/>
              </w:rPr>
            </w:pPr>
          </w:p>
        </w:tc>
        <w:tc>
          <w:tcPr>
            <w:tcW w:w="1256" w:type="dxa"/>
            <w:vAlign w:val="center"/>
          </w:tcPr>
          <w:p w14:paraId="7BA4500D">
            <w:pPr>
              <w:adjustRightInd w:val="0"/>
              <w:snapToGrid w:val="0"/>
              <w:spacing w:line="288" w:lineRule="auto"/>
              <w:jc w:val="center"/>
              <w:rPr>
                <w:color w:val="auto"/>
                <w:sz w:val="24"/>
                <w:szCs w:val="24"/>
              </w:rPr>
            </w:pPr>
          </w:p>
        </w:tc>
        <w:tc>
          <w:tcPr>
            <w:tcW w:w="732" w:type="dxa"/>
            <w:vAlign w:val="center"/>
          </w:tcPr>
          <w:p w14:paraId="166CC270">
            <w:pPr>
              <w:adjustRightInd w:val="0"/>
              <w:snapToGrid w:val="0"/>
              <w:spacing w:line="288" w:lineRule="auto"/>
              <w:jc w:val="center"/>
              <w:rPr>
                <w:color w:val="auto"/>
                <w:sz w:val="24"/>
                <w:szCs w:val="24"/>
              </w:rPr>
            </w:pPr>
          </w:p>
        </w:tc>
        <w:tc>
          <w:tcPr>
            <w:tcW w:w="1005" w:type="dxa"/>
            <w:vAlign w:val="center"/>
          </w:tcPr>
          <w:p w14:paraId="71F32910">
            <w:pPr>
              <w:adjustRightInd w:val="0"/>
              <w:snapToGrid w:val="0"/>
              <w:spacing w:line="288" w:lineRule="auto"/>
              <w:jc w:val="center"/>
              <w:rPr>
                <w:color w:val="auto"/>
                <w:sz w:val="24"/>
                <w:szCs w:val="24"/>
              </w:rPr>
            </w:pPr>
          </w:p>
        </w:tc>
        <w:tc>
          <w:tcPr>
            <w:tcW w:w="1675" w:type="dxa"/>
            <w:vAlign w:val="center"/>
          </w:tcPr>
          <w:p w14:paraId="3B5272B8">
            <w:pPr>
              <w:adjustRightInd w:val="0"/>
              <w:snapToGrid w:val="0"/>
              <w:spacing w:line="288" w:lineRule="auto"/>
              <w:jc w:val="center"/>
              <w:rPr>
                <w:color w:val="auto"/>
                <w:sz w:val="24"/>
                <w:szCs w:val="24"/>
              </w:rPr>
            </w:pPr>
          </w:p>
        </w:tc>
      </w:tr>
      <w:tr w14:paraId="5DF4B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3D17AEB">
            <w:pPr>
              <w:adjustRightInd w:val="0"/>
              <w:snapToGrid w:val="0"/>
              <w:spacing w:line="288" w:lineRule="auto"/>
              <w:jc w:val="center"/>
              <w:rPr>
                <w:color w:val="auto"/>
                <w:sz w:val="24"/>
                <w:szCs w:val="24"/>
              </w:rPr>
            </w:pPr>
          </w:p>
        </w:tc>
        <w:tc>
          <w:tcPr>
            <w:tcW w:w="1380" w:type="dxa"/>
            <w:vAlign w:val="center"/>
          </w:tcPr>
          <w:p w14:paraId="6EB6C29B">
            <w:pPr>
              <w:adjustRightInd w:val="0"/>
              <w:snapToGrid w:val="0"/>
              <w:spacing w:line="288" w:lineRule="auto"/>
              <w:jc w:val="center"/>
              <w:rPr>
                <w:color w:val="auto"/>
                <w:sz w:val="24"/>
                <w:szCs w:val="24"/>
              </w:rPr>
            </w:pPr>
          </w:p>
        </w:tc>
        <w:tc>
          <w:tcPr>
            <w:tcW w:w="1510" w:type="dxa"/>
            <w:vAlign w:val="center"/>
          </w:tcPr>
          <w:p w14:paraId="01B0CB1C">
            <w:pPr>
              <w:adjustRightInd w:val="0"/>
              <w:snapToGrid w:val="0"/>
              <w:spacing w:line="288" w:lineRule="auto"/>
              <w:jc w:val="center"/>
              <w:rPr>
                <w:color w:val="auto"/>
                <w:sz w:val="24"/>
                <w:szCs w:val="24"/>
              </w:rPr>
            </w:pPr>
          </w:p>
        </w:tc>
        <w:tc>
          <w:tcPr>
            <w:tcW w:w="1256" w:type="dxa"/>
            <w:vAlign w:val="center"/>
          </w:tcPr>
          <w:p w14:paraId="7961F986">
            <w:pPr>
              <w:adjustRightInd w:val="0"/>
              <w:snapToGrid w:val="0"/>
              <w:spacing w:line="288" w:lineRule="auto"/>
              <w:jc w:val="center"/>
              <w:rPr>
                <w:color w:val="auto"/>
                <w:sz w:val="24"/>
                <w:szCs w:val="24"/>
              </w:rPr>
            </w:pPr>
          </w:p>
        </w:tc>
        <w:tc>
          <w:tcPr>
            <w:tcW w:w="732" w:type="dxa"/>
            <w:vAlign w:val="center"/>
          </w:tcPr>
          <w:p w14:paraId="65454773">
            <w:pPr>
              <w:adjustRightInd w:val="0"/>
              <w:snapToGrid w:val="0"/>
              <w:spacing w:line="288" w:lineRule="auto"/>
              <w:jc w:val="center"/>
              <w:rPr>
                <w:color w:val="auto"/>
                <w:sz w:val="24"/>
                <w:szCs w:val="24"/>
              </w:rPr>
            </w:pPr>
          </w:p>
        </w:tc>
        <w:tc>
          <w:tcPr>
            <w:tcW w:w="1005" w:type="dxa"/>
            <w:vAlign w:val="center"/>
          </w:tcPr>
          <w:p w14:paraId="09A3217D">
            <w:pPr>
              <w:adjustRightInd w:val="0"/>
              <w:snapToGrid w:val="0"/>
              <w:spacing w:line="288" w:lineRule="auto"/>
              <w:jc w:val="center"/>
              <w:rPr>
                <w:color w:val="auto"/>
                <w:sz w:val="24"/>
                <w:szCs w:val="24"/>
              </w:rPr>
            </w:pPr>
          </w:p>
        </w:tc>
        <w:tc>
          <w:tcPr>
            <w:tcW w:w="1675" w:type="dxa"/>
            <w:vAlign w:val="center"/>
          </w:tcPr>
          <w:p w14:paraId="34779FC7">
            <w:pPr>
              <w:adjustRightInd w:val="0"/>
              <w:snapToGrid w:val="0"/>
              <w:spacing w:line="288" w:lineRule="auto"/>
              <w:jc w:val="center"/>
              <w:rPr>
                <w:color w:val="auto"/>
                <w:sz w:val="24"/>
                <w:szCs w:val="24"/>
              </w:rPr>
            </w:pPr>
          </w:p>
        </w:tc>
      </w:tr>
    </w:tbl>
    <w:p w14:paraId="65F03E25">
      <w:pPr>
        <w:adjustRightInd w:val="0"/>
        <w:snapToGrid w:val="0"/>
        <w:spacing w:line="288" w:lineRule="auto"/>
        <w:rPr>
          <w:color w:val="auto"/>
          <w:sz w:val="24"/>
          <w:szCs w:val="24"/>
        </w:rPr>
      </w:pPr>
    </w:p>
    <w:p w14:paraId="0E2FD0E2">
      <w:pPr>
        <w:adjustRightInd w:val="0"/>
        <w:snapToGrid w:val="0"/>
        <w:spacing w:line="288" w:lineRule="auto"/>
        <w:rPr>
          <w:color w:val="auto"/>
          <w:sz w:val="24"/>
          <w:szCs w:val="24"/>
        </w:rPr>
      </w:pPr>
      <w:r>
        <w:rPr>
          <w:rFonts w:hint="eastAsia"/>
          <w:color w:val="auto"/>
          <w:sz w:val="24"/>
          <w:szCs w:val="24"/>
        </w:rPr>
        <w:t>说明：</w:t>
      </w:r>
    </w:p>
    <w:p w14:paraId="1E62DBFE">
      <w:pPr>
        <w:adjustRightInd w:val="0"/>
        <w:snapToGrid w:val="0"/>
        <w:spacing w:line="288" w:lineRule="auto"/>
        <w:rPr>
          <w:color w:val="auto"/>
          <w:sz w:val="24"/>
          <w:szCs w:val="24"/>
        </w:rPr>
      </w:pPr>
      <w:r>
        <w:rPr>
          <w:rFonts w:hint="eastAsia"/>
          <w:color w:val="auto"/>
          <w:sz w:val="24"/>
          <w:szCs w:val="24"/>
        </w:rPr>
        <w:t>1.供应商须提供上述业绩合同扫描件；</w:t>
      </w:r>
    </w:p>
    <w:p w14:paraId="54B88103">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4E63FCC6">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53058635">
      <w:pPr>
        <w:pStyle w:val="29"/>
        <w:spacing w:line="360" w:lineRule="auto"/>
        <w:ind w:left="-27" w:firstLine="424"/>
        <w:rPr>
          <w:rFonts w:ascii="Times New Roman" w:hAnsi="Times New Roman"/>
          <w:b/>
          <w:bCs/>
          <w:color w:val="auto"/>
          <w:sz w:val="24"/>
          <w:szCs w:val="24"/>
        </w:rPr>
      </w:pPr>
    </w:p>
    <w:p w14:paraId="6CF0C8D4">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3C98094">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B4907F8">
      <w:pPr>
        <w:spacing w:line="360" w:lineRule="auto"/>
        <w:rPr>
          <w:color w:val="auto"/>
          <w:sz w:val="24"/>
          <w:szCs w:val="24"/>
        </w:rPr>
      </w:pPr>
      <w:r>
        <w:rPr>
          <w:rFonts w:hint="eastAsia" w:ascii="宋体" w:hAnsi="宋体" w:cs="宋体"/>
          <w:color w:val="auto"/>
          <w:sz w:val="24"/>
        </w:rPr>
        <w:t>日期：      年   月   日</w:t>
      </w:r>
    </w:p>
    <w:p w14:paraId="058E9D1D">
      <w:pPr>
        <w:rPr>
          <w:rFonts w:ascii="黑体" w:hAnsi="黑体" w:eastAsia="黑体" w:cs="黑体"/>
          <w:color w:val="auto"/>
          <w:sz w:val="28"/>
          <w:szCs w:val="28"/>
        </w:rPr>
      </w:pPr>
      <w:bookmarkStart w:id="822" w:name="_Toc9100"/>
      <w:bookmarkStart w:id="823" w:name="_Toc12743"/>
      <w:bookmarkStart w:id="824" w:name="_Toc27754"/>
      <w:bookmarkStart w:id="825" w:name="_Toc21474"/>
      <w:bookmarkStart w:id="826" w:name="_Toc20235"/>
      <w:bookmarkStart w:id="827" w:name="_Toc28010"/>
      <w:bookmarkStart w:id="828" w:name="_Toc16499"/>
      <w:bookmarkStart w:id="829" w:name="_Toc27736"/>
      <w:bookmarkStart w:id="830" w:name="_Toc9428"/>
      <w:bookmarkStart w:id="831" w:name="_Toc25395"/>
      <w:bookmarkStart w:id="832" w:name="_Toc6410"/>
      <w:bookmarkStart w:id="833" w:name="_Toc20421"/>
      <w:bookmarkStart w:id="834" w:name="_Toc30618"/>
      <w:bookmarkStart w:id="835" w:name="_Toc18122"/>
      <w:bookmarkStart w:id="836" w:name="_Toc9650"/>
      <w:bookmarkStart w:id="837" w:name="_Toc5640"/>
      <w:bookmarkStart w:id="838" w:name="_Toc21901"/>
      <w:bookmarkStart w:id="839" w:name="_Toc27924"/>
      <w:bookmarkStart w:id="840" w:name="_Toc26175"/>
      <w:bookmarkStart w:id="841" w:name="_Toc29974"/>
      <w:bookmarkStart w:id="842" w:name="_Toc1352"/>
      <w:bookmarkStart w:id="843" w:name="_Toc25847"/>
      <w:bookmarkStart w:id="844" w:name="_Toc22005"/>
      <w:bookmarkStart w:id="845" w:name="_Toc24884"/>
      <w:bookmarkStart w:id="846" w:name="_Toc23972"/>
      <w:bookmarkStart w:id="847" w:name="_Toc3809"/>
      <w:bookmarkStart w:id="848" w:name="_Toc31965"/>
      <w:bookmarkStart w:id="849" w:name="_Toc8383"/>
      <w:bookmarkStart w:id="850" w:name="_Toc29300"/>
      <w:bookmarkStart w:id="851" w:name="_Toc32660"/>
      <w:bookmarkStart w:id="852" w:name="_Toc11435"/>
      <w:r>
        <w:rPr>
          <w:rFonts w:hint="eastAsia" w:ascii="黑体" w:hAnsi="黑体" w:eastAsia="黑体" w:cs="黑体"/>
          <w:color w:val="auto"/>
          <w:sz w:val="28"/>
          <w:szCs w:val="28"/>
        </w:rPr>
        <w:br w:type="page"/>
      </w:r>
    </w:p>
    <w:p w14:paraId="79CEAE86">
      <w:pPr>
        <w:pStyle w:val="6"/>
        <w:ind w:left="0" w:firstLine="0"/>
        <w:outlineLvl w:val="0"/>
        <w:rPr>
          <w:color w:val="auto"/>
        </w:rPr>
      </w:pPr>
      <w:bookmarkStart w:id="853" w:name="_Toc10758"/>
      <w:r>
        <w:rPr>
          <w:rFonts w:hint="eastAsia"/>
          <w:color w:val="auto"/>
        </w:rPr>
        <w:t>（8）</w:t>
      </w:r>
      <w:bookmarkEnd w:id="822"/>
      <w:bookmarkEnd w:id="823"/>
      <w:bookmarkEnd w:id="824"/>
      <w:r>
        <w:rPr>
          <w:rFonts w:hint="eastAsia"/>
          <w:color w:val="auto"/>
        </w:rPr>
        <w:t>详细技术和服务方案</w:t>
      </w:r>
      <w:bookmarkEnd w:id="825"/>
      <w:bookmarkEnd w:id="826"/>
      <w:bookmarkEnd w:id="827"/>
      <w:bookmarkEnd w:id="828"/>
      <w:bookmarkEnd w:id="829"/>
      <w:bookmarkEnd w:id="830"/>
      <w:bookmarkEnd w:id="831"/>
      <w:bookmarkEnd w:id="853"/>
    </w:p>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p w14:paraId="4519449F">
      <w:pPr>
        <w:spacing w:line="420" w:lineRule="exact"/>
        <w:rPr>
          <w:rFonts w:hint="eastAsia"/>
          <w:color w:val="auto"/>
          <w:sz w:val="24"/>
          <w:lang w:eastAsia="zh-CN"/>
        </w:rPr>
      </w:pPr>
      <w:r>
        <w:rPr>
          <w:rFonts w:hint="eastAsia"/>
          <w:color w:val="auto"/>
          <w:sz w:val="24"/>
        </w:rPr>
        <w:t>（根据采购需求及评分标准要求编制</w:t>
      </w:r>
      <w:r>
        <w:rPr>
          <w:rFonts w:hint="eastAsia"/>
          <w:color w:val="auto"/>
          <w:sz w:val="24"/>
          <w:lang w:eastAsia="zh-CN"/>
        </w:rPr>
        <w:t>，</w:t>
      </w:r>
      <w:r>
        <w:rPr>
          <w:rFonts w:hint="eastAsia"/>
          <w:color w:val="auto"/>
          <w:sz w:val="24"/>
          <w:lang w:val="en-US" w:eastAsia="zh-CN"/>
        </w:rPr>
        <w:t>含平台实践功能、对接方案、平台管理方案、数据安全方案、平台推广方案、售后服务方案、特色需求服务方案等</w:t>
      </w:r>
      <w:r>
        <w:rPr>
          <w:rFonts w:hint="eastAsia"/>
          <w:color w:val="auto"/>
          <w:sz w:val="24"/>
        </w:rPr>
        <w:t>）</w:t>
      </w:r>
      <w:r>
        <w:rPr>
          <w:rFonts w:hint="eastAsia"/>
          <w:color w:val="auto"/>
          <w:sz w:val="24"/>
          <w:lang w:eastAsia="zh-CN"/>
        </w:rPr>
        <w:t>。</w:t>
      </w:r>
    </w:p>
    <w:p w14:paraId="5B88C40F">
      <w:pPr>
        <w:pStyle w:val="2"/>
        <w:rPr>
          <w:rFonts w:hint="eastAsia"/>
          <w:color w:val="auto"/>
          <w:sz w:val="24"/>
          <w:lang w:eastAsia="zh-CN"/>
        </w:rPr>
      </w:pPr>
    </w:p>
    <w:p w14:paraId="790811C9">
      <w:pPr>
        <w:pStyle w:val="3"/>
        <w:ind w:left="0" w:leftChars="0" w:firstLine="0" w:firstLineChars="0"/>
        <w:rPr>
          <w:rFonts w:hint="eastAsia"/>
          <w:color w:val="auto"/>
          <w:lang w:eastAsia="zh-CN"/>
        </w:rPr>
      </w:pPr>
    </w:p>
    <w:p w14:paraId="7F3753E9">
      <w:pPr>
        <w:pStyle w:val="29"/>
        <w:snapToGrid w:val="0"/>
        <w:spacing w:line="440" w:lineRule="exact"/>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b/>
          <w:bCs/>
          <w:color w:val="auto"/>
          <w:sz w:val="24"/>
          <w:szCs w:val="24"/>
          <w:lang w:val="en-US" w:eastAsia="zh-CN"/>
        </w:rPr>
        <w:t>附证明材料</w:t>
      </w:r>
      <w:r>
        <w:rPr>
          <w:rFonts w:hint="eastAsia" w:asciiTheme="majorEastAsia" w:hAnsiTheme="majorEastAsia" w:eastAsiaTheme="majorEastAsia" w:cstheme="majorEastAsia"/>
          <w:color w:val="auto"/>
          <w:sz w:val="24"/>
          <w:szCs w:val="24"/>
          <w:lang w:val="en-US" w:eastAsia="zh-CN"/>
        </w:rPr>
        <w:t>：</w:t>
      </w:r>
      <w:r>
        <w:rPr>
          <w:rFonts w:hint="eastAsia" w:ascii="宋体" w:hAnsi="宋体"/>
          <w:color w:val="auto"/>
          <w:sz w:val="24"/>
          <w:lang w:val="en-US" w:eastAsia="zh-CN"/>
        </w:rPr>
        <w:t>详细的</w:t>
      </w:r>
      <w:r>
        <w:rPr>
          <w:rFonts w:hint="eastAsia" w:asciiTheme="majorEastAsia" w:hAnsiTheme="majorEastAsia" w:eastAsiaTheme="majorEastAsia" w:cstheme="majorEastAsia"/>
          <w:color w:val="auto"/>
          <w:sz w:val="24"/>
          <w:szCs w:val="24"/>
          <w:lang w:val="en-US" w:eastAsia="zh-CN"/>
        </w:rPr>
        <w:t>平台功能截图或者既往服务单位对功能描述的证明材料且加盖既往服务单位章（公章或者业务章或者处室章）</w:t>
      </w:r>
    </w:p>
    <w:p w14:paraId="501E1753">
      <w:pPr>
        <w:spacing w:before="312" w:beforeLines="100" w:after="312" w:afterLines="100"/>
        <w:jc w:val="left"/>
        <w:rPr>
          <w:color w:val="auto"/>
          <w:sz w:val="24"/>
          <w:szCs w:val="24"/>
        </w:rPr>
      </w:pPr>
    </w:p>
    <w:p w14:paraId="72EA514C">
      <w:pPr>
        <w:rPr>
          <w:color w:val="auto"/>
        </w:rPr>
      </w:pPr>
    </w:p>
    <w:p w14:paraId="391CAF5E">
      <w:pPr>
        <w:pStyle w:val="6"/>
        <w:ind w:left="0" w:firstLine="0"/>
        <w:outlineLvl w:val="0"/>
        <w:rPr>
          <w:color w:val="auto"/>
        </w:rPr>
      </w:pPr>
      <w:bookmarkStart w:id="854" w:name="_Toc23685"/>
      <w:bookmarkStart w:id="855" w:name="_Toc21017"/>
      <w:bookmarkStart w:id="856" w:name="_Toc21572"/>
      <w:bookmarkStart w:id="857" w:name="_Toc14897"/>
      <w:bookmarkStart w:id="858" w:name="_Toc3089"/>
      <w:bookmarkStart w:id="859" w:name="_Toc13211"/>
      <w:bookmarkStart w:id="860" w:name="_Toc19068"/>
      <w:bookmarkStart w:id="861" w:name="_Toc10148"/>
      <w:bookmarkStart w:id="862" w:name="_Toc6904"/>
      <w:bookmarkStart w:id="863" w:name="_Toc1664"/>
      <w:bookmarkStart w:id="864" w:name="_Toc1378"/>
      <w:r>
        <w:rPr>
          <w:rFonts w:hint="eastAsia"/>
          <w:color w:val="auto"/>
        </w:rPr>
        <w:t>（9）</w:t>
      </w:r>
      <w:bookmarkEnd w:id="854"/>
      <w:r>
        <w:rPr>
          <w:rFonts w:hint="eastAsia"/>
          <w:color w:val="auto"/>
        </w:rPr>
        <w:t>项目组成员一览表</w:t>
      </w:r>
      <w:bookmarkEnd w:id="855"/>
      <w:bookmarkEnd w:id="856"/>
      <w:bookmarkEnd w:id="857"/>
      <w:bookmarkEnd w:id="858"/>
      <w:bookmarkEnd w:id="859"/>
      <w:bookmarkEnd w:id="860"/>
      <w:bookmarkEnd w:id="861"/>
      <w:bookmarkEnd w:id="862"/>
    </w:p>
    <w:bookmarkEnd w:id="863"/>
    <w:bookmarkEnd w:id="864"/>
    <w:tbl>
      <w:tblPr>
        <w:tblStyle w:val="47"/>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1A300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499A3F6E">
            <w:pPr>
              <w:pStyle w:val="29"/>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11FC75B4">
            <w:pPr>
              <w:pStyle w:val="29"/>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4EBA28CF">
            <w:pPr>
              <w:pStyle w:val="29"/>
              <w:snapToGrid w:val="0"/>
              <w:spacing w:line="440" w:lineRule="exact"/>
              <w:jc w:val="center"/>
              <w:rPr>
                <w:rFonts w:hint="default" w:eastAsia="宋体"/>
                <w:color w:val="auto"/>
                <w:sz w:val="21"/>
                <w:szCs w:val="21"/>
                <w:lang w:val="en-US" w:eastAsia="zh-CN"/>
              </w:rPr>
            </w:pPr>
            <w:r>
              <w:rPr>
                <w:rFonts w:hint="eastAsia"/>
                <w:color w:val="auto"/>
                <w:sz w:val="21"/>
                <w:szCs w:val="21"/>
              </w:rPr>
              <w:t>职称</w:t>
            </w:r>
            <w:r>
              <w:rPr>
                <w:rFonts w:hint="eastAsia"/>
                <w:color w:val="auto"/>
                <w:sz w:val="21"/>
                <w:szCs w:val="21"/>
                <w:lang w:val="en-US" w:eastAsia="zh-CN"/>
              </w:rPr>
              <w:t>或证书名称</w:t>
            </w:r>
          </w:p>
        </w:tc>
        <w:tc>
          <w:tcPr>
            <w:tcW w:w="1327" w:type="dxa"/>
            <w:vAlign w:val="top"/>
          </w:tcPr>
          <w:p w14:paraId="648FAD00">
            <w:pPr>
              <w:pStyle w:val="29"/>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2D2957EB">
            <w:pPr>
              <w:pStyle w:val="29"/>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6DA58222">
            <w:pPr>
              <w:pStyle w:val="29"/>
              <w:snapToGrid w:val="0"/>
              <w:spacing w:line="440" w:lineRule="exact"/>
              <w:jc w:val="center"/>
              <w:rPr>
                <w:color w:val="auto"/>
                <w:sz w:val="21"/>
                <w:szCs w:val="21"/>
              </w:rPr>
            </w:pPr>
            <w:r>
              <w:rPr>
                <w:rFonts w:hint="eastAsia"/>
                <w:color w:val="auto"/>
                <w:sz w:val="21"/>
                <w:szCs w:val="21"/>
              </w:rPr>
              <w:t>持证有效期</w:t>
            </w:r>
          </w:p>
        </w:tc>
      </w:tr>
      <w:tr w14:paraId="5A3C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1D7BDC0">
            <w:pPr>
              <w:pStyle w:val="29"/>
              <w:snapToGrid w:val="0"/>
              <w:spacing w:line="440" w:lineRule="exact"/>
              <w:ind w:left="-27" w:firstLine="370"/>
              <w:rPr>
                <w:color w:val="auto"/>
                <w:sz w:val="21"/>
                <w:szCs w:val="21"/>
              </w:rPr>
            </w:pPr>
          </w:p>
        </w:tc>
        <w:tc>
          <w:tcPr>
            <w:tcW w:w="1326" w:type="dxa"/>
          </w:tcPr>
          <w:p w14:paraId="189E3FF9">
            <w:pPr>
              <w:pStyle w:val="29"/>
              <w:snapToGrid w:val="0"/>
              <w:spacing w:line="440" w:lineRule="exact"/>
              <w:ind w:left="-27" w:firstLine="370"/>
              <w:rPr>
                <w:color w:val="auto"/>
                <w:sz w:val="21"/>
                <w:szCs w:val="21"/>
              </w:rPr>
            </w:pPr>
          </w:p>
        </w:tc>
        <w:tc>
          <w:tcPr>
            <w:tcW w:w="1327" w:type="dxa"/>
          </w:tcPr>
          <w:p w14:paraId="503306BC">
            <w:pPr>
              <w:pStyle w:val="29"/>
              <w:snapToGrid w:val="0"/>
              <w:spacing w:line="440" w:lineRule="exact"/>
              <w:ind w:left="-27" w:firstLine="370"/>
              <w:rPr>
                <w:color w:val="auto"/>
                <w:sz w:val="21"/>
                <w:szCs w:val="21"/>
              </w:rPr>
            </w:pPr>
          </w:p>
        </w:tc>
        <w:tc>
          <w:tcPr>
            <w:tcW w:w="1327" w:type="dxa"/>
          </w:tcPr>
          <w:p w14:paraId="7C682E47">
            <w:pPr>
              <w:pStyle w:val="29"/>
              <w:snapToGrid w:val="0"/>
              <w:spacing w:line="440" w:lineRule="exact"/>
              <w:ind w:left="-27" w:firstLine="370"/>
              <w:rPr>
                <w:color w:val="auto"/>
                <w:sz w:val="21"/>
                <w:szCs w:val="21"/>
              </w:rPr>
            </w:pPr>
          </w:p>
        </w:tc>
        <w:tc>
          <w:tcPr>
            <w:tcW w:w="1327" w:type="dxa"/>
          </w:tcPr>
          <w:p w14:paraId="0B4F4222">
            <w:pPr>
              <w:pStyle w:val="29"/>
              <w:snapToGrid w:val="0"/>
              <w:spacing w:line="440" w:lineRule="exact"/>
              <w:ind w:left="-27" w:firstLine="370"/>
              <w:rPr>
                <w:color w:val="auto"/>
                <w:sz w:val="21"/>
                <w:szCs w:val="21"/>
              </w:rPr>
            </w:pPr>
          </w:p>
        </w:tc>
        <w:tc>
          <w:tcPr>
            <w:tcW w:w="1648" w:type="dxa"/>
          </w:tcPr>
          <w:p w14:paraId="0BF57E84">
            <w:pPr>
              <w:pStyle w:val="29"/>
              <w:snapToGrid w:val="0"/>
              <w:spacing w:line="440" w:lineRule="exact"/>
              <w:ind w:left="-27" w:firstLine="370"/>
              <w:rPr>
                <w:color w:val="auto"/>
                <w:sz w:val="21"/>
                <w:szCs w:val="21"/>
              </w:rPr>
            </w:pPr>
          </w:p>
        </w:tc>
      </w:tr>
      <w:tr w14:paraId="565DC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24C466E">
            <w:pPr>
              <w:pStyle w:val="29"/>
              <w:snapToGrid w:val="0"/>
              <w:spacing w:line="440" w:lineRule="exact"/>
              <w:ind w:left="-27" w:firstLine="370"/>
              <w:rPr>
                <w:color w:val="auto"/>
                <w:sz w:val="21"/>
                <w:szCs w:val="21"/>
              </w:rPr>
            </w:pPr>
          </w:p>
        </w:tc>
        <w:tc>
          <w:tcPr>
            <w:tcW w:w="1326" w:type="dxa"/>
          </w:tcPr>
          <w:p w14:paraId="5D811E29">
            <w:pPr>
              <w:pStyle w:val="29"/>
              <w:snapToGrid w:val="0"/>
              <w:spacing w:line="440" w:lineRule="exact"/>
              <w:ind w:left="-27" w:firstLine="370"/>
              <w:rPr>
                <w:color w:val="auto"/>
                <w:sz w:val="21"/>
                <w:szCs w:val="21"/>
              </w:rPr>
            </w:pPr>
          </w:p>
        </w:tc>
        <w:tc>
          <w:tcPr>
            <w:tcW w:w="1327" w:type="dxa"/>
          </w:tcPr>
          <w:p w14:paraId="677FA8F7">
            <w:pPr>
              <w:pStyle w:val="29"/>
              <w:snapToGrid w:val="0"/>
              <w:spacing w:line="440" w:lineRule="exact"/>
              <w:ind w:left="-27" w:firstLine="370"/>
              <w:rPr>
                <w:color w:val="auto"/>
                <w:sz w:val="21"/>
                <w:szCs w:val="21"/>
              </w:rPr>
            </w:pPr>
          </w:p>
        </w:tc>
        <w:tc>
          <w:tcPr>
            <w:tcW w:w="1327" w:type="dxa"/>
          </w:tcPr>
          <w:p w14:paraId="66F37BE5">
            <w:pPr>
              <w:pStyle w:val="29"/>
              <w:snapToGrid w:val="0"/>
              <w:spacing w:line="440" w:lineRule="exact"/>
              <w:ind w:left="-27" w:firstLine="370"/>
              <w:rPr>
                <w:color w:val="auto"/>
                <w:sz w:val="21"/>
                <w:szCs w:val="21"/>
              </w:rPr>
            </w:pPr>
          </w:p>
        </w:tc>
        <w:tc>
          <w:tcPr>
            <w:tcW w:w="1327" w:type="dxa"/>
          </w:tcPr>
          <w:p w14:paraId="145B76C2">
            <w:pPr>
              <w:pStyle w:val="29"/>
              <w:snapToGrid w:val="0"/>
              <w:spacing w:line="440" w:lineRule="exact"/>
              <w:ind w:left="-27" w:firstLine="370"/>
              <w:rPr>
                <w:color w:val="auto"/>
                <w:sz w:val="21"/>
                <w:szCs w:val="21"/>
              </w:rPr>
            </w:pPr>
          </w:p>
        </w:tc>
        <w:tc>
          <w:tcPr>
            <w:tcW w:w="1648" w:type="dxa"/>
          </w:tcPr>
          <w:p w14:paraId="0BDE5E45">
            <w:pPr>
              <w:pStyle w:val="29"/>
              <w:snapToGrid w:val="0"/>
              <w:spacing w:line="440" w:lineRule="exact"/>
              <w:ind w:left="-27" w:firstLine="370"/>
              <w:rPr>
                <w:color w:val="auto"/>
                <w:sz w:val="21"/>
                <w:szCs w:val="21"/>
              </w:rPr>
            </w:pPr>
          </w:p>
        </w:tc>
      </w:tr>
      <w:tr w14:paraId="75000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2607DC3A">
            <w:pPr>
              <w:pStyle w:val="29"/>
              <w:snapToGrid w:val="0"/>
              <w:spacing w:line="440" w:lineRule="exact"/>
              <w:ind w:left="-27" w:firstLine="370"/>
              <w:rPr>
                <w:color w:val="auto"/>
                <w:sz w:val="21"/>
                <w:szCs w:val="21"/>
              </w:rPr>
            </w:pPr>
          </w:p>
        </w:tc>
        <w:tc>
          <w:tcPr>
            <w:tcW w:w="1326" w:type="dxa"/>
          </w:tcPr>
          <w:p w14:paraId="6441FBEC">
            <w:pPr>
              <w:pStyle w:val="29"/>
              <w:snapToGrid w:val="0"/>
              <w:spacing w:line="440" w:lineRule="exact"/>
              <w:ind w:left="-27" w:firstLine="370"/>
              <w:rPr>
                <w:color w:val="auto"/>
                <w:sz w:val="21"/>
                <w:szCs w:val="21"/>
              </w:rPr>
            </w:pPr>
          </w:p>
        </w:tc>
        <w:tc>
          <w:tcPr>
            <w:tcW w:w="1327" w:type="dxa"/>
          </w:tcPr>
          <w:p w14:paraId="20311BF2">
            <w:pPr>
              <w:pStyle w:val="29"/>
              <w:snapToGrid w:val="0"/>
              <w:spacing w:line="440" w:lineRule="exact"/>
              <w:ind w:left="-27" w:firstLine="370"/>
              <w:rPr>
                <w:color w:val="auto"/>
                <w:sz w:val="21"/>
                <w:szCs w:val="21"/>
              </w:rPr>
            </w:pPr>
          </w:p>
        </w:tc>
        <w:tc>
          <w:tcPr>
            <w:tcW w:w="1327" w:type="dxa"/>
          </w:tcPr>
          <w:p w14:paraId="2BB2D3F1">
            <w:pPr>
              <w:pStyle w:val="29"/>
              <w:snapToGrid w:val="0"/>
              <w:spacing w:line="440" w:lineRule="exact"/>
              <w:ind w:left="-27" w:firstLine="370"/>
              <w:rPr>
                <w:color w:val="auto"/>
                <w:sz w:val="21"/>
                <w:szCs w:val="21"/>
              </w:rPr>
            </w:pPr>
          </w:p>
        </w:tc>
        <w:tc>
          <w:tcPr>
            <w:tcW w:w="1327" w:type="dxa"/>
          </w:tcPr>
          <w:p w14:paraId="59BFFB94">
            <w:pPr>
              <w:pStyle w:val="29"/>
              <w:snapToGrid w:val="0"/>
              <w:spacing w:line="440" w:lineRule="exact"/>
              <w:ind w:left="-27" w:firstLine="370"/>
              <w:rPr>
                <w:color w:val="auto"/>
                <w:sz w:val="21"/>
                <w:szCs w:val="21"/>
              </w:rPr>
            </w:pPr>
          </w:p>
        </w:tc>
        <w:tc>
          <w:tcPr>
            <w:tcW w:w="1648" w:type="dxa"/>
          </w:tcPr>
          <w:p w14:paraId="3BDD5076">
            <w:pPr>
              <w:pStyle w:val="29"/>
              <w:snapToGrid w:val="0"/>
              <w:spacing w:line="440" w:lineRule="exact"/>
              <w:ind w:left="-27" w:firstLine="370"/>
              <w:rPr>
                <w:color w:val="auto"/>
                <w:sz w:val="21"/>
                <w:szCs w:val="21"/>
              </w:rPr>
            </w:pPr>
          </w:p>
        </w:tc>
      </w:tr>
      <w:tr w14:paraId="62B7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2909C686">
            <w:pPr>
              <w:pStyle w:val="29"/>
              <w:snapToGrid w:val="0"/>
              <w:spacing w:line="440" w:lineRule="exact"/>
              <w:ind w:left="-27" w:firstLine="370"/>
              <w:rPr>
                <w:color w:val="auto"/>
                <w:sz w:val="21"/>
                <w:szCs w:val="21"/>
              </w:rPr>
            </w:pPr>
          </w:p>
        </w:tc>
        <w:tc>
          <w:tcPr>
            <w:tcW w:w="1326" w:type="dxa"/>
          </w:tcPr>
          <w:p w14:paraId="21F400E3">
            <w:pPr>
              <w:pStyle w:val="29"/>
              <w:snapToGrid w:val="0"/>
              <w:spacing w:line="440" w:lineRule="exact"/>
              <w:ind w:left="-27" w:firstLine="370"/>
              <w:rPr>
                <w:color w:val="auto"/>
                <w:sz w:val="21"/>
                <w:szCs w:val="21"/>
              </w:rPr>
            </w:pPr>
          </w:p>
        </w:tc>
        <w:tc>
          <w:tcPr>
            <w:tcW w:w="1327" w:type="dxa"/>
          </w:tcPr>
          <w:p w14:paraId="1912253F">
            <w:pPr>
              <w:pStyle w:val="29"/>
              <w:snapToGrid w:val="0"/>
              <w:spacing w:line="440" w:lineRule="exact"/>
              <w:ind w:left="-27" w:firstLine="370"/>
              <w:rPr>
                <w:color w:val="auto"/>
                <w:sz w:val="21"/>
                <w:szCs w:val="21"/>
              </w:rPr>
            </w:pPr>
          </w:p>
        </w:tc>
        <w:tc>
          <w:tcPr>
            <w:tcW w:w="1327" w:type="dxa"/>
          </w:tcPr>
          <w:p w14:paraId="22837CB1">
            <w:pPr>
              <w:pStyle w:val="29"/>
              <w:snapToGrid w:val="0"/>
              <w:spacing w:line="440" w:lineRule="exact"/>
              <w:ind w:left="-27" w:firstLine="370"/>
              <w:rPr>
                <w:color w:val="auto"/>
                <w:sz w:val="21"/>
                <w:szCs w:val="21"/>
              </w:rPr>
            </w:pPr>
          </w:p>
        </w:tc>
        <w:tc>
          <w:tcPr>
            <w:tcW w:w="1327" w:type="dxa"/>
          </w:tcPr>
          <w:p w14:paraId="4B40713D">
            <w:pPr>
              <w:pStyle w:val="29"/>
              <w:snapToGrid w:val="0"/>
              <w:spacing w:line="440" w:lineRule="exact"/>
              <w:ind w:left="-27" w:firstLine="370"/>
              <w:rPr>
                <w:color w:val="auto"/>
                <w:sz w:val="21"/>
                <w:szCs w:val="21"/>
              </w:rPr>
            </w:pPr>
          </w:p>
        </w:tc>
        <w:tc>
          <w:tcPr>
            <w:tcW w:w="1648" w:type="dxa"/>
          </w:tcPr>
          <w:p w14:paraId="640DC990">
            <w:pPr>
              <w:pStyle w:val="29"/>
              <w:snapToGrid w:val="0"/>
              <w:spacing w:line="440" w:lineRule="exact"/>
              <w:ind w:left="-27" w:firstLine="370"/>
              <w:rPr>
                <w:color w:val="auto"/>
                <w:sz w:val="21"/>
                <w:szCs w:val="21"/>
              </w:rPr>
            </w:pPr>
          </w:p>
        </w:tc>
      </w:tr>
      <w:tr w14:paraId="05931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DE0C9E9">
            <w:pPr>
              <w:pStyle w:val="29"/>
              <w:snapToGrid w:val="0"/>
              <w:spacing w:line="440" w:lineRule="exact"/>
              <w:ind w:left="-27" w:firstLine="370"/>
              <w:rPr>
                <w:color w:val="auto"/>
                <w:sz w:val="21"/>
                <w:szCs w:val="21"/>
              </w:rPr>
            </w:pPr>
          </w:p>
        </w:tc>
        <w:tc>
          <w:tcPr>
            <w:tcW w:w="1326" w:type="dxa"/>
          </w:tcPr>
          <w:p w14:paraId="6A6B0231">
            <w:pPr>
              <w:pStyle w:val="29"/>
              <w:snapToGrid w:val="0"/>
              <w:spacing w:line="440" w:lineRule="exact"/>
              <w:ind w:left="-27" w:firstLine="370"/>
              <w:rPr>
                <w:color w:val="auto"/>
                <w:sz w:val="21"/>
                <w:szCs w:val="21"/>
              </w:rPr>
            </w:pPr>
          </w:p>
        </w:tc>
        <w:tc>
          <w:tcPr>
            <w:tcW w:w="1327" w:type="dxa"/>
          </w:tcPr>
          <w:p w14:paraId="1DBDA531">
            <w:pPr>
              <w:pStyle w:val="29"/>
              <w:snapToGrid w:val="0"/>
              <w:spacing w:line="440" w:lineRule="exact"/>
              <w:ind w:left="-27" w:firstLine="370"/>
              <w:rPr>
                <w:color w:val="auto"/>
                <w:sz w:val="21"/>
                <w:szCs w:val="21"/>
              </w:rPr>
            </w:pPr>
          </w:p>
        </w:tc>
        <w:tc>
          <w:tcPr>
            <w:tcW w:w="1327" w:type="dxa"/>
          </w:tcPr>
          <w:p w14:paraId="42C3A979">
            <w:pPr>
              <w:pStyle w:val="29"/>
              <w:snapToGrid w:val="0"/>
              <w:spacing w:line="440" w:lineRule="exact"/>
              <w:ind w:left="-27" w:firstLine="370"/>
              <w:rPr>
                <w:color w:val="auto"/>
                <w:sz w:val="21"/>
                <w:szCs w:val="21"/>
              </w:rPr>
            </w:pPr>
          </w:p>
        </w:tc>
        <w:tc>
          <w:tcPr>
            <w:tcW w:w="1327" w:type="dxa"/>
          </w:tcPr>
          <w:p w14:paraId="33340A16">
            <w:pPr>
              <w:pStyle w:val="29"/>
              <w:snapToGrid w:val="0"/>
              <w:spacing w:line="440" w:lineRule="exact"/>
              <w:ind w:left="-27" w:firstLine="370"/>
              <w:rPr>
                <w:color w:val="auto"/>
                <w:sz w:val="21"/>
                <w:szCs w:val="21"/>
              </w:rPr>
            </w:pPr>
          </w:p>
        </w:tc>
        <w:tc>
          <w:tcPr>
            <w:tcW w:w="1648" w:type="dxa"/>
          </w:tcPr>
          <w:p w14:paraId="42C3329F">
            <w:pPr>
              <w:pStyle w:val="29"/>
              <w:snapToGrid w:val="0"/>
              <w:spacing w:line="440" w:lineRule="exact"/>
              <w:ind w:left="-27" w:firstLine="370"/>
              <w:rPr>
                <w:color w:val="auto"/>
                <w:sz w:val="21"/>
                <w:szCs w:val="21"/>
              </w:rPr>
            </w:pPr>
          </w:p>
        </w:tc>
      </w:tr>
    </w:tbl>
    <w:p w14:paraId="74E0B41E">
      <w:pPr>
        <w:pStyle w:val="29"/>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r>
        <w:rPr>
          <w:rFonts w:hint="eastAsia"/>
          <w:color w:val="auto"/>
          <w:sz w:val="21"/>
          <w:szCs w:val="21"/>
          <w:lang w:val="en-US" w:eastAsia="zh-CN"/>
        </w:rPr>
        <w:t>或社保证明材料</w:t>
      </w:r>
      <w:r>
        <w:rPr>
          <w:rFonts w:hint="eastAsia"/>
          <w:color w:val="auto"/>
          <w:sz w:val="21"/>
          <w:szCs w:val="21"/>
        </w:rPr>
        <w:t>。</w:t>
      </w:r>
    </w:p>
    <w:p w14:paraId="3D00E4DE">
      <w:pPr>
        <w:pStyle w:val="29"/>
        <w:spacing w:line="360" w:lineRule="auto"/>
        <w:ind w:left="-27" w:firstLine="422"/>
        <w:rPr>
          <w:rFonts w:ascii="Times New Roman" w:hAnsi="Times New Roman"/>
          <w:color w:val="auto"/>
          <w:sz w:val="24"/>
          <w:szCs w:val="24"/>
        </w:rPr>
      </w:pPr>
    </w:p>
    <w:p w14:paraId="752558CF">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74BCF2F0">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FB10550">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158BDF83">
      <w:pPr>
        <w:pStyle w:val="6"/>
        <w:ind w:left="0" w:firstLine="0"/>
        <w:jc w:val="left"/>
        <w:outlineLvl w:val="9"/>
        <w:rPr>
          <w:rFonts w:ascii="黑体" w:hAnsi="黑体" w:eastAsia="黑体" w:cs="黑体"/>
          <w:color w:val="auto"/>
          <w:sz w:val="24"/>
          <w:szCs w:val="24"/>
        </w:rPr>
      </w:pPr>
    </w:p>
    <w:p w14:paraId="2F0C9FEA">
      <w:pPr>
        <w:pStyle w:val="6"/>
        <w:ind w:left="0" w:firstLine="0"/>
        <w:outlineLvl w:val="0"/>
        <w:rPr>
          <w:color w:val="auto"/>
        </w:rPr>
      </w:pPr>
      <w:bookmarkStart w:id="865" w:name="_Toc13735"/>
      <w:bookmarkStart w:id="866" w:name="_Toc3296"/>
      <w:bookmarkStart w:id="867" w:name="_Toc30223"/>
      <w:bookmarkStart w:id="868" w:name="_Toc8911"/>
      <w:bookmarkStart w:id="869" w:name="_Toc20288"/>
      <w:bookmarkStart w:id="870" w:name="_Toc2271"/>
      <w:bookmarkStart w:id="871" w:name="_Toc31661"/>
      <w:bookmarkStart w:id="872" w:name="_Toc10021"/>
      <w:bookmarkStart w:id="873" w:name="_Toc29121"/>
      <w:bookmarkStart w:id="874" w:name="_Toc15835"/>
      <w:bookmarkStart w:id="875" w:name="_Toc14194"/>
      <w:r>
        <w:rPr>
          <w:rFonts w:hint="eastAsia"/>
          <w:color w:val="auto"/>
        </w:rPr>
        <w:t>（10）关于对磋商文件中有关条款的拒绝声明</w:t>
      </w:r>
      <w:bookmarkEnd w:id="821"/>
      <w:r>
        <w:rPr>
          <w:rFonts w:hint="eastAsia"/>
          <w:color w:val="auto"/>
        </w:rPr>
        <w:t>(如有)</w:t>
      </w:r>
      <w:bookmarkEnd w:id="865"/>
      <w:bookmarkEnd w:id="866"/>
      <w:bookmarkEnd w:id="867"/>
      <w:bookmarkEnd w:id="868"/>
      <w:bookmarkEnd w:id="869"/>
      <w:bookmarkEnd w:id="870"/>
      <w:bookmarkEnd w:id="871"/>
      <w:bookmarkEnd w:id="872"/>
      <w:bookmarkEnd w:id="873"/>
      <w:bookmarkEnd w:id="874"/>
      <w:bookmarkEnd w:id="875"/>
      <w:r>
        <w:rPr>
          <w:rFonts w:hint="eastAsia"/>
          <w:color w:val="auto"/>
        </w:rPr>
        <w:t xml:space="preserve"> </w:t>
      </w:r>
    </w:p>
    <w:bookmarkEnd w:id="0"/>
    <w:bookmarkEnd w:id="287"/>
    <w:bookmarkEnd w:id="651"/>
    <w:p w14:paraId="52F63ECA">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352D4EF">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3A8342A">
      <w:pPr>
        <w:spacing w:before="312" w:beforeLines="100" w:after="312" w:afterLines="100"/>
        <w:jc w:val="left"/>
        <w:rPr>
          <w:color w:val="auto"/>
          <w:sz w:val="24"/>
        </w:rPr>
      </w:pPr>
      <w:r>
        <w:rPr>
          <w:rFonts w:hint="eastAsia" w:ascii="宋体" w:hAnsi="宋体" w:cs="宋体"/>
          <w:color w:val="auto"/>
          <w:sz w:val="24"/>
        </w:rPr>
        <w:t>日期：      年   月   日</w:t>
      </w:r>
    </w:p>
    <w:p w14:paraId="73BDBA76">
      <w:pPr>
        <w:pStyle w:val="6"/>
        <w:ind w:left="0" w:firstLine="0"/>
        <w:jc w:val="left"/>
        <w:outlineLvl w:val="0"/>
        <w:rPr>
          <w:color w:val="auto"/>
        </w:rPr>
      </w:pPr>
      <w:bookmarkStart w:id="876" w:name="_Toc9777"/>
      <w:r>
        <w:rPr>
          <w:rFonts w:hint="eastAsia"/>
          <w:color w:val="auto"/>
        </w:rPr>
        <w:t>评分标准索引表</w:t>
      </w:r>
      <w:bookmarkEnd w:id="876"/>
    </w:p>
    <w:p w14:paraId="5EEB5469">
      <w:pPr>
        <w:jc w:val="center"/>
        <w:outlineLvl w:val="0"/>
        <w:rPr>
          <w:color w:val="auto"/>
          <w:sz w:val="36"/>
          <w:szCs w:val="36"/>
        </w:rPr>
      </w:pPr>
      <w:bookmarkStart w:id="877" w:name="_Toc2696"/>
      <w:bookmarkStart w:id="878" w:name="_Toc11348"/>
      <w:r>
        <w:rPr>
          <w:rFonts w:hint="eastAsia"/>
          <w:color w:val="auto"/>
          <w:sz w:val="36"/>
          <w:szCs w:val="36"/>
        </w:rPr>
        <w:t>评分标准索引表</w:t>
      </w:r>
      <w:bookmarkEnd w:id="877"/>
      <w:bookmarkEnd w:id="878"/>
    </w:p>
    <w:tbl>
      <w:tblPr>
        <w:tblStyle w:val="47"/>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746F08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3D931ECA">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1566A602">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60B822FE">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3CDBF3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0A85CAED">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6E0EE353">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1B3BAF5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EECC61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404ADB2">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4AB4B7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1BB66A6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89C23E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DC3862B">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6ECCD9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8CE71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14CC81AD">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9ABCD13">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5C5990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5B87F5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17B1A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0549255D">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21CBD9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4E1703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6760B87">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6E099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C610164">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8DFEB9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77E252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D9045DB">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7969ED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5A4006D">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7766C4F">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F7B83B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71411BC">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21CF5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27EE78A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8D51F3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4B8A97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B23186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401A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29044754">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58BA92B9">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3C2BF2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35AF52C">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13F585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6CEB591E">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6FA1D33">
            <w:pPr>
              <w:rPr>
                <w:color w:val="auto"/>
                <w:sz w:val="24"/>
                <w:szCs w:val="24"/>
              </w:rPr>
            </w:pPr>
          </w:p>
          <w:p w14:paraId="66AD3FB5">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EA4E7A4">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39E4921">
            <w:pPr>
              <w:jc w:val="left"/>
              <w:rPr>
                <w:rFonts w:ascii="楷体_GB2312" w:eastAsia="楷体_GB2312"/>
                <w:color w:val="auto"/>
                <w:sz w:val="24"/>
                <w:szCs w:val="24"/>
              </w:rPr>
            </w:pPr>
            <w:r>
              <w:rPr>
                <w:rFonts w:hint="eastAsia" w:ascii="仿宋_GB2312" w:eastAsia="仿宋_GB2312"/>
                <w:color w:val="auto"/>
                <w:sz w:val="24"/>
                <w:szCs w:val="24"/>
              </w:rPr>
              <w:t>……</w:t>
            </w:r>
          </w:p>
        </w:tc>
      </w:tr>
      <w:tr w14:paraId="79832B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DB976BA">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29CA61C">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C34575E">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6A97788">
            <w:pPr>
              <w:jc w:val="left"/>
              <w:rPr>
                <w:rFonts w:ascii="楷体_GB2312" w:eastAsia="楷体_GB2312"/>
                <w:color w:val="auto"/>
                <w:sz w:val="24"/>
                <w:szCs w:val="24"/>
              </w:rPr>
            </w:pPr>
          </w:p>
        </w:tc>
      </w:tr>
      <w:tr w14:paraId="670A66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DA2A2D7">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8901177">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C3DEE6F">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854C1B4">
            <w:pPr>
              <w:jc w:val="left"/>
              <w:rPr>
                <w:rFonts w:ascii="楷体_GB2312" w:eastAsia="楷体_GB2312"/>
                <w:color w:val="auto"/>
                <w:sz w:val="24"/>
                <w:szCs w:val="24"/>
              </w:rPr>
            </w:pPr>
          </w:p>
        </w:tc>
      </w:tr>
      <w:tr w14:paraId="14834C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6EFFFBEF">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645D964">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B3D970E">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1C437958">
            <w:pPr>
              <w:jc w:val="left"/>
              <w:rPr>
                <w:rFonts w:ascii="楷体_GB2312" w:eastAsia="楷体_GB2312"/>
                <w:color w:val="auto"/>
                <w:sz w:val="24"/>
                <w:szCs w:val="24"/>
              </w:rPr>
            </w:pPr>
          </w:p>
        </w:tc>
      </w:tr>
      <w:tr w14:paraId="398720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26D6BB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C51E057">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7E0055D0">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BA8D34A">
            <w:pPr>
              <w:jc w:val="left"/>
              <w:rPr>
                <w:rFonts w:ascii="楷体_GB2312" w:eastAsia="楷体_GB2312"/>
                <w:color w:val="auto"/>
                <w:sz w:val="24"/>
                <w:szCs w:val="24"/>
              </w:rPr>
            </w:pPr>
          </w:p>
        </w:tc>
      </w:tr>
      <w:tr w14:paraId="050A0B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10CBA2C">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31B56A6B">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00FE9A5E">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3CC1FAA">
            <w:pPr>
              <w:jc w:val="left"/>
              <w:rPr>
                <w:rFonts w:ascii="楷体_GB2312" w:eastAsia="楷体_GB2312"/>
                <w:color w:val="auto"/>
                <w:sz w:val="24"/>
                <w:szCs w:val="24"/>
              </w:rPr>
            </w:pPr>
          </w:p>
        </w:tc>
      </w:tr>
    </w:tbl>
    <w:p w14:paraId="5EBBF6CE">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79"/>
    <w:sectPr>
      <w:headerReference r:id="rId7" w:type="default"/>
      <w:footerReference r:id="rId8" w:type="default"/>
      <w:pgSz w:w="11906" w:h="16838"/>
      <w:pgMar w:top="1134" w:right="1247" w:bottom="1247" w:left="1247" w:header="851" w:footer="992" w:gutter="0"/>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058EC1">
    <w:pPr>
      <w:pStyle w:val="34"/>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14:paraId="36BA0746">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36FDFF4C">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02142AA3">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77EAB3A6">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504FF081">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0864CBC3">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538C153B">
    <w:pPr>
      <w:pStyle w:val="34"/>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FF62B">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5C69C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32F2B"/>
    <w:multiLevelType w:val="singleLevel"/>
    <w:tmpl w:val="58232F2B"/>
    <w:lvl w:ilvl="0" w:tentative="0">
      <w:start w:val="1"/>
      <w:numFmt w:val="decimal"/>
      <w:suff w:val="nothing"/>
      <w:lvlText w:val="%1、"/>
      <w:lvlJc w:val="left"/>
      <w:rPr>
        <w:rFonts w:cs="Times New Roman"/>
      </w:rPr>
    </w:lvl>
  </w:abstractNum>
  <w:abstractNum w:abstractNumId="1">
    <w:nsid w:val="58233165"/>
    <w:multiLevelType w:val="singleLevel"/>
    <w:tmpl w:val="58233165"/>
    <w:lvl w:ilvl="0" w:tentative="0">
      <w:start w:val="1"/>
      <w:numFmt w:val="decimal"/>
      <w:suff w:val="nothing"/>
      <w:lvlText w:val="%1、"/>
      <w:lvlJc w:val="left"/>
      <w:rPr>
        <w:rFonts w:cs="Times New Roman"/>
      </w:rPr>
    </w:lvl>
  </w:abstractNum>
  <w:abstractNum w:abstractNumId="2">
    <w:nsid w:val="58302A53"/>
    <w:multiLevelType w:val="singleLevel"/>
    <w:tmpl w:val="58302A53"/>
    <w:lvl w:ilvl="0" w:tentative="0">
      <w:start w:val="1"/>
      <w:numFmt w:val="decimal"/>
      <w:suff w:val="nothing"/>
      <w:lvlText w:val="%1、"/>
      <w:lvlJc w:val="left"/>
      <w:rPr>
        <w:rFonts w:cs="Times New Roman"/>
      </w:rPr>
    </w:lvl>
  </w:abstractNum>
  <w:abstractNum w:abstractNumId="3">
    <w:nsid w:val="58303257"/>
    <w:multiLevelType w:val="singleLevel"/>
    <w:tmpl w:val="58303257"/>
    <w:lvl w:ilvl="0" w:tentative="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40069E"/>
    <w:rsid w:val="025F6B08"/>
    <w:rsid w:val="026A341E"/>
    <w:rsid w:val="02964D1B"/>
    <w:rsid w:val="029730A3"/>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6B04356"/>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0D436D"/>
    <w:rsid w:val="10125DF6"/>
    <w:rsid w:val="10585C66"/>
    <w:rsid w:val="10655CF3"/>
    <w:rsid w:val="106A25F5"/>
    <w:rsid w:val="107D4D34"/>
    <w:rsid w:val="10E2258A"/>
    <w:rsid w:val="112746B7"/>
    <w:rsid w:val="112F4308"/>
    <w:rsid w:val="113C7040"/>
    <w:rsid w:val="11566119"/>
    <w:rsid w:val="11662F70"/>
    <w:rsid w:val="11D70154"/>
    <w:rsid w:val="12160F3D"/>
    <w:rsid w:val="124F3295"/>
    <w:rsid w:val="129271C8"/>
    <w:rsid w:val="12942E23"/>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053445"/>
    <w:rsid w:val="15971EE1"/>
    <w:rsid w:val="15B74962"/>
    <w:rsid w:val="15BA18AE"/>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15D19"/>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8E2AB0"/>
    <w:rsid w:val="259D5474"/>
    <w:rsid w:val="25DB4EBE"/>
    <w:rsid w:val="267E6FB9"/>
    <w:rsid w:val="26804E34"/>
    <w:rsid w:val="26AA5D19"/>
    <w:rsid w:val="26BA509C"/>
    <w:rsid w:val="26CA1627"/>
    <w:rsid w:val="27056576"/>
    <w:rsid w:val="270A5318"/>
    <w:rsid w:val="2716314E"/>
    <w:rsid w:val="272E643D"/>
    <w:rsid w:val="27355263"/>
    <w:rsid w:val="2768115F"/>
    <w:rsid w:val="279E3AA4"/>
    <w:rsid w:val="27C24AC7"/>
    <w:rsid w:val="27F75337"/>
    <w:rsid w:val="289F1376"/>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CE736A"/>
    <w:rsid w:val="2DD17E36"/>
    <w:rsid w:val="2DF24891"/>
    <w:rsid w:val="2E1065CE"/>
    <w:rsid w:val="2E292EFC"/>
    <w:rsid w:val="2E7C4872"/>
    <w:rsid w:val="2F0033F9"/>
    <w:rsid w:val="2F2A117B"/>
    <w:rsid w:val="2FB34C91"/>
    <w:rsid w:val="2FB63DA8"/>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06407"/>
    <w:rsid w:val="32647F70"/>
    <w:rsid w:val="32B834E1"/>
    <w:rsid w:val="32C527D2"/>
    <w:rsid w:val="331F01E6"/>
    <w:rsid w:val="33541A32"/>
    <w:rsid w:val="33620C1E"/>
    <w:rsid w:val="33B404B6"/>
    <w:rsid w:val="34175A29"/>
    <w:rsid w:val="348C752F"/>
    <w:rsid w:val="34C635D4"/>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7FFCF75"/>
    <w:rsid w:val="38203594"/>
    <w:rsid w:val="383C26BB"/>
    <w:rsid w:val="386D6DD1"/>
    <w:rsid w:val="38767D48"/>
    <w:rsid w:val="38774730"/>
    <w:rsid w:val="38857AA9"/>
    <w:rsid w:val="388A1E5F"/>
    <w:rsid w:val="38AC7189"/>
    <w:rsid w:val="38D80705"/>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947708"/>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B92E23"/>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C765A0"/>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ED6E80"/>
    <w:rsid w:val="56FC0F2C"/>
    <w:rsid w:val="573E3DB0"/>
    <w:rsid w:val="577416AB"/>
    <w:rsid w:val="5778305F"/>
    <w:rsid w:val="578909FF"/>
    <w:rsid w:val="57B60CD6"/>
    <w:rsid w:val="580C0DD4"/>
    <w:rsid w:val="58406AD2"/>
    <w:rsid w:val="5863030F"/>
    <w:rsid w:val="58702F8D"/>
    <w:rsid w:val="587347A5"/>
    <w:rsid w:val="58A42191"/>
    <w:rsid w:val="58DC6E10"/>
    <w:rsid w:val="593122DC"/>
    <w:rsid w:val="595D4F93"/>
    <w:rsid w:val="59714A77"/>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C8F68D8"/>
    <w:rsid w:val="5D131909"/>
    <w:rsid w:val="5D134136"/>
    <w:rsid w:val="5D230C5E"/>
    <w:rsid w:val="5D3C640E"/>
    <w:rsid w:val="5D6E1F11"/>
    <w:rsid w:val="5D9620F2"/>
    <w:rsid w:val="5D965620"/>
    <w:rsid w:val="5DCF45EA"/>
    <w:rsid w:val="5DDD1D32"/>
    <w:rsid w:val="5DE979FF"/>
    <w:rsid w:val="5DF04B2E"/>
    <w:rsid w:val="5E313E73"/>
    <w:rsid w:val="5E357545"/>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AC078B"/>
    <w:rsid w:val="63CE1327"/>
    <w:rsid w:val="63E17D6C"/>
    <w:rsid w:val="63FA54D4"/>
    <w:rsid w:val="640C0830"/>
    <w:rsid w:val="64346ED9"/>
    <w:rsid w:val="64477A45"/>
    <w:rsid w:val="644E4B1D"/>
    <w:rsid w:val="64644126"/>
    <w:rsid w:val="64860D8D"/>
    <w:rsid w:val="64EE128C"/>
    <w:rsid w:val="65302B18"/>
    <w:rsid w:val="65387BCC"/>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5253F"/>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C02A8"/>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B209F"/>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D9E0F23"/>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next w:val="22"/>
    <w:link w:val="67"/>
    <w:qFormat/>
    <w:uiPriority w:val="99"/>
    <w:pPr>
      <w:ind w:firstLine="420" w:firstLineChars="100"/>
    </w:pPr>
  </w:style>
  <w:style w:type="paragraph" w:styleId="22">
    <w:name w:val="toc 6"/>
    <w:basedOn w:val="1"/>
    <w:next w:val="1"/>
    <w:qFormat/>
    <w:uiPriority w:val="99"/>
    <w:pPr>
      <w:ind w:left="1050"/>
      <w:jc w:val="left"/>
    </w:pPr>
    <w:rPr>
      <w:rFonts w:ascii="Arial" w:hAnsi="Arial" w:cs="Arial"/>
      <w:kern w:val="2"/>
      <w:sz w:val="18"/>
      <w:szCs w:val="18"/>
    </w:rPr>
  </w:style>
  <w:style w:type="paragraph" w:styleId="23">
    <w:name w:val="Body Text Indent"/>
    <w:basedOn w:val="1"/>
    <w:next w:val="24"/>
    <w:link w:val="70"/>
    <w:qFormat/>
    <w:uiPriority w:val="99"/>
    <w:pPr>
      <w:adjustRightInd w:val="0"/>
      <w:spacing w:line="360" w:lineRule="auto"/>
      <w:ind w:firstLine="490"/>
      <w:jc w:val="left"/>
    </w:pPr>
    <w:rPr>
      <w:rFonts w:ascii="宋体" w:hAnsi="宋体"/>
      <w:sz w:val="24"/>
    </w:rPr>
  </w:style>
  <w:style w:type="paragraph" w:styleId="24">
    <w:name w:val="Body Text First Indent 2"/>
    <w:basedOn w:val="2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5">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6">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7">
    <w:name w:val="toc 5"/>
    <w:basedOn w:val="1"/>
    <w:next w:val="1"/>
    <w:qFormat/>
    <w:uiPriority w:val="99"/>
    <w:pPr>
      <w:ind w:left="840"/>
      <w:jc w:val="left"/>
    </w:pPr>
    <w:rPr>
      <w:rFonts w:ascii="Arial" w:hAnsi="Arial" w:cs="Arial"/>
      <w:kern w:val="2"/>
      <w:sz w:val="18"/>
      <w:szCs w:val="18"/>
    </w:rPr>
  </w:style>
  <w:style w:type="paragraph" w:styleId="28">
    <w:name w:val="toc 3"/>
    <w:basedOn w:val="1"/>
    <w:next w:val="1"/>
    <w:semiHidden/>
    <w:qFormat/>
    <w:uiPriority w:val="99"/>
    <w:pPr>
      <w:ind w:left="840" w:leftChars="400"/>
    </w:pPr>
  </w:style>
  <w:style w:type="paragraph" w:styleId="29">
    <w:name w:val="Plain Text"/>
    <w:basedOn w:val="1"/>
    <w:next w:val="30"/>
    <w:link w:val="71"/>
    <w:qFormat/>
    <w:uiPriority w:val="99"/>
    <w:rPr>
      <w:rFonts w:ascii="宋体" w:hAnsi="Courier New"/>
      <w:sz w:val="18"/>
    </w:rPr>
  </w:style>
  <w:style w:type="paragraph" w:styleId="30">
    <w:name w:val="Date"/>
    <w:basedOn w:val="1"/>
    <w:next w:val="1"/>
    <w:link w:val="72"/>
    <w:qFormat/>
    <w:uiPriority w:val="99"/>
    <w:pPr>
      <w:ind w:left="2500" w:leftChars="2500"/>
    </w:pPr>
    <w:rPr>
      <w:rFonts w:ascii="宋体" w:hAnsi="宋体"/>
      <w:kern w:val="2"/>
      <w:sz w:val="24"/>
    </w:rPr>
  </w:style>
  <w:style w:type="paragraph" w:styleId="31">
    <w:name w:val="toc 8"/>
    <w:basedOn w:val="1"/>
    <w:next w:val="1"/>
    <w:qFormat/>
    <w:uiPriority w:val="99"/>
    <w:pPr>
      <w:ind w:left="1470"/>
      <w:jc w:val="left"/>
    </w:pPr>
    <w:rPr>
      <w:rFonts w:ascii="Arial" w:hAnsi="Arial" w:cs="Arial"/>
      <w:kern w:val="2"/>
      <w:sz w:val="18"/>
      <w:szCs w:val="18"/>
    </w:rPr>
  </w:style>
  <w:style w:type="paragraph" w:styleId="32">
    <w:name w:val="Body Text Indent 2"/>
    <w:basedOn w:val="1"/>
    <w:link w:val="73"/>
    <w:qFormat/>
    <w:uiPriority w:val="99"/>
    <w:pPr>
      <w:spacing w:after="120" w:line="480" w:lineRule="auto"/>
      <w:ind w:left="420" w:leftChars="200"/>
    </w:pPr>
    <w:rPr>
      <w:kern w:val="2"/>
    </w:rPr>
  </w:style>
  <w:style w:type="paragraph" w:styleId="33">
    <w:name w:val="Balloon Text"/>
    <w:basedOn w:val="1"/>
    <w:link w:val="74"/>
    <w:qFormat/>
    <w:uiPriority w:val="99"/>
    <w:rPr>
      <w:sz w:val="18"/>
    </w:rPr>
  </w:style>
  <w:style w:type="paragraph" w:styleId="34">
    <w:name w:val="footer"/>
    <w:basedOn w:val="1"/>
    <w:link w:val="75"/>
    <w:qFormat/>
    <w:uiPriority w:val="99"/>
    <w:pPr>
      <w:tabs>
        <w:tab w:val="center" w:pos="4153"/>
        <w:tab w:val="right" w:pos="8306"/>
      </w:tabs>
      <w:snapToGrid w:val="0"/>
      <w:jc w:val="left"/>
    </w:pPr>
    <w:rPr>
      <w:sz w:val="18"/>
    </w:rPr>
  </w:style>
  <w:style w:type="paragraph" w:styleId="35">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6">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7">
    <w:name w:val="toc 4"/>
    <w:basedOn w:val="1"/>
    <w:next w:val="1"/>
    <w:qFormat/>
    <w:uiPriority w:val="99"/>
    <w:pPr>
      <w:ind w:left="630"/>
      <w:jc w:val="left"/>
    </w:pPr>
    <w:rPr>
      <w:rFonts w:ascii="Arial" w:hAnsi="Arial" w:cs="Arial"/>
      <w:kern w:val="2"/>
      <w:sz w:val="18"/>
      <w:szCs w:val="18"/>
    </w:rPr>
  </w:style>
  <w:style w:type="paragraph" w:styleId="38">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9">
    <w:name w:val="List 5"/>
    <w:basedOn w:val="1"/>
    <w:qFormat/>
    <w:uiPriority w:val="99"/>
    <w:pPr>
      <w:ind w:left="100" w:leftChars="800" w:hanging="200" w:hangingChars="200"/>
    </w:pPr>
    <w:rPr>
      <w:rFonts w:ascii="Arial" w:hAnsi="Arial" w:cs="Arial"/>
      <w:kern w:val="2"/>
    </w:rPr>
  </w:style>
  <w:style w:type="paragraph" w:styleId="40">
    <w:name w:val="Body Text Indent 3"/>
    <w:basedOn w:val="1"/>
    <w:link w:val="79"/>
    <w:qFormat/>
    <w:uiPriority w:val="99"/>
    <w:pPr>
      <w:spacing w:after="120"/>
      <w:ind w:left="420" w:leftChars="200"/>
    </w:pPr>
    <w:rPr>
      <w:sz w:val="16"/>
    </w:rPr>
  </w:style>
  <w:style w:type="paragraph" w:styleId="41">
    <w:name w:val="toc 2"/>
    <w:basedOn w:val="1"/>
    <w:next w:val="1"/>
    <w:qFormat/>
    <w:uiPriority w:val="99"/>
    <w:pPr>
      <w:ind w:left="420" w:leftChars="200"/>
    </w:pPr>
  </w:style>
  <w:style w:type="paragraph" w:styleId="42">
    <w:name w:val="toc 9"/>
    <w:basedOn w:val="1"/>
    <w:next w:val="1"/>
    <w:qFormat/>
    <w:uiPriority w:val="99"/>
    <w:pPr>
      <w:ind w:left="1680"/>
      <w:jc w:val="left"/>
    </w:pPr>
    <w:rPr>
      <w:rFonts w:ascii="Arial" w:hAnsi="Arial" w:cs="Arial"/>
      <w:kern w:val="2"/>
      <w:sz w:val="18"/>
      <w:szCs w:val="18"/>
    </w:rPr>
  </w:style>
  <w:style w:type="paragraph" w:styleId="43">
    <w:name w:val="Body Text 2"/>
    <w:basedOn w:val="1"/>
    <w:link w:val="80"/>
    <w:qFormat/>
    <w:uiPriority w:val="99"/>
    <w:pPr>
      <w:spacing w:line="120" w:lineRule="atLeast"/>
    </w:pPr>
    <w:rPr>
      <w:kern w:val="2"/>
      <w:sz w:val="24"/>
    </w:rPr>
  </w:style>
  <w:style w:type="paragraph" w:styleId="44">
    <w:name w:val="Normal (Web)"/>
    <w:basedOn w:val="1"/>
    <w:qFormat/>
    <w:uiPriority w:val="99"/>
    <w:pPr>
      <w:widowControl/>
      <w:spacing w:before="100" w:beforeAutospacing="1" w:after="100" w:afterAutospacing="1"/>
      <w:jc w:val="left"/>
    </w:pPr>
    <w:rPr>
      <w:rFonts w:ascii="宋体" w:hAnsi="宋体"/>
      <w:sz w:val="24"/>
    </w:rPr>
  </w:style>
  <w:style w:type="paragraph" w:styleId="45">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6">
    <w:name w:val="annotation subject"/>
    <w:basedOn w:val="18"/>
    <w:next w:val="18"/>
    <w:link w:val="65"/>
    <w:qFormat/>
    <w:uiPriority w:val="99"/>
    <w:rPr>
      <w:b/>
      <w:bCs/>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字符"/>
    <w:basedOn w:val="49"/>
    <w:link w:val="4"/>
    <w:qFormat/>
    <w:locked/>
    <w:uiPriority w:val="99"/>
    <w:rPr>
      <w:rFonts w:eastAsia="黑体" w:cs="Times New Roman"/>
      <w:b/>
      <w:kern w:val="44"/>
      <w:sz w:val="36"/>
    </w:rPr>
  </w:style>
  <w:style w:type="character" w:customStyle="1" w:styleId="56">
    <w:name w:val="标题 2 字符"/>
    <w:basedOn w:val="49"/>
    <w:link w:val="5"/>
    <w:qFormat/>
    <w:locked/>
    <w:uiPriority w:val="99"/>
    <w:rPr>
      <w:rFonts w:ascii="Arial" w:hAnsi="Arial" w:eastAsia="黑体" w:cs="Times New Roman"/>
      <w:b/>
      <w:snapToGrid w:val="0"/>
      <w:kern w:val="44"/>
      <w:sz w:val="28"/>
    </w:rPr>
  </w:style>
  <w:style w:type="character" w:customStyle="1" w:styleId="57">
    <w:name w:val="标题 3 字符"/>
    <w:basedOn w:val="49"/>
    <w:link w:val="6"/>
    <w:qFormat/>
    <w:locked/>
    <w:uiPriority w:val="99"/>
    <w:rPr>
      <w:rFonts w:ascii="宋体" w:cs="Times New Roman"/>
      <w:b/>
      <w:kern w:val="2"/>
      <w:sz w:val="28"/>
    </w:rPr>
  </w:style>
  <w:style w:type="character" w:customStyle="1" w:styleId="58">
    <w:name w:val="标题 4 字符"/>
    <w:basedOn w:val="49"/>
    <w:link w:val="7"/>
    <w:qFormat/>
    <w:locked/>
    <w:uiPriority w:val="99"/>
    <w:rPr>
      <w:rFonts w:ascii="黑体" w:eastAsia="黑体" w:cs="Times New Roman"/>
      <w:b/>
      <w:kern w:val="2"/>
      <w:sz w:val="24"/>
    </w:rPr>
  </w:style>
  <w:style w:type="character" w:customStyle="1" w:styleId="59">
    <w:name w:val="标题 5 字符"/>
    <w:basedOn w:val="49"/>
    <w:link w:val="9"/>
    <w:qFormat/>
    <w:locked/>
    <w:uiPriority w:val="99"/>
    <w:rPr>
      <w:rFonts w:cs="Times New Roman"/>
      <w:b/>
      <w:snapToGrid w:val="0"/>
      <w:sz w:val="28"/>
    </w:rPr>
  </w:style>
  <w:style w:type="character" w:customStyle="1" w:styleId="60">
    <w:name w:val="标题 6 字符"/>
    <w:basedOn w:val="49"/>
    <w:link w:val="10"/>
    <w:qFormat/>
    <w:locked/>
    <w:uiPriority w:val="99"/>
    <w:rPr>
      <w:rFonts w:ascii="黑体" w:hAnsi="黑体" w:eastAsia="楷体" w:cs="Times New Roman"/>
      <w:b/>
      <w:kern w:val="2"/>
      <w:sz w:val="24"/>
    </w:rPr>
  </w:style>
  <w:style w:type="character" w:customStyle="1" w:styleId="61">
    <w:name w:val="标题 7 字符"/>
    <w:basedOn w:val="49"/>
    <w:link w:val="11"/>
    <w:qFormat/>
    <w:locked/>
    <w:uiPriority w:val="99"/>
    <w:rPr>
      <w:rFonts w:ascii="Arial" w:hAnsi="Arial" w:cs="Times New Roman"/>
      <w:b/>
      <w:kern w:val="2"/>
      <w:sz w:val="24"/>
    </w:rPr>
  </w:style>
  <w:style w:type="character" w:customStyle="1" w:styleId="62">
    <w:name w:val="标题 8 字符"/>
    <w:basedOn w:val="49"/>
    <w:link w:val="12"/>
    <w:qFormat/>
    <w:locked/>
    <w:uiPriority w:val="99"/>
    <w:rPr>
      <w:rFonts w:ascii="黑体" w:hAnsi="黑体" w:eastAsia="楷体" w:cs="Times New Roman"/>
      <w:kern w:val="2"/>
      <w:sz w:val="24"/>
    </w:rPr>
  </w:style>
  <w:style w:type="character" w:customStyle="1" w:styleId="63">
    <w:name w:val="标题 9 字符"/>
    <w:basedOn w:val="49"/>
    <w:link w:val="13"/>
    <w:qFormat/>
    <w:locked/>
    <w:uiPriority w:val="99"/>
    <w:rPr>
      <w:rFonts w:ascii="黑体" w:hAnsi="黑体" w:eastAsia="楷体" w:cs="Times New Roman"/>
      <w:kern w:val="2"/>
      <w:sz w:val="21"/>
    </w:rPr>
  </w:style>
  <w:style w:type="character" w:customStyle="1" w:styleId="64">
    <w:name w:val="批注文字 字符"/>
    <w:basedOn w:val="49"/>
    <w:link w:val="18"/>
    <w:qFormat/>
    <w:locked/>
    <w:uiPriority w:val="99"/>
    <w:rPr>
      <w:rFonts w:cs="Times New Roman"/>
      <w:kern w:val="2"/>
      <w:sz w:val="21"/>
    </w:rPr>
  </w:style>
  <w:style w:type="character" w:customStyle="1" w:styleId="65">
    <w:name w:val="批注主题 字符"/>
    <w:basedOn w:val="64"/>
    <w:link w:val="46"/>
    <w:qFormat/>
    <w:locked/>
    <w:uiPriority w:val="99"/>
    <w:rPr>
      <w:rFonts w:cs="Times New Roman"/>
      <w:b/>
      <w:kern w:val="2"/>
      <w:sz w:val="21"/>
    </w:rPr>
  </w:style>
  <w:style w:type="character" w:customStyle="1" w:styleId="66">
    <w:name w:val="正文文本 字符"/>
    <w:basedOn w:val="49"/>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9"/>
    <w:link w:val="17"/>
    <w:qFormat/>
    <w:locked/>
    <w:uiPriority w:val="99"/>
    <w:rPr>
      <w:rFonts w:cs="Times New Roman"/>
      <w:snapToGrid w:val="0"/>
      <w:sz w:val="21"/>
      <w:shd w:val="clear" w:color="auto" w:fill="000080"/>
    </w:rPr>
  </w:style>
  <w:style w:type="character" w:customStyle="1" w:styleId="69">
    <w:name w:val="正文文本 3 字符"/>
    <w:basedOn w:val="49"/>
    <w:link w:val="19"/>
    <w:semiHidden/>
    <w:qFormat/>
    <w:locked/>
    <w:uiPriority w:val="99"/>
    <w:rPr>
      <w:rFonts w:cs="Times New Roman"/>
      <w:kern w:val="0"/>
      <w:sz w:val="16"/>
      <w:szCs w:val="16"/>
    </w:rPr>
  </w:style>
  <w:style w:type="character" w:customStyle="1" w:styleId="70">
    <w:name w:val="正文文本缩进 字符"/>
    <w:basedOn w:val="49"/>
    <w:link w:val="23"/>
    <w:qFormat/>
    <w:locked/>
    <w:uiPriority w:val="99"/>
    <w:rPr>
      <w:rFonts w:ascii="宋体" w:eastAsia="宋体" w:cs="Times New Roman"/>
      <w:snapToGrid w:val="0"/>
      <w:sz w:val="24"/>
    </w:rPr>
  </w:style>
  <w:style w:type="character" w:customStyle="1" w:styleId="71">
    <w:name w:val="纯文本 字符"/>
    <w:basedOn w:val="49"/>
    <w:link w:val="29"/>
    <w:qFormat/>
    <w:locked/>
    <w:uiPriority w:val="99"/>
    <w:rPr>
      <w:rFonts w:ascii="宋体" w:hAnsi="Courier New" w:cs="Times New Roman"/>
      <w:sz w:val="18"/>
    </w:rPr>
  </w:style>
  <w:style w:type="character" w:customStyle="1" w:styleId="72">
    <w:name w:val="日期 字符"/>
    <w:basedOn w:val="49"/>
    <w:link w:val="30"/>
    <w:qFormat/>
    <w:locked/>
    <w:uiPriority w:val="99"/>
    <w:rPr>
      <w:rFonts w:ascii="宋体" w:eastAsia="宋体" w:cs="Times New Roman"/>
      <w:kern w:val="2"/>
      <w:sz w:val="24"/>
    </w:rPr>
  </w:style>
  <w:style w:type="character" w:customStyle="1" w:styleId="73">
    <w:name w:val="正文文本缩进 2 字符"/>
    <w:basedOn w:val="49"/>
    <w:link w:val="32"/>
    <w:qFormat/>
    <w:locked/>
    <w:uiPriority w:val="99"/>
    <w:rPr>
      <w:rFonts w:cs="Times New Roman"/>
      <w:kern w:val="2"/>
      <w:sz w:val="21"/>
    </w:rPr>
  </w:style>
  <w:style w:type="character" w:customStyle="1" w:styleId="74">
    <w:name w:val="批注框文本 字符"/>
    <w:basedOn w:val="49"/>
    <w:link w:val="33"/>
    <w:qFormat/>
    <w:locked/>
    <w:uiPriority w:val="99"/>
    <w:rPr>
      <w:rFonts w:cs="Times New Roman"/>
      <w:snapToGrid w:val="0"/>
      <w:sz w:val="18"/>
    </w:rPr>
  </w:style>
  <w:style w:type="character" w:customStyle="1" w:styleId="75">
    <w:name w:val="页脚 字符"/>
    <w:basedOn w:val="49"/>
    <w:link w:val="34"/>
    <w:qFormat/>
    <w:locked/>
    <w:uiPriority w:val="99"/>
    <w:rPr>
      <w:rFonts w:eastAsia="宋体" w:cs="Times New Roman"/>
      <w:snapToGrid w:val="0"/>
      <w:sz w:val="18"/>
      <w:lang w:val="en-US" w:eastAsia="zh-CN"/>
    </w:rPr>
  </w:style>
  <w:style w:type="character" w:customStyle="1" w:styleId="76">
    <w:name w:val="正文文本首行缩进 2 字符"/>
    <w:basedOn w:val="70"/>
    <w:link w:val="24"/>
    <w:qFormat/>
    <w:locked/>
    <w:uiPriority w:val="99"/>
    <w:rPr>
      <w:rFonts w:ascii="宋体" w:eastAsia="宋体" w:cs="Times New Roman"/>
      <w:snapToGrid w:val="0"/>
      <w:kern w:val="2"/>
      <w:sz w:val="24"/>
    </w:rPr>
  </w:style>
  <w:style w:type="character" w:customStyle="1" w:styleId="77">
    <w:name w:val="页眉 字符"/>
    <w:basedOn w:val="49"/>
    <w:link w:val="35"/>
    <w:qFormat/>
    <w:locked/>
    <w:uiPriority w:val="99"/>
    <w:rPr>
      <w:rFonts w:eastAsia="宋体" w:cs="Times New Roman"/>
      <w:snapToGrid w:val="0"/>
      <w:sz w:val="18"/>
      <w:lang w:val="en-US" w:eastAsia="zh-CN"/>
    </w:rPr>
  </w:style>
  <w:style w:type="character" w:customStyle="1" w:styleId="78">
    <w:name w:val="副标题 字符"/>
    <w:basedOn w:val="49"/>
    <w:link w:val="38"/>
    <w:qFormat/>
    <w:locked/>
    <w:uiPriority w:val="99"/>
    <w:rPr>
      <w:rFonts w:ascii="Cambria" w:hAnsi="Cambria" w:cs="Times New Roman"/>
      <w:b/>
      <w:snapToGrid w:val="0"/>
      <w:kern w:val="28"/>
      <w:sz w:val="32"/>
    </w:rPr>
  </w:style>
  <w:style w:type="character" w:customStyle="1" w:styleId="79">
    <w:name w:val="正文文本缩进 3 字符"/>
    <w:basedOn w:val="49"/>
    <w:link w:val="40"/>
    <w:qFormat/>
    <w:locked/>
    <w:uiPriority w:val="99"/>
    <w:rPr>
      <w:rFonts w:cs="Times New Roman"/>
      <w:snapToGrid w:val="0"/>
      <w:sz w:val="16"/>
    </w:rPr>
  </w:style>
  <w:style w:type="character" w:customStyle="1" w:styleId="80">
    <w:name w:val="正文文本 2 字符"/>
    <w:basedOn w:val="49"/>
    <w:link w:val="43"/>
    <w:qFormat/>
    <w:locked/>
    <w:uiPriority w:val="99"/>
    <w:rPr>
      <w:rFonts w:eastAsia="宋体" w:cs="Times New Roman"/>
      <w:kern w:val="2"/>
      <w:sz w:val="24"/>
      <w:lang w:val="en-US" w:eastAsia="zh-CN"/>
    </w:rPr>
  </w:style>
  <w:style w:type="character" w:customStyle="1" w:styleId="81">
    <w:name w:val="标题 字符"/>
    <w:basedOn w:val="49"/>
    <w:link w:val="45"/>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9"/>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9"/>
    <w:qFormat/>
    <w:uiPriority w:val="99"/>
    <w:rPr>
      <w:rFonts w:ascii="Calibri" w:hAnsi="Calibri"/>
      <w:b/>
      <w:color w:val="000000"/>
      <w:sz w:val="24"/>
      <w:u w:val="none"/>
    </w:rPr>
  </w:style>
  <w:style w:type="character" w:customStyle="1" w:styleId="87">
    <w:name w:val="font31"/>
    <w:basedOn w:val="49"/>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9"/>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37</Pages>
  <Words>24745</Words>
  <Characters>25731</Characters>
  <Lines>257</Lines>
  <Paragraphs>72</Paragraphs>
  <TotalTime>59</TotalTime>
  <ScaleCrop>false</ScaleCrop>
  <LinksUpToDate>false</LinksUpToDate>
  <CharactersWithSpaces>26756</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2018-07-16T23:39:00Z</dcterms:created>
  <dc:creator>小周</dc:creator>
  <cp:lastModifiedBy>施翔</cp:lastModifiedBy>
  <cp:lastPrinted>2021-06-24T18:10:00Z</cp:lastPrinted>
  <dcterms:modified xsi:type="dcterms:W3CDTF">2026-06-25T14:23:27Z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