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color w:val="auto"/>
          <w:spacing w:val="-6"/>
          <w:sz w:val="44"/>
          <w:szCs w:val="44"/>
        </w:rPr>
      </w:pPr>
    </w:p>
    <w:p w14:paraId="3B037FE7">
      <w:pPr>
        <w:adjustRightInd w:val="0"/>
        <w:snapToGrid w:val="0"/>
        <w:spacing w:line="288" w:lineRule="auto"/>
        <w:rPr>
          <w:rFonts w:hint="eastAsia" w:ascii="楷体" w:hAnsi="楷体" w:eastAsia="楷体" w:cs="Times New Roman"/>
          <w:b/>
          <w:color w:val="auto"/>
          <w:spacing w:val="-6"/>
          <w:sz w:val="44"/>
          <w:szCs w:val="44"/>
        </w:rPr>
      </w:pPr>
    </w:p>
    <w:p w14:paraId="11F59468">
      <w:pPr>
        <w:adjustRightInd w:val="0"/>
        <w:snapToGrid w:val="0"/>
        <w:spacing w:line="288" w:lineRule="auto"/>
        <w:rPr>
          <w:rFonts w:hint="eastAsia" w:ascii="楷体" w:hAnsi="楷体" w:eastAsia="楷体" w:cs="Times New Roman"/>
          <w:b/>
          <w:color w:val="auto"/>
          <w:spacing w:val="-6"/>
          <w:sz w:val="44"/>
          <w:szCs w:val="44"/>
        </w:rPr>
      </w:pPr>
    </w:p>
    <w:p w14:paraId="468FF83C">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量子材料和器件模拟仿真平台</w:t>
      </w:r>
    </w:p>
    <w:p w14:paraId="3D528ABB">
      <w:pPr>
        <w:adjustRightInd w:val="0"/>
        <w:snapToGrid w:val="0"/>
        <w:spacing w:line="288" w:lineRule="auto"/>
        <w:jc w:val="center"/>
        <w:rPr>
          <w:rFonts w:hint="eastAsia" w:ascii="楷体" w:hAnsi="楷体" w:eastAsia="楷体" w:cs="Times New Roman"/>
          <w:b/>
          <w:color w:val="auto"/>
          <w:spacing w:val="-6"/>
          <w:sz w:val="48"/>
          <w:szCs w:val="48"/>
        </w:rPr>
      </w:pPr>
    </w:p>
    <w:p w14:paraId="3942C169">
      <w:pPr>
        <w:adjustRightInd w:val="0"/>
        <w:snapToGrid w:val="0"/>
        <w:spacing w:line="288" w:lineRule="auto"/>
        <w:jc w:val="center"/>
        <w:rPr>
          <w:rFonts w:hint="eastAsia" w:ascii="楷体" w:hAnsi="楷体" w:eastAsia="楷体" w:cs="Times New Roman"/>
          <w:b/>
          <w:color w:val="auto"/>
          <w:spacing w:val="-6"/>
          <w:sz w:val="48"/>
          <w:szCs w:val="48"/>
        </w:rPr>
      </w:pPr>
    </w:p>
    <w:p w14:paraId="76F892AB">
      <w:pPr>
        <w:adjustRightInd w:val="0"/>
        <w:snapToGrid w:val="0"/>
        <w:spacing w:line="288" w:lineRule="auto"/>
        <w:jc w:val="center"/>
        <w:rPr>
          <w:rFonts w:hint="eastAsia"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hint="eastAsia" w:ascii="楷体" w:hAnsi="楷体" w:eastAsia="楷体" w:cs="Times New Roman"/>
          <w:color w:val="auto"/>
          <w:sz w:val="44"/>
          <w:szCs w:val="44"/>
        </w:rPr>
      </w:pPr>
    </w:p>
    <w:p w14:paraId="3B6505C4">
      <w:pPr>
        <w:adjustRightInd w:val="0"/>
        <w:snapToGrid w:val="0"/>
        <w:spacing w:line="288" w:lineRule="auto"/>
        <w:jc w:val="center"/>
        <w:rPr>
          <w:rFonts w:hint="eastAsia" w:ascii="楷体" w:hAnsi="楷体" w:eastAsia="楷体" w:cs="Times New Roman"/>
          <w:color w:val="auto"/>
          <w:sz w:val="44"/>
          <w:szCs w:val="44"/>
        </w:rPr>
      </w:pPr>
    </w:p>
    <w:p w14:paraId="16FAB8C3">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项目名称：量子材料和器件模拟仿真平台</w:t>
      </w:r>
    </w:p>
    <w:p w14:paraId="74032A0C">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项目编号：</w:t>
      </w:r>
      <w:r>
        <w:rPr>
          <w:rFonts w:hint="eastAsia" w:ascii="楷体" w:hAnsi="楷体" w:eastAsia="楷体" w:cs="Times New Roman"/>
          <w:b/>
          <w:color w:val="auto"/>
          <w:spacing w:val="-6"/>
          <w:sz w:val="30"/>
          <w:szCs w:val="30"/>
          <w:lang w:eastAsia="zh-CN"/>
        </w:rPr>
        <w:t>QSZBB250271ZHGK</w:t>
      </w:r>
    </w:p>
    <w:p w14:paraId="5ACAB285">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[2025]65211号、[2025]65212号</w:t>
      </w:r>
    </w:p>
    <w:p w14:paraId="43139F7B">
      <w:pPr>
        <w:adjustRightInd w:val="0"/>
        <w:snapToGrid w:val="0"/>
        <w:spacing w:line="288" w:lineRule="auto"/>
        <w:rPr>
          <w:rFonts w:hint="eastAsia" w:ascii="楷体" w:hAnsi="楷体" w:eastAsia="楷体" w:cs="Times New Roman"/>
          <w:b/>
          <w:color w:val="auto"/>
          <w:szCs w:val="21"/>
        </w:rPr>
      </w:pPr>
    </w:p>
    <w:p w14:paraId="561CA082">
      <w:pPr>
        <w:adjustRightInd w:val="0"/>
        <w:snapToGrid w:val="0"/>
        <w:spacing w:line="288" w:lineRule="auto"/>
        <w:rPr>
          <w:rFonts w:hint="eastAsia"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color w:val="auto"/>
          <w:sz w:val="30"/>
          <w:szCs w:val="30"/>
        </w:rPr>
      </w:pPr>
    </w:p>
    <w:p w14:paraId="3B4D4683">
      <w:pPr>
        <w:adjustRightInd w:val="0"/>
        <w:snapToGrid w:val="0"/>
        <w:spacing w:line="288" w:lineRule="auto"/>
        <w:jc w:val="center"/>
        <w:outlineLvl w:val="0"/>
        <w:rPr>
          <w:rFonts w:hint="eastAsia"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hint="eastAsia" w:ascii="楷体" w:hAnsi="楷体" w:eastAsia="楷体" w:cs="Times New Roman"/>
          <w:b/>
          <w:color w:val="auto"/>
          <w:sz w:val="30"/>
          <w:szCs w:val="30"/>
        </w:rPr>
      </w:pPr>
    </w:p>
    <w:p w14:paraId="4679BDD0">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color w:val="auto"/>
          <w:szCs w:val="21"/>
        </w:rPr>
      </w:pPr>
    </w:p>
    <w:p w14:paraId="625CD130">
      <w:pPr>
        <w:widowControl/>
        <w:adjustRightInd w:val="0"/>
        <w:snapToGrid w:val="0"/>
        <w:spacing w:line="288" w:lineRule="auto"/>
        <w:jc w:val="left"/>
        <w:rPr>
          <w:rFonts w:hint="eastAsia"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color w:val="auto"/>
          <w:szCs w:val="21"/>
        </w:rPr>
      </w:pPr>
      <w:r>
        <w:rPr>
          <w:rFonts w:hint="eastAsia" w:ascii="宋体" w:hAnsi="宋体" w:eastAsia="宋体" w:cs="Times New Roman"/>
          <w:b/>
          <w:color w:val="auto"/>
          <w:szCs w:val="21"/>
          <w:u w:val="single"/>
        </w:rPr>
        <w:t xml:space="preserve"> 量子材料和器件模拟仿真平台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10月30日</w:t>
      </w:r>
      <w:r>
        <w:rPr>
          <w:rFonts w:hint="eastAsia" w:ascii="宋体" w:hAnsi="宋体" w:eastAsia="宋体" w:cs="Times New Roman"/>
          <w:b/>
          <w:color w:val="auto"/>
          <w:szCs w:val="21"/>
          <w:u w:val="single"/>
        </w:rPr>
        <w:t>13:30:00（北京时间）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hint="eastAsia" w:ascii="宋体" w:hAnsi="宋体" w:eastAsia="宋体" w:cs="宋体"/>
          <w:b/>
          <w:color w:val="auto"/>
          <w:szCs w:val="21"/>
        </w:rPr>
      </w:pPr>
      <w:bookmarkStart w:id="0" w:name="_Toc35393790"/>
      <w:bookmarkStart w:id="1" w:name="_Toc28359079"/>
      <w:bookmarkStart w:id="2" w:name="_Toc35393621"/>
      <w:bookmarkStart w:id="3" w:name="_Toc28359002"/>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r>
        <w:rPr>
          <w:rFonts w:hint="eastAsia" w:ascii="宋体" w:hAnsi="宋体" w:eastAsia="宋体" w:cs="Times New Roman"/>
          <w:color w:val="auto"/>
          <w:szCs w:val="21"/>
          <w:lang w:eastAsia="zh-CN"/>
        </w:rPr>
        <w:t>QSZBB250271ZHGK</w:t>
      </w:r>
    </w:p>
    <w:p w14:paraId="34C987C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.项目名称：量子材料和器件模拟仿真平台</w:t>
      </w:r>
    </w:p>
    <w:bookmarkEnd w:id="4"/>
    <w:p w14:paraId="2AB1BB05">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.预算金额：520000元</w:t>
      </w:r>
    </w:p>
    <w:p w14:paraId="11D1D498">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.最高限价：520000元</w:t>
      </w:r>
    </w:p>
    <w:p w14:paraId="4BF7EF97">
      <w:pPr>
        <w:adjustRightInd w:val="0"/>
        <w:snapToGrid w:val="0"/>
        <w:spacing w:line="288" w:lineRule="auto"/>
        <w:ind w:firstLine="420" w:firstLineChars="200"/>
        <w:rPr>
          <w:rFonts w:hint="eastAsia"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.合同履约期限：自合同签订之日起60个工作日内交付。</w:t>
      </w:r>
    </w:p>
    <w:p w14:paraId="48CBA4CF">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量子材料和器件模拟仿真平台</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eastAsia"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否</w:t>
            </w:r>
          </w:p>
        </w:tc>
      </w:tr>
    </w:tbl>
    <w:p w14:paraId="0D505C25">
      <w:pPr>
        <w:adjustRightInd w:val="0"/>
        <w:snapToGrid w:val="0"/>
        <w:spacing w:line="288" w:lineRule="auto"/>
        <w:rPr>
          <w:rFonts w:hint="eastAsia" w:ascii="宋体" w:hAnsi="宋体" w:eastAsia="宋体" w:cs="宋体"/>
          <w:b/>
          <w:color w:val="auto"/>
          <w:szCs w:val="21"/>
        </w:rPr>
      </w:pPr>
      <w:bookmarkStart w:id="5" w:name="_Toc28359003"/>
      <w:bookmarkStart w:id="6" w:name="_Toc28359080"/>
      <w:bookmarkStart w:id="7" w:name="_Toc35393791"/>
      <w:bookmarkStart w:id="8" w:name="_Toc35393622"/>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hint="eastAsia"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hint="eastAsia" w:ascii="宋体" w:hAnsi="宋体" w:eastAsia="宋体" w:cs="宋体"/>
          <w:b/>
          <w:color w:val="auto"/>
          <w:szCs w:val="21"/>
        </w:rPr>
      </w:pPr>
      <w:bookmarkStart w:id="11" w:name="_Toc35393623"/>
      <w:bookmarkStart w:id="12" w:name="_Toc35393792"/>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color w:val="auto"/>
          <w:szCs w:val="21"/>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9</w:t>
      </w:r>
      <w:bookmarkStart w:id="76" w:name="_GoBack"/>
      <w:bookmarkEnd w:id="76"/>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10月30日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hint="eastAsia"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10月30日</w:t>
      </w:r>
      <w:r>
        <w:rPr>
          <w:rFonts w:hint="eastAsia" w:ascii="宋体" w:hAnsi="宋体" w:eastAsia="宋体" w:cs="Times New Roman"/>
          <w:bCs/>
          <w:color w:val="auto"/>
          <w:szCs w:val="21"/>
        </w:rPr>
        <w:t>13:30:00（北京时间）</w:t>
      </w:r>
    </w:p>
    <w:p w14:paraId="556DA842">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10月30日</w:t>
      </w:r>
      <w:r>
        <w:rPr>
          <w:rFonts w:hint="eastAsia" w:ascii="宋体" w:hAnsi="宋体" w:eastAsia="宋体" w:cs="Times New Roman"/>
          <w:bCs/>
          <w:color w:val="auto"/>
          <w:szCs w:val="21"/>
        </w:rPr>
        <w:t>13:30:00（北京时间）</w:t>
      </w:r>
    </w:p>
    <w:p w14:paraId="13CDD20E">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/杭州市西湖区玉古路173号中田大厦21楼（求是招标会议室1）</w:t>
      </w:r>
      <w:bookmarkEnd w:id="18"/>
    </w:p>
    <w:bookmarkEnd w:id="17"/>
    <w:p w14:paraId="15287A77">
      <w:pPr>
        <w:adjustRightInd w:val="0"/>
        <w:snapToGrid w:val="0"/>
        <w:spacing w:line="288" w:lineRule="auto"/>
        <w:rPr>
          <w:rFonts w:hint="eastAsia" w:ascii="宋体" w:hAnsi="宋体" w:eastAsia="宋体" w:cs="宋体"/>
          <w:b/>
          <w:color w:val="auto"/>
          <w:szCs w:val="21"/>
        </w:rPr>
      </w:pPr>
      <w:bookmarkStart w:id="19" w:name="_Toc28359007"/>
      <w:bookmarkStart w:id="20" w:name="_Toc28359084"/>
      <w:bookmarkStart w:id="21" w:name="_Toc35393794"/>
      <w:bookmarkStart w:id="22" w:name="_Toc35393625"/>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hint="eastAsia" w:ascii="宋体" w:hAnsi="宋体" w:eastAsia="宋体" w:cs="宋体"/>
          <w:b/>
          <w:color w:val="auto"/>
          <w:szCs w:val="21"/>
        </w:rPr>
      </w:pPr>
      <w:bookmarkStart w:id="23" w:name="_Toc35393795"/>
      <w:bookmarkStart w:id="24" w:name="_Toc35393626"/>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color w:val="auto"/>
          <w:szCs w:val="21"/>
        </w:rPr>
      </w:pPr>
      <w:bookmarkStart w:id="29" w:name="_Toc35393796"/>
      <w:bookmarkStart w:id="30" w:name="_Toc28359085"/>
      <w:bookmarkStart w:id="31" w:name="_Toc28359008"/>
      <w:bookmarkStart w:id="32" w:name="_Toc35393627"/>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项目联系人（询问）：贾</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项目联系方式（询问）：18329030072</w:t>
      </w:r>
    </w:p>
    <w:p w14:paraId="209040C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color w:val="auto"/>
          <w:szCs w:val="21"/>
        </w:rPr>
      </w:pPr>
    </w:p>
    <w:p w14:paraId="3C32CE7B">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hint="eastAsia" w:ascii="宋体" w:hAnsi="宋体" w:eastAsia="宋体" w:cs="Times New Roman"/>
          <w:color w:val="auto"/>
          <w:szCs w:val="21"/>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color w:val="auto"/>
          <w:spacing w:val="-6"/>
          <w:szCs w:val="21"/>
        </w:rPr>
      </w:pPr>
    </w:p>
    <w:p w14:paraId="091E1A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hint="eastAsia"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hint="eastAsia"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color w:val="auto"/>
          <w:spacing w:val="-4"/>
          <w:szCs w:val="21"/>
        </w:rPr>
      </w:pPr>
    </w:p>
    <w:p w14:paraId="47046090">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hint="eastAsia"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A4FE8E7">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683554F6">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14:paraId="3F8BDF94">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4.若供应商收取预付款，要求预付款保函有效期覆盖项目验收合格时间；提供了预付款保函则供应商无需再缴纳履约保证金。</w:t>
            </w:r>
          </w:p>
          <w:p w14:paraId="6C2B6F02">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5.签订合同时中标人明确表示无需预付款的，可以采用以下付款方式：</w:t>
            </w:r>
          </w:p>
          <w:p w14:paraId="74DA3A78">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0A84B33A">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3B75ABF">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color w:val="auto"/>
          <w:spacing w:val="-4"/>
          <w:szCs w:val="21"/>
        </w:rPr>
      </w:pPr>
    </w:p>
    <w:p w14:paraId="1EC90AF6">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自合同签订之日起60个工作日内交付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hint="eastAsia"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72小时内派遣相关人员赶赴现场，96小时内维修完毕；发生紧急抢修事故的，供应商应在接到采购人通知后72小时内到达现场抢修，并于到达现场24小时之内排除故障。供应商未在约定时间内修复的或同一货物经5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hint="eastAsia"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hint="eastAsia"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3D36B1A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1.验收由采购人负责实施；</w:t>
            </w:r>
          </w:p>
          <w:p w14:paraId="190978D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2.验收依据：</w:t>
            </w:r>
          </w:p>
          <w:p w14:paraId="119E3AE4">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2.1合同、招标文件、投标文件；</w:t>
            </w:r>
          </w:p>
          <w:p w14:paraId="2A040494">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2.2供应商提供的技术规格、经采购人认可的合同货物的有效检验文件；</w:t>
            </w:r>
          </w:p>
          <w:p w14:paraId="1EBC289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2.3供应商投标文件中提供的经采购人认可的合同货物的验收标准（符合中国有关的国家、地方、行业标准）和检测办法及相应检测手段。</w:t>
            </w:r>
          </w:p>
          <w:p w14:paraId="3C959ABA">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4.验收合格的条件：</w:t>
            </w:r>
          </w:p>
          <w:p w14:paraId="46C6C05B">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4.1所供货物符合产品标准和合同的要求；</w:t>
            </w:r>
          </w:p>
          <w:p w14:paraId="3C659B5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14:paraId="1DFD8233">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4.3合同中规定的所有货物和材料均已交付；</w:t>
            </w:r>
          </w:p>
          <w:p w14:paraId="32DEFB5A">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4.4所供货物已通过使用单位组织的验收；</w:t>
            </w:r>
          </w:p>
          <w:p w14:paraId="5103A4F1">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bl>
    <w:p w14:paraId="7F978AE1">
      <w:pPr>
        <w:adjustRightInd w:val="0"/>
        <w:snapToGrid w:val="0"/>
        <w:spacing w:line="288" w:lineRule="auto"/>
        <w:rPr>
          <w:rFonts w:hint="eastAsia" w:ascii="宋体" w:hAnsi="宋体" w:eastAsia="宋体" w:cs="Times New Roman"/>
          <w:b/>
          <w:color w:val="auto"/>
          <w:szCs w:val="21"/>
        </w:rPr>
      </w:pPr>
    </w:p>
    <w:p w14:paraId="155758D7">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hint="eastAsia"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.需实现的功能或者目标：满足量子材料和器件模拟仿真平台的使用需求。</w:t>
      </w:r>
    </w:p>
    <w:p w14:paraId="052E21C8">
      <w:pPr>
        <w:adjustRightInd w:val="0"/>
        <w:snapToGrid w:val="0"/>
        <w:spacing w:line="288" w:lineRule="auto"/>
        <w:rPr>
          <w:rFonts w:hint="eastAsia"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color w:val="auto"/>
                <w:szCs w:val="21"/>
              </w:rPr>
            </w:pPr>
            <w:r>
              <w:rPr>
                <w:rFonts w:hint="eastAsia" w:ascii="宋体" w:hAnsi="宋体" w:eastAsia="宋体" w:cs="Times New Roman"/>
                <w:b/>
                <w:bCs/>
                <w:color w:val="auto"/>
                <w:szCs w:val="21"/>
              </w:rPr>
              <w:t>量子材料和器件模拟仿真平台</w:t>
            </w:r>
          </w:p>
        </w:tc>
        <w:tc>
          <w:tcPr>
            <w:tcW w:w="661" w:type="dxa"/>
            <w:vAlign w:val="center"/>
          </w:tcPr>
          <w:p w14:paraId="77DC8DC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0ACC742B">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一、硬件平台：</w:t>
            </w:r>
          </w:p>
          <w:p w14:paraId="2B97257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1.登陆管理节点（机架式）（1套）：</w:t>
            </w:r>
          </w:p>
          <w:p w14:paraId="34C3F98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1.1 双路主板；</w:t>
            </w:r>
          </w:p>
          <w:p w14:paraId="6219EC5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1.2 CPU：不低于16核心*2（主频不低于2.4GHz）；</w:t>
            </w:r>
          </w:p>
          <w:p w14:paraId="7372A4C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1.3 内存：≥16GB DDR4-3200MHz 16条；</w:t>
            </w:r>
          </w:p>
          <w:p w14:paraId="1ED33B90">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1.4 系统盘：≥1.92TB nvme SSD硬盘；</w:t>
            </w:r>
          </w:p>
          <w:p w14:paraId="50788EC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1.5 存储：采用分层存储。采用≥4T nvme SSD硬盘2块做RAID 0存放高频访问数据（如/home， 软件库），另外采用≥8TB 7.2Krpm SATA3硬盘6块做RAID 5存放归档数据；两张RAID卡；</w:t>
            </w:r>
          </w:p>
          <w:p w14:paraId="4191978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1.6 服务器电源：≥800W(1+1)冗余电源；</w:t>
            </w:r>
          </w:p>
          <w:p w14:paraId="54334BBE">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1.7 网络：双口EDR 100G IB网卡；</w:t>
            </w:r>
          </w:p>
          <w:p w14:paraId="3DC5E2EB">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2.计算节点（机架式）（4套）：</w:t>
            </w:r>
          </w:p>
          <w:p w14:paraId="4EBFAD2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2.1 双路主板；</w:t>
            </w:r>
          </w:p>
          <w:p w14:paraId="0CBE2B8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2.2 CPU：不低于96核心*2（主频不低于2.4GHz）；</w:t>
            </w:r>
          </w:p>
          <w:p w14:paraId="22B28126">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2.3 内存：≥34GB DDR5-5600MHz 24条；</w:t>
            </w:r>
          </w:p>
          <w:p w14:paraId="05D64AC5">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2.4 硬盘：≥2TB 7100nvme SSD硬盘；</w:t>
            </w:r>
          </w:p>
          <w:p w14:paraId="6F000520">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2.5 服务器电源：≥1300 W(1+1)冗余电源；</w:t>
            </w:r>
          </w:p>
          <w:p w14:paraId="660AA40A">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2.6 网络：双口EDR IB网卡；</w:t>
            </w:r>
          </w:p>
          <w:p w14:paraId="484457D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3.计算网络：36口EDR Infinitband 100Gb光纤交换机 1套；3m IB线缆 8条；</w:t>
            </w:r>
          </w:p>
          <w:p w14:paraId="240A7705">
            <w:pPr>
              <w:adjustRightInd w:val="0"/>
              <w:snapToGrid w:val="0"/>
              <w:spacing w:line="288"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二、配套软件和作业系统：</w:t>
            </w:r>
          </w:p>
          <w:p w14:paraId="23871E02">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★1.材料器件建模平台（支持课程教学时使用）：可实现晶胞构建、化学键测量、器件构建与3D可视化等功能；</w:t>
            </w:r>
          </w:p>
          <w:p w14:paraId="23EAB29D">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★2.预装量子输运软件（支持量子输运课程教学）：支持DFT-NEGF方法模拟、支持光电流计算；</w:t>
            </w:r>
          </w:p>
          <w:p w14:paraId="29C2FC47">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★3.预装密度泛函理论软件（支持计算物理课程教学）：支持分子动力学模拟、晶格结构优化、电子结构与光学性质计算；支持密度泛函微扰理论计算；</w:t>
            </w:r>
          </w:p>
          <w:p w14:paraId="08E28934">
            <w:pPr>
              <w:adjustRightInd w:val="0"/>
              <w:snapToGrid w:val="0"/>
              <w:spacing w:line="288" w:lineRule="auto"/>
              <w:jc w:val="left"/>
              <w:rPr>
                <w:rFonts w:hint="eastAsia" w:ascii="宋体" w:hAnsi="宋体" w:eastAsia="宋体" w:cs="宋体"/>
                <w:color w:val="auto"/>
                <w:szCs w:val="21"/>
              </w:rPr>
            </w:pPr>
            <w:r>
              <w:rPr>
                <w:rFonts w:hint="eastAsia" w:ascii="宋体" w:hAnsi="宋体" w:eastAsia="宋体" w:cs="宋体"/>
                <w:color w:val="auto"/>
                <w:szCs w:val="21"/>
              </w:rPr>
              <w:t>4.用户管理模块；作业管理模块：支持脚本提交、集群管理模块。</w:t>
            </w:r>
          </w:p>
        </w:tc>
      </w:tr>
    </w:tbl>
    <w:p w14:paraId="2A83C00D">
      <w:pPr>
        <w:widowControl/>
        <w:adjustRightInd w:val="0"/>
        <w:snapToGrid w:val="0"/>
        <w:spacing w:line="288" w:lineRule="auto"/>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hint="eastAsia"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hint="eastAsia"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本招标文件适用于杭州电子科技大学量子材料和器件模拟仿真平台的招标、评标、定标、验收、合同履约、付款等（法律、法规另有规定的，从其规定）。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hint="eastAsia"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hint="eastAsia"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hint="eastAsia"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hint="eastAsia"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hint="eastAsia"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hint="eastAsia"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hint="eastAsia"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hint="eastAsia"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hint="eastAsia"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hint="eastAsia"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hint="eastAsia"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2758FBDC">
            <w:pPr>
              <w:adjustRightInd w:val="0"/>
              <w:snapToGrid w:val="0"/>
              <w:spacing w:line="288" w:lineRule="auto"/>
              <w:rPr>
                <w:rFonts w:hint="eastAsia"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32608FB3">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2.以人民币报价；</w:t>
            </w:r>
          </w:p>
          <w:p w14:paraId="5FB1C9B5">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147D2EB4">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57C3B98D">
            <w:pPr>
              <w:pStyle w:val="13"/>
              <w:adjustRightInd w:val="0"/>
              <w:snapToGrid w:val="0"/>
              <w:spacing w:before="0" w:beforeLines="0" w:after="0" w:afterLines="0" w:line="288" w:lineRule="auto"/>
              <w:jc w:val="left"/>
              <w:rPr>
                <w:rFonts w:hint="eastAsia"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hint="eastAsia"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hint="eastAsia"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hint="eastAsia"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hint="eastAsia" w:ascii="宋体" w:hAnsi="宋体" w:eastAsia="宋体"/>
          <w:color w:val="auto"/>
          <w:szCs w:val="21"/>
        </w:rPr>
      </w:pPr>
    </w:p>
    <w:p w14:paraId="764296F0">
      <w:pPr>
        <w:adjustRightInd w:val="0"/>
        <w:snapToGrid w:val="0"/>
        <w:spacing w:line="288" w:lineRule="auto"/>
        <w:rPr>
          <w:rFonts w:hint="eastAsia"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本招标文件适用于杭州电子科技大学量子材料和器件模拟仿真平台的招标、评标、定标、验收、合同履约、付款等（法律、法规另有规定的，从其规定）。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eastAsia"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hint="eastAsia"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hint="eastAsia"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（五）投标报价</w:t>
      </w:r>
    </w:p>
    <w:p w14:paraId="588B55E7">
      <w:pPr>
        <w:adjustRightInd w:val="0"/>
        <w:snapToGrid w:val="0"/>
        <w:spacing w:line="288" w:lineRule="auto"/>
        <w:ind w:firstLine="420" w:firstLineChars="200"/>
        <w:rPr>
          <w:rFonts w:hint="eastAsia"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2.以人民币报价；</w:t>
      </w:r>
    </w:p>
    <w:p w14:paraId="4528E9AB">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bookmarkEnd w:id="47"/>
    <w:p w14:paraId="58DE03B4">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hint="eastAsia"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hint="eastAsia"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hint="eastAsia"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hint="eastAsia" w:ascii="宋体" w:hAnsi="宋体" w:eastAsia="宋体" w:cs="Times New Roman"/>
          <w:b/>
          <w:bCs/>
          <w:color w:val="auto"/>
          <w:spacing w:val="-6"/>
          <w:szCs w:val="21"/>
        </w:rPr>
      </w:pPr>
    </w:p>
    <w:p w14:paraId="64F5A24E">
      <w:pPr>
        <w:adjustRightInd w:val="0"/>
        <w:snapToGrid w:val="0"/>
        <w:spacing w:line="288" w:lineRule="auto"/>
        <w:ind w:firstLine="398" w:firstLineChars="200"/>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hint="eastAsia"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color w:val="auto"/>
          <w:spacing w:val="-6"/>
          <w:szCs w:val="21"/>
        </w:rPr>
      </w:pPr>
    </w:p>
    <w:p w14:paraId="41282C47">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hint="eastAsia"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技术条款低于技术要求（负偏离）的每项扣3分；</w:t>
            </w:r>
          </w:p>
          <w:p w14:paraId="6F1D37CE">
            <w:pPr>
              <w:adjustRightInd w:val="0"/>
              <w:snapToGrid w:val="0"/>
              <w:rPr>
                <w:rFonts w:hint="eastAsia" w:ascii="宋体" w:hAnsi="宋体" w:eastAsia="宋体" w:cs="宋体"/>
                <w:color w:val="auto"/>
                <w:szCs w:val="21"/>
              </w:rPr>
            </w:pPr>
            <w:r>
              <w:rPr>
                <w:rFonts w:hint="eastAsia" w:ascii="宋体" w:hAnsi="宋体" w:eastAsia="宋体" w:cs="宋体"/>
                <w:color w:val="auto"/>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hint="eastAsia"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hint="eastAsia"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hint="eastAsia"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hint="eastAsia" w:ascii="宋体" w:hAnsi="宋体" w:eastAsia="宋体" w:cs="宋体"/>
          <w:b/>
          <w:color w:val="auto"/>
          <w:spacing w:val="-6"/>
          <w:szCs w:val="21"/>
        </w:rPr>
      </w:pPr>
    </w:p>
    <w:p w14:paraId="032DC66C">
      <w:pPr>
        <w:spacing w:line="288" w:lineRule="auto"/>
        <w:ind w:firstLine="562" w:firstLineChars="200"/>
        <w:jc w:val="center"/>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4A715020">
      <w:pPr>
        <w:spacing w:line="288" w:lineRule="auto"/>
        <w:ind w:firstLine="396" w:firstLineChars="20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35211B3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1"/>
        </w:rPr>
        <w:t xml:space="preserve">             </w:t>
      </w:r>
    </w:p>
    <w:p w14:paraId="5868DAB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为了保护甲乙双方合法权益，根据项目</w:t>
      </w:r>
      <w:r>
        <w:rPr>
          <w:rFonts w:hint="eastAsia" w:ascii="宋体" w:hAnsi="宋体" w:eastAsia="宋体" w:cs="宋体"/>
          <w:color w:val="auto"/>
          <w:kern w:val="0"/>
          <w:szCs w:val="21"/>
          <w:u w:val="single"/>
        </w:rPr>
        <w:t>量子材料和器件模拟仿真平台</w:t>
      </w:r>
      <w:r>
        <w:rPr>
          <w:rFonts w:hint="eastAsia" w:ascii="宋体" w:hAnsi="宋体" w:eastAsia="宋体" w:cs="宋体"/>
          <w:color w:val="auto"/>
          <w:kern w:val="0"/>
          <w:szCs w:val="21"/>
        </w:rPr>
        <w:t>（项目编号</w:t>
      </w:r>
      <w:r>
        <w:rPr>
          <w:rFonts w:hint="eastAsia" w:ascii="宋体" w:hAnsi="宋体" w:eastAsia="宋体" w:cs="宋体"/>
          <w:color w:val="auto"/>
          <w:kern w:val="0"/>
          <w:szCs w:val="21"/>
          <w:u w:val="single"/>
          <w:lang w:eastAsia="zh-CN"/>
        </w:rPr>
        <w:t>QSZBB250271ZHGK</w:t>
      </w:r>
      <w:r>
        <w:rPr>
          <w:rFonts w:hint="eastAsia" w:ascii="宋体" w:hAnsi="宋体" w:eastAsia="宋体" w:cs="宋体"/>
          <w:color w:val="auto"/>
          <w:kern w:val="0"/>
          <w:szCs w:val="21"/>
        </w:rPr>
        <w:t>）</w:t>
      </w:r>
      <w:r>
        <w:rPr>
          <w:rFonts w:hint="eastAsia" w:ascii="宋体" w:hAnsi="宋体" w:eastAsia="宋体" w:cs="宋体"/>
          <w:color w:val="auto"/>
          <w:kern w:val="0"/>
          <w:szCs w:val="21"/>
          <w:u w:val="single"/>
        </w:rPr>
        <w:t>公开招标</w:t>
      </w:r>
      <w:r>
        <w:rPr>
          <w:rFonts w:hint="eastAsia" w:ascii="宋体" w:hAnsi="宋体" w:eastAsia="宋体" w:cs="宋体"/>
          <w:color w:val="auto"/>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hint="eastAsia"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hint="eastAsia"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hint="eastAsia"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hint="eastAsia"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hint="eastAsia" w:ascii="宋体" w:hAnsi="宋体" w:eastAsia="宋体" w:cs="宋体"/>
                <w:color w:val="auto"/>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hint="eastAsia" w:ascii="宋体" w:hAnsi="宋体" w:eastAsia="宋体" w:cs="宋体"/>
                <w:color w:val="auto"/>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hint="eastAsia"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hint="eastAsia" w:ascii="宋体" w:hAnsi="宋体" w:eastAsia="宋体" w:cs="宋体"/>
                <w:color w:val="auto"/>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hint="eastAsia"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hint="eastAsia"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hint="eastAsia"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hint="eastAsia" w:ascii="宋体" w:hAnsi="宋体" w:eastAsia="宋体" w:cs="宋体"/>
                <w:color w:val="auto"/>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二、供货范围</w:t>
      </w:r>
    </w:p>
    <w:p w14:paraId="190FD9F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质保期：自验收合格之日起，整机质保期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年，其中</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（配件名称）质保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2.履约保证金（如无则删除本条款）</w:t>
      </w:r>
      <w:r>
        <w:rPr>
          <w:rFonts w:hint="eastAsia" w:ascii="宋体" w:hAnsi="宋体" w:eastAsia="宋体" w:cs="宋体"/>
          <w:b/>
          <w:bCs/>
          <w:color w:val="auto"/>
          <w:kern w:val="0"/>
          <w:szCs w:val="21"/>
        </w:rPr>
        <w:t>：</w:t>
      </w:r>
      <w:r>
        <w:rPr>
          <w:rFonts w:hint="eastAsia" w:ascii="宋体" w:hAnsi="宋体" w:eastAsia="宋体" w:cs="宋体"/>
          <w:color w:val="auto"/>
          <w:kern w:val="0"/>
          <w:szCs w:val="21"/>
        </w:rPr>
        <w:t>合同总金额的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spacing w:val="-6"/>
          <w:kern w:val="0"/>
          <w:szCs w:val="21"/>
        </w:rPr>
        <w:t>1</w:t>
      </w:r>
      <w:r>
        <w:rPr>
          <w:rFonts w:hint="eastAsia" w:ascii="宋体" w:hAnsi="宋体" w:eastAsia="宋体" w:cs="宋体"/>
          <w:color w:val="auto"/>
          <w:kern w:val="0"/>
          <w:szCs w:val="21"/>
        </w:rPr>
        <w:t>）预付款方式：</w:t>
      </w:r>
    </w:p>
    <w:p w14:paraId="5EC8E5A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w:t>
      </w:r>
      <w:bookmarkStart w:id="55" w:name="OLE_LINK9"/>
      <w:bookmarkStart w:id="56" w:name="OLE_LINK7"/>
      <w:bookmarkStart w:id="57" w:name="OLE_LINK10"/>
      <w:bookmarkStart w:id="58" w:name="OLE_LINK8"/>
      <w:r>
        <w:rPr>
          <w:rFonts w:hint="eastAsia" w:ascii="宋体" w:hAnsi="宋体" w:eastAsia="宋体" w:cs="宋体"/>
          <w:color w:val="auto"/>
          <w:szCs w:val="21"/>
        </w:rPr>
        <w:t>根据</w:t>
      </w:r>
      <w:bookmarkStart w:id="59" w:name="OLE_LINK6"/>
      <w:bookmarkStart w:id="60" w:name="OLE_LINK5"/>
      <w:r>
        <w:rPr>
          <w:rFonts w:hint="eastAsia" w:ascii="宋体" w:hAnsi="宋体" w:eastAsia="宋体" w:cs="宋体"/>
          <w:color w:val="auto"/>
          <w:szCs w:val="21"/>
        </w:rPr>
        <w:t>《浙江省财政厅关于进一步发挥政府采购政策功能全力推动经济稳进提质的通知》</w:t>
      </w:r>
      <w:bookmarkEnd w:id="59"/>
      <w:bookmarkEnd w:id="60"/>
      <w:r>
        <w:rPr>
          <w:rFonts w:hint="eastAsia" w:ascii="宋体" w:hAnsi="宋体" w:eastAsia="宋体" w:cs="宋体"/>
          <w:color w:val="auto"/>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55398FC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r>
        <w:rPr>
          <w:rFonts w:hint="eastAsia" w:ascii="宋体" w:hAnsi="宋体" w:eastAsia="宋体" w:cs="宋体"/>
          <w:color w:val="auto"/>
          <w:szCs w:val="21"/>
        </w:rPr>
        <w:t>原则上不低于合同金额的30％，不高于合同金额的60%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6B554E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①</w:t>
      </w:r>
      <w:r>
        <w:rPr>
          <w:rFonts w:hint="eastAsia" w:ascii="宋体" w:hAnsi="宋体" w:eastAsia="宋体" w:cs="宋体"/>
          <w:bCs/>
          <w:color w:val="auto"/>
          <w:kern w:val="0"/>
          <w:szCs w:val="21"/>
        </w:rPr>
        <w:t>货到分期付款：</w:t>
      </w:r>
      <w:r>
        <w:rPr>
          <w:rFonts w:hint="eastAsia" w:ascii="宋体" w:hAnsi="宋体" w:eastAsia="宋体" w:cs="宋体"/>
          <w:color w:val="auto"/>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②货到一次性支付：</w:t>
      </w:r>
    </w:p>
    <w:p w14:paraId="0C568A2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③其它支付形式：                 </w:t>
      </w:r>
    </w:p>
    <w:p w14:paraId="0B6DC59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单位名称：杭州电子科技大学。税号：12330000470009026T</w:t>
      </w:r>
    </w:p>
    <w:p w14:paraId="6D4D24F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五、转包或分包</w:t>
      </w:r>
    </w:p>
    <w:p w14:paraId="03EEB8D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rPr>
      </w:pPr>
      <w:r>
        <w:rPr>
          <w:rFonts w:hint="eastAsia" w:ascii="宋体" w:hAnsi="宋体" w:eastAsia="宋体" w:cs="宋体"/>
          <w:color w:val="auto"/>
          <w:szCs w:val="21"/>
        </w:rPr>
        <w:t>2</w:t>
      </w:r>
      <w:r>
        <w:rPr>
          <w:rFonts w:hint="eastAsia" w:ascii="宋体" w:hAnsi="宋体" w:eastAsia="宋体" w:cs="宋体"/>
          <w:snapToGrid w:val="0"/>
          <w:color w:val="auto"/>
          <w:spacing w:val="-6"/>
          <w:szCs w:val="21"/>
        </w:rPr>
        <w:t>.</w:t>
      </w:r>
      <w:r>
        <w:rPr>
          <w:rFonts w:hint="eastAsia" w:ascii="宋体" w:hAnsi="宋体" w:eastAsia="宋体" w:cs="宋体"/>
          <w:snapToGrid w:val="0"/>
          <w:color w:val="auto"/>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pacing w:val="-6"/>
          <w:szCs w:val="21"/>
        </w:rPr>
        <w:t>.</w:t>
      </w:r>
      <w:r>
        <w:rPr>
          <w:rFonts w:hint="eastAsia" w:ascii="宋体" w:hAnsi="宋体" w:eastAsia="宋体" w:cs="宋体"/>
          <w:color w:val="auto"/>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六、货物交付</w:t>
      </w:r>
    </w:p>
    <w:p w14:paraId="61891480">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交货期：自合同签订之日起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日内。</w:t>
      </w:r>
    </w:p>
    <w:p w14:paraId="19CFAF8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交货方式：</w:t>
      </w:r>
      <w:bookmarkStart w:id="62" w:name="_Hlk155602651"/>
      <w:r>
        <w:rPr>
          <w:rFonts w:hint="eastAsia" w:ascii="宋体" w:hAnsi="宋体" w:eastAsia="宋体" w:cs="宋体"/>
          <w:color w:val="auto"/>
          <w:kern w:val="0"/>
          <w:szCs w:val="21"/>
        </w:rPr>
        <w:t>　　　送货上门　　</w:t>
      </w:r>
      <w:bookmarkStart w:id="63" w:name="_Hlk155602451"/>
      <w:r>
        <w:rPr>
          <w:rFonts w:hint="eastAsia" w:ascii="宋体" w:hAnsi="宋体" w:eastAsia="宋体" w:cs="宋体"/>
          <w:color w:val="auto"/>
          <w:kern w:val="0"/>
          <w:szCs w:val="21"/>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交货地点：</w:t>
      </w:r>
      <w:bookmarkStart w:id="64" w:name="_Hlk155602663"/>
      <w:r>
        <w:rPr>
          <w:rFonts w:hint="eastAsia" w:ascii="宋体" w:hAnsi="宋体" w:eastAsia="宋体" w:cs="宋体"/>
          <w:color w:val="auto"/>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联系人及电话：</w:t>
      </w:r>
      <w:bookmarkStart w:id="65" w:name="_Hlk155181628"/>
      <w:r>
        <w:rPr>
          <w:rFonts w:hint="eastAsia" w:ascii="宋体" w:hAnsi="宋体" w:eastAsia="宋体" w:cs="宋体"/>
          <w:color w:val="auto"/>
          <w:kern w:val="0"/>
          <w:szCs w:val="21"/>
        </w:rPr>
        <w:t>甲方 姓名_________联系电话</w:t>
      </w:r>
      <w:r>
        <w:rPr>
          <w:rFonts w:hint="eastAsia" w:ascii="宋体" w:hAnsi="宋体" w:eastAsia="宋体" w:cs="宋体"/>
          <w:color w:val="auto"/>
          <w:kern w:val="0"/>
          <w:szCs w:val="21"/>
          <w:u w:val="single"/>
        </w:rPr>
        <w:t xml:space="preserve">（办公电话及手机号） </w:t>
      </w:r>
      <w:r>
        <w:rPr>
          <w:rFonts w:hint="eastAsia" w:ascii="宋体" w:hAnsi="宋体" w:eastAsia="宋体" w:cs="宋体"/>
          <w:color w:val="auto"/>
          <w:kern w:val="0"/>
          <w:szCs w:val="21"/>
        </w:rPr>
        <w:t>；乙方 姓名 __________联系电话</w:t>
      </w:r>
      <w:r>
        <w:rPr>
          <w:rFonts w:hint="eastAsia" w:ascii="宋体" w:hAnsi="宋体" w:eastAsia="宋体" w:cs="宋体"/>
          <w:color w:val="auto"/>
          <w:kern w:val="0"/>
          <w:szCs w:val="21"/>
          <w:u w:val="single"/>
        </w:rPr>
        <w:t xml:space="preserve">（办公电话及手机号） </w:t>
      </w:r>
      <w:bookmarkEnd w:id="65"/>
      <w:r>
        <w:rPr>
          <w:rFonts w:hint="eastAsia" w:ascii="宋体" w:hAnsi="宋体" w:eastAsia="宋体" w:cs="宋体"/>
          <w:color w:val="auto"/>
          <w:kern w:val="0"/>
          <w:szCs w:val="21"/>
        </w:rPr>
        <w:t>。</w:t>
      </w:r>
    </w:p>
    <w:p w14:paraId="3652BAA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7</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七、安装与验收</w:t>
      </w:r>
    </w:p>
    <w:p w14:paraId="5FA2C7D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最终验收：货物经安装调试完成且符合技术要求后，甲方负责在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八、质量保证与售后服务</w:t>
      </w:r>
    </w:p>
    <w:p w14:paraId="4B1F2B82">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w:t>
      </w:r>
      <w:bookmarkStart w:id="67" w:name="_Hlk154577956"/>
      <w:r>
        <w:rPr>
          <w:rFonts w:hint="eastAsia" w:ascii="宋体" w:hAnsi="宋体" w:eastAsia="宋体" w:cs="宋体"/>
          <w:color w:val="auto"/>
          <w:kern w:val="0"/>
          <w:szCs w:val="21"/>
        </w:rPr>
        <w:t>应按采购文件规定的货物性能、技术要求、质量标准向甲方提供</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售后服务</w:t>
      </w:r>
    </w:p>
    <w:p w14:paraId="5A5C516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2.1远程技术支持：乙方应具有稳定的技术支持队伍和完善的服务支持网络，提供</w:t>
      </w:r>
      <w:r>
        <w:rPr>
          <w:rFonts w:hint="eastAsia" w:ascii="宋体" w:hAnsi="宋体" w:eastAsia="宋体" w:cs="宋体"/>
          <w:color w:val="auto"/>
          <w:kern w:val="0"/>
          <w:szCs w:val="21"/>
          <w:u w:val="single"/>
        </w:rPr>
        <w:t xml:space="preserve"> 7×24小时 </w:t>
      </w:r>
      <w:r>
        <w:rPr>
          <w:rFonts w:hint="eastAsia" w:ascii="宋体" w:hAnsi="宋体" w:eastAsia="宋体" w:cs="宋体"/>
          <w:color w:val="auto"/>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2.2现场技术支持：对于通过电话、邮件等远程技术支持不能解决的问题，乙方应在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小时内派遣相关人员赶赴现场，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小时内维修完毕；发生紧急抢修事故的，乙方应在接到甲方通知后</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小时内到达现场抢修，并于到达现场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小时之内排除故障。乙方未在约定时间内修复的或同一货物经</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九、保密条款</w:t>
      </w:r>
    </w:p>
    <w:p w14:paraId="3809072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十、违约责任</w:t>
      </w:r>
    </w:p>
    <w:p w14:paraId="04F9E46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甲方无故逾期验收和办理货款支付手续的，每逾期一日，应按逾期付款总额</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向乙方支付违约金。</w:t>
      </w:r>
    </w:p>
    <w:p w14:paraId="460FC2F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乙方逾期交货完工的，每逾期一日，应按合同总价</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向甲方支付违约金。逾期超过约定日期</w:t>
      </w:r>
      <w:r>
        <w:rPr>
          <w:rFonts w:hint="eastAsia" w:ascii="宋体" w:hAnsi="宋体" w:eastAsia="宋体" w:cs="宋体"/>
          <w:color w:val="auto"/>
          <w:kern w:val="0"/>
          <w:szCs w:val="21"/>
          <w:u w:val="single"/>
        </w:rPr>
        <w:t xml:space="preserve"> 10 </w:t>
      </w:r>
      <w:r>
        <w:rPr>
          <w:rFonts w:hint="eastAsia" w:ascii="宋体" w:hAnsi="宋体" w:eastAsia="宋体" w:cs="宋体"/>
          <w:color w:val="auto"/>
          <w:kern w:val="0"/>
          <w:szCs w:val="21"/>
        </w:rPr>
        <w:t>个工作日不能交货完工的，甲方有权解除本合同，并要求乙方支付合同总价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乙方未能按约定要求履行保修义务的，</w:t>
      </w:r>
      <w:bookmarkStart w:id="68" w:name="_Hlk154755811"/>
      <w:r>
        <w:rPr>
          <w:rFonts w:hint="eastAsia" w:ascii="宋体" w:hAnsi="宋体" w:eastAsia="宋体" w:cs="宋体"/>
          <w:color w:val="auto"/>
          <w:kern w:val="0"/>
          <w:szCs w:val="21"/>
        </w:rPr>
        <w:t>每发生一次应向甲方支付</w:t>
      </w:r>
      <w:r>
        <w:rPr>
          <w:rFonts w:hint="eastAsia" w:ascii="宋体" w:hAnsi="宋体" w:eastAsia="宋体" w:cs="宋体"/>
          <w:color w:val="auto"/>
          <w:kern w:val="0"/>
          <w:szCs w:val="21"/>
          <w:u w:val="single"/>
        </w:rPr>
        <w:t>1000</w:t>
      </w:r>
      <w:r>
        <w:rPr>
          <w:rFonts w:hint="eastAsia" w:ascii="宋体" w:hAnsi="宋体" w:eastAsia="宋体" w:cs="宋体"/>
          <w:color w:val="auto"/>
          <w:kern w:val="0"/>
          <w:szCs w:val="21"/>
        </w:rPr>
        <w:t>元的违约金，同时，甲方有权委托第三方进行保修，所产生的费用由乙方承担。</w:t>
      </w:r>
      <w:bookmarkEnd w:id="68"/>
      <w:r>
        <w:rPr>
          <w:rFonts w:hint="eastAsia" w:ascii="宋体" w:hAnsi="宋体" w:eastAsia="宋体" w:cs="宋体"/>
          <w:color w:val="auto"/>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 xml:space="preserve">因乙方其他违约行为导致甲方解除合同的，乙方应向甲方支付合同总价 </w:t>
      </w:r>
      <w:r>
        <w:rPr>
          <w:rFonts w:hint="eastAsia" w:ascii="宋体" w:hAnsi="宋体" w:eastAsia="宋体" w:cs="宋体"/>
          <w:color w:val="auto"/>
          <w:kern w:val="0"/>
          <w:szCs w:val="21"/>
          <w:u w:val="single"/>
        </w:rPr>
        <w:t>5 %</w:t>
      </w:r>
      <w:r>
        <w:rPr>
          <w:rFonts w:hint="eastAsia" w:ascii="宋体" w:hAnsi="宋体" w:eastAsia="宋体" w:cs="宋体"/>
          <w:color w:val="auto"/>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十一、不可抗力</w:t>
      </w:r>
    </w:p>
    <w:p w14:paraId="1DED66C8">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十三、合同生效及其他</w:t>
      </w:r>
    </w:p>
    <w:p w14:paraId="5CAF751C">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本次采购过程中形成的招标（非招标）文件、投标（响应）文件、澄清承诺、补充协议、附件等</w:t>
      </w:r>
      <w:r>
        <w:rPr>
          <w:rFonts w:hint="eastAsia" w:ascii="宋体" w:hAnsi="宋体" w:eastAsia="宋体" w:cs="宋体"/>
          <w:color w:val="auto"/>
          <w:kern w:val="0"/>
          <w:szCs w:val="21"/>
          <w:lang w:val="zh-CN"/>
        </w:rPr>
        <w:t>为本合同的组成部分，并构成一个整体，需综合解释、相互补充。如果</w:t>
      </w:r>
      <w:r>
        <w:rPr>
          <w:rFonts w:hint="eastAsia" w:ascii="宋体" w:hAnsi="宋体" w:eastAsia="宋体" w:cs="宋体"/>
          <w:color w:val="auto"/>
          <w:kern w:val="0"/>
          <w:szCs w:val="21"/>
        </w:rPr>
        <w:t>上述</w:t>
      </w:r>
      <w:r>
        <w:rPr>
          <w:rFonts w:hint="eastAsia" w:ascii="宋体" w:hAnsi="宋体" w:eastAsia="宋体" w:cs="宋体"/>
          <w:color w:val="auto"/>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（2）中标（成交）通知书；</w:t>
      </w:r>
    </w:p>
    <w:p w14:paraId="191C4F83">
      <w:pPr>
        <w:spacing w:line="288" w:lineRule="auto"/>
        <w:ind w:firstLine="420" w:firstLineChars="200"/>
        <w:jc w:val="left"/>
        <w:rPr>
          <w:rFonts w:hint="eastAsia" w:ascii="宋体" w:hAnsi="宋体" w:eastAsia="宋体" w:cs="宋体"/>
          <w:color w:val="auto"/>
          <w:kern w:val="0"/>
          <w:szCs w:val="21"/>
          <w:lang w:val="zh-CN"/>
        </w:rPr>
      </w:pPr>
      <w:r>
        <w:rPr>
          <w:rFonts w:hint="eastAsia" w:ascii="宋体" w:hAnsi="宋体" w:eastAsia="宋体" w:cs="宋体"/>
          <w:color w:val="auto"/>
          <w:kern w:val="0"/>
          <w:szCs w:val="21"/>
        </w:rPr>
        <w:t>（3）投标（</w:t>
      </w:r>
      <w:r>
        <w:rPr>
          <w:rFonts w:hint="eastAsia" w:ascii="宋体" w:hAnsi="宋体" w:eastAsia="宋体" w:cs="宋体"/>
          <w:color w:val="auto"/>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lang w:val="zh-CN"/>
        </w:rPr>
      </w:pPr>
      <w:r>
        <w:rPr>
          <w:rFonts w:hint="eastAsia" w:ascii="宋体" w:hAnsi="宋体" w:eastAsia="宋体" w:cs="宋体"/>
          <w:color w:val="auto"/>
          <w:kern w:val="0"/>
          <w:szCs w:val="21"/>
        </w:rPr>
        <w:t>（4）招标（非招标）</w:t>
      </w:r>
      <w:r>
        <w:rPr>
          <w:rFonts w:hint="eastAsia" w:ascii="宋体" w:hAnsi="宋体" w:eastAsia="宋体" w:cs="宋体"/>
          <w:color w:val="auto"/>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rPr>
      </w:pPr>
      <w:r>
        <w:rPr>
          <w:rFonts w:hint="eastAsia" w:ascii="宋体" w:hAnsi="宋体" w:eastAsia="宋体" w:cs="宋体"/>
          <w:snapToGrid w:val="0"/>
          <w:color w:val="auto"/>
          <w:szCs w:val="21"/>
        </w:rPr>
        <w:t>（5）</w:t>
      </w:r>
      <w:r>
        <w:rPr>
          <w:rFonts w:hint="eastAsia" w:ascii="宋体" w:hAnsi="宋体" w:eastAsia="宋体" w:cs="宋体"/>
          <w:snapToGrid w:val="0"/>
          <w:color w:val="auto"/>
          <w:szCs w:val="21"/>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rPr>
      </w:pPr>
      <w:r>
        <w:rPr>
          <w:rFonts w:hint="eastAsia" w:ascii="宋体" w:hAnsi="宋体" w:eastAsia="宋体" w:cs="宋体"/>
          <w:color w:val="auto"/>
          <w:spacing w:val="-6"/>
          <w:kern w:val="0"/>
          <w:szCs w:val="21"/>
        </w:rPr>
        <w:t>5.</w:t>
      </w:r>
      <w:r>
        <w:rPr>
          <w:rFonts w:hint="eastAsia" w:ascii="宋体" w:hAnsi="宋体" w:eastAsia="宋体" w:cs="宋体"/>
          <w:color w:val="auto"/>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rPr>
      </w:pPr>
    </w:p>
    <w:p w14:paraId="77A0E00A">
      <w:pPr>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rPr>
          <w:trHeight w:val="632" w:hRule="atLeast"/>
          <w:jc w:val="center"/>
        </w:trPr>
        <w:tc>
          <w:tcPr>
            <w:tcW w:w="5073" w:type="dxa"/>
            <w:vAlign w:val="center"/>
          </w:tcPr>
          <w:p w14:paraId="6F9F8C60">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6D93DCD">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53AA9753">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527C2D28">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00DD47D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2BCC72C0">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08D227E3">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51BF4E51">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14B04C9A">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62AE2FE9">
            <w:pPr>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83B985C">
            <w:pPr>
              <w:spacing w:line="288"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代表人：</w:t>
            </w:r>
          </w:p>
          <w:p w14:paraId="1150D2A6">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64ADD9E2">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7C8C9A0D">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38FED497">
            <w:pPr>
              <w:snapToGrid w:val="0"/>
              <w:spacing w:line="288" w:lineRule="auto"/>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hint="eastAsia"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hint="eastAsia" w:ascii="宋体" w:hAnsi="宋体" w:eastAsia="宋体" w:cs="Times New Roman"/>
          <w:b/>
          <w:bCs/>
          <w:color w:val="auto"/>
          <w:spacing w:val="-6"/>
          <w:sz w:val="24"/>
          <w:szCs w:val="24"/>
        </w:rPr>
      </w:pPr>
    </w:p>
    <w:p w14:paraId="77A61967">
      <w:pPr>
        <w:adjustRightInd w:val="0"/>
        <w:snapToGrid w:val="0"/>
        <w:spacing w:line="288" w:lineRule="auto"/>
        <w:jc w:val="center"/>
        <w:rPr>
          <w:rFonts w:hint="eastAsia"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hint="eastAsia"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hint="eastAsia" w:ascii="宋体" w:hAnsi="宋体" w:eastAsia="宋体" w:cs="宋体"/>
          <w:b/>
          <w:color w:val="auto"/>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69" w:name="_Hlk81815656"/>
      <w:r>
        <w:rPr>
          <w:rFonts w:hint="eastAsia" w:ascii="宋体" w:hAnsi="宋体" w:eastAsia="宋体" w:cs="Times New Roman"/>
          <w:color w:val="auto"/>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70" w:name="_Hlk81815359"/>
      <w:r>
        <w:rPr>
          <w:rFonts w:hint="eastAsia" w:ascii="宋体" w:hAnsi="宋体" w:eastAsia="宋体" w:cs="Times New Roman"/>
          <w:color w:val="auto"/>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71" w:name="OLE_LINK13"/>
      <w:bookmarkStart w:id="72" w:name="OLE_LINK14"/>
      <w:r>
        <w:rPr>
          <w:rFonts w:hint="eastAsia" w:ascii="宋体" w:hAnsi="宋体" w:eastAsia="宋体" w:cs="Times New Roman"/>
          <w:color w:val="auto"/>
          <w:spacing w:val="-6"/>
          <w:szCs w:val="21"/>
        </w:rPr>
        <w:t>残疾人福利性单位声明函</w:t>
      </w:r>
      <w:bookmarkEnd w:id="71"/>
      <w:bookmarkEnd w:id="72"/>
      <w:bookmarkStart w:id="73" w:name="_Hlk81815372"/>
      <w:r>
        <w:rPr>
          <w:rFonts w:hint="eastAsia" w:ascii="宋体" w:hAnsi="宋体" w:eastAsia="宋体" w:cs="Times New Roman"/>
          <w:color w:val="auto"/>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hint="eastAsia"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hint="eastAsia"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hint="eastAsia"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hint="eastAsia"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hint="eastAsia"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hint="eastAsia"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hint="eastAsia"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hint="eastAsia"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hint="eastAsia" w:ascii="宋体" w:hAnsi="宋体" w:eastAsia="宋体" w:cs="Times New Roman"/>
                <w:color w:val="auto"/>
                <w:szCs w:val="21"/>
              </w:rPr>
            </w:pPr>
          </w:p>
        </w:tc>
        <w:tc>
          <w:tcPr>
            <w:tcW w:w="882" w:type="dxa"/>
          </w:tcPr>
          <w:p w14:paraId="6FF943A5">
            <w:pPr>
              <w:adjustRightInd w:val="0"/>
              <w:snapToGrid w:val="0"/>
              <w:spacing w:line="288" w:lineRule="auto"/>
              <w:jc w:val="center"/>
              <w:rPr>
                <w:rFonts w:hint="eastAsia"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hint="eastAsia"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hint="eastAsia"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hint="eastAsia"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hint="eastAsia"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hint="eastAsia"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hint="eastAsia"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hint="eastAsia"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hint="eastAsia"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hint="eastAsia"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hint="eastAsia"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hint="eastAsia"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hint="eastAsia"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hint="eastAsia"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hint="eastAsia" w:ascii="宋体" w:hAnsi="宋体" w:eastAsia="宋体" w:cs="Times New Roman"/>
                <w:color w:val="auto"/>
                <w:spacing w:val="-6"/>
                <w:szCs w:val="21"/>
              </w:rPr>
            </w:pPr>
          </w:p>
        </w:tc>
      </w:tr>
    </w:tbl>
    <w:p w14:paraId="67490BE6">
      <w:pPr>
        <w:adjustRightInd w:val="0"/>
        <w:snapToGrid w:val="0"/>
        <w:spacing w:line="288" w:lineRule="auto"/>
        <w:rPr>
          <w:rFonts w:hint="eastAsia" w:ascii="宋体" w:hAnsi="宋体" w:eastAsia="宋体" w:cs="Times New Roman"/>
          <w:color w:val="auto"/>
          <w:spacing w:val="-6"/>
          <w:szCs w:val="21"/>
        </w:rPr>
      </w:pPr>
    </w:p>
    <w:p w14:paraId="7CEAFD55">
      <w:pPr>
        <w:widowControl/>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hint="eastAsia" w:ascii="宋体" w:hAnsi="宋体" w:eastAsia="宋体" w:cs="宋体"/>
          <w:b/>
          <w:bCs/>
          <w:color w:val="auto"/>
          <w:sz w:val="24"/>
          <w:szCs w:val="24"/>
        </w:rPr>
      </w:pPr>
    </w:p>
    <w:p w14:paraId="1C71A8AA">
      <w:pPr>
        <w:adjustRightInd w:val="0"/>
        <w:snapToGrid w:val="0"/>
        <w:spacing w:line="288" w:lineRule="auto"/>
        <w:jc w:val="center"/>
        <w:rPr>
          <w:rFonts w:hint="eastAsia" w:ascii="宋体" w:hAnsi="宋体" w:eastAsia="宋体" w:cs="宋体"/>
          <w:b/>
          <w:bCs/>
          <w:color w:val="auto"/>
          <w:sz w:val="24"/>
          <w:szCs w:val="24"/>
        </w:rPr>
      </w:pPr>
    </w:p>
    <w:p w14:paraId="2BED115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hint="eastAsia" w:ascii="宋体" w:hAnsi="宋体" w:eastAsia="宋体" w:cs="Times New Roman"/>
          <w:bCs/>
          <w:color w:val="auto"/>
          <w:spacing w:val="-6"/>
          <w:szCs w:val="21"/>
        </w:rPr>
      </w:pPr>
    </w:p>
    <w:p w14:paraId="4C6928BE">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color w:val="auto"/>
          <w:spacing w:val="-6"/>
          <w:szCs w:val="21"/>
        </w:rPr>
      </w:pPr>
    </w:p>
    <w:p w14:paraId="09AC6A6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color w:val="auto"/>
          <w:spacing w:val="-6"/>
          <w:szCs w:val="21"/>
        </w:rPr>
      </w:pPr>
    </w:p>
    <w:p w14:paraId="50FEAEB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color w:val="auto"/>
          <w:szCs w:val="21"/>
        </w:rPr>
      </w:pPr>
    </w:p>
    <w:p w14:paraId="03BE7C8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hint="eastAsia" w:ascii="宋体" w:hAnsi="宋体" w:eastAsia="宋体" w:cs="宋体"/>
          <w:b/>
          <w:color w:val="auto"/>
          <w:spacing w:val="-6"/>
          <w:szCs w:val="21"/>
        </w:rPr>
      </w:pPr>
    </w:p>
    <w:p w14:paraId="5155161B">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hint="eastAsia" w:ascii="宋体" w:hAnsi="宋体" w:eastAsia="宋体" w:cs="Times New Roman"/>
          <w:color w:val="auto"/>
          <w:spacing w:val="-6"/>
          <w:szCs w:val="21"/>
        </w:rPr>
      </w:pPr>
    </w:p>
    <w:p w14:paraId="42C9782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color w:val="auto"/>
          <w:spacing w:val="-6"/>
          <w:szCs w:val="21"/>
        </w:rPr>
      </w:pPr>
    </w:p>
    <w:p w14:paraId="275A0BF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杭州电子科技大学量子材料和器件模拟仿真平台</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w:t>
      </w:r>
      <w:r>
        <w:rPr>
          <w:rFonts w:hint="eastAsia" w:ascii="宋体" w:hAnsi="宋体" w:eastAsia="宋体" w:cs="Times New Roman"/>
          <w:bCs/>
          <w:color w:val="auto"/>
          <w:spacing w:val="-6"/>
          <w:szCs w:val="21"/>
          <w:u w:val="single"/>
          <w:lang w:eastAsia="zh-CN"/>
        </w:rPr>
        <w:t>QSZBB250271ZHGK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hint="eastAsia"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hint="eastAsia"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hint="eastAsia"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hint="eastAsia"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hint="eastAsia"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hint="eastAsia"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hint="eastAsia" w:ascii="宋体" w:hAnsi="宋体" w:eastAsia="宋体" w:cs="Times New Roman"/>
                <w:color w:val="auto"/>
                <w:spacing w:val="-6"/>
                <w:szCs w:val="21"/>
              </w:rPr>
            </w:pPr>
          </w:p>
        </w:tc>
      </w:tr>
    </w:tbl>
    <w:p w14:paraId="69CF19CB">
      <w:pPr>
        <w:adjustRightInd w:val="0"/>
        <w:snapToGrid w:val="0"/>
        <w:spacing w:line="288" w:lineRule="auto"/>
        <w:rPr>
          <w:rFonts w:hint="eastAsia" w:ascii="宋体" w:hAnsi="宋体" w:eastAsia="宋体" w:cs="Times New Roman"/>
          <w:color w:val="auto"/>
          <w:spacing w:val="-6"/>
          <w:szCs w:val="21"/>
        </w:rPr>
      </w:pPr>
    </w:p>
    <w:p w14:paraId="260DE583">
      <w:pPr>
        <w:adjustRightInd w:val="0"/>
        <w:snapToGrid w:val="0"/>
        <w:spacing w:line="288" w:lineRule="auto"/>
        <w:rPr>
          <w:rFonts w:hint="eastAsia" w:ascii="宋体" w:hAnsi="宋体" w:eastAsia="宋体" w:cs="Times New Roman"/>
          <w:color w:val="auto"/>
          <w:spacing w:val="-6"/>
          <w:szCs w:val="21"/>
        </w:rPr>
      </w:pPr>
    </w:p>
    <w:p w14:paraId="318AB8CC">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hint="eastAsia" w:ascii="宋体" w:hAnsi="宋体" w:eastAsia="宋体" w:cs="Times New Roman"/>
          <w:b/>
          <w:bCs/>
          <w:color w:val="auto"/>
          <w:spacing w:val="-6"/>
          <w:szCs w:val="21"/>
        </w:rPr>
      </w:pPr>
    </w:p>
    <w:p w14:paraId="66F419B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杭州电子科技大学量子材料和器件模拟仿真平台项目（项目编号：</w:t>
      </w:r>
      <w:r>
        <w:rPr>
          <w:rFonts w:hint="eastAsia" w:ascii="宋体" w:hAnsi="宋体" w:eastAsia="宋体" w:cs="Times New Roman"/>
          <w:bCs/>
          <w:color w:val="auto"/>
          <w:spacing w:val="-6"/>
          <w:szCs w:val="21"/>
          <w:lang w:eastAsia="zh-CN"/>
        </w:rPr>
        <w:t>QSZBB250271ZHGK</w:t>
      </w:r>
      <w:r>
        <w:rPr>
          <w:rFonts w:hint="eastAsia" w:ascii="宋体" w:hAnsi="宋体" w:eastAsia="宋体" w:cs="Times New Roman"/>
          <w:bCs/>
          <w:color w:val="auto"/>
          <w:spacing w:val="-6"/>
          <w:szCs w:val="21"/>
        </w:rPr>
        <w:t>）</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color w:val="auto"/>
          <w:spacing w:val="-6"/>
          <w:szCs w:val="21"/>
        </w:rPr>
      </w:pPr>
    </w:p>
    <w:p w14:paraId="279324C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hint="eastAsia" w:ascii="宋体" w:hAnsi="宋体" w:eastAsia="宋体" w:cs="Times New Roman"/>
          <w:color w:val="auto"/>
          <w:szCs w:val="21"/>
        </w:rPr>
      </w:pPr>
    </w:p>
    <w:p w14:paraId="244DAF51">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hint="eastAsia" w:ascii="宋体" w:hAnsi="宋体" w:eastAsia="宋体" w:cs="Times New Roman"/>
          <w:color w:val="auto"/>
          <w:szCs w:val="21"/>
        </w:rPr>
      </w:pPr>
    </w:p>
    <w:p w14:paraId="60691A99">
      <w:pPr>
        <w:adjustRightInd w:val="0"/>
        <w:snapToGrid w:val="0"/>
        <w:spacing w:line="288" w:lineRule="auto"/>
        <w:rPr>
          <w:rFonts w:hint="eastAsia" w:ascii="宋体" w:hAnsi="宋体" w:eastAsia="宋体" w:cs="Times New Roman"/>
          <w:color w:val="auto"/>
          <w:szCs w:val="21"/>
        </w:rPr>
      </w:pPr>
    </w:p>
    <w:p w14:paraId="6543E901">
      <w:pPr>
        <w:adjustRightInd w:val="0"/>
        <w:snapToGrid w:val="0"/>
        <w:spacing w:line="288" w:lineRule="auto"/>
        <w:jc w:val="center"/>
        <w:outlineLvl w:val="2"/>
        <w:rPr>
          <w:rFonts w:hint="eastAsia"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hint="eastAsia"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hint="eastAsia"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hint="eastAsia"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hint="eastAsia"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hint="eastAsia"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hint="eastAsia"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hint="eastAsia"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hint="eastAsia" w:ascii="宋体" w:hAnsi="宋体" w:eastAsia="宋体" w:cs="宋体"/>
                <w:b/>
                <w:bCs/>
                <w:color w:val="auto"/>
                <w:szCs w:val="21"/>
              </w:rPr>
            </w:pPr>
          </w:p>
        </w:tc>
      </w:tr>
    </w:tbl>
    <w:p w14:paraId="7BB882B0">
      <w:pPr>
        <w:adjustRightInd w:val="0"/>
        <w:snapToGrid w:val="0"/>
        <w:spacing w:line="288" w:lineRule="auto"/>
        <w:rPr>
          <w:rFonts w:hint="eastAsia" w:ascii="宋体" w:hAnsi="宋体" w:eastAsia="宋体" w:cs="Times New Roman"/>
          <w:color w:val="auto"/>
          <w:szCs w:val="21"/>
        </w:rPr>
      </w:pPr>
    </w:p>
    <w:p w14:paraId="0A2D736E">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color w:val="auto"/>
          <w:spacing w:val="-6"/>
          <w:szCs w:val="21"/>
        </w:rPr>
      </w:pPr>
    </w:p>
    <w:p w14:paraId="6E3DE3F5">
      <w:pPr>
        <w:adjustRightInd w:val="0"/>
        <w:snapToGrid w:val="0"/>
        <w:spacing w:line="288" w:lineRule="auto"/>
        <w:rPr>
          <w:rFonts w:hint="eastAsia" w:ascii="宋体" w:hAnsi="宋体" w:eastAsia="宋体" w:cs="Times New Roman"/>
          <w:color w:val="auto"/>
          <w:spacing w:val="-6"/>
          <w:szCs w:val="21"/>
        </w:rPr>
      </w:pPr>
    </w:p>
    <w:p w14:paraId="1F46849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项目名称：量子材料和器件模拟仿真平台</w:t>
      </w:r>
    </w:p>
    <w:p w14:paraId="1F7E0C6C">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QSZBB250271ZHGK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hint="eastAsia" w:ascii="宋体" w:hAnsi="宋体" w:eastAsia="宋体" w:cs="宋体"/>
                <w:color w:val="auto"/>
                <w:szCs w:val="21"/>
              </w:rPr>
            </w:pPr>
          </w:p>
        </w:tc>
        <w:tc>
          <w:tcPr>
            <w:tcW w:w="2574" w:type="dxa"/>
            <w:vAlign w:val="center"/>
          </w:tcPr>
          <w:p w14:paraId="702CD0E8">
            <w:pPr>
              <w:adjustRightInd w:val="0"/>
              <w:snapToGrid w:val="0"/>
              <w:spacing w:line="288" w:lineRule="auto"/>
              <w:rPr>
                <w:rFonts w:hint="eastAsia" w:ascii="宋体" w:hAnsi="宋体" w:eastAsia="宋体" w:cs="宋体"/>
                <w:color w:val="auto"/>
                <w:szCs w:val="21"/>
              </w:rPr>
            </w:pPr>
          </w:p>
        </w:tc>
        <w:tc>
          <w:tcPr>
            <w:tcW w:w="2124" w:type="dxa"/>
            <w:vAlign w:val="center"/>
          </w:tcPr>
          <w:p w14:paraId="602EFA5A">
            <w:pPr>
              <w:adjustRightInd w:val="0"/>
              <w:snapToGrid w:val="0"/>
              <w:spacing w:line="288" w:lineRule="auto"/>
              <w:rPr>
                <w:rFonts w:hint="eastAsia"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hint="eastAsia" w:ascii="宋体" w:hAnsi="宋体" w:eastAsia="宋体" w:cs="宋体"/>
                <w:color w:val="auto"/>
                <w:szCs w:val="21"/>
              </w:rPr>
            </w:pPr>
          </w:p>
        </w:tc>
        <w:tc>
          <w:tcPr>
            <w:tcW w:w="2574" w:type="dxa"/>
            <w:vAlign w:val="center"/>
          </w:tcPr>
          <w:p w14:paraId="3887E5E7">
            <w:pPr>
              <w:adjustRightInd w:val="0"/>
              <w:snapToGrid w:val="0"/>
              <w:spacing w:line="288" w:lineRule="auto"/>
              <w:rPr>
                <w:rFonts w:hint="eastAsia" w:ascii="宋体" w:hAnsi="宋体" w:eastAsia="宋体" w:cs="宋体"/>
                <w:color w:val="auto"/>
                <w:szCs w:val="21"/>
              </w:rPr>
            </w:pPr>
          </w:p>
        </w:tc>
        <w:tc>
          <w:tcPr>
            <w:tcW w:w="2124" w:type="dxa"/>
            <w:vAlign w:val="center"/>
          </w:tcPr>
          <w:p w14:paraId="376258A4">
            <w:pPr>
              <w:adjustRightInd w:val="0"/>
              <w:snapToGrid w:val="0"/>
              <w:spacing w:line="288" w:lineRule="auto"/>
              <w:rPr>
                <w:rFonts w:hint="eastAsia"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hint="eastAsia" w:ascii="宋体" w:hAnsi="宋体" w:eastAsia="宋体" w:cs="宋体"/>
                <w:color w:val="auto"/>
                <w:szCs w:val="21"/>
              </w:rPr>
            </w:pPr>
          </w:p>
        </w:tc>
        <w:tc>
          <w:tcPr>
            <w:tcW w:w="2574" w:type="dxa"/>
            <w:vAlign w:val="center"/>
          </w:tcPr>
          <w:p w14:paraId="2E789987">
            <w:pPr>
              <w:adjustRightInd w:val="0"/>
              <w:snapToGrid w:val="0"/>
              <w:spacing w:line="288" w:lineRule="auto"/>
              <w:rPr>
                <w:rFonts w:hint="eastAsia" w:ascii="宋体" w:hAnsi="宋体" w:eastAsia="宋体" w:cs="宋体"/>
                <w:color w:val="auto"/>
                <w:szCs w:val="21"/>
              </w:rPr>
            </w:pPr>
          </w:p>
        </w:tc>
        <w:tc>
          <w:tcPr>
            <w:tcW w:w="2124" w:type="dxa"/>
            <w:vAlign w:val="center"/>
          </w:tcPr>
          <w:p w14:paraId="2374EA9A">
            <w:pPr>
              <w:adjustRightInd w:val="0"/>
              <w:snapToGrid w:val="0"/>
              <w:spacing w:line="288" w:lineRule="auto"/>
              <w:rPr>
                <w:rFonts w:hint="eastAsia"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hint="eastAsia"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hint="eastAsia"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hint="eastAsia"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hint="eastAsia"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hint="eastAsia"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hint="eastAsia" w:ascii="宋体" w:hAnsi="宋体" w:eastAsia="宋体" w:cs="宋体"/>
                <w:color w:val="auto"/>
                <w:szCs w:val="21"/>
              </w:rPr>
            </w:pPr>
          </w:p>
        </w:tc>
        <w:tc>
          <w:tcPr>
            <w:tcW w:w="2574" w:type="dxa"/>
            <w:vAlign w:val="center"/>
          </w:tcPr>
          <w:p w14:paraId="58B8E02A">
            <w:pPr>
              <w:adjustRightInd w:val="0"/>
              <w:snapToGrid w:val="0"/>
              <w:spacing w:line="288" w:lineRule="auto"/>
              <w:rPr>
                <w:rFonts w:hint="eastAsia" w:ascii="宋体" w:hAnsi="宋体" w:eastAsia="宋体" w:cs="宋体"/>
                <w:color w:val="auto"/>
                <w:szCs w:val="21"/>
              </w:rPr>
            </w:pPr>
          </w:p>
        </w:tc>
        <w:tc>
          <w:tcPr>
            <w:tcW w:w="2124" w:type="dxa"/>
            <w:vAlign w:val="center"/>
          </w:tcPr>
          <w:p w14:paraId="4091EEC4">
            <w:pPr>
              <w:adjustRightInd w:val="0"/>
              <w:snapToGrid w:val="0"/>
              <w:spacing w:line="288" w:lineRule="auto"/>
              <w:rPr>
                <w:rFonts w:hint="eastAsia"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hint="eastAsia" w:ascii="宋体" w:hAnsi="宋体" w:eastAsia="宋体" w:cs="宋体"/>
                <w:color w:val="auto"/>
                <w:szCs w:val="21"/>
              </w:rPr>
            </w:pPr>
          </w:p>
        </w:tc>
        <w:tc>
          <w:tcPr>
            <w:tcW w:w="2574" w:type="dxa"/>
            <w:vAlign w:val="center"/>
          </w:tcPr>
          <w:p w14:paraId="486C04ED">
            <w:pPr>
              <w:adjustRightInd w:val="0"/>
              <w:snapToGrid w:val="0"/>
              <w:spacing w:line="288" w:lineRule="auto"/>
              <w:rPr>
                <w:rFonts w:hint="eastAsia" w:ascii="宋体" w:hAnsi="宋体" w:eastAsia="宋体" w:cs="宋体"/>
                <w:color w:val="auto"/>
                <w:szCs w:val="21"/>
              </w:rPr>
            </w:pPr>
          </w:p>
        </w:tc>
        <w:tc>
          <w:tcPr>
            <w:tcW w:w="2124" w:type="dxa"/>
            <w:vAlign w:val="center"/>
          </w:tcPr>
          <w:p w14:paraId="558791D1">
            <w:pPr>
              <w:adjustRightInd w:val="0"/>
              <w:snapToGrid w:val="0"/>
              <w:spacing w:line="288" w:lineRule="auto"/>
              <w:rPr>
                <w:rFonts w:hint="eastAsia"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hint="eastAsia" w:ascii="宋体" w:hAnsi="宋体" w:eastAsia="宋体" w:cs="宋体"/>
                <w:color w:val="auto"/>
                <w:szCs w:val="21"/>
              </w:rPr>
            </w:pPr>
          </w:p>
        </w:tc>
        <w:tc>
          <w:tcPr>
            <w:tcW w:w="2574" w:type="dxa"/>
            <w:vAlign w:val="center"/>
          </w:tcPr>
          <w:p w14:paraId="1C372D07">
            <w:pPr>
              <w:adjustRightInd w:val="0"/>
              <w:snapToGrid w:val="0"/>
              <w:spacing w:line="288" w:lineRule="auto"/>
              <w:rPr>
                <w:rFonts w:hint="eastAsia" w:ascii="宋体" w:hAnsi="宋体" w:eastAsia="宋体" w:cs="宋体"/>
                <w:color w:val="auto"/>
                <w:szCs w:val="21"/>
              </w:rPr>
            </w:pPr>
          </w:p>
        </w:tc>
        <w:tc>
          <w:tcPr>
            <w:tcW w:w="2124" w:type="dxa"/>
            <w:vAlign w:val="center"/>
          </w:tcPr>
          <w:p w14:paraId="0680D771">
            <w:pPr>
              <w:adjustRightInd w:val="0"/>
              <w:snapToGrid w:val="0"/>
              <w:spacing w:line="288" w:lineRule="auto"/>
              <w:rPr>
                <w:rFonts w:hint="eastAsia" w:ascii="宋体" w:hAnsi="宋体" w:eastAsia="宋体" w:cs="宋体"/>
                <w:color w:val="auto"/>
                <w:szCs w:val="21"/>
              </w:rPr>
            </w:pPr>
          </w:p>
        </w:tc>
      </w:tr>
    </w:tbl>
    <w:p w14:paraId="49E53099">
      <w:pPr>
        <w:adjustRightInd w:val="0"/>
        <w:snapToGrid w:val="0"/>
        <w:spacing w:line="288" w:lineRule="auto"/>
        <w:rPr>
          <w:rFonts w:hint="eastAsia" w:ascii="宋体" w:hAnsi="宋体" w:eastAsia="宋体" w:cs="Times New Roman"/>
          <w:b/>
          <w:bCs/>
          <w:color w:val="auto"/>
          <w:spacing w:val="-6"/>
          <w:szCs w:val="21"/>
        </w:rPr>
      </w:pPr>
    </w:p>
    <w:p w14:paraId="59B65B8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hint="eastAsia" w:ascii="宋体" w:hAnsi="宋体" w:eastAsia="宋体" w:cs="Times New Roman"/>
          <w:color w:val="auto"/>
          <w:spacing w:val="-6"/>
          <w:szCs w:val="21"/>
        </w:rPr>
      </w:pPr>
    </w:p>
    <w:p w14:paraId="40D95B4E">
      <w:pPr>
        <w:adjustRightInd w:val="0"/>
        <w:snapToGrid w:val="0"/>
        <w:spacing w:line="288" w:lineRule="auto"/>
        <w:rPr>
          <w:rFonts w:hint="eastAsia" w:ascii="宋体" w:hAnsi="宋体" w:eastAsia="宋体" w:cs="Times New Roman"/>
          <w:color w:val="auto"/>
          <w:spacing w:val="-6"/>
          <w:szCs w:val="21"/>
        </w:rPr>
      </w:pPr>
    </w:p>
    <w:p w14:paraId="48C4EFB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Cs w:val="21"/>
              </w:rPr>
            </w:pPr>
          </w:p>
        </w:tc>
      </w:tr>
    </w:tbl>
    <w:p w14:paraId="620AEB82">
      <w:pPr>
        <w:adjustRightInd w:val="0"/>
        <w:snapToGrid w:val="0"/>
        <w:spacing w:line="288" w:lineRule="auto"/>
        <w:rPr>
          <w:rFonts w:hint="eastAsia" w:ascii="宋体" w:hAnsi="宋体" w:eastAsia="宋体" w:cs="宋体"/>
          <w:color w:val="auto"/>
          <w:spacing w:val="-6"/>
          <w:szCs w:val="21"/>
        </w:rPr>
      </w:pPr>
    </w:p>
    <w:p w14:paraId="0AC09C55">
      <w:pPr>
        <w:adjustRightInd w:val="0"/>
        <w:snapToGrid w:val="0"/>
        <w:spacing w:line="360"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rPr>
      </w:pPr>
    </w:p>
    <w:p w14:paraId="4019593B">
      <w:pPr>
        <w:adjustRightInd w:val="0"/>
        <w:snapToGrid w:val="0"/>
        <w:spacing w:line="288" w:lineRule="auto"/>
        <w:rPr>
          <w:rFonts w:hint="eastAsia" w:ascii="宋体" w:hAnsi="宋体" w:eastAsia="宋体" w:cs="Times New Roman"/>
          <w:b/>
          <w:bCs/>
          <w:color w:val="auto"/>
          <w:spacing w:val="-6"/>
          <w:szCs w:val="21"/>
        </w:rPr>
      </w:pPr>
    </w:p>
    <w:p w14:paraId="6027D0A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color w:val="auto"/>
          <w:spacing w:val="-6"/>
          <w:kern w:val="0"/>
          <w:szCs w:val="21"/>
        </w:rPr>
      </w:pPr>
    </w:p>
    <w:p w14:paraId="4244FB24">
      <w:pPr>
        <w:adjustRightInd w:val="0"/>
        <w:snapToGrid w:val="0"/>
        <w:spacing w:line="288" w:lineRule="auto"/>
        <w:rPr>
          <w:rFonts w:hint="eastAsia" w:ascii="宋体" w:hAnsi="宋体" w:eastAsia="宋体" w:cs="宋体"/>
          <w:color w:val="auto"/>
          <w:szCs w:val="21"/>
        </w:rPr>
      </w:pPr>
    </w:p>
    <w:p w14:paraId="3CF17650">
      <w:pPr>
        <w:adjustRightInd w:val="0"/>
        <w:snapToGrid w:val="0"/>
        <w:spacing w:line="288" w:lineRule="auto"/>
        <w:rPr>
          <w:rFonts w:hint="eastAsia"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hint="eastAsia" w:ascii="宋体" w:hAnsi="宋体" w:eastAsia="宋体" w:cs="宋体"/>
          <w:b/>
          <w:color w:val="auto"/>
          <w:spacing w:val="-6"/>
          <w:szCs w:val="21"/>
        </w:rPr>
      </w:pPr>
    </w:p>
    <w:p w14:paraId="59067040">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hint="eastAsia" w:ascii="宋体" w:hAnsi="宋体" w:eastAsia="宋体" w:cs="宋体"/>
          <w:b/>
          <w:color w:val="auto"/>
          <w:spacing w:val="-6"/>
          <w:szCs w:val="21"/>
        </w:rPr>
      </w:pPr>
    </w:p>
    <w:p w14:paraId="5F957607">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hint="eastAsia"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color w:val="auto"/>
          <w:szCs w:val="21"/>
        </w:rPr>
      </w:pPr>
    </w:p>
    <w:p w14:paraId="278CC9F6">
      <w:pPr>
        <w:adjustRightInd w:val="0"/>
        <w:snapToGrid w:val="0"/>
        <w:spacing w:line="288" w:lineRule="auto"/>
        <w:rPr>
          <w:rFonts w:hint="eastAsia" w:ascii="宋体" w:hAnsi="宋体" w:eastAsia="宋体" w:cs="Times New Roman"/>
          <w:b/>
          <w:color w:val="auto"/>
          <w:szCs w:val="21"/>
        </w:rPr>
      </w:pPr>
    </w:p>
    <w:p w14:paraId="3E31F522">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color w:val="auto"/>
          <w:spacing w:val="-6"/>
          <w:szCs w:val="21"/>
        </w:rPr>
      </w:pPr>
    </w:p>
    <w:p w14:paraId="455EFF2B">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color w:val="auto"/>
          <w:spacing w:val="-6"/>
          <w:szCs w:val="21"/>
        </w:rPr>
      </w:pPr>
    </w:p>
    <w:p w14:paraId="0145D06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项目名称：量子材料和器件模拟仿真平台</w:t>
      </w:r>
    </w:p>
    <w:p w14:paraId="4ADB52CD">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QSZBB250271ZHGK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w:t>
            </w:r>
            <w:bookmarkStart w:id="74"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hint="eastAsia" w:ascii="宋体" w:hAnsi="宋体" w:eastAsia="宋体" w:cs="宋体"/>
                <w:b/>
                <w:bCs/>
                <w:color w:val="auto"/>
                <w:szCs w:val="21"/>
              </w:rPr>
            </w:pPr>
          </w:p>
          <w:p w14:paraId="0C631DFA">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hint="eastAsia" w:ascii="宋体" w:hAnsi="宋体" w:eastAsia="宋体" w:cs="宋体"/>
                <w:b/>
                <w:bCs/>
                <w:color w:val="auto"/>
                <w:szCs w:val="21"/>
              </w:rPr>
            </w:pPr>
          </w:p>
          <w:p w14:paraId="5FEFE13F">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hint="eastAsia" w:ascii="宋体" w:hAnsi="宋体" w:eastAsia="宋体" w:cs="宋体"/>
                <w:b/>
                <w:bCs/>
                <w:color w:val="auto"/>
                <w:szCs w:val="21"/>
              </w:rPr>
            </w:pPr>
          </w:p>
        </w:tc>
      </w:tr>
    </w:tbl>
    <w:p w14:paraId="3D76638D">
      <w:pPr>
        <w:adjustRightInd w:val="0"/>
        <w:snapToGrid w:val="0"/>
        <w:spacing w:line="288" w:lineRule="auto"/>
        <w:rPr>
          <w:rFonts w:hint="eastAsia" w:ascii="宋体" w:hAnsi="宋体" w:eastAsia="宋体" w:cs="Times New Roman"/>
          <w:color w:val="auto"/>
          <w:spacing w:val="-6"/>
          <w:szCs w:val="21"/>
        </w:rPr>
      </w:pPr>
    </w:p>
    <w:p w14:paraId="42BE46DF">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color w:val="auto"/>
          <w:szCs w:val="21"/>
        </w:rPr>
      </w:pPr>
    </w:p>
    <w:p w14:paraId="3753EC2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5BFEEE6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2</w:t>
      </w:r>
      <w:r>
        <w:rPr>
          <w:rFonts w:hint="eastAsia" w:ascii="宋体" w:hAnsi="宋体" w:eastAsia="宋体" w:cs="宋体"/>
          <w:b/>
          <w:color w:val="auto"/>
          <w:spacing w:val="-6"/>
          <w:szCs w:val="21"/>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color w:val="auto"/>
          <w:szCs w:val="21"/>
        </w:rPr>
      </w:pPr>
    </w:p>
    <w:p w14:paraId="69E4B3B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75" w:name="_Hlk118098443"/>
      <w:r>
        <w:rPr>
          <w:rFonts w:ascii="宋体" w:hAnsi="宋体" w:eastAsia="宋体" w:cs="Times New Roman"/>
          <w:i/>
          <w:color w:val="auto"/>
          <w:szCs w:val="21"/>
          <w:u w:val="single"/>
        </w:rPr>
        <w:t>项目名称</w:t>
      </w:r>
      <w:bookmarkEnd w:id="75"/>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color w:val="auto"/>
          <w:szCs w:val="21"/>
        </w:rPr>
      </w:pPr>
    </w:p>
    <w:p w14:paraId="0619F3D2">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hint="eastAsia" w:ascii="宋体" w:hAnsi="宋体" w:eastAsia="宋体" w:cs="Times New Roman"/>
          <w:color w:val="auto"/>
          <w:szCs w:val="21"/>
        </w:rPr>
      </w:pPr>
    </w:p>
    <w:p w14:paraId="000631ED">
      <w:pPr>
        <w:adjustRightInd w:val="0"/>
        <w:snapToGrid w:val="0"/>
        <w:spacing w:line="288" w:lineRule="auto"/>
        <w:ind w:firstLine="495" w:firstLineChars="236"/>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hint="eastAsia" w:ascii="宋体" w:hAnsi="宋体" w:eastAsia="宋体" w:cs="宋体"/>
          <w:color w:val="auto"/>
          <w:kern w:val="0"/>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14:paraId="338CC1CB">
      <w:pPr>
        <w:adjustRightInd w:val="0"/>
        <w:snapToGrid w:val="0"/>
        <w:spacing w:line="288" w:lineRule="auto"/>
        <w:rPr>
          <w:rFonts w:hint="eastAsia" w:ascii="宋体" w:hAnsi="宋体" w:eastAsia="宋体" w:cs="宋体"/>
          <w:color w:val="auto"/>
          <w:kern w:val="0"/>
          <w:szCs w:val="21"/>
        </w:rPr>
      </w:pPr>
    </w:p>
    <w:p w14:paraId="5B8617AF">
      <w:pPr>
        <w:adjustRightInd w:val="0"/>
        <w:snapToGrid w:val="0"/>
        <w:spacing w:line="288" w:lineRule="auto"/>
        <w:ind w:firstLine="373" w:firstLineChars="177"/>
        <w:rPr>
          <w:rFonts w:hint="eastAsia"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color w:val="auto"/>
          <w:szCs w:val="21"/>
        </w:rPr>
      </w:pPr>
    </w:p>
    <w:p w14:paraId="68D881FA">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color w:val="auto"/>
          <w:spacing w:val="6"/>
          <w:szCs w:val="21"/>
        </w:rPr>
      </w:pPr>
    </w:p>
    <w:p w14:paraId="43A8AA8E">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hint="eastAsia" w:ascii="宋体" w:hAnsi="宋体" w:eastAsia="宋体"/>
          <w:color w:val="auto"/>
          <w:szCs w:val="21"/>
        </w:rPr>
      </w:pPr>
    </w:p>
    <w:p w14:paraId="194EFBD5">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残疾人福利性单位属于小型、微型企业的，不重复享受政策。</w:t>
      </w:r>
    </w:p>
    <w:p w14:paraId="01BBCD5F">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hint="eastAsia"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hint="eastAsia" w:ascii="宋体" w:hAnsi="宋体" w:eastAsia="宋体" w:cs="仿宋_GB2312"/>
          <w:color w:val="auto"/>
          <w:szCs w:val="21"/>
          <w:u w:val="single"/>
        </w:rPr>
      </w:pPr>
    </w:p>
    <w:p w14:paraId="06230838">
      <w:pPr>
        <w:snapToGrid w:val="0"/>
        <w:spacing w:line="288" w:lineRule="auto"/>
        <w:rPr>
          <w:rFonts w:hint="eastAsia"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hint="eastAsia"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hint="eastAsia"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hint="eastAsia" w:ascii="宋体" w:hAnsi="宋体" w:eastAsia="宋体" w:cs="宋体"/>
          <w:b/>
          <w:bCs/>
          <w:color w:val="auto"/>
          <w:szCs w:val="21"/>
        </w:rPr>
      </w:pPr>
    </w:p>
    <w:p w14:paraId="299B8C33">
      <w:pPr>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hint="eastAsia" w:ascii="宋体" w:hAnsi="宋体" w:eastAsia="宋体" w:cs="宋体"/>
                <w:color w:val="auto"/>
                <w:szCs w:val="21"/>
              </w:rPr>
            </w:pPr>
          </w:p>
        </w:tc>
        <w:tc>
          <w:tcPr>
            <w:tcW w:w="4814" w:type="dxa"/>
          </w:tcPr>
          <w:p w14:paraId="6E2B4F3D">
            <w:pPr>
              <w:snapToGrid w:val="0"/>
              <w:spacing w:line="288" w:lineRule="auto"/>
              <w:rPr>
                <w:rFonts w:hint="eastAsia" w:ascii="宋体" w:hAnsi="宋体" w:eastAsia="宋体" w:cs="宋体"/>
                <w:color w:val="auto"/>
                <w:szCs w:val="21"/>
              </w:rPr>
            </w:pPr>
          </w:p>
        </w:tc>
      </w:tr>
    </w:tbl>
    <w:p w14:paraId="4F8710BE">
      <w:pPr>
        <w:snapToGrid w:val="0"/>
        <w:spacing w:line="288" w:lineRule="auto"/>
        <w:rPr>
          <w:rFonts w:hint="eastAsia" w:ascii="宋体" w:hAnsi="宋体" w:eastAsia="宋体" w:cs="宋体"/>
          <w:color w:val="auto"/>
          <w:szCs w:val="21"/>
        </w:rPr>
      </w:pPr>
    </w:p>
    <w:p w14:paraId="325C4AE2">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hint="eastAsia"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color w:val="auto"/>
          <w:kern w:val="0"/>
          <w:szCs w:val="21"/>
          <w:lang w:val="zh-CN"/>
        </w:rPr>
      </w:pPr>
    </w:p>
    <w:p w14:paraId="50157048">
      <w:pPr>
        <w:snapToGrid w:val="0"/>
        <w:spacing w:line="288" w:lineRule="auto"/>
        <w:ind w:firstLine="422" w:firstLineChars="201"/>
        <w:rPr>
          <w:rFonts w:hint="eastAsia" w:ascii="宋体" w:hAnsi="宋体" w:eastAsia="宋体" w:cs="仿宋_GB2312"/>
          <w:color w:val="auto"/>
          <w:kern w:val="0"/>
          <w:szCs w:val="21"/>
          <w:lang w:val="zh-CN"/>
        </w:rPr>
      </w:pPr>
    </w:p>
    <w:p w14:paraId="27595E15">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color w:val="auto"/>
          <w:kern w:val="0"/>
          <w:szCs w:val="21"/>
          <w:lang w:val="zh-CN"/>
        </w:rPr>
      </w:pPr>
    </w:p>
    <w:p w14:paraId="191C763B">
      <w:pPr>
        <w:snapToGrid w:val="0"/>
        <w:spacing w:line="288" w:lineRule="auto"/>
        <w:ind w:firstLine="424" w:firstLineChars="201"/>
        <w:rPr>
          <w:rFonts w:hint="eastAsia" w:ascii="宋体" w:hAnsi="宋体" w:eastAsia="宋体" w:cs="Times New Roman"/>
          <w:b/>
          <w:bCs/>
          <w:color w:val="auto"/>
          <w:szCs w:val="21"/>
        </w:rPr>
      </w:pPr>
    </w:p>
    <w:p w14:paraId="77AF9BF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hint="eastAsia"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hint="eastAsia"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hint="eastAsia" w:ascii="宋体" w:hAnsi="宋体" w:eastAsia="宋体" w:cs="仿宋_GB2312"/>
          <w:color w:val="auto"/>
          <w:kern w:val="0"/>
          <w:szCs w:val="21"/>
          <w:lang w:val="zh-CN"/>
        </w:rPr>
      </w:pPr>
    </w:p>
    <w:p w14:paraId="1D16F0E5">
      <w:pPr>
        <w:snapToGrid w:val="0"/>
        <w:spacing w:line="288" w:lineRule="auto"/>
        <w:ind w:firstLine="422" w:firstLineChars="200"/>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hint="eastAsia" w:ascii="宋体" w:hAnsi="宋体" w:eastAsia="宋体" w:cs="仿宋_GB2312"/>
          <w:b/>
          <w:bCs/>
          <w:color w:val="auto"/>
          <w:kern w:val="0"/>
          <w:szCs w:val="21"/>
          <w:lang w:val="zh-CN"/>
        </w:rPr>
      </w:pPr>
    </w:p>
    <w:p w14:paraId="0EFAAFAF">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hint="eastAsia" w:ascii="宋体" w:hAnsi="宋体" w:eastAsia="宋体" w:cs="仿宋_GB2312"/>
          <w:b/>
          <w:bCs/>
          <w:color w:val="auto"/>
          <w:kern w:val="0"/>
          <w:szCs w:val="21"/>
          <w:lang w:val="zh-CN"/>
        </w:rPr>
      </w:pPr>
    </w:p>
    <w:p w14:paraId="4F6AC4D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hint="eastAsia" w:ascii="等线" w:hAnsi="等线" w:eastAsia="等线" w:cs="Times New Roman"/>
          <w:color w:val="auto"/>
        </w:rPr>
      </w:pPr>
    </w:p>
    <w:p w14:paraId="650A653D">
      <w:pPr>
        <w:adjustRightInd w:val="0"/>
        <w:snapToGrid w:val="0"/>
        <w:spacing w:line="288" w:lineRule="auto"/>
        <w:rPr>
          <w:rFonts w:hint="eastAsia"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549D"/>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263"/>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0F91"/>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22"/>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0A6D"/>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18F7"/>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01B"/>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01B1"/>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C72"/>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5D65"/>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9637DDD"/>
    <w:rsid w:val="0A8F0E99"/>
    <w:rsid w:val="0B4A1776"/>
    <w:rsid w:val="0BD50265"/>
    <w:rsid w:val="0BEC010D"/>
    <w:rsid w:val="0C786503"/>
    <w:rsid w:val="0D1A04C9"/>
    <w:rsid w:val="0D8F4DDA"/>
    <w:rsid w:val="0DA43FD6"/>
    <w:rsid w:val="0DCB77B4"/>
    <w:rsid w:val="0FF539C8"/>
    <w:rsid w:val="100A1485"/>
    <w:rsid w:val="10757130"/>
    <w:rsid w:val="112B34AD"/>
    <w:rsid w:val="11FF5827"/>
    <w:rsid w:val="18090C43"/>
    <w:rsid w:val="18FB5F15"/>
    <w:rsid w:val="1B321622"/>
    <w:rsid w:val="1BDC2BFF"/>
    <w:rsid w:val="1E452027"/>
    <w:rsid w:val="1EEB1A56"/>
    <w:rsid w:val="1F9C38D3"/>
    <w:rsid w:val="20767551"/>
    <w:rsid w:val="212705BE"/>
    <w:rsid w:val="21AC2FA2"/>
    <w:rsid w:val="21DB64E2"/>
    <w:rsid w:val="221C4C30"/>
    <w:rsid w:val="22A70B6C"/>
    <w:rsid w:val="22AD65CC"/>
    <w:rsid w:val="232964F3"/>
    <w:rsid w:val="23C14303"/>
    <w:rsid w:val="23FF4622"/>
    <w:rsid w:val="24FF7EBF"/>
    <w:rsid w:val="25A217AC"/>
    <w:rsid w:val="27432BC1"/>
    <w:rsid w:val="27F0275A"/>
    <w:rsid w:val="28580092"/>
    <w:rsid w:val="28BC23D4"/>
    <w:rsid w:val="2AA10ED5"/>
    <w:rsid w:val="2ADA0518"/>
    <w:rsid w:val="2C921974"/>
    <w:rsid w:val="2D135EB1"/>
    <w:rsid w:val="2DBE14C9"/>
    <w:rsid w:val="2E2B31E3"/>
    <w:rsid w:val="2ED77388"/>
    <w:rsid w:val="2F380CDF"/>
    <w:rsid w:val="2F6A64D8"/>
    <w:rsid w:val="300A03B7"/>
    <w:rsid w:val="30616EA9"/>
    <w:rsid w:val="31A44D82"/>
    <w:rsid w:val="320C1026"/>
    <w:rsid w:val="32BE120D"/>
    <w:rsid w:val="330C0EF9"/>
    <w:rsid w:val="33506DE6"/>
    <w:rsid w:val="33B73EB0"/>
    <w:rsid w:val="34004E73"/>
    <w:rsid w:val="34973C0D"/>
    <w:rsid w:val="349B054D"/>
    <w:rsid w:val="35194EAC"/>
    <w:rsid w:val="35A54CED"/>
    <w:rsid w:val="36DD7E2B"/>
    <w:rsid w:val="37534CA7"/>
    <w:rsid w:val="37C157A9"/>
    <w:rsid w:val="37D824F1"/>
    <w:rsid w:val="39B918B5"/>
    <w:rsid w:val="3B0C4DFA"/>
    <w:rsid w:val="3C4D26C6"/>
    <w:rsid w:val="3D044EFC"/>
    <w:rsid w:val="3DA24CD7"/>
    <w:rsid w:val="3E6946AD"/>
    <w:rsid w:val="3EB60CB3"/>
    <w:rsid w:val="3EC436F9"/>
    <w:rsid w:val="3F740895"/>
    <w:rsid w:val="3FB93DC6"/>
    <w:rsid w:val="402A691C"/>
    <w:rsid w:val="422E66F3"/>
    <w:rsid w:val="4275164D"/>
    <w:rsid w:val="42E93834"/>
    <w:rsid w:val="430A3262"/>
    <w:rsid w:val="44265D88"/>
    <w:rsid w:val="46A824B9"/>
    <w:rsid w:val="46BB170B"/>
    <w:rsid w:val="47510906"/>
    <w:rsid w:val="48580F04"/>
    <w:rsid w:val="495D70F7"/>
    <w:rsid w:val="497349FC"/>
    <w:rsid w:val="498C1364"/>
    <w:rsid w:val="4A0A6190"/>
    <w:rsid w:val="4B6974A4"/>
    <w:rsid w:val="4B7D5F80"/>
    <w:rsid w:val="4BF40741"/>
    <w:rsid w:val="4C5E019B"/>
    <w:rsid w:val="4F64249F"/>
    <w:rsid w:val="4F6E1200"/>
    <w:rsid w:val="4FEE189E"/>
    <w:rsid w:val="500B7C38"/>
    <w:rsid w:val="5345653C"/>
    <w:rsid w:val="53F038EA"/>
    <w:rsid w:val="549F2962"/>
    <w:rsid w:val="54E01333"/>
    <w:rsid w:val="54EC7E91"/>
    <w:rsid w:val="5668599A"/>
    <w:rsid w:val="56932E67"/>
    <w:rsid w:val="59BA69E3"/>
    <w:rsid w:val="5A661DF4"/>
    <w:rsid w:val="5ACF0178"/>
    <w:rsid w:val="5B9E3DE4"/>
    <w:rsid w:val="5BE42A48"/>
    <w:rsid w:val="5C3E17F9"/>
    <w:rsid w:val="5C483ABC"/>
    <w:rsid w:val="5D052980"/>
    <w:rsid w:val="5D297D72"/>
    <w:rsid w:val="5D3A6920"/>
    <w:rsid w:val="5D8135CC"/>
    <w:rsid w:val="5DF10A2F"/>
    <w:rsid w:val="5ED57F57"/>
    <w:rsid w:val="5EF534F9"/>
    <w:rsid w:val="600446EC"/>
    <w:rsid w:val="600D2EE6"/>
    <w:rsid w:val="61D4087B"/>
    <w:rsid w:val="621760F6"/>
    <w:rsid w:val="62246B60"/>
    <w:rsid w:val="628A2B7E"/>
    <w:rsid w:val="63E8362C"/>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72340F9C"/>
    <w:rsid w:val="763243C9"/>
    <w:rsid w:val="774152C9"/>
    <w:rsid w:val="775D6EE2"/>
    <w:rsid w:val="793070F8"/>
    <w:rsid w:val="79D825C1"/>
    <w:rsid w:val="79E149BD"/>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52</Pages>
  <Words>24646</Words>
  <Characters>26200</Characters>
  <Lines>251</Lines>
  <Paragraphs>70</Paragraphs>
  <TotalTime>18</TotalTime>
  <ScaleCrop>false</ScaleCrop>
  <LinksUpToDate>false</LinksUpToDate>
  <CharactersWithSpaces>26493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2025-10-07T09:23:00Z</dcterms:created>
  <dc:creator>hj j</dc:creator>
  <cp:lastModifiedBy>yubin</cp:lastModifiedBy>
  <cp:lastPrinted>2022-10-31T00:58:00Z</cp:lastPrinted>
  <dcterms:modified xsi:type="dcterms:W3CDTF">2025-10-09T00:59:50Z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