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脉冲激光沉积PLD</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脉冲激光沉积PLD</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QSZBB250262ZHGK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[2025]65038号、[2025]65039号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脉冲激光沉积PLD</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2025年10月24日9:00:00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621"/>
      <w:bookmarkStart w:id="1" w:name="_Toc35393790"/>
      <w:bookmarkStart w:id="2" w:name="_Toc28359079"/>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QSZBB250262ZHGK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脉冲激光沉积PLD</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570000元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.最高限价：570000元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自合同签订之日起150个工作日内交付。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脉冲激光沉积PLD</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03"/>
      <w:bookmarkStart w:id="6" w:name="_Toc28359080"/>
      <w:bookmarkStart w:id="7" w:name="_Toc35393622"/>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9</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30</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2025年10月24日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2025年10月24日9:00:00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2025年10月24日9:00:00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1</w:t>
      </w:r>
      <w:bookmarkStart w:id="76" w:name="_GoBack"/>
      <w:bookmarkEnd w:id="76"/>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07"/>
      <w:bookmarkStart w:id="20" w:name="_Toc35393625"/>
      <w:bookmarkStart w:id="21" w:name="_Toc28359084"/>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28359008"/>
      <w:bookmarkStart w:id="30" w:name="_Toc35393796"/>
      <w:bookmarkStart w:id="31" w:name="_Toc35393627"/>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0E717FC">
      <w:pPr>
        <w:adjustRightInd w:val="0"/>
        <w:snapToGrid w:val="0"/>
        <w:spacing w:line="288" w:lineRule="auto"/>
        <w:ind w:firstLine="424" w:firstLineChars="202"/>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温老师</w:t>
      </w:r>
    </w:p>
    <w:p w14:paraId="32E8001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项目联系方式（询问）：13656643526</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adjustRightInd w:val="0"/>
              <w:snapToGrid w:val="0"/>
              <w:spacing w:line="288" w:lineRule="auto"/>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highlight w:val="none"/>
                <w:lang w:val="en-US" w:eastAsia="zh-CN"/>
              </w:rPr>
              <w:t>7</w:t>
            </w:r>
            <w:r>
              <w:rPr>
                <w:rFonts w:hint="eastAsia" w:ascii="宋体" w:hAnsi="宋体" w:eastAsia="宋体" w:cs="宋体"/>
                <w:color w:val="auto"/>
                <w:spacing w:val="-6"/>
                <w:kern w:val="0"/>
                <w:szCs w:val="21"/>
                <w:highlight w:val="none"/>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0%；</w:t>
            </w:r>
          </w:p>
          <w:p w14:paraId="6A4FE8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14:paraId="683554F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3.在签订合同时，供应商明确表示无需预付款或者主动要求降低预付款比例的，可降低预付款比例（预付款保函同步调整）。</w:t>
            </w:r>
          </w:p>
          <w:p w14:paraId="3F8BDF9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4.若供应商收取预付款，要求预付款保函有效期覆盖项目验收合格时间；提供了预付款保函则供应商无需再缴纳履约保证金。</w:t>
            </w:r>
          </w:p>
          <w:p w14:paraId="6C2B6F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5.签订合同时中标人明确表示无需预付款的，可以采用以下付款方式：</w:t>
            </w:r>
          </w:p>
          <w:p w14:paraId="74DA3A7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0A84B33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3B75A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自合同签订之日起150个工作日内交付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48小时内派遣相关人员赶赴现场，2小时内维修完毕；发生紧急抢修事故的，供应商应在接到采购人通知后72小时内到达现场抢修，并于到达现场24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none"/>
                <w:lang w:val="en-US" w:eastAsia="zh-CN"/>
              </w:rPr>
              <w:t>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val="en-US" w:eastAsia="zh-CN"/>
              </w:rPr>
              <w:t>。</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满足脉冲激光沉积PLD的使用需求。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731"/>
        <w:gridCol w:w="631"/>
        <w:gridCol w:w="631"/>
        <w:gridCol w:w="6001"/>
      </w:tblGrid>
      <w:tr w14:paraId="1015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6" w:type="pct"/>
            <w:vAlign w:val="center"/>
          </w:tcPr>
          <w:p w14:paraId="0848928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899" w:type="pct"/>
            <w:vAlign w:val="center"/>
          </w:tcPr>
          <w:p w14:paraId="226F5E6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328" w:type="pct"/>
            <w:vAlign w:val="center"/>
          </w:tcPr>
          <w:p w14:paraId="77ABBA6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328" w:type="pct"/>
            <w:vAlign w:val="center"/>
          </w:tcPr>
          <w:p w14:paraId="0AD1121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7" w:type="pct"/>
            <w:vAlign w:val="center"/>
          </w:tcPr>
          <w:p w14:paraId="2615F47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0C3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6" w:type="pct"/>
            <w:vAlign w:val="center"/>
          </w:tcPr>
          <w:p w14:paraId="0457B8F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1</w:t>
            </w:r>
          </w:p>
        </w:tc>
        <w:tc>
          <w:tcPr>
            <w:tcW w:w="899" w:type="pct"/>
            <w:vAlign w:val="center"/>
          </w:tcPr>
          <w:p w14:paraId="060C3825">
            <w:pPr>
              <w:adjustRightInd w:val="0"/>
              <w:snapToGrid w:val="0"/>
              <w:spacing w:line="288" w:lineRule="auto"/>
              <w:jc w:val="center"/>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脉冲激光沉积PLD</w:t>
            </w:r>
          </w:p>
        </w:tc>
        <w:tc>
          <w:tcPr>
            <w:tcW w:w="328" w:type="pct"/>
            <w:vAlign w:val="center"/>
          </w:tcPr>
          <w:p w14:paraId="76AA02D3">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328" w:type="pct"/>
            <w:vAlign w:val="center"/>
          </w:tcPr>
          <w:p w14:paraId="2FEC6224">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3117" w:type="pct"/>
            <w:vAlign w:val="center"/>
          </w:tcPr>
          <w:p w14:paraId="3B806E71">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★1.脉冲激光沉积与磁控溅射镀膜机共用一 Loadlock室组成真空互联系统，其可实现PLD系统和磁控溅射镀膜系统在真空环境下的样品传输；</w:t>
            </w:r>
          </w:p>
          <w:p w14:paraId="10D8CF1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▲2.本底极限真空5×10</w:t>
            </w:r>
            <w:r>
              <w:rPr>
                <w:rFonts w:hint="eastAsia" w:ascii="宋体" w:hAnsi="宋体" w:eastAsia="宋体" w:cs="宋体"/>
                <w:color w:val="auto"/>
                <w:szCs w:val="21"/>
                <w:highlight w:val="none"/>
                <w:vertAlign w:val="superscript"/>
                <w:lang w:eastAsia="zh-CN"/>
              </w:rPr>
              <w:t>-9</w:t>
            </w:r>
            <w:r>
              <w:rPr>
                <w:rFonts w:hint="eastAsia" w:ascii="宋体" w:hAnsi="宋体" w:eastAsia="宋体" w:cs="宋体"/>
                <w:color w:val="auto"/>
                <w:szCs w:val="21"/>
                <w:highlight w:val="none"/>
                <w:lang w:eastAsia="zh-CN"/>
              </w:rPr>
              <w:t>Torr。腔体真空从大气压抽到5×10</w:t>
            </w:r>
            <w:r>
              <w:rPr>
                <w:rFonts w:hint="eastAsia" w:ascii="宋体" w:hAnsi="宋体" w:eastAsia="宋体" w:cs="宋体"/>
                <w:color w:val="auto"/>
                <w:szCs w:val="21"/>
                <w:highlight w:val="none"/>
                <w:vertAlign w:val="superscript"/>
                <w:lang w:eastAsia="zh-CN"/>
              </w:rPr>
              <w:t>-6</w:t>
            </w:r>
            <w:r>
              <w:rPr>
                <w:rFonts w:hint="eastAsia" w:ascii="宋体" w:hAnsi="宋体" w:eastAsia="宋体" w:cs="宋体"/>
                <w:color w:val="auto"/>
                <w:szCs w:val="21"/>
                <w:highlight w:val="none"/>
                <w:lang w:eastAsia="zh-CN"/>
              </w:rPr>
              <w:t>Torr耗时小于30min，配备全量程规和薄膜规测量真空度；</w:t>
            </w:r>
          </w:p>
          <w:p w14:paraId="13B4C50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▲3.700℃薄膜生长时，最低压力不高于5×10</w:t>
            </w:r>
            <w:r>
              <w:rPr>
                <w:rFonts w:hint="eastAsia" w:ascii="宋体" w:hAnsi="宋体" w:eastAsia="宋体" w:cs="宋体"/>
                <w:color w:val="auto"/>
                <w:szCs w:val="21"/>
                <w:highlight w:val="none"/>
                <w:vertAlign w:val="superscript"/>
                <w:lang w:eastAsia="zh-CN"/>
              </w:rPr>
              <w:t>-6</w:t>
            </w:r>
            <w:r>
              <w:rPr>
                <w:rFonts w:hint="eastAsia" w:ascii="宋体" w:hAnsi="宋体" w:eastAsia="宋体" w:cs="宋体"/>
                <w:color w:val="auto"/>
                <w:szCs w:val="21"/>
                <w:highlight w:val="none"/>
                <w:lang w:eastAsia="zh-CN"/>
              </w:rPr>
              <w:t>Torr，最高压力不低于200mTorr，退火最高压力不低于500Torr；</w:t>
            </w:r>
          </w:p>
          <w:p w14:paraId="64E4A6E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★4.至少搭配N2与Ar两路气体，预留备用气体O2接口，预留臭氧发生器或臭氧气路接口，根据所需镀膜需求，气体流量可调；</w:t>
            </w:r>
          </w:p>
          <w:p w14:paraId="40BAD10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▲5.Ar气在2-3mTorr且DC 10W,RF 40W的情况下辉光稳定；</w:t>
            </w:r>
          </w:p>
          <w:p w14:paraId="5E6D52D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★6.2英寸靶位数量≥5靶，可升级7靶；靶材之间具有隔板保护，程序可控独立开关/编程性一维运动，程序需要靶位名称可更改功能；</w:t>
            </w:r>
          </w:p>
          <w:p w14:paraId="30272B2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7.基底最高加热温度850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，PID调节，温控精度±1℃，镀膜均匀区≥10 mm×10 mm；膜厚均匀性≤3%；</w:t>
            </w:r>
          </w:p>
          <w:p w14:paraId="6B5C567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▲8.样品台控制：电动旋转，上下可调，调节范围≥ ±25 mm；</w:t>
            </w:r>
          </w:p>
          <w:p w14:paraId="3AD3ED1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9.load-lock室定制：可额外放置两个样品托，可实现传扬杆传样，传样室极限真空：≤5×10</w:t>
            </w:r>
            <w:r>
              <w:rPr>
                <w:rFonts w:hint="eastAsia" w:ascii="宋体" w:hAnsi="宋体" w:eastAsia="宋体" w:cs="宋体"/>
                <w:color w:val="auto"/>
                <w:szCs w:val="21"/>
                <w:highlight w:val="none"/>
                <w:vertAlign w:val="superscript"/>
                <w:lang w:val="en-US" w:eastAsia="zh-CN"/>
              </w:rPr>
              <w:t>-7</w:t>
            </w:r>
            <w:r>
              <w:rPr>
                <w:rFonts w:hint="eastAsia" w:ascii="宋体" w:hAnsi="宋体" w:eastAsia="宋体" w:cs="宋体"/>
                <w:color w:val="auto"/>
                <w:szCs w:val="21"/>
                <w:highlight w:val="none"/>
                <w:lang w:eastAsia="zh-CN"/>
              </w:rPr>
              <w:t>Torr，真空测量系统采用全量程规测量；</w:t>
            </w:r>
          </w:p>
          <w:p w14:paraId="4AB4D20B">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10.PLD与磁控溅射镀膜机组成真空互联系统；</w:t>
            </w:r>
          </w:p>
          <w:p w14:paraId="5427EA5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★11.PLC及可视化控制；</w:t>
            </w:r>
          </w:p>
          <w:p w14:paraId="0314696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★12.提供冷却水循环机；</w:t>
            </w:r>
          </w:p>
          <w:p w14:paraId="57F93DB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.激光器：KrF 准分子激光器 (248 nm)；</w:t>
            </w:r>
          </w:p>
          <w:p w14:paraId="0DD1A6D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lang w:eastAsia="zh-CN"/>
              </w:rPr>
              <w:t>脉冲能量：200-500mJ范围内，稳定性必须≤1%；</w:t>
            </w:r>
          </w:p>
          <w:p w14:paraId="6445028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lang w:eastAsia="zh-CN"/>
              </w:rPr>
              <w:t>重复频率：1-50Hz可调；</w:t>
            </w:r>
          </w:p>
          <w:p w14:paraId="6270F761">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16.</w:t>
            </w:r>
            <w:r>
              <w:rPr>
                <w:rFonts w:hint="eastAsia" w:ascii="宋体" w:hAnsi="宋体" w:eastAsia="宋体" w:cs="宋体"/>
                <w:color w:val="auto"/>
                <w:szCs w:val="21"/>
                <w:highlight w:val="none"/>
                <w:lang w:eastAsia="zh-CN"/>
              </w:rPr>
              <w:t>脉冲宽度：10-30ns(FWHM)；</w:t>
            </w:r>
          </w:p>
          <w:p w14:paraId="4F305FC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lang w:eastAsia="zh-CN"/>
              </w:rPr>
              <w:t>光束质量与均匀性：平顶（Top-Hat）分布，而非高斯分布；</w:t>
            </w:r>
          </w:p>
          <w:p w14:paraId="6465346D">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18.</w:t>
            </w:r>
            <w:r>
              <w:rPr>
                <w:rFonts w:hint="eastAsia" w:ascii="宋体" w:hAnsi="宋体" w:eastAsia="宋体" w:cs="宋体"/>
                <w:color w:val="auto"/>
                <w:szCs w:val="21"/>
                <w:highlight w:val="none"/>
                <w:lang w:eastAsia="zh-CN"/>
              </w:rPr>
              <w:t>发散角：</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1m</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rad。</w:t>
            </w:r>
          </w:p>
        </w:tc>
      </w:tr>
    </w:tbl>
    <w:p w14:paraId="2C69DC02">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杭州电子科技大学脉冲激光沉积PLD</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adjustRightInd w:val="0"/>
              <w:snapToGrid w:val="0"/>
              <w:spacing w:line="288" w:lineRule="auto"/>
              <w:rPr>
                <w:rFonts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6381749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adjustRightInd w:val="0"/>
              <w:snapToGrid w:val="0"/>
              <w:spacing w:line="288" w:lineRule="auto"/>
              <w:rPr>
                <w:rFonts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adjustRightInd w:val="0"/>
              <w:snapToGrid w:val="0"/>
              <w:spacing w:line="288"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75D18B7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杭州电子科技大学脉冲激光沉积PLD</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每项扣3分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未标注“★”的每项扣2分</w:t>
            </w:r>
            <w:r>
              <w:rPr>
                <w:rFonts w:hint="eastAsia" w:ascii="宋体" w:hAnsi="宋体" w:eastAsia="宋体" w:cs="宋体"/>
                <w:color w:val="auto"/>
                <w:szCs w:val="21"/>
                <w:highlight w:val="none"/>
              </w:rPr>
              <w:t>；</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扣分30分</w:t>
            </w:r>
            <w:r>
              <w:rPr>
                <w:rFonts w:hint="eastAsia" w:ascii="宋体" w:hAnsi="宋体" w:eastAsia="宋体" w:cs="宋体"/>
                <w:color w:val="auto"/>
                <w:szCs w:val="21"/>
                <w:highlight w:val="none"/>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eastAsia="zh-CN"/>
        </w:rPr>
        <w:t>脉冲激光沉积PLD</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val="en-US" w:eastAsia="zh-CN"/>
        </w:rPr>
        <w:t>QSZBB250262ZHGK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5EC8E5AA">
      <w:pPr>
        <w:spacing w:line="288"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bookmarkStart w:id="55" w:name="OLE_LINK10"/>
      <w:bookmarkStart w:id="56" w:name="OLE_LINK9"/>
      <w:bookmarkStart w:id="57" w:name="OLE_LINK8"/>
      <w:bookmarkStart w:id="58" w:name="OLE_LINK7"/>
      <w:r>
        <w:rPr>
          <w:rFonts w:hint="eastAsia" w:ascii="宋体" w:hAnsi="宋体" w:eastAsia="宋体" w:cs="宋体"/>
          <w:sz w:val="21"/>
          <w:szCs w:val="21"/>
        </w:rPr>
        <w:t>根据</w:t>
      </w:r>
      <w:bookmarkStart w:id="59" w:name="OLE_LINK6"/>
      <w:bookmarkStart w:id="60" w:name="OLE_LINK5"/>
      <w:r>
        <w:rPr>
          <w:rFonts w:hint="eastAsia" w:ascii="宋体" w:hAnsi="宋体" w:eastAsia="宋体" w:cs="宋体"/>
          <w:sz w:val="21"/>
          <w:szCs w:val="21"/>
        </w:rPr>
        <w:t>《浙江省财政厅关于进一步发挥政府采购政策功能全力推动经济稳进提质的通知》</w:t>
      </w:r>
      <w:bookmarkEnd w:id="59"/>
      <w:bookmarkEnd w:id="60"/>
      <w:r>
        <w:rPr>
          <w:rFonts w:hint="eastAsia" w:ascii="宋体" w:hAnsi="宋体" w:eastAsia="宋体" w:cs="宋体"/>
          <w:sz w:val="21"/>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 w:val="21"/>
          <w:szCs w:val="21"/>
        </w:rPr>
        <w:t>）；货物在乙方安装调试完毕并经甲方验收合格并收到发票后7个工作日内，向乙方支付合同总价的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p>
    <w:p w14:paraId="55398FC3">
      <w:pPr>
        <w:spacing w:line="288"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r>
        <w:rPr>
          <w:rFonts w:hint="eastAsia" w:ascii="宋体" w:hAnsi="宋体" w:eastAsia="宋体" w:cs="宋体"/>
          <w:sz w:val="21"/>
          <w:szCs w:val="21"/>
        </w:rPr>
        <w:t>原则上不低于合同金额的30％，不高于合同金额的60%</w:t>
      </w:r>
      <w:r>
        <w:rPr>
          <w:rFonts w:hint="eastAsia" w:ascii="宋体" w:hAnsi="宋体" w:eastAsia="宋体" w:cs="宋体"/>
          <w:kern w:val="0"/>
          <w:sz w:val="21"/>
          <w:szCs w:val="21"/>
        </w:rPr>
        <w:t>）；货物在乙方安装调试完毕并经甲方验收合格并收到发票后7个工作日内，向乙方支付合同总价的</w:t>
      </w:r>
      <w:r>
        <w:rPr>
          <w:rFonts w:hint="eastAsia" w:ascii="宋体" w:hAnsi="宋体" w:eastAsia="宋体" w:cs="宋体"/>
          <w:kern w:val="0"/>
          <w:sz w:val="21"/>
          <w:szCs w:val="21"/>
          <w:u w:val="single"/>
        </w:rPr>
        <w:t>　　　</w:t>
      </w:r>
      <w:r>
        <w:rPr>
          <w:rFonts w:hint="eastAsia" w:ascii="宋体" w:hAnsi="宋体" w:eastAsia="宋体" w:cs="宋体"/>
          <w:kern w:val="0"/>
          <w:sz w:val="21"/>
          <w:szCs w:val="21"/>
        </w:rPr>
        <w:t>%。</w:t>
      </w:r>
    </w:p>
    <w:p w14:paraId="6B554E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kern w:val="0"/>
          <w:sz w:val="21"/>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④</w:t>
      </w:r>
      <w:r>
        <w:rPr>
          <w:rFonts w:hint="eastAsia" w:ascii="宋体" w:hAnsi="宋体" w:eastAsia="宋体" w:cs="宋体"/>
          <w:color w:val="auto"/>
          <w:kern w:val="0"/>
          <w:szCs w:val="21"/>
          <w:highlight w:val="none"/>
        </w:rPr>
        <w:t>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0C568A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0B6DC59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6D4D24F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交货期：自合同签订之日起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日内。</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2" w:name="_Hlk155602651"/>
      <w:r>
        <w:rPr>
          <w:rFonts w:hint="eastAsia" w:ascii="宋体" w:hAnsi="宋体" w:eastAsia="宋体" w:cs="宋体"/>
          <w:color w:val="auto"/>
          <w:kern w:val="0"/>
          <w:szCs w:val="21"/>
          <w:highlight w:val="none"/>
        </w:rPr>
        <w:t>　　　送货上门　　</w:t>
      </w:r>
      <w:bookmarkStart w:id="63" w:name="_Hlk155602451"/>
      <w:r>
        <w:rPr>
          <w:rFonts w:hint="eastAsia" w:ascii="宋体" w:hAnsi="宋体" w:eastAsia="宋体" w:cs="宋体"/>
          <w:color w:val="auto"/>
          <w:kern w:val="0"/>
          <w:szCs w:val="21"/>
          <w:highlight w:val="none"/>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4" w:name="_Hlk155602663"/>
      <w:r>
        <w:rPr>
          <w:rFonts w:hint="eastAsia" w:ascii="宋体" w:hAnsi="宋体" w:eastAsia="宋体" w:cs="宋体"/>
          <w:color w:val="auto"/>
          <w:kern w:val="0"/>
          <w:szCs w:val="21"/>
          <w:highlight w:val="none"/>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5"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5"/>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7"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8"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lang w:val="en-US" w:eastAsia="zh-CN"/>
        </w:rPr>
        <w:t>10000</w:t>
      </w:r>
      <w:r>
        <w:rPr>
          <w:rFonts w:hint="eastAsia" w:ascii="宋体" w:hAnsi="宋体" w:eastAsia="宋体" w:cs="宋体"/>
          <w:color w:val="auto"/>
          <w:kern w:val="0"/>
          <w:szCs w:val="21"/>
          <w:highlight w:val="none"/>
        </w:rPr>
        <w:t>元的违约金，同时，甲方有权委托第三方进行保修，所产生的费用由乙方承担。</w:t>
      </w:r>
      <w:bookmarkEnd w:id="68"/>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9" w:name="_Hlk81815656"/>
      <w:r>
        <w:rPr>
          <w:rFonts w:hint="eastAsia" w:ascii="宋体" w:hAnsi="宋体" w:eastAsia="宋体" w:cs="Times New Roman"/>
          <w:color w:val="auto"/>
          <w:spacing w:val="-6"/>
          <w:szCs w:val="21"/>
          <w:highlight w:val="none"/>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0" w:name="_Hlk81815359"/>
      <w:r>
        <w:rPr>
          <w:rFonts w:hint="eastAsia" w:ascii="宋体" w:hAnsi="宋体" w:eastAsia="宋体" w:cs="Times New Roman"/>
          <w:color w:val="auto"/>
          <w:spacing w:val="-6"/>
          <w:szCs w:val="21"/>
          <w:highlight w:val="none"/>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1" w:name="OLE_LINK14"/>
      <w:bookmarkStart w:id="72" w:name="OLE_LINK13"/>
      <w:r>
        <w:rPr>
          <w:rFonts w:hint="eastAsia" w:ascii="宋体" w:hAnsi="宋体" w:eastAsia="宋体" w:cs="Times New Roman"/>
          <w:color w:val="auto"/>
          <w:spacing w:val="-6"/>
          <w:szCs w:val="21"/>
          <w:highlight w:val="none"/>
        </w:rPr>
        <w:t>残疾人福利性单位声明函</w:t>
      </w:r>
      <w:bookmarkEnd w:id="71"/>
      <w:bookmarkEnd w:id="72"/>
      <w:bookmarkStart w:id="73" w:name="_Hlk81815372"/>
      <w:r>
        <w:rPr>
          <w:rFonts w:hint="eastAsia" w:ascii="宋体" w:hAnsi="宋体" w:eastAsia="宋体" w:cs="Times New Roman"/>
          <w:color w:val="auto"/>
          <w:spacing w:val="-6"/>
          <w:szCs w:val="21"/>
          <w:highlight w:val="none"/>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6FF943A5">
            <w:pPr>
              <w:adjustRightInd w:val="0"/>
              <w:snapToGrid w:val="0"/>
              <w:spacing w:line="288" w:lineRule="auto"/>
              <w:jc w:val="center"/>
              <w:rPr>
                <w:rFonts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杭州电子科技大学脉冲激光沉积PLD</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QSZBB250262ZHGK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杭州电子科技大学脉冲激光沉积PLD</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QSZBB250262ZHGK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脉冲激光沉积PLD</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QSZBB250262ZHGK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adjustRightInd w:val="0"/>
              <w:snapToGrid w:val="0"/>
              <w:spacing w:line="288" w:lineRule="auto"/>
              <w:rPr>
                <w:rFonts w:ascii="宋体" w:hAnsi="宋体" w:eastAsia="宋体" w:cs="宋体"/>
                <w:color w:val="auto"/>
                <w:szCs w:val="21"/>
                <w:highlight w:val="none"/>
              </w:rPr>
            </w:pPr>
          </w:p>
        </w:tc>
        <w:tc>
          <w:tcPr>
            <w:tcW w:w="2574" w:type="dxa"/>
            <w:vAlign w:val="center"/>
          </w:tcPr>
          <w:p w14:paraId="702CD0E8">
            <w:pPr>
              <w:adjustRightInd w:val="0"/>
              <w:snapToGrid w:val="0"/>
              <w:spacing w:line="288" w:lineRule="auto"/>
              <w:rPr>
                <w:rFonts w:ascii="宋体" w:hAnsi="宋体" w:eastAsia="宋体" w:cs="宋体"/>
                <w:color w:val="auto"/>
                <w:szCs w:val="21"/>
                <w:highlight w:val="none"/>
              </w:rPr>
            </w:pPr>
          </w:p>
        </w:tc>
        <w:tc>
          <w:tcPr>
            <w:tcW w:w="2124" w:type="dxa"/>
            <w:vAlign w:val="center"/>
          </w:tcPr>
          <w:p w14:paraId="602EFA5A">
            <w:pPr>
              <w:adjustRightInd w:val="0"/>
              <w:snapToGrid w:val="0"/>
              <w:spacing w:line="288" w:lineRule="auto"/>
              <w:rPr>
                <w:rFonts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adjustRightInd w:val="0"/>
              <w:snapToGrid w:val="0"/>
              <w:spacing w:line="288" w:lineRule="auto"/>
              <w:rPr>
                <w:rFonts w:ascii="宋体" w:hAnsi="宋体" w:eastAsia="宋体" w:cs="宋体"/>
                <w:color w:val="auto"/>
                <w:szCs w:val="21"/>
                <w:highlight w:val="none"/>
              </w:rPr>
            </w:pPr>
          </w:p>
        </w:tc>
        <w:tc>
          <w:tcPr>
            <w:tcW w:w="2574" w:type="dxa"/>
            <w:vAlign w:val="center"/>
          </w:tcPr>
          <w:p w14:paraId="3887E5E7">
            <w:pPr>
              <w:adjustRightInd w:val="0"/>
              <w:snapToGrid w:val="0"/>
              <w:spacing w:line="288" w:lineRule="auto"/>
              <w:rPr>
                <w:rFonts w:ascii="宋体" w:hAnsi="宋体" w:eastAsia="宋体" w:cs="宋体"/>
                <w:color w:val="auto"/>
                <w:szCs w:val="21"/>
                <w:highlight w:val="none"/>
              </w:rPr>
            </w:pPr>
          </w:p>
        </w:tc>
        <w:tc>
          <w:tcPr>
            <w:tcW w:w="2124" w:type="dxa"/>
            <w:vAlign w:val="center"/>
          </w:tcPr>
          <w:p w14:paraId="376258A4">
            <w:pPr>
              <w:adjustRightInd w:val="0"/>
              <w:snapToGrid w:val="0"/>
              <w:spacing w:line="288" w:lineRule="auto"/>
              <w:rPr>
                <w:rFonts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adjustRightInd w:val="0"/>
              <w:snapToGrid w:val="0"/>
              <w:spacing w:line="288" w:lineRule="auto"/>
              <w:rPr>
                <w:rFonts w:ascii="宋体" w:hAnsi="宋体" w:eastAsia="宋体" w:cs="宋体"/>
                <w:color w:val="auto"/>
                <w:szCs w:val="21"/>
                <w:highlight w:val="none"/>
              </w:rPr>
            </w:pPr>
          </w:p>
        </w:tc>
        <w:tc>
          <w:tcPr>
            <w:tcW w:w="2574" w:type="dxa"/>
            <w:vAlign w:val="center"/>
          </w:tcPr>
          <w:p w14:paraId="2E789987">
            <w:pPr>
              <w:adjustRightInd w:val="0"/>
              <w:snapToGrid w:val="0"/>
              <w:spacing w:line="288" w:lineRule="auto"/>
              <w:rPr>
                <w:rFonts w:ascii="宋体" w:hAnsi="宋体" w:eastAsia="宋体" w:cs="宋体"/>
                <w:color w:val="auto"/>
                <w:szCs w:val="21"/>
                <w:highlight w:val="none"/>
              </w:rPr>
            </w:pPr>
          </w:p>
        </w:tc>
        <w:tc>
          <w:tcPr>
            <w:tcW w:w="2124" w:type="dxa"/>
            <w:vAlign w:val="center"/>
          </w:tcPr>
          <w:p w14:paraId="2374EA9A">
            <w:pPr>
              <w:adjustRightInd w:val="0"/>
              <w:snapToGrid w:val="0"/>
              <w:spacing w:line="288" w:lineRule="auto"/>
              <w:rPr>
                <w:rFonts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adjustRightInd w:val="0"/>
              <w:snapToGrid w:val="0"/>
              <w:spacing w:line="288" w:lineRule="auto"/>
              <w:rPr>
                <w:rFonts w:ascii="宋体" w:hAnsi="宋体" w:eastAsia="宋体" w:cs="宋体"/>
                <w:color w:val="auto"/>
                <w:szCs w:val="21"/>
                <w:highlight w:val="none"/>
              </w:rPr>
            </w:pPr>
          </w:p>
        </w:tc>
        <w:tc>
          <w:tcPr>
            <w:tcW w:w="2574" w:type="dxa"/>
            <w:vAlign w:val="center"/>
          </w:tcPr>
          <w:p w14:paraId="58B8E02A">
            <w:pPr>
              <w:adjustRightInd w:val="0"/>
              <w:snapToGrid w:val="0"/>
              <w:spacing w:line="288" w:lineRule="auto"/>
              <w:rPr>
                <w:rFonts w:ascii="宋体" w:hAnsi="宋体" w:eastAsia="宋体" w:cs="宋体"/>
                <w:color w:val="auto"/>
                <w:szCs w:val="21"/>
                <w:highlight w:val="none"/>
              </w:rPr>
            </w:pPr>
          </w:p>
        </w:tc>
        <w:tc>
          <w:tcPr>
            <w:tcW w:w="2124" w:type="dxa"/>
            <w:vAlign w:val="center"/>
          </w:tcPr>
          <w:p w14:paraId="4091EEC4">
            <w:pPr>
              <w:adjustRightInd w:val="0"/>
              <w:snapToGrid w:val="0"/>
              <w:spacing w:line="288" w:lineRule="auto"/>
              <w:rPr>
                <w:rFonts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adjustRightInd w:val="0"/>
              <w:snapToGrid w:val="0"/>
              <w:spacing w:line="288" w:lineRule="auto"/>
              <w:rPr>
                <w:rFonts w:ascii="宋体" w:hAnsi="宋体" w:eastAsia="宋体" w:cs="宋体"/>
                <w:color w:val="auto"/>
                <w:szCs w:val="21"/>
                <w:highlight w:val="none"/>
              </w:rPr>
            </w:pPr>
          </w:p>
        </w:tc>
        <w:tc>
          <w:tcPr>
            <w:tcW w:w="2574" w:type="dxa"/>
            <w:vAlign w:val="center"/>
          </w:tcPr>
          <w:p w14:paraId="486C04ED">
            <w:pPr>
              <w:adjustRightInd w:val="0"/>
              <w:snapToGrid w:val="0"/>
              <w:spacing w:line="288" w:lineRule="auto"/>
              <w:rPr>
                <w:rFonts w:ascii="宋体" w:hAnsi="宋体" w:eastAsia="宋体" w:cs="宋体"/>
                <w:color w:val="auto"/>
                <w:szCs w:val="21"/>
                <w:highlight w:val="none"/>
              </w:rPr>
            </w:pPr>
          </w:p>
        </w:tc>
        <w:tc>
          <w:tcPr>
            <w:tcW w:w="2124" w:type="dxa"/>
            <w:vAlign w:val="center"/>
          </w:tcPr>
          <w:p w14:paraId="558791D1">
            <w:pPr>
              <w:adjustRightInd w:val="0"/>
              <w:snapToGrid w:val="0"/>
              <w:spacing w:line="288" w:lineRule="auto"/>
              <w:rPr>
                <w:rFonts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adjustRightInd w:val="0"/>
              <w:snapToGrid w:val="0"/>
              <w:spacing w:line="288" w:lineRule="auto"/>
              <w:rPr>
                <w:rFonts w:ascii="宋体" w:hAnsi="宋体" w:eastAsia="宋体" w:cs="宋体"/>
                <w:color w:val="auto"/>
                <w:szCs w:val="21"/>
                <w:highlight w:val="none"/>
              </w:rPr>
            </w:pPr>
          </w:p>
        </w:tc>
        <w:tc>
          <w:tcPr>
            <w:tcW w:w="2574" w:type="dxa"/>
            <w:vAlign w:val="center"/>
          </w:tcPr>
          <w:p w14:paraId="1C372D07">
            <w:pPr>
              <w:adjustRightInd w:val="0"/>
              <w:snapToGrid w:val="0"/>
              <w:spacing w:line="288" w:lineRule="auto"/>
              <w:rPr>
                <w:rFonts w:ascii="宋体" w:hAnsi="宋体" w:eastAsia="宋体" w:cs="宋体"/>
                <w:color w:val="auto"/>
                <w:szCs w:val="21"/>
                <w:highlight w:val="none"/>
              </w:rPr>
            </w:pPr>
          </w:p>
        </w:tc>
        <w:tc>
          <w:tcPr>
            <w:tcW w:w="2124" w:type="dxa"/>
            <w:vAlign w:val="center"/>
          </w:tcPr>
          <w:p w14:paraId="0680D771">
            <w:pPr>
              <w:adjustRightInd w:val="0"/>
              <w:snapToGrid w:val="0"/>
              <w:spacing w:line="288" w:lineRule="auto"/>
              <w:rPr>
                <w:rFonts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脉冲激光沉积PLD</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QSZBB250262ZHGK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4"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adjustRightInd w:val="0"/>
              <w:snapToGrid w:val="0"/>
              <w:spacing w:line="288" w:lineRule="auto"/>
              <w:rPr>
                <w:rFonts w:ascii="宋体" w:hAnsi="宋体" w:eastAsia="宋体" w:cs="宋体"/>
                <w:b/>
                <w:bCs/>
                <w:color w:val="auto"/>
                <w:szCs w:val="21"/>
                <w:highlight w:val="none"/>
              </w:rPr>
            </w:pPr>
          </w:p>
          <w:p w14:paraId="0C631DF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adjustRightInd w:val="0"/>
              <w:snapToGrid w:val="0"/>
              <w:spacing w:line="288" w:lineRule="auto"/>
              <w:rPr>
                <w:rFonts w:ascii="宋体" w:hAnsi="宋体" w:eastAsia="宋体" w:cs="宋体"/>
                <w:b/>
                <w:bCs/>
                <w:color w:val="auto"/>
                <w:szCs w:val="21"/>
                <w:highlight w:val="none"/>
              </w:rPr>
            </w:pPr>
          </w:p>
          <w:p w14:paraId="5FEFE13F">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adjustRightInd w:val="0"/>
              <w:snapToGrid w:val="0"/>
              <w:spacing w:line="288" w:lineRule="auto"/>
              <w:rPr>
                <w:rFonts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75" w:name="_Hlk118098443"/>
      <w:r>
        <w:rPr>
          <w:rFonts w:ascii="宋体" w:hAnsi="宋体" w:eastAsia="宋体" w:cs="Times New Roman"/>
          <w:i/>
          <w:color w:val="auto"/>
          <w:szCs w:val="21"/>
          <w:highlight w:val="none"/>
          <w:u w:val="single"/>
        </w:rPr>
        <w:t>项目名称</w:t>
      </w:r>
      <w:bookmarkEnd w:id="75"/>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4A1776"/>
    <w:rsid w:val="0BD50265"/>
    <w:rsid w:val="0BEC010D"/>
    <w:rsid w:val="0C786503"/>
    <w:rsid w:val="0D1A04C9"/>
    <w:rsid w:val="0D8F4DDA"/>
    <w:rsid w:val="0DA43FD6"/>
    <w:rsid w:val="0DCB77B4"/>
    <w:rsid w:val="0FF539C8"/>
    <w:rsid w:val="100A1485"/>
    <w:rsid w:val="10332FBC"/>
    <w:rsid w:val="106C5619"/>
    <w:rsid w:val="10757130"/>
    <w:rsid w:val="112B34AD"/>
    <w:rsid w:val="11FF5827"/>
    <w:rsid w:val="18090C43"/>
    <w:rsid w:val="18FB5F15"/>
    <w:rsid w:val="1B321622"/>
    <w:rsid w:val="1BDC2BFF"/>
    <w:rsid w:val="1E452027"/>
    <w:rsid w:val="1EEB1A56"/>
    <w:rsid w:val="1F9C38D3"/>
    <w:rsid w:val="20767551"/>
    <w:rsid w:val="212705BE"/>
    <w:rsid w:val="21AC2FA2"/>
    <w:rsid w:val="21DB64E2"/>
    <w:rsid w:val="221C4C30"/>
    <w:rsid w:val="22A70B6C"/>
    <w:rsid w:val="22AD65CC"/>
    <w:rsid w:val="23C14303"/>
    <w:rsid w:val="23FF4622"/>
    <w:rsid w:val="24FF7EBF"/>
    <w:rsid w:val="25A217AC"/>
    <w:rsid w:val="27432BC1"/>
    <w:rsid w:val="27F0275A"/>
    <w:rsid w:val="28580092"/>
    <w:rsid w:val="28BC23D4"/>
    <w:rsid w:val="2AA10ED5"/>
    <w:rsid w:val="2ADA0518"/>
    <w:rsid w:val="2C921974"/>
    <w:rsid w:val="2DBE14C9"/>
    <w:rsid w:val="2E2B31E3"/>
    <w:rsid w:val="2ED77388"/>
    <w:rsid w:val="2F380CDF"/>
    <w:rsid w:val="2F6A64D8"/>
    <w:rsid w:val="300A03B7"/>
    <w:rsid w:val="30616EA9"/>
    <w:rsid w:val="31A44D82"/>
    <w:rsid w:val="320C1026"/>
    <w:rsid w:val="32BE120D"/>
    <w:rsid w:val="3308777A"/>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DA24CD7"/>
    <w:rsid w:val="3E6946AD"/>
    <w:rsid w:val="3EB60CB3"/>
    <w:rsid w:val="3EC436F9"/>
    <w:rsid w:val="3F740895"/>
    <w:rsid w:val="3FB93DC6"/>
    <w:rsid w:val="402A691C"/>
    <w:rsid w:val="422E66F3"/>
    <w:rsid w:val="4275164D"/>
    <w:rsid w:val="430A3262"/>
    <w:rsid w:val="44265D88"/>
    <w:rsid w:val="46A824B9"/>
    <w:rsid w:val="46BB170B"/>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9BA69E3"/>
    <w:rsid w:val="5A661DF4"/>
    <w:rsid w:val="5ACF0178"/>
    <w:rsid w:val="5B9E3DE4"/>
    <w:rsid w:val="5BE42A48"/>
    <w:rsid w:val="5C2D5752"/>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8B64AE4"/>
    <w:rsid w:val="69431270"/>
    <w:rsid w:val="6A147DD2"/>
    <w:rsid w:val="6A7F4F75"/>
    <w:rsid w:val="6ACA16F9"/>
    <w:rsid w:val="6B16774A"/>
    <w:rsid w:val="6C467142"/>
    <w:rsid w:val="6CB03B45"/>
    <w:rsid w:val="6ECE2681"/>
    <w:rsid w:val="6ED12033"/>
    <w:rsid w:val="72340F9C"/>
    <w:rsid w:val="763243C9"/>
    <w:rsid w:val="774152C9"/>
    <w:rsid w:val="775D6EE2"/>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52</Pages>
  <Words>23901</Words>
  <Characters>25472</Characters>
  <Lines>220</Lines>
  <Paragraphs>62</Paragraphs>
  <TotalTime>7</TotalTime>
  <ScaleCrop>false</ScaleCrop>
  <LinksUpToDate>false</LinksUpToDate>
  <CharactersWithSpaces>25687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2025-09-30T08:49:21Z</dcterms:modified>
  <cp:revision>1036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