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color w:val="auto"/>
          <w:spacing w:val="-6"/>
          <w:sz w:val="44"/>
          <w:szCs w:val="44"/>
        </w:rPr>
      </w:pPr>
    </w:p>
    <w:p w14:paraId="3B037FE7">
      <w:pPr>
        <w:adjustRightInd w:val="0"/>
        <w:snapToGrid w:val="0"/>
        <w:spacing w:line="288" w:lineRule="auto"/>
        <w:rPr>
          <w:rFonts w:hint="eastAsia" w:ascii="楷体" w:hAnsi="楷体" w:eastAsia="楷体" w:cs="Times New Roman"/>
          <w:b/>
          <w:color w:val="auto"/>
          <w:spacing w:val="-6"/>
          <w:sz w:val="44"/>
          <w:szCs w:val="44"/>
        </w:rPr>
      </w:pPr>
    </w:p>
    <w:p w14:paraId="11F59468">
      <w:pPr>
        <w:adjustRightInd w:val="0"/>
        <w:snapToGrid w:val="0"/>
        <w:spacing w:line="288" w:lineRule="auto"/>
        <w:rPr>
          <w:rFonts w:hint="eastAsia" w:ascii="楷体" w:hAnsi="楷体" w:eastAsia="楷体" w:cs="Times New Roman"/>
          <w:b/>
          <w:color w:val="auto"/>
          <w:spacing w:val="-6"/>
          <w:sz w:val="44"/>
          <w:szCs w:val="44"/>
        </w:rPr>
      </w:pPr>
    </w:p>
    <w:p w14:paraId="468FF83C">
      <w:pPr>
        <w:adjustRightInd w:val="0"/>
        <w:snapToGrid w:val="0"/>
        <w:spacing w:line="288" w:lineRule="auto"/>
        <w:jc w:val="center"/>
        <w:rPr>
          <w:rFonts w:hint="eastAsia"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氨逃逸激光光谱分析系统</w:t>
      </w:r>
    </w:p>
    <w:p w14:paraId="3D528ABB">
      <w:pPr>
        <w:adjustRightInd w:val="0"/>
        <w:snapToGrid w:val="0"/>
        <w:spacing w:line="288" w:lineRule="auto"/>
        <w:jc w:val="center"/>
        <w:rPr>
          <w:rFonts w:hint="eastAsia" w:ascii="楷体" w:hAnsi="楷体" w:eastAsia="楷体" w:cs="Times New Roman"/>
          <w:b/>
          <w:color w:val="auto"/>
          <w:spacing w:val="-6"/>
          <w:sz w:val="48"/>
          <w:szCs w:val="48"/>
        </w:rPr>
      </w:pPr>
    </w:p>
    <w:p w14:paraId="3942C169">
      <w:pPr>
        <w:adjustRightInd w:val="0"/>
        <w:snapToGrid w:val="0"/>
        <w:spacing w:line="288" w:lineRule="auto"/>
        <w:jc w:val="center"/>
        <w:rPr>
          <w:rFonts w:hint="eastAsia" w:ascii="楷体" w:hAnsi="楷体" w:eastAsia="楷体" w:cs="Times New Roman"/>
          <w:b/>
          <w:color w:val="auto"/>
          <w:spacing w:val="-6"/>
          <w:sz w:val="48"/>
          <w:szCs w:val="48"/>
        </w:rPr>
      </w:pPr>
    </w:p>
    <w:p w14:paraId="76F892AB">
      <w:pPr>
        <w:adjustRightInd w:val="0"/>
        <w:snapToGrid w:val="0"/>
        <w:spacing w:line="288" w:lineRule="auto"/>
        <w:jc w:val="center"/>
        <w:rPr>
          <w:rFonts w:hint="eastAsia"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hint="eastAsia" w:ascii="楷体" w:hAnsi="楷体" w:eastAsia="楷体" w:cs="Times New Roman"/>
          <w:color w:val="auto"/>
          <w:sz w:val="44"/>
          <w:szCs w:val="44"/>
        </w:rPr>
      </w:pPr>
    </w:p>
    <w:p w14:paraId="3B6505C4">
      <w:pPr>
        <w:adjustRightInd w:val="0"/>
        <w:snapToGrid w:val="0"/>
        <w:spacing w:line="288" w:lineRule="auto"/>
        <w:jc w:val="center"/>
        <w:rPr>
          <w:rFonts w:hint="eastAsia" w:ascii="楷体" w:hAnsi="楷体" w:eastAsia="楷体" w:cs="Times New Roman"/>
          <w:color w:val="auto"/>
          <w:sz w:val="44"/>
          <w:szCs w:val="44"/>
        </w:rPr>
      </w:pPr>
    </w:p>
    <w:p w14:paraId="16FAB8C3">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项目名称：氨逃逸激光光谱分析系统</w:t>
      </w:r>
    </w:p>
    <w:p w14:paraId="74032A0C">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项目编号：QSZBB250302ZHGK</w:t>
      </w:r>
    </w:p>
    <w:p w14:paraId="5ACAB285">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rPr>
        <w:t>[2025]65863号、[2025]65864号</w:t>
      </w:r>
    </w:p>
    <w:p w14:paraId="43139F7B">
      <w:pPr>
        <w:adjustRightInd w:val="0"/>
        <w:snapToGrid w:val="0"/>
        <w:spacing w:line="288" w:lineRule="auto"/>
        <w:rPr>
          <w:rFonts w:hint="eastAsia" w:ascii="楷体" w:hAnsi="楷体" w:eastAsia="楷体" w:cs="Times New Roman"/>
          <w:b/>
          <w:color w:val="auto"/>
          <w:szCs w:val="21"/>
        </w:rPr>
      </w:pPr>
    </w:p>
    <w:p w14:paraId="561CA082">
      <w:pPr>
        <w:adjustRightInd w:val="0"/>
        <w:snapToGrid w:val="0"/>
        <w:spacing w:line="288" w:lineRule="auto"/>
        <w:rPr>
          <w:rFonts w:hint="eastAsia"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color w:val="auto"/>
          <w:sz w:val="30"/>
          <w:szCs w:val="30"/>
        </w:rPr>
      </w:pPr>
    </w:p>
    <w:p w14:paraId="3B4D4683">
      <w:pPr>
        <w:adjustRightInd w:val="0"/>
        <w:snapToGrid w:val="0"/>
        <w:spacing w:line="288" w:lineRule="auto"/>
        <w:jc w:val="center"/>
        <w:outlineLvl w:val="0"/>
        <w:rPr>
          <w:rFonts w:hint="eastAsia"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hint="eastAsia" w:ascii="楷体" w:hAnsi="楷体" w:eastAsia="楷体" w:cs="Times New Roman"/>
          <w:b/>
          <w:color w:val="auto"/>
          <w:sz w:val="30"/>
          <w:szCs w:val="30"/>
        </w:rPr>
      </w:pPr>
    </w:p>
    <w:p w14:paraId="4679BDD0">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color w:val="auto"/>
          <w:szCs w:val="21"/>
        </w:rPr>
      </w:pPr>
    </w:p>
    <w:p w14:paraId="625CD130">
      <w:pPr>
        <w:widowControl/>
        <w:adjustRightInd w:val="0"/>
        <w:snapToGrid w:val="0"/>
        <w:spacing w:line="288" w:lineRule="auto"/>
        <w:jc w:val="left"/>
        <w:rPr>
          <w:rFonts w:hint="eastAsia"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color w:val="auto"/>
          <w:szCs w:val="21"/>
        </w:rPr>
      </w:pPr>
      <w:r>
        <w:rPr>
          <w:rFonts w:hint="eastAsia" w:ascii="宋体" w:hAnsi="宋体" w:eastAsia="宋体" w:cs="Times New Roman"/>
          <w:b/>
          <w:color w:val="auto"/>
          <w:szCs w:val="21"/>
          <w:u w:val="single"/>
        </w:rPr>
        <w:t xml:space="preserve"> 氨逃逸激光光谱分析系统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11月14日</w:t>
      </w:r>
      <w:r>
        <w:rPr>
          <w:rFonts w:hint="eastAsia" w:ascii="宋体" w:hAnsi="宋体" w:eastAsia="宋体" w:cs="Times New Roman"/>
          <w:b/>
          <w:color w:val="auto"/>
          <w:szCs w:val="21"/>
          <w:u w:val="single"/>
        </w:rPr>
        <w:t>13:30:00（北京时间）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hint="eastAsia" w:ascii="宋体" w:hAnsi="宋体" w:eastAsia="宋体" w:cs="宋体"/>
          <w:b/>
          <w:color w:val="auto"/>
          <w:szCs w:val="21"/>
        </w:rPr>
      </w:pPr>
      <w:bookmarkStart w:id="0" w:name="_Toc28359002"/>
      <w:bookmarkStart w:id="1" w:name="_Toc35393621"/>
      <w:bookmarkStart w:id="2" w:name="_Toc35393790"/>
      <w:bookmarkStart w:id="3" w:name="_Toc28359079"/>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1.项目编号：QSZBB250302ZHGK</w:t>
      </w:r>
    </w:p>
    <w:p w14:paraId="34C987CC">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.项目名称：氨逃逸激光光谱分析系统</w:t>
      </w:r>
    </w:p>
    <w:bookmarkEnd w:id="4"/>
    <w:p w14:paraId="2AB1BB05">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.预算金额：570000元</w:t>
      </w:r>
    </w:p>
    <w:p w14:paraId="11D1D498">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.最高限价：570000元</w:t>
      </w:r>
    </w:p>
    <w:p w14:paraId="4BF7EF97">
      <w:pPr>
        <w:adjustRightInd w:val="0"/>
        <w:snapToGrid w:val="0"/>
        <w:spacing w:line="288" w:lineRule="auto"/>
        <w:ind w:firstLine="420" w:firstLineChars="200"/>
        <w:rPr>
          <w:rFonts w:hint="eastAsia"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.合同履约期限：自合同签订之日起30个工作日内交付。</w:t>
      </w:r>
    </w:p>
    <w:p w14:paraId="48CBA4CF">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氨逃逸激光光谱分析系统</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否</w:t>
            </w:r>
          </w:p>
        </w:tc>
      </w:tr>
    </w:tbl>
    <w:p w14:paraId="0D505C25">
      <w:pPr>
        <w:adjustRightInd w:val="0"/>
        <w:snapToGrid w:val="0"/>
        <w:spacing w:line="288" w:lineRule="auto"/>
        <w:rPr>
          <w:rFonts w:hint="eastAsia" w:ascii="宋体" w:hAnsi="宋体" w:eastAsia="宋体" w:cs="宋体"/>
          <w:b/>
          <w:color w:val="auto"/>
          <w:szCs w:val="21"/>
        </w:rPr>
      </w:pPr>
      <w:bookmarkStart w:id="5" w:name="_Toc28359080"/>
      <w:bookmarkStart w:id="6" w:name="_Toc28359003"/>
      <w:bookmarkStart w:id="7" w:name="_Toc35393791"/>
      <w:bookmarkStart w:id="8" w:name="_Toc35393622"/>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hint="eastAsia" w:ascii="宋体" w:hAnsi="宋体" w:eastAsia="宋体" w:cs="Times New Roman"/>
          <w:color w:val="auto"/>
          <w:szCs w:val="21"/>
        </w:rPr>
      </w:pPr>
      <w:bookmarkStart w:id="9" w:name="_Toc28359081"/>
      <w:bookmarkStart w:id="10" w:name="_Toc28359004"/>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hint="eastAsia" w:ascii="宋体" w:hAnsi="宋体" w:eastAsia="宋体" w:cs="宋体"/>
          <w:b/>
          <w:color w:val="auto"/>
          <w:szCs w:val="21"/>
        </w:rPr>
      </w:pPr>
      <w:bookmarkStart w:id="11" w:name="_Toc35393623"/>
      <w:bookmarkStart w:id="12" w:name="_Toc35393792"/>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color w:val="auto"/>
          <w:szCs w:val="21"/>
        </w:rPr>
      </w:pPr>
      <w:bookmarkStart w:id="13" w:name="_Toc28359005"/>
      <w:bookmarkStart w:id="14" w:name="_Toc28359082"/>
      <w:bookmarkStart w:id="15" w:name="_Toc35393793"/>
      <w:bookmarkStart w:id="16" w:name="_Toc35393624"/>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24</w:t>
      </w:r>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11月14日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hint="eastAsia"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11月14日</w:t>
      </w:r>
      <w:r>
        <w:rPr>
          <w:rFonts w:hint="eastAsia" w:ascii="宋体" w:hAnsi="宋体" w:eastAsia="宋体" w:cs="Times New Roman"/>
          <w:bCs/>
          <w:color w:val="auto"/>
          <w:szCs w:val="21"/>
        </w:rPr>
        <w:t>13:30:00（北京时间）</w:t>
      </w:r>
    </w:p>
    <w:p w14:paraId="556DA842">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11月14日</w:t>
      </w:r>
      <w:r>
        <w:rPr>
          <w:rFonts w:hint="eastAsia" w:ascii="宋体" w:hAnsi="宋体" w:eastAsia="宋体" w:cs="Times New Roman"/>
          <w:bCs/>
          <w:color w:val="auto"/>
          <w:szCs w:val="21"/>
        </w:rPr>
        <w:t>13:30:00（北京时间）</w:t>
      </w:r>
    </w:p>
    <w:p w14:paraId="13CDD20E">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w:t>
      </w:r>
      <w:r>
        <w:rPr>
          <w:rFonts w:hint="eastAsia" w:ascii="宋体" w:hAnsi="宋体" w:eastAsia="宋体" w:cs="Times New Roman"/>
          <w:color w:val="auto"/>
          <w:szCs w:val="21"/>
          <w:lang w:val="en-US" w:eastAsia="zh-CN"/>
        </w:rPr>
        <w:t>16</w:t>
      </w:r>
      <w:r>
        <w:rPr>
          <w:rFonts w:hint="eastAsia" w:ascii="宋体" w:hAnsi="宋体" w:eastAsia="宋体" w:cs="Times New Roman"/>
          <w:color w:val="auto"/>
          <w:szCs w:val="21"/>
        </w:rPr>
        <w:t>楼（求是招标会议室</w:t>
      </w:r>
      <w:r>
        <w:rPr>
          <w:rFonts w:hint="eastAsia" w:ascii="宋体" w:hAnsi="宋体" w:eastAsia="宋体" w:cs="Times New Roman"/>
          <w:color w:val="auto"/>
          <w:szCs w:val="21"/>
          <w:lang w:val="en-US" w:eastAsia="zh-CN"/>
        </w:rPr>
        <w:t>8</w:t>
      </w:r>
      <w:r>
        <w:rPr>
          <w:rFonts w:hint="eastAsia" w:ascii="宋体" w:hAnsi="宋体" w:eastAsia="宋体" w:cs="Times New Roman"/>
          <w:color w:val="auto"/>
          <w:szCs w:val="21"/>
        </w:rPr>
        <w:t>）</w:t>
      </w:r>
      <w:bookmarkEnd w:id="18"/>
    </w:p>
    <w:bookmarkEnd w:id="17"/>
    <w:p w14:paraId="15287A77">
      <w:pPr>
        <w:adjustRightInd w:val="0"/>
        <w:snapToGrid w:val="0"/>
        <w:spacing w:line="288" w:lineRule="auto"/>
        <w:rPr>
          <w:rFonts w:hint="eastAsia" w:ascii="宋体" w:hAnsi="宋体" w:eastAsia="宋体" w:cs="宋体"/>
          <w:b/>
          <w:color w:val="auto"/>
          <w:szCs w:val="21"/>
        </w:rPr>
      </w:pPr>
      <w:bookmarkStart w:id="19" w:name="_Toc35393625"/>
      <w:bookmarkStart w:id="20" w:name="_Toc35393794"/>
      <w:bookmarkStart w:id="21" w:name="_Toc28359007"/>
      <w:bookmarkStart w:id="22" w:name="_Toc28359084"/>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hint="eastAsia" w:ascii="宋体" w:hAnsi="宋体" w:eastAsia="宋体" w:cs="宋体"/>
          <w:b/>
          <w:color w:val="auto"/>
          <w:szCs w:val="21"/>
        </w:rPr>
      </w:pPr>
      <w:bookmarkStart w:id="23" w:name="_Toc35393626"/>
      <w:bookmarkStart w:id="24" w:name="_Toc35393795"/>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color w:val="auto"/>
          <w:szCs w:val="21"/>
        </w:rPr>
      </w:pPr>
      <w:bookmarkStart w:id="29" w:name="_Toc28359008"/>
      <w:bookmarkStart w:id="30" w:name="_Toc28359085"/>
      <w:bookmarkStart w:id="31" w:name="_Toc35393796"/>
      <w:bookmarkStart w:id="32" w:name="_Toc35393627"/>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eastAsia="zh-CN"/>
        </w:rPr>
      </w:pPr>
      <w:r>
        <w:rPr>
          <w:rFonts w:hint="eastAsia" w:ascii="宋体" w:hAnsi="宋体" w:eastAsia="宋体" w:cs="Times New Roman"/>
          <w:color w:val="auto"/>
          <w:szCs w:val="21"/>
        </w:rPr>
        <w:t>项目联系人（询问）：王</w:t>
      </w:r>
      <w:r>
        <w:rPr>
          <w:rFonts w:hint="eastAsia" w:ascii="宋体" w:hAnsi="宋体" w:eastAsia="宋体" w:cs="Times New Roman"/>
          <w:color w:val="auto"/>
          <w:szCs w:val="21"/>
          <w:lang w:val="en-US" w:eastAsia="zh-CN"/>
        </w:rPr>
        <w:t>老师</w:t>
      </w:r>
    </w:p>
    <w:p w14:paraId="32E8001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项目联系方式（询问）：13634197319</w:t>
      </w:r>
    </w:p>
    <w:p w14:paraId="209040C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质疑联系方式：0571-86</w:t>
      </w:r>
      <w:r>
        <w:rPr>
          <w:rFonts w:hint="eastAsia" w:ascii="宋体" w:hAnsi="宋体" w:eastAsia="宋体" w:cs="Times New Roman"/>
          <w:color w:val="auto"/>
          <w:szCs w:val="21"/>
          <w:lang w:val="en-US" w:eastAsia="zh-CN"/>
        </w:rPr>
        <w:t>915026</w:t>
      </w:r>
    </w:p>
    <w:p w14:paraId="1637E152">
      <w:pPr>
        <w:adjustRightInd w:val="0"/>
        <w:snapToGrid w:val="0"/>
        <w:spacing w:line="288" w:lineRule="auto"/>
        <w:ind w:firstLine="424" w:firstLineChars="202"/>
        <w:rPr>
          <w:rFonts w:hint="eastAsia" w:ascii="宋体" w:hAnsi="宋体" w:eastAsia="宋体" w:cs="Times New Roman"/>
          <w:color w:val="auto"/>
          <w:szCs w:val="21"/>
        </w:rPr>
      </w:pPr>
    </w:p>
    <w:p w14:paraId="3C32CE7B">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w:t>
      </w:r>
      <w:r>
        <w:rPr>
          <w:rFonts w:hint="eastAsia" w:ascii="宋体" w:hAnsi="宋体" w:eastAsia="宋体" w:cs="Times New Roman"/>
          <w:bCs/>
          <w:color w:val="auto"/>
          <w:spacing w:val="-6"/>
          <w:szCs w:val="21"/>
          <w:lang w:eastAsia="zh-CN"/>
        </w:rPr>
        <w:t>、</w:t>
      </w:r>
      <w:r>
        <w:rPr>
          <w:rFonts w:hint="eastAsia" w:ascii="宋体" w:hAnsi="宋体" w:eastAsia="宋体" w:cs="Times New Roman"/>
          <w:bCs/>
          <w:color w:val="auto"/>
          <w:spacing w:val="-6"/>
          <w:szCs w:val="21"/>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hint="eastAsia" w:ascii="宋体" w:hAnsi="宋体" w:eastAsia="宋体" w:cs="Times New Roman"/>
          <w:color w:val="auto"/>
          <w:szCs w:val="21"/>
        </w:rPr>
      </w:pPr>
      <w:bookmarkStart w:id="33" w:name="_Hlk124147873"/>
    </w:p>
    <w:p w14:paraId="2F81AB73">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084B9583">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2931E870">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联系人：亓老师</w:t>
      </w:r>
    </w:p>
    <w:p w14:paraId="3C80EDC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监督投诉电话：0571-87713574</w:t>
      </w:r>
    </w:p>
    <w:p w14:paraId="5C0CD420">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color w:val="auto"/>
          <w:spacing w:val="-6"/>
          <w:szCs w:val="21"/>
        </w:rPr>
      </w:pPr>
    </w:p>
    <w:p w14:paraId="091E1A9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hint="eastAsia"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708" w:type="dxa"/>
            <w:vAlign w:val="center"/>
          </w:tcPr>
          <w:p w14:paraId="1FC5DAF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color w:val="auto"/>
          <w:spacing w:val="-4"/>
          <w:szCs w:val="21"/>
        </w:rPr>
      </w:pPr>
    </w:p>
    <w:p w14:paraId="47046090">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hint="eastAsia"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A4FE8E7">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83554F6">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3.在签订合同时，供应商明确表示无需预付款或者主动要求降低预付款比例的，可降低预付款比例（预付款保函同步调整）。</w:t>
            </w:r>
          </w:p>
          <w:p w14:paraId="3F8BDF94">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4.若供应商收取预付款，要求预付款保函有效期覆盖项目验收合格时间；提供了预付款保函则供应商无需再缴纳履约保证金。</w:t>
            </w:r>
          </w:p>
          <w:p w14:paraId="6C2B6F02">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5.签订合同时中标人明确表示无需预付款的，可以采用以下付款方式：</w:t>
            </w:r>
          </w:p>
          <w:p w14:paraId="74DA3A78">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247D5B1">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0A84B33A">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3B75ABF">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color w:val="auto"/>
          <w:spacing w:val="-4"/>
          <w:szCs w:val="21"/>
        </w:rPr>
      </w:pPr>
    </w:p>
    <w:p w14:paraId="1EC90AF6">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自合同签订之日起30个工作日内交付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lang w:bidi="ar"/>
              </w:rPr>
              <w:t>5.</w:t>
            </w:r>
            <w:r>
              <w:rPr>
                <w:rFonts w:hint="eastAsia" w:ascii="宋体" w:hAnsi="宋体" w:eastAsia="宋体" w:cs="宋体"/>
                <w:color w:val="auto"/>
                <w:szCs w:val="21"/>
                <w:u w:val="single"/>
                <w:lang w:bidi="ar"/>
              </w:rPr>
              <w:t>如在使用过程中发生质量问题，供应商维修响应时间：1小时以内；</w:t>
            </w:r>
          </w:p>
          <w:p w14:paraId="02E376AB">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spacing w:line="288" w:lineRule="auto"/>
              <w:rPr>
                <w:rFonts w:hint="eastAsia"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48小时内派遣相关人员赶赴现场，24小时内维修完毕；发生紧急抢修事故的，供应商应在接到采购人通知后24小时内到达现场抢修，并于到达现场12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u w:val="single"/>
              </w:rPr>
              <w:t>；</w:t>
            </w:r>
          </w:p>
          <w:p w14:paraId="453E65BA">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14:paraId="70071A3E">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4.技术支持：</w:t>
            </w:r>
          </w:p>
          <w:p w14:paraId="4560E74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3D36B1A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p w14:paraId="4CEDA15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4.供应商应提供免费的仪器操作和维护培训，具体培训内容包括：</w:t>
            </w:r>
          </w:p>
          <w:p w14:paraId="31FD8A2F">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（1）设备的工作原理；</w:t>
            </w:r>
          </w:p>
          <w:p w14:paraId="58A5D36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（2）设备结构，现场介绍整套系统的结构，组装，各个配件的具体用途，演示设备的组装；</w:t>
            </w:r>
          </w:p>
          <w:p w14:paraId="0FD774B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（3）设备操作及校准，现场通过具体实验讲解设备的每一步操作流程，注意事项，实验每一步骤的操作；</w:t>
            </w:r>
          </w:p>
          <w:p w14:paraId="27142243">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（4）设备日常保养及基本维修常识，介绍设备的日常维护与相关维修知识；</w:t>
            </w:r>
          </w:p>
          <w:p w14:paraId="5BA89EB9">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（5）安排和指导实验，提高操作能力，保证采购人操作人员能够达到独立的、规范的使用和日常维护的水平。</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rPr>
            </w:pPr>
            <w:bookmarkStart w:id="76" w:name="_GoBack" w:colFirst="0" w:colLast="1"/>
            <w:r>
              <w:rPr>
                <w:rFonts w:hint="eastAsia" w:ascii="宋体" w:hAnsi="宋体" w:eastAsia="宋体" w:cs="宋体"/>
                <w:b/>
                <w:bCs/>
                <w:kern w:val="2"/>
                <w:sz w:val="21"/>
                <w:szCs w:val="21"/>
                <w:lang w:val="en-US" w:eastAsia="zh-CN"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5E5F17D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1.验收由采购人负责实施；</w:t>
            </w:r>
            <w:r>
              <w:rPr>
                <w:rFonts w:hint="eastAsia" w:ascii="宋体" w:hAnsi="宋体" w:eastAsia="宋体" w:cs="宋体"/>
                <w:kern w:val="0"/>
                <w:sz w:val="21"/>
                <w:szCs w:val="21"/>
                <w:lang w:val="en-US" w:eastAsia="zh-CN" w:bidi="ar"/>
              </w:rPr>
              <w:t>货物经安装调试完成且符合技术要求后，采购人负责在10个工作日内进行最终验收。如采购人需要，验收时供应商必须在现场。</w:t>
            </w:r>
          </w:p>
          <w:p w14:paraId="686831D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2.验收依据：</w:t>
            </w:r>
          </w:p>
          <w:p w14:paraId="18510F9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2.1合同、招标文件、投标文件；</w:t>
            </w:r>
          </w:p>
          <w:p w14:paraId="1AA2B4C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2.2供应商提供的技术规格、经采购人认可的合同货物的有效检验文件；</w:t>
            </w:r>
          </w:p>
          <w:p w14:paraId="24CEB9A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2.3供应商投标文件中提供的经采购人认可的合同货物的验收标准（符合中国有关的国家、地方、行业标准）和检测办法及相应检测手段。</w:t>
            </w:r>
          </w:p>
          <w:p w14:paraId="6C6B814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6735ECF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4.验收合格的条件：</w:t>
            </w:r>
          </w:p>
          <w:p w14:paraId="6D9F29DB">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4.1所供货物符合产品标准和合同的要求；</w:t>
            </w:r>
          </w:p>
          <w:p w14:paraId="14E9E94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4.2在进行测试和验收过程中发现的问题已被解决并得到采购人的认可；</w:t>
            </w:r>
          </w:p>
          <w:p w14:paraId="67C12B95">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4.3合同中规定的所有货物和材料均已交付；</w:t>
            </w:r>
          </w:p>
          <w:p w14:paraId="060E2FA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4.4所供货物已通过使用单位组织的验收；</w:t>
            </w:r>
          </w:p>
          <w:p w14:paraId="4261286D">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Cs w:val="21"/>
              </w:rPr>
            </w:pPr>
            <w:r>
              <w:rPr>
                <w:rFonts w:hint="eastAsia" w:ascii="宋体" w:hAnsi="宋体" w:eastAsia="宋体" w:cs="宋体"/>
                <w:kern w:val="2"/>
                <w:sz w:val="21"/>
                <w:szCs w:val="21"/>
                <w:lang w:val="en-US" w:eastAsia="zh-CN" w:bidi="ar"/>
              </w:rPr>
              <w:t>4.5所有相关的技术文件及资料均已提交并得到接受。</w:t>
            </w:r>
          </w:p>
        </w:tc>
      </w:tr>
      <w:tr w14:paraId="4EE3F2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4D70098">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rPr>
            </w:pPr>
            <w:r>
              <w:rPr>
                <w:rFonts w:hint="eastAsia" w:ascii="宋体" w:hAnsi="宋体" w:eastAsia="宋体" w:cs="宋体"/>
                <w:b/>
                <w:bCs/>
                <w:kern w:val="2"/>
                <w:sz w:val="21"/>
                <w:szCs w:val="21"/>
                <w:lang w:val="en-US" w:eastAsia="zh-CN"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21F8F42C">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color w:val="auto"/>
                <w:szCs w:val="21"/>
              </w:rPr>
            </w:pPr>
            <w:r>
              <w:rPr>
                <w:rFonts w:hint="eastAsia" w:ascii="宋体" w:hAnsi="宋体" w:eastAsia="宋体" w:cs="宋体"/>
                <w:b w:val="0"/>
                <w:bCs w:val="0"/>
                <w:kern w:val="2"/>
                <w:sz w:val="21"/>
                <w:szCs w:val="21"/>
                <w:lang w:val="en-US" w:eastAsia="zh-CN" w:bidi="ar"/>
              </w:rPr>
              <w:t>按“第五章  拟签订的合同文本”相关违约责任及争议解决方式内容。</w:t>
            </w:r>
          </w:p>
        </w:tc>
      </w:tr>
      <w:bookmarkEnd w:id="76"/>
    </w:tbl>
    <w:p w14:paraId="579B72D1">
      <w:pPr>
        <w:adjustRightInd w:val="0"/>
        <w:snapToGrid w:val="0"/>
        <w:spacing w:line="288" w:lineRule="auto"/>
        <w:rPr>
          <w:rFonts w:hint="eastAsia" w:ascii="宋体" w:hAnsi="宋体" w:eastAsia="宋体" w:cs="Times New Roman"/>
          <w:b/>
          <w:color w:val="auto"/>
          <w:szCs w:val="21"/>
        </w:rPr>
      </w:pPr>
    </w:p>
    <w:p w14:paraId="155758D7">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hint="eastAsia"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.需实现的功能或者目标：满足氨逃逸激光光谱分析系统的使用需求。</w:t>
      </w:r>
    </w:p>
    <w:p w14:paraId="052E21C8">
      <w:pPr>
        <w:adjustRightInd w:val="0"/>
        <w:snapToGrid w:val="0"/>
        <w:spacing w:line="288" w:lineRule="auto"/>
        <w:rPr>
          <w:rFonts w:hint="eastAsia"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10" w:type="dxa"/>
            <w:vAlign w:val="center"/>
          </w:tcPr>
          <w:p w14:paraId="3B9DB4B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名称</w:t>
            </w:r>
          </w:p>
        </w:tc>
        <w:tc>
          <w:tcPr>
            <w:tcW w:w="661" w:type="dxa"/>
            <w:vAlign w:val="center"/>
          </w:tcPr>
          <w:p w14:paraId="601BB26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661" w:type="dxa"/>
            <w:vAlign w:val="center"/>
          </w:tcPr>
          <w:p w14:paraId="302F457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14:paraId="7F7ED66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b/>
                <w:bCs/>
                <w:color w:val="auto"/>
                <w:szCs w:val="21"/>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color w:val="auto"/>
                <w:szCs w:val="21"/>
              </w:rPr>
            </w:pPr>
            <w:r>
              <w:rPr>
                <w:rFonts w:hint="eastAsia" w:ascii="宋体" w:hAnsi="宋体" w:eastAsia="宋体" w:cs="Times New Roman"/>
                <w:b/>
                <w:bCs/>
                <w:color w:val="auto"/>
                <w:szCs w:val="21"/>
              </w:rPr>
              <w:t>氨逃逸激光光谱分析系统</w:t>
            </w:r>
          </w:p>
        </w:tc>
        <w:tc>
          <w:tcPr>
            <w:tcW w:w="661" w:type="dxa"/>
            <w:vAlign w:val="center"/>
          </w:tcPr>
          <w:p w14:paraId="77DC8DC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66A5AD6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77E3B134">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★1.检测原理：可调式二极管激光光谱法TDLAS（高温热湿法），仪器的核心使用近红外二极管激光器做为光源；</w:t>
            </w:r>
          </w:p>
          <w:p w14:paraId="5570AF38">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▲2.内置标准氨气永久性气体参比池，具备自标定能力，无需用户定期校正，无系统漂移问题，满足现场高粉尘、高污染、高水汽、高温气体工况使用；</w:t>
            </w:r>
          </w:p>
          <w:p w14:paraId="4F6716EC">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▲3.便携式光谱分析主机与检测池分体式设计（不接受一体机，受温度影响），检测池温度0-290℃可调，主机同时显示NH3和H2O气体参数；</w:t>
            </w:r>
          </w:p>
          <w:p w14:paraId="56C6087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4.检测池单元至少由以下几个单元组成：多次反射池，恒流采样单元，温度控制单元，电气控制单元，加热采样单元等组成；</w:t>
            </w:r>
          </w:p>
          <w:p w14:paraId="6DEC5131">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▲5.采用窗口隔离技术，窗口镜片可方便拆卸，方便维护，避免污染，检测精度：0.01ppm；</w:t>
            </w:r>
          </w:p>
          <w:p w14:paraId="02687F40">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★6.检测光程：0-30米范围内光程可调节；</w:t>
            </w:r>
          </w:p>
          <w:p w14:paraId="56AE46E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★7.预热时间：≤10Min；</w:t>
            </w:r>
          </w:p>
          <w:p w14:paraId="163A892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8.采样流量：0-15L/Min可调节，具备实验室小流量测试要求；具备独立液晶真空流量显示单元，实时显示采样泵真空度，可实时观测抽气流量，对设备在高尘工况下作业提供预警；</w:t>
            </w:r>
          </w:p>
          <w:p w14:paraId="5812004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9.配套提供试验所需的简易装置及配气采样系统，除尘等级要求：具备除尘防护装置；</w:t>
            </w:r>
          </w:p>
          <w:p w14:paraId="66046750">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★10.检测池温度范围：0-290℃可调节；预留采样管线温度控制范围：0-240℃内可调节，过载调节温度可至不低于250℃全程加热，无冷凝点；</w:t>
            </w:r>
          </w:p>
          <w:p w14:paraId="11B1527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★11.检测气体：同时测试NH3，H2O；预留HCL检测通道便于后续升级，升级后主机实现双激光测量可同时检测NH3、HCL和H2O；</w:t>
            </w:r>
          </w:p>
          <w:p w14:paraId="56E28E7F">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12.相应时间：≤1s；</w:t>
            </w:r>
          </w:p>
          <w:p w14:paraId="702B6F94">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★13.量程：</w:t>
            </w:r>
          </w:p>
          <w:p w14:paraId="4B13E2E8">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13.1 NH3：0-10-100-1000-10000ppm自动量程，可满足检测高浓度NH3至少50%的氨气浓度，检测下线0.1ppm，分辨率：0.01ppm；</w:t>
            </w:r>
          </w:p>
          <w:p w14:paraId="6DCA5F9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13.2 H2O：0-100%自动量程，检测下线0.1％，分辨率：0.01ppm；</w:t>
            </w:r>
          </w:p>
          <w:p w14:paraId="4321A92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14.采样间隔时间：1s-60min可调节；</w:t>
            </w:r>
          </w:p>
          <w:p w14:paraId="4B810E58">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★15.具有水汽扣除背景功能，防止大水汽对测试数据造成干扰；</w:t>
            </w:r>
          </w:p>
          <w:p w14:paraId="5B0BF3A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16.通过光谱软件可以调节分析仪的参数，至少应包括激光器的输出波长、气体温度/压力、光程、数字/模拟量输出、信号放大率、响应时间等；光谱软件至少可显示温度、压力、浓度、信号强度，实时气体浓度，参比池实时浓度，相似系数，参比池折算浓度，吸收率，半波宽，最大值，最小值，平均值，气体误差值等可实现实时监测及实时控制；</w:t>
            </w:r>
          </w:p>
          <w:p w14:paraId="3E4C3D3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17.测试数据可以通过数据线缆导出，方便测试数据的分析；</w:t>
            </w:r>
          </w:p>
          <w:p w14:paraId="6F2347BE">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18.全程加热采样探针不低于2000mm长，温度0-250℃内可调节，一体式隔热采样手柄（包含管线和探针的双控温，不接受外接温控单元控温），连接处为防水，防尘，防腐蚀镀膜快插接头，前置高精度不锈钢过滤器;伴热采样管不低于6000mm长，温度0-240℃内可调节，不接受外接温控单元控温，全程防尘，防水，防腐蚀镀膜快插接头，无冷点；</w:t>
            </w:r>
          </w:p>
          <w:p w14:paraId="724D319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19.配套独立耐高温前置采样装置（至少包含上下两端密封装置，过滤器腔体，耐高温不低于2级过滤器组成，一体式耐高温采样腔体不低于1500mm,耐温不低于1500℃）；</w:t>
            </w:r>
          </w:p>
          <w:p w14:paraId="3555D9B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20.氨逃逸激光光谱分析系统主机：</w:t>
            </w:r>
          </w:p>
          <w:p w14:paraId="3CAA1A66">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20.1 检测气体：NH3、H2O；</w:t>
            </w:r>
          </w:p>
          <w:p w14:paraId="64B6C29E">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20.2 量程：</w:t>
            </w:r>
          </w:p>
          <w:p w14:paraId="5A93A1D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（1）NH3：0-10-100-1000-10000ppm自动量程（线性扩展），可满足检测高浓度NH3至少50%的氨气浓度；</w:t>
            </w:r>
          </w:p>
          <w:p w14:paraId="5D341668">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（2）H2O：0-100%,自动量程；</w:t>
            </w:r>
          </w:p>
          <w:p w14:paraId="685331F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20.3 检测下限：</w:t>
            </w:r>
          </w:p>
          <w:p w14:paraId="7AB35CE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（1）NH3：检测下限0.1ppm，分辨率：0.01ppm；</w:t>
            </w:r>
          </w:p>
          <w:p w14:paraId="5724647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（2）H2O：检测下限0.1％，分辨率：0.01ppm；</w:t>
            </w:r>
          </w:p>
          <w:p w14:paraId="2D8F5CA3">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20.4 响应时间：1/250S；</w:t>
            </w:r>
          </w:p>
          <w:p w14:paraId="20F359D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20.5 刷新速率：1s-60min，可设置；</w:t>
            </w:r>
          </w:p>
          <w:p w14:paraId="02F8A81E">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20.6 校正：出厂设定，无需用户定期校正，内置标准氨气永久性气体参比池，免标定；</w:t>
            </w:r>
          </w:p>
          <w:p w14:paraId="0E57E731">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20.7 系统漂移：无漂移；</w:t>
            </w:r>
          </w:p>
          <w:p w14:paraId="02C3A37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20.8 内置数据存储容量：≥32G、能够存储5年连续采样数据；</w:t>
            </w:r>
          </w:p>
          <w:p w14:paraId="335DF73F">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20.9 模拟量输出：隔离输出 4—20mA 或 0-20mA；</w:t>
            </w:r>
          </w:p>
          <w:p w14:paraId="47F6DB1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20.10 模拟量输入：4-20 mA （温度、压力输入补偿）；</w:t>
            </w:r>
          </w:p>
          <w:p w14:paraId="050E5FE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20.11 数字通讯接口：以太网、RS232、RS485；</w:t>
            </w:r>
          </w:p>
          <w:p w14:paraId="5836D0D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20.12 继电器输出：6输出；</w:t>
            </w:r>
          </w:p>
          <w:p w14:paraId="1C48830C">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20.13 电源要求：100-240VAC，100W；</w:t>
            </w:r>
          </w:p>
          <w:p w14:paraId="17F639CC">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20.14 使用环境要求：-10—50℃，800-1200mbar，0-95%RH；</w:t>
            </w:r>
          </w:p>
          <w:p w14:paraId="0FEE98A9">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21.高温检测池：</w:t>
            </w:r>
          </w:p>
          <w:p w14:paraId="0866A1A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21.1 内部包括的主要部件</w:t>
            </w:r>
            <w:r>
              <w:rPr>
                <w:rFonts w:hint="eastAsia" w:ascii="宋体" w:hAnsi="宋体" w:eastAsia="宋体" w:cs="宋体"/>
                <w:color w:val="auto"/>
                <w:szCs w:val="21"/>
              </w:rPr>
              <w:tab/>
            </w:r>
            <w:r>
              <w:rPr>
                <w:rFonts w:hint="eastAsia" w:ascii="宋体" w:hAnsi="宋体" w:eastAsia="宋体" w:cs="宋体"/>
                <w:color w:val="auto"/>
                <w:szCs w:val="21"/>
              </w:rPr>
              <w:t>多次反射池，恒流采样单元，温度控制单元，电气控制单元，加热采样单元等组成；</w:t>
            </w:r>
          </w:p>
          <w:p w14:paraId="3CF0BB9E">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21.2 有效光程：0-30米范围内光程可调节；</w:t>
            </w:r>
          </w:p>
          <w:p w14:paraId="40DE12B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21.3 温度调节范围：0-290℃可调节；</w:t>
            </w:r>
          </w:p>
          <w:p w14:paraId="1E755021">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21.4 预热时间：≤10Min；</w:t>
            </w:r>
          </w:p>
          <w:p w14:paraId="4A38B7F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21.5 采样流量：0-15L/Min可调节；</w:t>
            </w:r>
          </w:p>
          <w:p w14:paraId="1B656619">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21.6 具有水汽扣除背景功能；</w:t>
            </w:r>
          </w:p>
          <w:p w14:paraId="013DAB70">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21.7 材质：钛合金材质内表面做钝化处理，防止测试气体有损失；</w:t>
            </w:r>
          </w:p>
          <w:p w14:paraId="0636D1B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21.8 过滤器：内置双级高精度金属纳米级过滤器；</w:t>
            </w:r>
          </w:p>
          <w:p w14:paraId="75FA228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22.加热采样探杆和采样软管：</w:t>
            </w:r>
          </w:p>
          <w:p w14:paraId="1ECB2D6E">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22.1 采样探针规格：不低于2000mm，直径不高于DN20；</w:t>
            </w:r>
          </w:p>
          <w:p w14:paraId="17C9B79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22.2 加热采样手柄：一体式隔热采样手柄，双温控，无须外接温控单元；</w:t>
            </w:r>
          </w:p>
          <w:p w14:paraId="17CC3BBC">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22.3 采样探针加热温度：0-250℃内可调节；</w:t>
            </w:r>
          </w:p>
          <w:p w14:paraId="353FADF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22.4 加热管线规格：采样管线不低于6000mm，外径不高于DN30；0-240℃可调节，具备快速防水防尘防腐蚀接头，采样手柄直接控温，无须外接温控单元；</w:t>
            </w:r>
          </w:p>
          <w:p w14:paraId="03509D8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22.5 高温采样装置规格：至少包含上下两端密封装置，过滤器腔体，耐高温不低于2级过滤器组成，一体式耐高温采样腔体不低于1500mm,耐温不低于1500℃；</w:t>
            </w:r>
          </w:p>
          <w:p w14:paraId="08E28934">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★23.为保证产品质量和售后服务，中标后须提供盖制造商公章的针对本项目的授权书和售后服务承诺函。</w:t>
            </w:r>
          </w:p>
        </w:tc>
      </w:tr>
    </w:tbl>
    <w:p w14:paraId="2A83C00D">
      <w:pPr>
        <w:widowControl/>
        <w:adjustRightInd w:val="0"/>
        <w:snapToGrid w:val="0"/>
        <w:spacing w:line="288" w:lineRule="auto"/>
        <w:jc w:val="left"/>
        <w:rPr>
          <w:rFonts w:hint="eastAsia"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hint="eastAsia"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本招标文件适用于杭州电子科技大学氨逃逸激光光谱分析系统的招标、评标、定标、验收、合同履约、付款等（法律、法规另有规定的，从其规定）。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ascii="宋体" w:hAnsi="宋体" w:eastAsia="宋体"/>
                <w:color w:val="auto"/>
                <w:szCs w:val="21"/>
              </w:rPr>
              <w:t>以后任意一月）</w:t>
            </w:r>
            <w:r>
              <w:rPr>
                <w:rFonts w:hint="eastAsia" w:ascii="宋体" w:hAnsi="宋体" w:eastAsia="宋体"/>
                <w:color w:val="auto"/>
                <w:szCs w:val="21"/>
              </w:rPr>
              <w:t>；</w:t>
            </w:r>
          </w:p>
          <w:p w14:paraId="19BCFB3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0.77</w:t>
                  </w:r>
                </w:p>
              </w:tc>
            </w:tr>
          </w:tbl>
          <w:p w14:paraId="1073C959">
            <w:pPr>
              <w:adjustRightInd w:val="0"/>
              <w:snapToGrid w:val="0"/>
              <w:spacing w:line="288" w:lineRule="auto"/>
              <w:rPr>
                <w:rFonts w:hint="eastAsia"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adjustRightInd w:val="0"/>
              <w:snapToGrid w:val="0"/>
              <w:spacing w:line="288" w:lineRule="auto"/>
              <w:ind w:right="-105" w:rightChars="-50"/>
              <w:jc w:val="center"/>
              <w:rPr>
                <w:rFonts w:hint="eastAsia"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adjustRightInd w:val="0"/>
              <w:snapToGrid w:val="0"/>
              <w:spacing w:line="288" w:lineRule="auto"/>
              <w:rPr>
                <w:rFonts w:hint="eastAsia"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2BD3C9D6">
            <w:pPr>
              <w:adjustRightInd w:val="0"/>
              <w:snapToGrid w:val="0"/>
              <w:spacing w:line="288" w:lineRule="auto"/>
              <w:rPr>
                <w:rFonts w:hint="eastAsia"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63817493">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adjustRightInd w:val="0"/>
              <w:snapToGrid w:val="0"/>
              <w:spacing w:line="288" w:lineRule="auto"/>
              <w:jc w:val="center"/>
              <w:rPr>
                <w:rFonts w:hint="eastAsia"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adjustRightInd w:val="0"/>
              <w:snapToGrid w:val="0"/>
              <w:spacing w:line="288" w:lineRule="auto"/>
              <w:rPr>
                <w:rFonts w:hint="eastAsia"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adjustRightInd w:val="0"/>
              <w:snapToGrid w:val="0"/>
              <w:spacing w:line="288" w:lineRule="auto"/>
              <w:rPr>
                <w:rFonts w:hint="eastAsia"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adjustRightInd w:val="0"/>
              <w:snapToGrid w:val="0"/>
              <w:spacing w:line="288" w:lineRule="auto"/>
              <w:jc w:val="left"/>
              <w:rPr>
                <w:rFonts w:hint="eastAsia"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adjustRightInd w:val="0"/>
              <w:snapToGrid w:val="0"/>
              <w:spacing w:line="288" w:lineRule="auto"/>
              <w:jc w:val="left"/>
              <w:rPr>
                <w:rFonts w:hint="eastAsia"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hint="eastAsia"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2758FBDC">
            <w:pPr>
              <w:adjustRightInd w:val="0"/>
              <w:snapToGrid w:val="0"/>
              <w:spacing w:line="288" w:lineRule="auto"/>
              <w:rPr>
                <w:rFonts w:hint="eastAsia"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32608FB3">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2.以人民币报价；</w:t>
            </w:r>
          </w:p>
          <w:p w14:paraId="5FB1C9B5">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147D2EB4">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57C3B98D">
            <w:pPr>
              <w:pStyle w:val="13"/>
              <w:adjustRightInd w:val="0"/>
              <w:snapToGrid w:val="0"/>
              <w:spacing w:before="0" w:beforeLines="0" w:after="0" w:afterLines="0" w:line="288" w:lineRule="auto"/>
              <w:jc w:val="left"/>
              <w:rPr>
                <w:rFonts w:hint="eastAsia"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adjustRightInd w:val="0"/>
              <w:snapToGrid w:val="0"/>
              <w:spacing w:line="288" w:lineRule="auto"/>
              <w:rPr>
                <w:rFonts w:hint="eastAsia"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hint="eastAsia"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14:paraId="75D18B7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hint="eastAsia" w:ascii="宋体" w:hAnsi="宋体" w:eastAsia="宋体"/>
          <w:color w:val="auto"/>
          <w:szCs w:val="21"/>
        </w:rPr>
      </w:pPr>
    </w:p>
    <w:p w14:paraId="764296F0">
      <w:pPr>
        <w:adjustRightInd w:val="0"/>
        <w:snapToGrid w:val="0"/>
        <w:spacing w:line="288" w:lineRule="auto"/>
        <w:rPr>
          <w:rFonts w:hint="eastAsia"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本招标文件适用于杭州电子科技大学氨逃逸激光光谱分析系统的招标、评标、定标、验收、合同履约、付款等（法律、法规另有规定的，从其规定）。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hint="eastAsia"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hint="eastAsia"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hint="eastAsia"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（五）投标报价</w:t>
      </w:r>
    </w:p>
    <w:p w14:paraId="588B55E7">
      <w:pPr>
        <w:adjustRightInd w:val="0"/>
        <w:snapToGrid w:val="0"/>
        <w:spacing w:line="288" w:lineRule="auto"/>
        <w:ind w:firstLine="420" w:firstLineChars="200"/>
        <w:rPr>
          <w:rFonts w:hint="eastAsia"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2.以人民币报价；</w:t>
      </w:r>
    </w:p>
    <w:p w14:paraId="4528E9AB">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p>
    <w:bookmarkEnd w:id="47"/>
    <w:p w14:paraId="58DE03B4">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hint="eastAsia"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hint="eastAsia"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hint="eastAsia"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hint="eastAsia" w:ascii="宋体" w:hAnsi="宋体" w:eastAsia="宋体" w:cs="Times New Roman"/>
          <w:b/>
          <w:bCs/>
          <w:color w:val="auto"/>
          <w:spacing w:val="-6"/>
          <w:szCs w:val="21"/>
        </w:rPr>
      </w:pPr>
    </w:p>
    <w:p w14:paraId="64F5A24E">
      <w:pPr>
        <w:adjustRightInd w:val="0"/>
        <w:snapToGrid w:val="0"/>
        <w:spacing w:line="288" w:lineRule="auto"/>
        <w:ind w:firstLine="398" w:firstLineChars="200"/>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hint="eastAsia"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color w:val="auto"/>
          <w:kern w:val="0"/>
          <w:szCs w:val="21"/>
        </w:rPr>
      </w:pPr>
      <w:r>
        <w:rPr>
          <w:rFonts w:hint="eastAsia" w:ascii="宋体" w:hAnsi="宋体" w:cs="仿宋"/>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color w:val="auto"/>
          <w:spacing w:val="-6"/>
          <w:szCs w:val="21"/>
        </w:rPr>
      </w:pPr>
    </w:p>
    <w:p w14:paraId="41282C47">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hint="eastAsia"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w:t>
            </w:r>
          </w:p>
          <w:p w14:paraId="3EA8419A">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技术条款低于技术要求（负偏离）的，标注“★”的每项扣3分，未标注“★”的每项扣2分；</w:t>
            </w:r>
          </w:p>
          <w:p w14:paraId="6F1D37CE">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负偏离扣分30分及以上的视为采购人不能接受的附加条件。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hint="eastAsia"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hint="eastAsia"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hint="eastAsia"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hint="eastAsia" w:ascii="宋体" w:hAnsi="宋体" w:eastAsia="宋体" w:cs="宋体"/>
          <w:b/>
          <w:color w:val="auto"/>
          <w:spacing w:val="-6"/>
          <w:szCs w:val="21"/>
        </w:rPr>
      </w:pPr>
    </w:p>
    <w:p w14:paraId="032DC66C">
      <w:pPr>
        <w:spacing w:line="288" w:lineRule="auto"/>
        <w:ind w:firstLine="562" w:firstLineChars="200"/>
        <w:jc w:val="center"/>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rPr>
      </w:pPr>
      <w:r>
        <w:rPr>
          <w:rFonts w:hint="eastAsia" w:ascii="宋体" w:hAnsi="宋体" w:eastAsia="宋体" w:cs="宋体"/>
          <w:color w:val="auto"/>
          <w:kern w:val="0"/>
          <w:szCs w:val="20"/>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14:paraId="4A715020">
      <w:pPr>
        <w:spacing w:line="288" w:lineRule="auto"/>
        <w:ind w:firstLine="396" w:firstLineChars="20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14:paraId="35211B3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1"/>
        </w:rPr>
        <w:t xml:space="preserve">             </w:t>
      </w:r>
    </w:p>
    <w:p w14:paraId="5868DAB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为了保护甲乙双方合法权益，根据项目</w:t>
      </w:r>
      <w:r>
        <w:rPr>
          <w:rFonts w:hint="eastAsia" w:ascii="宋体" w:hAnsi="宋体" w:eastAsia="宋体" w:cs="宋体"/>
          <w:color w:val="auto"/>
          <w:kern w:val="0"/>
          <w:szCs w:val="21"/>
          <w:u w:val="single"/>
        </w:rPr>
        <w:t>氨逃逸激光光谱分析系统</w:t>
      </w:r>
      <w:r>
        <w:rPr>
          <w:rFonts w:hint="eastAsia" w:ascii="宋体" w:hAnsi="宋体" w:eastAsia="宋体" w:cs="宋体"/>
          <w:color w:val="auto"/>
          <w:kern w:val="0"/>
          <w:szCs w:val="21"/>
        </w:rPr>
        <w:t>（项目编号</w:t>
      </w:r>
      <w:r>
        <w:rPr>
          <w:rFonts w:hint="eastAsia" w:ascii="宋体" w:hAnsi="宋体" w:eastAsia="宋体" w:cs="宋体"/>
          <w:color w:val="auto"/>
          <w:kern w:val="0"/>
          <w:szCs w:val="21"/>
          <w:u w:val="single"/>
        </w:rPr>
        <w:t>QSZBB250302ZHGK</w:t>
      </w:r>
      <w:r>
        <w:rPr>
          <w:rFonts w:hint="eastAsia" w:ascii="宋体" w:hAnsi="宋体" w:eastAsia="宋体" w:cs="宋体"/>
          <w:color w:val="auto"/>
          <w:kern w:val="0"/>
          <w:szCs w:val="21"/>
        </w:rPr>
        <w:t>）</w:t>
      </w:r>
      <w:r>
        <w:rPr>
          <w:rFonts w:hint="eastAsia" w:ascii="宋体" w:hAnsi="宋体" w:eastAsia="宋体" w:cs="宋体"/>
          <w:color w:val="auto"/>
          <w:kern w:val="0"/>
          <w:szCs w:val="21"/>
          <w:u w:val="single"/>
        </w:rPr>
        <w:t>公开招标</w:t>
      </w:r>
      <w:r>
        <w:rPr>
          <w:rFonts w:hint="eastAsia" w:ascii="宋体" w:hAnsi="宋体" w:eastAsia="宋体" w:cs="宋体"/>
          <w:color w:val="auto"/>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hint="eastAsia"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hint="eastAsia"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hint="eastAsia"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hint="eastAsia"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hint="eastAsia" w:ascii="宋体" w:hAnsi="宋体" w:eastAsia="宋体" w:cs="宋体"/>
                <w:color w:val="auto"/>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hint="eastAsia" w:ascii="宋体" w:hAnsi="宋体" w:eastAsia="宋体" w:cs="宋体"/>
                <w:color w:val="auto"/>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hint="eastAsia"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hint="eastAsia" w:ascii="宋体" w:hAnsi="宋体" w:eastAsia="宋体" w:cs="宋体"/>
                <w:color w:val="auto"/>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hint="eastAsia"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hint="eastAsia"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hint="eastAsia"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hint="eastAsia" w:ascii="宋体" w:hAnsi="宋体" w:eastAsia="宋体" w:cs="宋体"/>
                <w:color w:val="auto"/>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二、供货范围</w:t>
      </w:r>
    </w:p>
    <w:p w14:paraId="190FD9F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质保期：自验收合格之日起，整机质保期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年，其中</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（配件名称）质保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2.履约保证金（如无则删除本条款）</w:t>
      </w:r>
      <w:r>
        <w:rPr>
          <w:rFonts w:hint="eastAsia" w:ascii="宋体" w:hAnsi="宋体" w:eastAsia="宋体" w:cs="宋体"/>
          <w:b/>
          <w:bCs/>
          <w:color w:val="auto"/>
          <w:kern w:val="0"/>
          <w:szCs w:val="21"/>
        </w:rPr>
        <w:t>：</w:t>
      </w:r>
      <w:r>
        <w:rPr>
          <w:rFonts w:hint="eastAsia" w:ascii="宋体" w:hAnsi="宋体" w:eastAsia="宋体" w:cs="宋体"/>
          <w:color w:val="auto"/>
          <w:kern w:val="0"/>
          <w:szCs w:val="21"/>
        </w:rPr>
        <w:t>合同总金额的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spacing w:val="-6"/>
          <w:kern w:val="0"/>
          <w:szCs w:val="21"/>
        </w:rPr>
        <w:t>1</w:t>
      </w:r>
      <w:r>
        <w:rPr>
          <w:rFonts w:hint="eastAsia" w:ascii="宋体" w:hAnsi="宋体" w:eastAsia="宋体" w:cs="宋体"/>
          <w:color w:val="auto"/>
          <w:kern w:val="0"/>
          <w:szCs w:val="21"/>
        </w:rPr>
        <w:t>）预付款方式：</w:t>
      </w:r>
    </w:p>
    <w:p w14:paraId="5EC8E5A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w:t>
      </w:r>
      <w:bookmarkStart w:id="55" w:name="OLE_LINK10"/>
      <w:bookmarkStart w:id="56" w:name="OLE_LINK7"/>
      <w:bookmarkStart w:id="57" w:name="OLE_LINK9"/>
      <w:bookmarkStart w:id="58" w:name="OLE_LINK8"/>
      <w:r>
        <w:rPr>
          <w:rFonts w:hint="eastAsia" w:ascii="宋体" w:hAnsi="宋体" w:eastAsia="宋体" w:cs="宋体"/>
          <w:color w:val="auto"/>
          <w:szCs w:val="21"/>
        </w:rPr>
        <w:t>根据</w:t>
      </w:r>
      <w:bookmarkStart w:id="59" w:name="OLE_LINK6"/>
      <w:bookmarkStart w:id="60" w:name="OLE_LINK5"/>
      <w:r>
        <w:rPr>
          <w:rFonts w:hint="eastAsia" w:ascii="宋体" w:hAnsi="宋体" w:eastAsia="宋体" w:cs="宋体"/>
          <w:color w:val="auto"/>
          <w:szCs w:val="21"/>
        </w:rPr>
        <w:t>《浙江省财政厅关于进一步发挥政府采购政策功能全力推动经济稳进提质的通知》</w:t>
      </w:r>
      <w:bookmarkEnd w:id="59"/>
      <w:bookmarkEnd w:id="60"/>
      <w:r>
        <w:rPr>
          <w:rFonts w:hint="eastAsia" w:ascii="宋体" w:hAnsi="宋体" w:eastAsia="宋体" w:cs="宋体"/>
          <w:color w:val="auto"/>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55398FC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r>
        <w:rPr>
          <w:rFonts w:hint="eastAsia" w:ascii="宋体" w:hAnsi="宋体" w:eastAsia="宋体" w:cs="宋体"/>
          <w:color w:val="auto"/>
          <w:szCs w:val="21"/>
        </w:rPr>
        <w:t>原则上不低于合同金额的30％，不高于合同金额的60%</w:t>
      </w:r>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6B554E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④若乙方收取预付款，要求预付款保函有效期覆盖项目验收合格时间；提供了预付款保函则乙方无需再缴纳履约保证金。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①</w:t>
      </w:r>
      <w:r>
        <w:rPr>
          <w:rFonts w:hint="eastAsia" w:ascii="宋体" w:hAnsi="宋体" w:eastAsia="宋体" w:cs="宋体"/>
          <w:bCs/>
          <w:color w:val="auto"/>
          <w:kern w:val="0"/>
          <w:szCs w:val="21"/>
        </w:rPr>
        <w:t>货到分期付款：</w:t>
      </w:r>
      <w:r>
        <w:rPr>
          <w:rFonts w:hint="eastAsia" w:ascii="宋体" w:hAnsi="宋体" w:eastAsia="宋体" w:cs="宋体"/>
          <w:color w:val="auto"/>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②货到一次性支付：</w:t>
      </w:r>
    </w:p>
    <w:p w14:paraId="0C568A2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③其它支付形式：                 </w:t>
      </w:r>
    </w:p>
    <w:p w14:paraId="0B6DC59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单位名称：杭州电子科技大学。税号：12330000470009026T</w:t>
      </w:r>
    </w:p>
    <w:p w14:paraId="6D4D24F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五、转包或分包</w:t>
      </w:r>
    </w:p>
    <w:p w14:paraId="03EEB8D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rPr>
      </w:pPr>
      <w:r>
        <w:rPr>
          <w:rFonts w:hint="eastAsia" w:ascii="宋体" w:hAnsi="宋体" w:eastAsia="宋体" w:cs="宋体"/>
          <w:color w:val="auto"/>
          <w:szCs w:val="21"/>
        </w:rPr>
        <w:t>2</w:t>
      </w:r>
      <w:r>
        <w:rPr>
          <w:rFonts w:hint="eastAsia" w:ascii="宋体" w:hAnsi="宋体" w:eastAsia="宋体" w:cs="宋体"/>
          <w:snapToGrid w:val="0"/>
          <w:color w:val="auto"/>
          <w:spacing w:val="-6"/>
          <w:szCs w:val="21"/>
        </w:rPr>
        <w:t>.</w:t>
      </w:r>
      <w:r>
        <w:rPr>
          <w:rFonts w:hint="eastAsia" w:ascii="宋体" w:hAnsi="宋体" w:eastAsia="宋体" w:cs="宋体"/>
          <w:snapToGrid w:val="0"/>
          <w:color w:val="auto"/>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pacing w:val="-6"/>
          <w:szCs w:val="21"/>
        </w:rPr>
        <w:t>.</w:t>
      </w:r>
      <w:r>
        <w:rPr>
          <w:rFonts w:hint="eastAsia" w:ascii="宋体" w:hAnsi="宋体" w:eastAsia="宋体" w:cs="宋体"/>
          <w:color w:val="auto"/>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六、货物交付</w:t>
      </w:r>
    </w:p>
    <w:p w14:paraId="61891480">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交货期：自合同签订之日起</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日内。</w:t>
      </w:r>
    </w:p>
    <w:p w14:paraId="19CFAF8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交货方式：</w:t>
      </w:r>
      <w:bookmarkStart w:id="62" w:name="_Hlk155602651"/>
      <w:r>
        <w:rPr>
          <w:rFonts w:hint="eastAsia" w:ascii="宋体" w:hAnsi="宋体" w:eastAsia="宋体" w:cs="宋体"/>
          <w:color w:val="auto"/>
          <w:kern w:val="0"/>
          <w:szCs w:val="21"/>
        </w:rPr>
        <w:t>　　　送货上门　　</w:t>
      </w:r>
      <w:bookmarkStart w:id="63" w:name="_Hlk155602451"/>
      <w:r>
        <w:rPr>
          <w:rFonts w:hint="eastAsia" w:ascii="宋体" w:hAnsi="宋体" w:eastAsia="宋体" w:cs="宋体"/>
          <w:color w:val="auto"/>
          <w:kern w:val="0"/>
          <w:szCs w:val="21"/>
        </w:rPr>
        <w:t>。</w:t>
      </w:r>
      <w:bookmarkEnd w:id="62"/>
      <w:bookmarkEnd w:id="63"/>
    </w:p>
    <w:p w14:paraId="42ADE7A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交货地点：</w:t>
      </w:r>
      <w:bookmarkStart w:id="64" w:name="_Hlk155602663"/>
      <w:r>
        <w:rPr>
          <w:rFonts w:hint="eastAsia" w:ascii="宋体" w:hAnsi="宋体" w:eastAsia="宋体" w:cs="宋体"/>
          <w:color w:val="auto"/>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联系人及电话：</w:t>
      </w:r>
      <w:bookmarkStart w:id="65" w:name="_Hlk155181628"/>
      <w:r>
        <w:rPr>
          <w:rFonts w:hint="eastAsia" w:ascii="宋体" w:hAnsi="宋体" w:eastAsia="宋体" w:cs="宋体"/>
          <w:color w:val="auto"/>
          <w:kern w:val="0"/>
          <w:szCs w:val="21"/>
        </w:rPr>
        <w:t>甲方 姓名_________联系电话</w:t>
      </w:r>
      <w:r>
        <w:rPr>
          <w:rFonts w:hint="eastAsia" w:ascii="宋体" w:hAnsi="宋体" w:eastAsia="宋体" w:cs="宋体"/>
          <w:color w:val="auto"/>
          <w:kern w:val="0"/>
          <w:szCs w:val="21"/>
          <w:u w:val="single"/>
        </w:rPr>
        <w:t xml:space="preserve">（办公电话及手机号） </w:t>
      </w:r>
      <w:r>
        <w:rPr>
          <w:rFonts w:hint="eastAsia" w:ascii="宋体" w:hAnsi="宋体" w:eastAsia="宋体" w:cs="宋体"/>
          <w:color w:val="auto"/>
          <w:kern w:val="0"/>
          <w:szCs w:val="21"/>
        </w:rPr>
        <w:t>；乙方 姓名 __________联系电话</w:t>
      </w:r>
      <w:r>
        <w:rPr>
          <w:rFonts w:hint="eastAsia" w:ascii="宋体" w:hAnsi="宋体" w:eastAsia="宋体" w:cs="宋体"/>
          <w:color w:val="auto"/>
          <w:kern w:val="0"/>
          <w:szCs w:val="21"/>
          <w:u w:val="single"/>
        </w:rPr>
        <w:t xml:space="preserve">（办公电话及手机号） </w:t>
      </w:r>
      <w:bookmarkEnd w:id="65"/>
      <w:r>
        <w:rPr>
          <w:rFonts w:hint="eastAsia" w:ascii="宋体" w:hAnsi="宋体" w:eastAsia="宋体" w:cs="宋体"/>
          <w:color w:val="auto"/>
          <w:kern w:val="0"/>
          <w:szCs w:val="21"/>
        </w:rPr>
        <w:t>。</w:t>
      </w:r>
    </w:p>
    <w:p w14:paraId="3652BAA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7</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七、安装与验收</w:t>
      </w:r>
    </w:p>
    <w:p w14:paraId="5FA2C7D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最终验收：货物经安装调试完成且符合技术要求后，甲方负责在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八、质量保证与售后服务</w:t>
      </w:r>
    </w:p>
    <w:p w14:paraId="4B1F2B82">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w:t>
      </w:r>
      <w:bookmarkStart w:id="67" w:name="_Hlk154577956"/>
      <w:r>
        <w:rPr>
          <w:rFonts w:hint="eastAsia" w:ascii="宋体" w:hAnsi="宋体" w:eastAsia="宋体" w:cs="宋体"/>
          <w:color w:val="auto"/>
          <w:kern w:val="0"/>
          <w:szCs w:val="21"/>
        </w:rPr>
        <w:t>应按采购文件规定的货物性能、技术要求、质量标准向甲方提供</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售后服务</w:t>
      </w:r>
    </w:p>
    <w:p w14:paraId="5A5C516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2.1远程技术支持：乙方应具有稳定的技术支持队伍和完善的服务支持网络，提供</w:t>
      </w:r>
      <w:r>
        <w:rPr>
          <w:rFonts w:hint="eastAsia" w:ascii="宋体" w:hAnsi="宋体" w:eastAsia="宋体" w:cs="宋体"/>
          <w:color w:val="auto"/>
          <w:kern w:val="0"/>
          <w:szCs w:val="21"/>
          <w:u w:val="single"/>
        </w:rPr>
        <w:t xml:space="preserve"> 7×24小时 </w:t>
      </w:r>
      <w:r>
        <w:rPr>
          <w:rFonts w:hint="eastAsia" w:ascii="宋体" w:hAnsi="宋体" w:eastAsia="宋体" w:cs="宋体"/>
          <w:color w:val="auto"/>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2.2现场技术支持：对于通过电话、邮件等远程技术支持不能解决的问题，乙方应在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小时内派遣相关人员赶赴现场，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小时内维修完毕；发生紧急抢修事故的，乙方应在接到甲方通知后</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小时内到达现场抢修，并于到达现场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小时之内排除故障。乙方未在约定时间内修复的或同一货物经</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九、保密条款</w:t>
      </w:r>
    </w:p>
    <w:p w14:paraId="3809072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十、违约责任</w:t>
      </w:r>
    </w:p>
    <w:p w14:paraId="04F9E46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甲方无故逾期验收和办理货款支付手续的，每逾期一日，应按逾期付款总额</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向乙方支付违约金。</w:t>
      </w:r>
    </w:p>
    <w:p w14:paraId="460FC2F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乙方逾期交货完工的，每逾期一日，应按合同总价</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向甲方支付违约金。逾期超过约定日期</w:t>
      </w:r>
      <w:r>
        <w:rPr>
          <w:rFonts w:hint="eastAsia" w:ascii="宋体" w:hAnsi="宋体" w:eastAsia="宋体" w:cs="宋体"/>
          <w:color w:val="auto"/>
          <w:kern w:val="0"/>
          <w:szCs w:val="21"/>
          <w:u w:val="single"/>
        </w:rPr>
        <w:t xml:space="preserve"> 10 </w:t>
      </w:r>
      <w:r>
        <w:rPr>
          <w:rFonts w:hint="eastAsia" w:ascii="宋体" w:hAnsi="宋体" w:eastAsia="宋体" w:cs="宋体"/>
          <w:color w:val="auto"/>
          <w:kern w:val="0"/>
          <w:szCs w:val="21"/>
        </w:rPr>
        <w:t>个工作日不能交货完工的，甲方有权解除本合同，并要求乙方支付合同总价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乙方未能按约定要求履行保修义务的，</w:t>
      </w:r>
      <w:bookmarkStart w:id="68" w:name="_Hlk154755811"/>
      <w:r>
        <w:rPr>
          <w:rFonts w:hint="eastAsia" w:ascii="宋体" w:hAnsi="宋体" w:eastAsia="宋体" w:cs="宋体"/>
          <w:color w:val="auto"/>
          <w:kern w:val="0"/>
          <w:szCs w:val="21"/>
        </w:rPr>
        <w:t>每发生一次应向甲方支付</w:t>
      </w:r>
      <w:r>
        <w:rPr>
          <w:rFonts w:hint="eastAsia" w:ascii="宋体" w:hAnsi="宋体" w:eastAsia="宋体" w:cs="宋体"/>
          <w:color w:val="auto"/>
          <w:kern w:val="0"/>
          <w:szCs w:val="21"/>
          <w:u w:val="single"/>
        </w:rPr>
        <w:t>2000</w:t>
      </w:r>
      <w:r>
        <w:rPr>
          <w:rFonts w:hint="eastAsia" w:ascii="宋体" w:hAnsi="宋体" w:eastAsia="宋体" w:cs="宋体"/>
          <w:color w:val="auto"/>
          <w:kern w:val="0"/>
          <w:szCs w:val="21"/>
        </w:rPr>
        <w:t>元的违约金，同时，甲方有权委托第三方进行保修，所产生的费用由乙方承担。</w:t>
      </w:r>
      <w:bookmarkEnd w:id="68"/>
      <w:r>
        <w:rPr>
          <w:rFonts w:hint="eastAsia" w:ascii="宋体" w:hAnsi="宋体" w:eastAsia="宋体" w:cs="宋体"/>
          <w:color w:val="auto"/>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 xml:space="preserve">因乙方其他违约行为导致甲方解除合同的，乙方应向甲方支付合同总价 </w:t>
      </w:r>
      <w:r>
        <w:rPr>
          <w:rFonts w:hint="eastAsia" w:ascii="宋体" w:hAnsi="宋体" w:eastAsia="宋体" w:cs="宋体"/>
          <w:color w:val="auto"/>
          <w:kern w:val="0"/>
          <w:szCs w:val="21"/>
          <w:u w:val="single"/>
        </w:rPr>
        <w:t>5 %</w:t>
      </w:r>
      <w:r>
        <w:rPr>
          <w:rFonts w:hint="eastAsia" w:ascii="宋体" w:hAnsi="宋体" w:eastAsia="宋体" w:cs="宋体"/>
          <w:color w:val="auto"/>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十一、不可抗力</w:t>
      </w:r>
    </w:p>
    <w:p w14:paraId="1DED66C8">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十三、合同生效及其他</w:t>
      </w:r>
    </w:p>
    <w:p w14:paraId="5CAF751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本次采购过程中形成的招标（非招标）文件、投标（响应）文件、澄清承诺、补充协议、附件等</w:t>
      </w:r>
      <w:r>
        <w:rPr>
          <w:rFonts w:hint="eastAsia" w:ascii="宋体" w:hAnsi="宋体" w:eastAsia="宋体" w:cs="宋体"/>
          <w:color w:val="auto"/>
          <w:kern w:val="0"/>
          <w:szCs w:val="21"/>
          <w:lang w:val="zh-CN"/>
        </w:rPr>
        <w:t>为本合同的组成部分，并构成一个整体，需综合解释、相互补充。如果</w:t>
      </w:r>
      <w:r>
        <w:rPr>
          <w:rFonts w:hint="eastAsia" w:ascii="宋体" w:hAnsi="宋体" w:eastAsia="宋体" w:cs="宋体"/>
          <w:color w:val="auto"/>
          <w:kern w:val="0"/>
          <w:szCs w:val="21"/>
        </w:rPr>
        <w:t>上述</w:t>
      </w:r>
      <w:r>
        <w:rPr>
          <w:rFonts w:hint="eastAsia" w:ascii="宋体" w:hAnsi="宋体" w:eastAsia="宋体" w:cs="宋体"/>
          <w:color w:val="auto"/>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（2）中标（成交）通知书；</w:t>
      </w:r>
    </w:p>
    <w:p w14:paraId="191C4F83">
      <w:pPr>
        <w:spacing w:line="288" w:lineRule="auto"/>
        <w:ind w:firstLine="420" w:firstLineChars="200"/>
        <w:jc w:val="left"/>
        <w:rPr>
          <w:rFonts w:hint="eastAsia" w:ascii="宋体" w:hAnsi="宋体" w:eastAsia="宋体" w:cs="宋体"/>
          <w:color w:val="auto"/>
          <w:kern w:val="0"/>
          <w:szCs w:val="21"/>
          <w:lang w:val="zh-CN"/>
        </w:rPr>
      </w:pPr>
      <w:r>
        <w:rPr>
          <w:rFonts w:hint="eastAsia" w:ascii="宋体" w:hAnsi="宋体" w:eastAsia="宋体" w:cs="宋体"/>
          <w:color w:val="auto"/>
          <w:kern w:val="0"/>
          <w:szCs w:val="21"/>
        </w:rPr>
        <w:t>（3）投标（</w:t>
      </w:r>
      <w:r>
        <w:rPr>
          <w:rFonts w:hint="eastAsia" w:ascii="宋体" w:hAnsi="宋体" w:eastAsia="宋体" w:cs="宋体"/>
          <w:color w:val="auto"/>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lang w:val="zh-CN"/>
        </w:rPr>
      </w:pPr>
      <w:r>
        <w:rPr>
          <w:rFonts w:hint="eastAsia" w:ascii="宋体" w:hAnsi="宋体" w:eastAsia="宋体" w:cs="宋体"/>
          <w:color w:val="auto"/>
          <w:kern w:val="0"/>
          <w:szCs w:val="21"/>
        </w:rPr>
        <w:t>（4）招标（非招标）</w:t>
      </w:r>
      <w:r>
        <w:rPr>
          <w:rFonts w:hint="eastAsia" w:ascii="宋体" w:hAnsi="宋体" w:eastAsia="宋体" w:cs="宋体"/>
          <w:color w:val="auto"/>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rPr>
      </w:pPr>
      <w:r>
        <w:rPr>
          <w:rFonts w:hint="eastAsia" w:ascii="宋体" w:hAnsi="宋体" w:eastAsia="宋体" w:cs="宋体"/>
          <w:snapToGrid w:val="0"/>
          <w:color w:val="auto"/>
          <w:szCs w:val="21"/>
        </w:rPr>
        <w:t>（5）</w:t>
      </w:r>
      <w:r>
        <w:rPr>
          <w:rFonts w:hint="eastAsia" w:ascii="宋体" w:hAnsi="宋体" w:eastAsia="宋体" w:cs="宋体"/>
          <w:snapToGrid w:val="0"/>
          <w:color w:val="auto"/>
          <w:szCs w:val="21"/>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rPr>
      </w:pPr>
      <w:r>
        <w:rPr>
          <w:rFonts w:hint="eastAsia" w:ascii="宋体" w:hAnsi="宋体" w:eastAsia="宋体" w:cs="宋体"/>
          <w:color w:val="auto"/>
          <w:spacing w:val="-6"/>
          <w:kern w:val="0"/>
          <w:szCs w:val="21"/>
        </w:rPr>
        <w:t>5.</w:t>
      </w:r>
      <w:r>
        <w:rPr>
          <w:rFonts w:hint="eastAsia" w:ascii="宋体" w:hAnsi="宋体" w:eastAsia="宋体" w:cs="宋体"/>
          <w:color w:val="auto"/>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rPr>
      </w:pPr>
    </w:p>
    <w:p w14:paraId="77A0E00A">
      <w:pPr>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6D93DCD">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53AA9753">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527C2D28">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00DD47D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2BCC72C0">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08D227E3">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51BF4E51">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14B04C9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62AE2FE9">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83B985C">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代表人：</w:t>
            </w:r>
          </w:p>
          <w:p w14:paraId="1150D2A6">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64ADD9E2">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7C8C9A0D">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38FED497">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hint="eastAsia"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hint="eastAsia" w:ascii="宋体" w:hAnsi="宋体" w:eastAsia="宋体" w:cs="Times New Roman"/>
          <w:b/>
          <w:bCs/>
          <w:color w:val="auto"/>
          <w:spacing w:val="-6"/>
          <w:sz w:val="24"/>
          <w:szCs w:val="24"/>
        </w:rPr>
      </w:pPr>
    </w:p>
    <w:p w14:paraId="77A61967">
      <w:pPr>
        <w:adjustRightInd w:val="0"/>
        <w:snapToGrid w:val="0"/>
        <w:spacing w:line="288" w:lineRule="auto"/>
        <w:jc w:val="center"/>
        <w:rPr>
          <w:rFonts w:hint="eastAsia"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hint="eastAsia"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hint="eastAsia" w:ascii="宋体" w:hAnsi="宋体" w:eastAsia="宋体" w:cs="宋体"/>
          <w:b/>
          <w:color w:val="auto"/>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）中小企业声明函</w:t>
      </w:r>
      <w:bookmarkStart w:id="69" w:name="_Hlk81815656"/>
      <w:r>
        <w:rPr>
          <w:rFonts w:hint="eastAsia" w:ascii="宋体" w:hAnsi="宋体" w:eastAsia="宋体" w:cs="Times New Roman"/>
          <w:color w:val="auto"/>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）属于监狱企业的证明文件</w:t>
      </w:r>
      <w:bookmarkStart w:id="70" w:name="_Hlk81815359"/>
      <w:r>
        <w:rPr>
          <w:rFonts w:hint="eastAsia" w:ascii="宋体" w:hAnsi="宋体" w:eastAsia="宋体" w:cs="Times New Roman"/>
          <w:color w:val="auto"/>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w:t>
      </w:r>
      <w:bookmarkStart w:id="71" w:name="OLE_LINK14"/>
      <w:bookmarkStart w:id="72" w:name="OLE_LINK13"/>
      <w:r>
        <w:rPr>
          <w:rFonts w:hint="eastAsia" w:ascii="宋体" w:hAnsi="宋体" w:eastAsia="宋体" w:cs="Times New Roman"/>
          <w:color w:val="auto"/>
          <w:spacing w:val="-6"/>
          <w:szCs w:val="21"/>
        </w:rPr>
        <w:t>残疾人福利性单位声明函</w:t>
      </w:r>
      <w:bookmarkEnd w:id="71"/>
      <w:bookmarkEnd w:id="72"/>
      <w:bookmarkStart w:id="73" w:name="_Hlk81815372"/>
      <w:r>
        <w:rPr>
          <w:rFonts w:hint="eastAsia" w:ascii="宋体" w:hAnsi="宋体" w:eastAsia="宋体" w:cs="Times New Roman"/>
          <w:color w:val="auto"/>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67A061C9">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26CFB74">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5EBFEBEF">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5371260D">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396CDE45">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64181745">
            <w:pPr>
              <w:adjustRightInd w:val="0"/>
              <w:snapToGrid w:val="0"/>
              <w:spacing w:line="288" w:lineRule="auto"/>
              <w:jc w:val="center"/>
              <w:rPr>
                <w:rFonts w:hint="eastAsia"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5CCE44BD">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3DA606EC">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17C8CD8B">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1E23A00">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498B1CAD">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1DEED49">
            <w:pPr>
              <w:adjustRightInd w:val="0"/>
              <w:snapToGrid w:val="0"/>
              <w:spacing w:line="288" w:lineRule="auto"/>
              <w:jc w:val="center"/>
              <w:rPr>
                <w:rFonts w:hint="eastAsia"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hint="eastAsia" w:ascii="宋体" w:hAnsi="宋体" w:eastAsia="宋体" w:cs="Times New Roman"/>
                <w:color w:val="auto"/>
                <w:kern w:val="0"/>
                <w:szCs w:val="21"/>
              </w:rPr>
            </w:pPr>
          </w:p>
        </w:tc>
        <w:tc>
          <w:tcPr>
            <w:tcW w:w="2091" w:type="dxa"/>
            <w:vAlign w:val="center"/>
          </w:tcPr>
          <w:p w14:paraId="5DBBAE71">
            <w:pPr>
              <w:adjustRightInd w:val="0"/>
              <w:snapToGrid w:val="0"/>
              <w:spacing w:line="288" w:lineRule="auto"/>
              <w:jc w:val="center"/>
              <w:rPr>
                <w:rFonts w:hint="eastAsia" w:ascii="宋体" w:hAnsi="宋体" w:eastAsia="宋体" w:cs="Times New Roman"/>
                <w:color w:val="auto"/>
                <w:kern w:val="0"/>
                <w:szCs w:val="21"/>
              </w:rPr>
            </w:pPr>
          </w:p>
        </w:tc>
        <w:tc>
          <w:tcPr>
            <w:tcW w:w="709" w:type="dxa"/>
            <w:vAlign w:val="center"/>
          </w:tcPr>
          <w:p w14:paraId="18E2C739">
            <w:pPr>
              <w:adjustRightInd w:val="0"/>
              <w:snapToGrid w:val="0"/>
              <w:spacing w:line="288" w:lineRule="auto"/>
              <w:jc w:val="center"/>
              <w:rPr>
                <w:rFonts w:hint="eastAsia" w:ascii="宋体" w:hAnsi="宋体" w:eastAsia="宋体" w:cs="Times New Roman"/>
                <w:color w:val="auto"/>
                <w:kern w:val="0"/>
                <w:szCs w:val="21"/>
              </w:rPr>
            </w:pPr>
          </w:p>
        </w:tc>
        <w:tc>
          <w:tcPr>
            <w:tcW w:w="3040" w:type="dxa"/>
            <w:vAlign w:val="center"/>
          </w:tcPr>
          <w:p w14:paraId="0CDB96F7">
            <w:pPr>
              <w:adjustRightInd w:val="0"/>
              <w:snapToGrid w:val="0"/>
              <w:spacing w:line="288" w:lineRule="auto"/>
              <w:rPr>
                <w:rFonts w:hint="eastAsia" w:ascii="宋体" w:hAnsi="宋体" w:eastAsia="宋体" w:cs="Times New Roman"/>
                <w:color w:val="auto"/>
                <w:kern w:val="0"/>
                <w:szCs w:val="21"/>
              </w:rPr>
            </w:pPr>
          </w:p>
        </w:tc>
        <w:tc>
          <w:tcPr>
            <w:tcW w:w="967" w:type="dxa"/>
            <w:vAlign w:val="center"/>
          </w:tcPr>
          <w:p w14:paraId="7F7F7B25">
            <w:pPr>
              <w:adjustRightInd w:val="0"/>
              <w:snapToGrid w:val="0"/>
              <w:spacing w:line="288" w:lineRule="auto"/>
              <w:jc w:val="center"/>
              <w:rPr>
                <w:rFonts w:hint="eastAsia" w:ascii="宋体" w:hAnsi="宋体" w:eastAsia="宋体" w:cs="Times New Roman"/>
                <w:color w:val="auto"/>
                <w:szCs w:val="21"/>
              </w:rPr>
            </w:pPr>
          </w:p>
        </w:tc>
        <w:tc>
          <w:tcPr>
            <w:tcW w:w="1053" w:type="dxa"/>
            <w:vAlign w:val="center"/>
          </w:tcPr>
          <w:p w14:paraId="24ED60E0">
            <w:pPr>
              <w:adjustRightInd w:val="0"/>
              <w:snapToGrid w:val="0"/>
              <w:spacing w:line="288" w:lineRule="auto"/>
              <w:jc w:val="center"/>
              <w:rPr>
                <w:rFonts w:hint="eastAsia" w:ascii="宋体" w:hAnsi="宋体" w:eastAsia="宋体" w:cs="Times New Roman"/>
                <w:color w:val="auto"/>
                <w:szCs w:val="21"/>
              </w:rPr>
            </w:pPr>
          </w:p>
        </w:tc>
        <w:tc>
          <w:tcPr>
            <w:tcW w:w="882" w:type="dxa"/>
          </w:tcPr>
          <w:p w14:paraId="6FF943A5">
            <w:pPr>
              <w:adjustRightInd w:val="0"/>
              <w:snapToGrid w:val="0"/>
              <w:spacing w:line="288" w:lineRule="auto"/>
              <w:jc w:val="center"/>
              <w:rPr>
                <w:rFonts w:hint="eastAsia"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988AA18">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350FAB5">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2634BDF2">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B7DCA0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CDE8DFF">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67F5E35">
            <w:pPr>
              <w:adjustRightInd w:val="0"/>
              <w:snapToGrid w:val="0"/>
              <w:spacing w:line="288" w:lineRule="auto"/>
              <w:jc w:val="center"/>
              <w:rPr>
                <w:rFonts w:hint="eastAsia"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EF86075">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FC54D08">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6EC772BE">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75267D58">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7DF7BCF1">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6BB06893">
            <w:pPr>
              <w:adjustRightInd w:val="0"/>
              <w:snapToGrid w:val="0"/>
              <w:spacing w:line="288" w:lineRule="auto"/>
              <w:jc w:val="center"/>
              <w:rPr>
                <w:rFonts w:hint="eastAsia"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CA70FF0">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12895C5B">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2531E7D4">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2D5DBCD">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A21794A">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2D7FFBEC">
            <w:pPr>
              <w:adjustRightInd w:val="0"/>
              <w:snapToGrid w:val="0"/>
              <w:spacing w:line="288" w:lineRule="auto"/>
              <w:jc w:val="center"/>
              <w:rPr>
                <w:rFonts w:hint="eastAsia"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5A035756">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086885CE">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12C7B4F3">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1BADE944">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5C96540D">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325212E9">
            <w:pPr>
              <w:adjustRightInd w:val="0"/>
              <w:snapToGrid w:val="0"/>
              <w:spacing w:line="288" w:lineRule="auto"/>
              <w:jc w:val="center"/>
              <w:rPr>
                <w:rFonts w:hint="eastAsia"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9105D1E">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787A7F51">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6B782F1E">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5726B91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A9517CC">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54B47A91">
            <w:pPr>
              <w:adjustRightInd w:val="0"/>
              <w:snapToGrid w:val="0"/>
              <w:spacing w:line="288" w:lineRule="auto"/>
              <w:jc w:val="center"/>
              <w:rPr>
                <w:rFonts w:hint="eastAsia"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756F83FC">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0D7F238C">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36B1C848">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E2D0459">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242841C1">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E2E8E77">
            <w:pPr>
              <w:adjustRightInd w:val="0"/>
              <w:snapToGrid w:val="0"/>
              <w:spacing w:line="288" w:lineRule="auto"/>
              <w:jc w:val="center"/>
              <w:rPr>
                <w:rFonts w:hint="eastAsia"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F0247A2">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76FEA05A">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3B596F6D">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F8DCEC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74BD4DD0">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3CCDCD9">
            <w:pPr>
              <w:adjustRightInd w:val="0"/>
              <w:snapToGrid w:val="0"/>
              <w:spacing w:line="288" w:lineRule="auto"/>
              <w:jc w:val="center"/>
              <w:rPr>
                <w:rFonts w:hint="eastAsia"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7EB2B5B">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204746E0">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597B3C56">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574F4C5">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36E7D013">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57667B72">
            <w:pPr>
              <w:adjustRightInd w:val="0"/>
              <w:snapToGrid w:val="0"/>
              <w:spacing w:line="288" w:lineRule="auto"/>
              <w:jc w:val="center"/>
              <w:rPr>
                <w:rFonts w:hint="eastAsia" w:ascii="宋体" w:hAnsi="宋体" w:eastAsia="宋体" w:cs="Times New Roman"/>
                <w:color w:val="auto"/>
                <w:spacing w:val="-6"/>
                <w:szCs w:val="21"/>
              </w:rPr>
            </w:pPr>
          </w:p>
        </w:tc>
      </w:tr>
    </w:tbl>
    <w:p w14:paraId="67490BE6">
      <w:pPr>
        <w:adjustRightInd w:val="0"/>
        <w:snapToGrid w:val="0"/>
        <w:spacing w:line="288" w:lineRule="auto"/>
        <w:rPr>
          <w:rFonts w:hint="eastAsia" w:ascii="宋体" w:hAnsi="宋体" w:eastAsia="宋体" w:cs="Times New Roman"/>
          <w:color w:val="auto"/>
          <w:spacing w:val="-6"/>
          <w:szCs w:val="21"/>
        </w:rPr>
      </w:pPr>
    </w:p>
    <w:p w14:paraId="7CEAFD55">
      <w:pPr>
        <w:widowControl/>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hint="eastAsia"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hint="eastAsia" w:ascii="宋体" w:hAnsi="宋体" w:eastAsia="宋体" w:cs="宋体"/>
          <w:b/>
          <w:bCs/>
          <w:color w:val="auto"/>
          <w:sz w:val="24"/>
          <w:szCs w:val="24"/>
        </w:rPr>
      </w:pPr>
    </w:p>
    <w:p w14:paraId="1C71A8AA">
      <w:pPr>
        <w:adjustRightInd w:val="0"/>
        <w:snapToGrid w:val="0"/>
        <w:spacing w:line="288" w:lineRule="auto"/>
        <w:jc w:val="center"/>
        <w:rPr>
          <w:rFonts w:hint="eastAsia" w:ascii="宋体" w:hAnsi="宋体" w:eastAsia="宋体" w:cs="宋体"/>
          <w:b/>
          <w:bCs/>
          <w:color w:val="auto"/>
          <w:sz w:val="24"/>
          <w:szCs w:val="24"/>
        </w:rPr>
      </w:pPr>
    </w:p>
    <w:p w14:paraId="2BED115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hint="eastAsia" w:ascii="宋体" w:hAnsi="宋体" w:eastAsia="宋体" w:cs="Times New Roman"/>
          <w:bCs/>
          <w:color w:val="auto"/>
          <w:spacing w:val="-6"/>
          <w:szCs w:val="21"/>
        </w:rPr>
      </w:pPr>
    </w:p>
    <w:p w14:paraId="4C6928BE">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color w:val="auto"/>
          <w:spacing w:val="-6"/>
          <w:szCs w:val="21"/>
        </w:rPr>
      </w:pPr>
    </w:p>
    <w:p w14:paraId="09AC6A66">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color w:val="auto"/>
          <w:spacing w:val="-6"/>
          <w:szCs w:val="21"/>
        </w:rPr>
      </w:pPr>
    </w:p>
    <w:p w14:paraId="50FEAEB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color w:val="auto"/>
          <w:szCs w:val="21"/>
        </w:rPr>
      </w:pPr>
    </w:p>
    <w:p w14:paraId="03BE7C87">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hint="eastAsia" w:ascii="宋体" w:hAnsi="宋体" w:eastAsia="宋体" w:cs="宋体"/>
          <w:b/>
          <w:color w:val="auto"/>
          <w:spacing w:val="-6"/>
          <w:szCs w:val="21"/>
        </w:rPr>
      </w:pPr>
    </w:p>
    <w:p w14:paraId="5155161B">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hint="eastAsia" w:ascii="宋体" w:hAnsi="宋体" w:eastAsia="宋体" w:cs="Times New Roman"/>
          <w:color w:val="auto"/>
          <w:spacing w:val="-6"/>
          <w:szCs w:val="21"/>
        </w:rPr>
      </w:pPr>
    </w:p>
    <w:p w14:paraId="42C97822">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color w:val="auto"/>
          <w:spacing w:val="-6"/>
          <w:szCs w:val="21"/>
        </w:rPr>
      </w:pPr>
    </w:p>
    <w:p w14:paraId="275A0BF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杭州电子科技大学氨逃逸激光光谱分析系统</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：QSZBB250302ZHGK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adjustRightInd w:val="0"/>
              <w:snapToGrid w:val="0"/>
              <w:spacing w:line="288" w:lineRule="auto"/>
              <w:rPr>
                <w:rFonts w:hint="eastAsia"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adjustRightInd w:val="0"/>
              <w:snapToGrid w:val="0"/>
              <w:spacing w:line="288" w:lineRule="auto"/>
              <w:rPr>
                <w:rFonts w:hint="eastAsia"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adjustRightInd w:val="0"/>
              <w:snapToGrid w:val="0"/>
              <w:spacing w:line="288" w:lineRule="auto"/>
              <w:rPr>
                <w:rFonts w:hint="eastAsia"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adjustRightInd w:val="0"/>
              <w:snapToGrid w:val="0"/>
              <w:spacing w:line="288" w:lineRule="auto"/>
              <w:rPr>
                <w:rFonts w:hint="eastAsia"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adjustRightInd w:val="0"/>
              <w:snapToGrid w:val="0"/>
              <w:spacing w:line="288" w:lineRule="auto"/>
              <w:rPr>
                <w:rFonts w:hint="eastAsia"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adjustRightInd w:val="0"/>
              <w:snapToGrid w:val="0"/>
              <w:spacing w:line="288" w:lineRule="auto"/>
              <w:rPr>
                <w:rFonts w:hint="eastAsia"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adjustRightInd w:val="0"/>
              <w:snapToGrid w:val="0"/>
              <w:spacing w:line="288" w:lineRule="auto"/>
              <w:rPr>
                <w:rFonts w:hint="eastAsia" w:ascii="宋体" w:hAnsi="宋体" w:eastAsia="宋体" w:cs="Times New Roman"/>
                <w:color w:val="auto"/>
                <w:spacing w:val="-6"/>
                <w:szCs w:val="21"/>
              </w:rPr>
            </w:pPr>
          </w:p>
        </w:tc>
      </w:tr>
    </w:tbl>
    <w:p w14:paraId="69CF19CB">
      <w:pPr>
        <w:adjustRightInd w:val="0"/>
        <w:snapToGrid w:val="0"/>
        <w:spacing w:line="288" w:lineRule="auto"/>
        <w:rPr>
          <w:rFonts w:hint="eastAsia" w:ascii="宋体" w:hAnsi="宋体" w:eastAsia="宋体" w:cs="Times New Roman"/>
          <w:color w:val="auto"/>
          <w:spacing w:val="-6"/>
          <w:szCs w:val="21"/>
        </w:rPr>
      </w:pPr>
    </w:p>
    <w:p w14:paraId="260DE583">
      <w:pPr>
        <w:adjustRightInd w:val="0"/>
        <w:snapToGrid w:val="0"/>
        <w:spacing w:line="288" w:lineRule="auto"/>
        <w:rPr>
          <w:rFonts w:hint="eastAsia" w:ascii="宋体" w:hAnsi="宋体" w:eastAsia="宋体" w:cs="Times New Roman"/>
          <w:color w:val="auto"/>
          <w:spacing w:val="-6"/>
          <w:szCs w:val="21"/>
        </w:rPr>
      </w:pPr>
    </w:p>
    <w:p w14:paraId="318AB8CC">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hint="eastAsia" w:ascii="宋体" w:hAnsi="宋体" w:eastAsia="宋体" w:cs="Times New Roman"/>
          <w:b/>
          <w:bCs/>
          <w:color w:val="auto"/>
          <w:spacing w:val="-6"/>
          <w:szCs w:val="21"/>
        </w:rPr>
      </w:pPr>
    </w:p>
    <w:p w14:paraId="66F419B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杭州电子科技大学氨逃逸激光光谱分析系统项目（项目编号：QSZBB250302ZHGK）</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color w:val="auto"/>
          <w:spacing w:val="-6"/>
          <w:szCs w:val="21"/>
        </w:rPr>
      </w:pPr>
    </w:p>
    <w:p w14:paraId="279324C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hint="eastAsia" w:ascii="宋体" w:hAnsi="宋体" w:eastAsia="宋体" w:cs="Times New Roman"/>
          <w:color w:val="auto"/>
          <w:szCs w:val="21"/>
        </w:rPr>
      </w:pPr>
    </w:p>
    <w:p w14:paraId="244DAF51">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hint="eastAsia" w:ascii="宋体" w:hAnsi="宋体" w:eastAsia="宋体" w:cs="Times New Roman"/>
          <w:color w:val="auto"/>
          <w:szCs w:val="21"/>
        </w:rPr>
      </w:pPr>
    </w:p>
    <w:p w14:paraId="60691A99">
      <w:pPr>
        <w:adjustRightInd w:val="0"/>
        <w:snapToGrid w:val="0"/>
        <w:spacing w:line="288" w:lineRule="auto"/>
        <w:rPr>
          <w:rFonts w:hint="eastAsia" w:ascii="宋体" w:hAnsi="宋体" w:eastAsia="宋体" w:cs="Times New Roman"/>
          <w:color w:val="auto"/>
          <w:szCs w:val="21"/>
        </w:rPr>
      </w:pPr>
    </w:p>
    <w:p w14:paraId="6543E901">
      <w:pPr>
        <w:adjustRightInd w:val="0"/>
        <w:snapToGrid w:val="0"/>
        <w:spacing w:line="288" w:lineRule="auto"/>
        <w:jc w:val="center"/>
        <w:outlineLvl w:val="2"/>
        <w:rPr>
          <w:rFonts w:hint="eastAsia"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hint="eastAsia"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hint="eastAsia"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adjustRightInd w:val="0"/>
              <w:snapToGrid w:val="0"/>
              <w:spacing w:line="288" w:lineRule="auto"/>
              <w:rPr>
                <w:rFonts w:hint="eastAsia"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hint="eastAsia"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合同金额</w:t>
            </w:r>
          </w:p>
          <w:p w14:paraId="25917027">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hint="eastAsia"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hint="eastAsia"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hint="eastAsia"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hint="eastAsia"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hint="eastAsia" w:ascii="宋体" w:hAnsi="宋体" w:eastAsia="宋体" w:cs="宋体"/>
                <w:b/>
                <w:bCs/>
                <w:color w:val="auto"/>
                <w:szCs w:val="21"/>
              </w:rPr>
            </w:pPr>
          </w:p>
        </w:tc>
      </w:tr>
    </w:tbl>
    <w:p w14:paraId="7BB882B0">
      <w:pPr>
        <w:adjustRightInd w:val="0"/>
        <w:snapToGrid w:val="0"/>
        <w:spacing w:line="288" w:lineRule="auto"/>
        <w:rPr>
          <w:rFonts w:hint="eastAsia" w:ascii="宋体" w:hAnsi="宋体" w:eastAsia="宋体" w:cs="Times New Roman"/>
          <w:color w:val="auto"/>
          <w:szCs w:val="21"/>
        </w:rPr>
      </w:pPr>
    </w:p>
    <w:p w14:paraId="0A2D736E">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color w:val="auto"/>
          <w:spacing w:val="-6"/>
          <w:szCs w:val="21"/>
        </w:rPr>
      </w:pPr>
    </w:p>
    <w:p w14:paraId="6E3DE3F5">
      <w:pPr>
        <w:adjustRightInd w:val="0"/>
        <w:snapToGrid w:val="0"/>
        <w:spacing w:line="288" w:lineRule="auto"/>
        <w:rPr>
          <w:rFonts w:hint="eastAsia" w:ascii="宋体" w:hAnsi="宋体" w:eastAsia="宋体" w:cs="Times New Roman"/>
          <w:color w:val="auto"/>
          <w:spacing w:val="-6"/>
          <w:szCs w:val="21"/>
        </w:rPr>
      </w:pPr>
    </w:p>
    <w:p w14:paraId="1F46849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项目名称：氨逃逸激光光谱分析系统</w:t>
      </w:r>
    </w:p>
    <w:p w14:paraId="1F7E0C6C">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项目编号：QSZBB250302ZHGK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adjustRightInd w:val="0"/>
              <w:snapToGrid w:val="0"/>
              <w:spacing w:line="288" w:lineRule="auto"/>
              <w:rPr>
                <w:rFonts w:hint="eastAsia" w:ascii="宋体" w:hAnsi="宋体" w:eastAsia="宋体" w:cs="宋体"/>
                <w:color w:val="auto"/>
                <w:szCs w:val="21"/>
              </w:rPr>
            </w:pPr>
          </w:p>
        </w:tc>
        <w:tc>
          <w:tcPr>
            <w:tcW w:w="2574" w:type="dxa"/>
            <w:vAlign w:val="center"/>
          </w:tcPr>
          <w:p w14:paraId="702CD0E8">
            <w:pPr>
              <w:adjustRightInd w:val="0"/>
              <w:snapToGrid w:val="0"/>
              <w:spacing w:line="288" w:lineRule="auto"/>
              <w:rPr>
                <w:rFonts w:hint="eastAsia" w:ascii="宋体" w:hAnsi="宋体" w:eastAsia="宋体" w:cs="宋体"/>
                <w:color w:val="auto"/>
                <w:szCs w:val="21"/>
              </w:rPr>
            </w:pPr>
          </w:p>
        </w:tc>
        <w:tc>
          <w:tcPr>
            <w:tcW w:w="2124" w:type="dxa"/>
            <w:vAlign w:val="center"/>
          </w:tcPr>
          <w:p w14:paraId="602EFA5A">
            <w:pPr>
              <w:adjustRightInd w:val="0"/>
              <w:snapToGrid w:val="0"/>
              <w:spacing w:line="288" w:lineRule="auto"/>
              <w:rPr>
                <w:rFonts w:hint="eastAsia"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adjustRightInd w:val="0"/>
              <w:snapToGrid w:val="0"/>
              <w:spacing w:line="288" w:lineRule="auto"/>
              <w:rPr>
                <w:rFonts w:hint="eastAsia" w:ascii="宋体" w:hAnsi="宋体" w:eastAsia="宋体" w:cs="宋体"/>
                <w:color w:val="auto"/>
                <w:szCs w:val="21"/>
              </w:rPr>
            </w:pPr>
          </w:p>
        </w:tc>
        <w:tc>
          <w:tcPr>
            <w:tcW w:w="2574" w:type="dxa"/>
            <w:vAlign w:val="center"/>
          </w:tcPr>
          <w:p w14:paraId="3887E5E7">
            <w:pPr>
              <w:adjustRightInd w:val="0"/>
              <w:snapToGrid w:val="0"/>
              <w:spacing w:line="288" w:lineRule="auto"/>
              <w:rPr>
                <w:rFonts w:hint="eastAsia" w:ascii="宋体" w:hAnsi="宋体" w:eastAsia="宋体" w:cs="宋体"/>
                <w:color w:val="auto"/>
                <w:szCs w:val="21"/>
              </w:rPr>
            </w:pPr>
          </w:p>
        </w:tc>
        <w:tc>
          <w:tcPr>
            <w:tcW w:w="2124" w:type="dxa"/>
            <w:vAlign w:val="center"/>
          </w:tcPr>
          <w:p w14:paraId="376258A4">
            <w:pPr>
              <w:adjustRightInd w:val="0"/>
              <w:snapToGrid w:val="0"/>
              <w:spacing w:line="288" w:lineRule="auto"/>
              <w:rPr>
                <w:rFonts w:hint="eastAsia"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adjustRightInd w:val="0"/>
              <w:snapToGrid w:val="0"/>
              <w:spacing w:line="288" w:lineRule="auto"/>
              <w:rPr>
                <w:rFonts w:hint="eastAsia" w:ascii="宋体" w:hAnsi="宋体" w:eastAsia="宋体" w:cs="宋体"/>
                <w:color w:val="auto"/>
                <w:szCs w:val="21"/>
              </w:rPr>
            </w:pPr>
          </w:p>
        </w:tc>
        <w:tc>
          <w:tcPr>
            <w:tcW w:w="2574" w:type="dxa"/>
            <w:vAlign w:val="center"/>
          </w:tcPr>
          <w:p w14:paraId="2E789987">
            <w:pPr>
              <w:adjustRightInd w:val="0"/>
              <w:snapToGrid w:val="0"/>
              <w:spacing w:line="288" w:lineRule="auto"/>
              <w:rPr>
                <w:rFonts w:hint="eastAsia" w:ascii="宋体" w:hAnsi="宋体" w:eastAsia="宋体" w:cs="宋体"/>
                <w:color w:val="auto"/>
                <w:szCs w:val="21"/>
              </w:rPr>
            </w:pPr>
          </w:p>
        </w:tc>
        <w:tc>
          <w:tcPr>
            <w:tcW w:w="2124" w:type="dxa"/>
            <w:vAlign w:val="center"/>
          </w:tcPr>
          <w:p w14:paraId="2374EA9A">
            <w:pPr>
              <w:adjustRightInd w:val="0"/>
              <w:snapToGrid w:val="0"/>
              <w:spacing w:line="288" w:lineRule="auto"/>
              <w:rPr>
                <w:rFonts w:hint="eastAsia"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4AB6CD2B">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69A44C64">
            <w:pPr>
              <w:adjustRightInd w:val="0"/>
              <w:snapToGrid w:val="0"/>
              <w:spacing w:line="288" w:lineRule="auto"/>
              <w:jc w:val="left"/>
              <w:rPr>
                <w:rFonts w:hint="eastAsia"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5AC095DC">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49819366">
            <w:pPr>
              <w:adjustRightInd w:val="0"/>
              <w:snapToGrid w:val="0"/>
              <w:spacing w:line="288" w:lineRule="auto"/>
              <w:jc w:val="left"/>
              <w:rPr>
                <w:rFonts w:hint="eastAsia"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1BB8933B">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4EFFEE27">
            <w:pPr>
              <w:adjustRightInd w:val="0"/>
              <w:snapToGrid w:val="0"/>
              <w:spacing w:line="288" w:lineRule="auto"/>
              <w:jc w:val="left"/>
              <w:rPr>
                <w:rFonts w:hint="eastAsia"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adjustRightInd w:val="0"/>
              <w:snapToGrid w:val="0"/>
              <w:spacing w:line="288" w:lineRule="auto"/>
              <w:rPr>
                <w:rFonts w:hint="eastAsia" w:ascii="宋体" w:hAnsi="宋体" w:eastAsia="宋体" w:cs="宋体"/>
                <w:color w:val="auto"/>
                <w:szCs w:val="21"/>
              </w:rPr>
            </w:pPr>
          </w:p>
        </w:tc>
        <w:tc>
          <w:tcPr>
            <w:tcW w:w="2574" w:type="dxa"/>
            <w:vAlign w:val="center"/>
          </w:tcPr>
          <w:p w14:paraId="58B8E02A">
            <w:pPr>
              <w:adjustRightInd w:val="0"/>
              <w:snapToGrid w:val="0"/>
              <w:spacing w:line="288" w:lineRule="auto"/>
              <w:rPr>
                <w:rFonts w:hint="eastAsia" w:ascii="宋体" w:hAnsi="宋体" w:eastAsia="宋体" w:cs="宋体"/>
                <w:color w:val="auto"/>
                <w:szCs w:val="21"/>
              </w:rPr>
            </w:pPr>
          </w:p>
        </w:tc>
        <w:tc>
          <w:tcPr>
            <w:tcW w:w="2124" w:type="dxa"/>
            <w:vAlign w:val="center"/>
          </w:tcPr>
          <w:p w14:paraId="4091EEC4">
            <w:pPr>
              <w:adjustRightInd w:val="0"/>
              <w:snapToGrid w:val="0"/>
              <w:spacing w:line="288" w:lineRule="auto"/>
              <w:rPr>
                <w:rFonts w:hint="eastAsia"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adjustRightInd w:val="0"/>
              <w:snapToGrid w:val="0"/>
              <w:spacing w:line="288" w:lineRule="auto"/>
              <w:rPr>
                <w:rFonts w:hint="eastAsia" w:ascii="宋体" w:hAnsi="宋体" w:eastAsia="宋体" w:cs="宋体"/>
                <w:color w:val="auto"/>
                <w:szCs w:val="21"/>
              </w:rPr>
            </w:pPr>
          </w:p>
        </w:tc>
        <w:tc>
          <w:tcPr>
            <w:tcW w:w="2574" w:type="dxa"/>
            <w:vAlign w:val="center"/>
          </w:tcPr>
          <w:p w14:paraId="486C04ED">
            <w:pPr>
              <w:adjustRightInd w:val="0"/>
              <w:snapToGrid w:val="0"/>
              <w:spacing w:line="288" w:lineRule="auto"/>
              <w:rPr>
                <w:rFonts w:hint="eastAsia" w:ascii="宋体" w:hAnsi="宋体" w:eastAsia="宋体" w:cs="宋体"/>
                <w:color w:val="auto"/>
                <w:szCs w:val="21"/>
              </w:rPr>
            </w:pPr>
          </w:p>
        </w:tc>
        <w:tc>
          <w:tcPr>
            <w:tcW w:w="2124" w:type="dxa"/>
            <w:vAlign w:val="center"/>
          </w:tcPr>
          <w:p w14:paraId="558791D1">
            <w:pPr>
              <w:adjustRightInd w:val="0"/>
              <w:snapToGrid w:val="0"/>
              <w:spacing w:line="288" w:lineRule="auto"/>
              <w:rPr>
                <w:rFonts w:hint="eastAsia"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adjustRightInd w:val="0"/>
              <w:snapToGrid w:val="0"/>
              <w:spacing w:line="288" w:lineRule="auto"/>
              <w:rPr>
                <w:rFonts w:hint="eastAsia" w:ascii="宋体" w:hAnsi="宋体" w:eastAsia="宋体" w:cs="宋体"/>
                <w:color w:val="auto"/>
                <w:szCs w:val="21"/>
              </w:rPr>
            </w:pPr>
          </w:p>
        </w:tc>
        <w:tc>
          <w:tcPr>
            <w:tcW w:w="2574" w:type="dxa"/>
            <w:vAlign w:val="center"/>
          </w:tcPr>
          <w:p w14:paraId="1C372D07">
            <w:pPr>
              <w:adjustRightInd w:val="0"/>
              <w:snapToGrid w:val="0"/>
              <w:spacing w:line="288" w:lineRule="auto"/>
              <w:rPr>
                <w:rFonts w:hint="eastAsia" w:ascii="宋体" w:hAnsi="宋体" w:eastAsia="宋体" w:cs="宋体"/>
                <w:color w:val="auto"/>
                <w:szCs w:val="21"/>
              </w:rPr>
            </w:pPr>
          </w:p>
        </w:tc>
        <w:tc>
          <w:tcPr>
            <w:tcW w:w="2124" w:type="dxa"/>
            <w:vAlign w:val="center"/>
          </w:tcPr>
          <w:p w14:paraId="0680D771">
            <w:pPr>
              <w:adjustRightInd w:val="0"/>
              <w:snapToGrid w:val="0"/>
              <w:spacing w:line="288" w:lineRule="auto"/>
              <w:rPr>
                <w:rFonts w:hint="eastAsia" w:ascii="宋体" w:hAnsi="宋体" w:eastAsia="宋体" w:cs="宋体"/>
                <w:color w:val="auto"/>
                <w:szCs w:val="21"/>
              </w:rPr>
            </w:pPr>
          </w:p>
        </w:tc>
      </w:tr>
    </w:tbl>
    <w:p w14:paraId="49E53099">
      <w:pPr>
        <w:adjustRightInd w:val="0"/>
        <w:snapToGrid w:val="0"/>
        <w:spacing w:line="288" w:lineRule="auto"/>
        <w:rPr>
          <w:rFonts w:hint="eastAsia" w:ascii="宋体" w:hAnsi="宋体" w:eastAsia="宋体" w:cs="Times New Roman"/>
          <w:b/>
          <w:bCs/>
          <w:color w:val="auto"/>
          <w:spacing w:val="-6"/>
          <w:szCs w:val="21"/>
        </w:rPr>
      </w:pPr>
    </w:p>
    <w:p w14:paraId="59B65B82">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hint="eastAsia" w:ascii="宋体" w:hAnsi="宋体" w:eastAsia="宋体" w:cs="Times New Roman"/>
          <w:color w:val="auto"/>
          <w:spacing w:val="-6"/>
          <w:szCs w:val="21"/>
        </w:rPr>
      </w:pPr>
    </w:p>
    <w:p w14:paraId="40D95B4E">
      <w:pPr>
        <w:adjustRightInd w:val="0"/>
        <w:snapToGrid w:val="0"/>
        <w:spacing w:line="288" w:lineRule="auto"/>
        <w:rPr>
          <w:rFonts w:hint="eastAsia" w:ascii="宋体" w:hAnsi="宋体" w:eastAsia="宋体" w:cs="Times New Roman"/>
          <w:color w:val="auto"/>
          <w:spacing w:val="-6"/>
          <w:szCs w:val="21"/>
        </w:rPr>
      </w:pPr>
    </w:p>
    <w:p w14:paraId="48C4EFBE">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规格型号</w:t>
            </w:r>
          </w:p>
          <w:p w14:paraId="5457464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备注</w:t>
            </w:r>
          </w:p>
          <w:p w14:paraId="6D12CBCE">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Cs w:val="21"/>
              </w:rPr>
            </w:pPr>
          </w:p>
        </w:tc>
      </w:tr>
    </w:tbl>
    <w:p w14:paraId="620AEB82">
      <w:pPr>
        <w:adjustRightInd w:val="0"/>
        <w:snapToGrid w:val="0"/>
        <w:spacing w:line="288" w:lineRule="auto"/>
        <w:rPr>
          <w:rFonts w:hint="eastAsia" w:ascii="宋体" w:hAnsi="宋体" w:eastAsia="宋体" w:cs="宋体"/>
          <w:color w:val="auto"/>
          <w:spacing w:val="-6"/>
          <w:szCs w:val="21"/>
        </w:rPr>
      </w:pPr>
    </w:p>
    <w:p w14:paraId="0AC09C55">
      <w:pPr>
        <w:adjustRightInd w:val="0"/>
        <w:snapToGrid w:val="0"/>
        <w:spacing w:line="360"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rPr>
      </w:pPr>
    </w:p>
    <w:p w14:paraId="4019593B">
      <w:pPr>
        <w:adjustRightInd w:val="0"/>
        <w:snapToGrid w:val="0"/>
        <w:spacing w:line="288" w:lineRule="auto"/>
        <w:rPr>
          <w:rFonts w:hint="eastAsia" w:ascii="宋体" w:hAnsi="宋体" w:eastAsia="宋体" w:cs="Times New Roman"/>
          <w:b/>
          <w:bCs/>
          <w:color w:val="auto"/>
          <w:spacing w:val="-6"/>
          <w:szCs w:val="21"/>
        </w:rPr>
      </w:pPr>
    </w:p>
    <w:p w14:paraId="6027D0A8">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color w:val="auto"/>
          <w:spacing w:val="-6"/>
          <w:kern w:val="0"/>
          <w:szCs w:val="21"/>
        </w:rPr>
      </w:pPr>
    </w:p>
    <w:p w14:paraId="4244FB24">
      <w:pPr>
        <w:adjustRightInd w:val="0"/>
        <w:snapToGrid w:val="0"/>
        <w:spacing w:line="288" w:lineRule="auto"/>
        <w:rPr>
          <w:rFonts w:hint="eastAsia" w:ascii="宋体" w:hAnsi="宋体" w:eastAsia="宋体" w:cs="宋体"/>
          <w:color w:val="auto"/>
          <w:szCs w:val="21"/>
        </w:rPr>
      </w:pPr>
    </w:p>
    <w:p w14:paraId="3CF17650">
      <w:pPr>
        <w:adjustRightInd w:val="0"/>
        <w:snapToGrid w:val="0"/>
        <w:spacing w:line="288" w:lineRule="auto"/>
        <w:rPr>
          <w:rFonts w:hint="eastAsia"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hint="eastAsia" w:ascii="宋体" w:hAnsi="宋体" w:eastAsia="宋体" w:cs="宋体"/>
          <w:b/>
          <w:color w:val="auto"/>
          <w:spacing w:val="-6"/>
          <w:szCs w:val="21"/>
        </w:rPr>
      </w:pPr>
    </w:p>
    <w:p w14:paraId="59067040">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hint="eastAsia" w:ascii="宋体" w:hAnsi="宋体" w:eastAsia="宋体" w:cs="宋体"/>
          <w:b/>
          <w:color w:val="auto"/>
          <w:spacing w:val="-6"/>
          <w:szCs w:val="21"/>
        </w:rPr>
      </w:pPr>
    </w:p>
    <w:p w14:paraId="5F957607">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hint="eastAsia"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color w:val="auto"/>
          <w:szCs w:val="21"/>
        </w:rPr>
      </w:pPr>
    </w:p>
    <w:p w14:paraId="278CC9F6">
      <w:pPr>
        <w:adjustRightInd w:val="0"/>
        <w:snapToGrid w:val="0"/>
        <w:spacing w:line="288" w:lineRule="auto"/>
        <w:rPr>
          <w:rFonts w:hint="eastAsia" w:ascii="宋体" w:hAnsi="宋体" w:eastAsia="宋体" w:cs="Times New Roman"/>
          <w:b/>
          <w:color w:val="auto"/>
          <w:szCs w:val="21"/>
        </w:rPr>
      </w:pPr>
    </w:p>
    <w:p w14:paraId="3E31F522">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color w:val="auto"/>
          <w:spacing w:val="-6"/>
          <w:szCs w:val="21"/>
        </w:rPr>
      </w:pPr>
    </w:p>
    <w:p w14:paraId="455EFF2B">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color w:val="auto"/>
          <w:spacing w:val="-6"/>
          <w:szCs w:val="21"/>
        </w:rPr>
      </w:pPr>
    </w:p>
    <w:p w14:paraId="0145D06C">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项目名称：氨逃逸激光光谱分析系统</w:t>
      </w:r>
    </w:p>
    <w:p w14:paraId="4ADB52CD">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项目编号：QSZBB250302ZHGK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w:t>
            </w:r>
            <w:bookmarkStart w:id="74" w:name="_Hlk177717733"/>
            <w:r>
              <w:rPr>
                <w:rFonts w:hint="eastAsia" w:ascii="宋体" w:hAnsi="宋体" w:eastAsia="宋体" w:cs="宋体"/>
                <w:b/>
                <w:bCs/>
                <w:color w:val="auto"/>
                <w:szCs w:val="21"/>
              </w:rPr>
              <w:t>规格型号</w:t>
            </w:r>
          </w:p>
          <w:p w14:paraId="6654D31C">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单价</w:t>
            </w:r>
          </w:p>
          <w:p w14:paraId="33843E8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合计</w:t>
            </w:r>
          </w:p>
          <w:p w14:paraId="7330551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adjustRightInd w:val="0"/>
              <w:snapToGrid w:val="0"/>
              <w:spacing w:line="288" w:lineRule="auto"/>
              <w:rPr>
                <w:rFonts w:hint="eastAsia" w:ascii="宋体" w:hAnsi="宋体" w:eastAsia="宋体" w:cs="宋体"/>
                <w:b/>
                <w:bCs/>
                <w:color w:val="auto"/>
                <w:szCs w:val="21"/>
              </w:rPr>
            </w:pPr>
          </w:p>
          <w:p w14:paraId="0C631DFA">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adjustRightInd w:val="0"/>
              <w:snapToGrid w:val="0"/>
              <w:spacing w:line="288" w:lineRule="auto"/>
              <w:rPr>
                <w:rFonts w:hint="eastAsia" w:ascii="宋体" w:hAnsi="宋体" w:eastAsia="宋体" w:cs="宋体"/>
                <w:b/>
                <w:bCs/>
                <w:color w:val="auto"/>
                <w:szCs w:val="21"/>
              </w:rPr>
            </w:pPr>
          </w:p>
          <w:p w14:paraId="5FEFE13F">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adjustRightInd w:val="0"/>
              <w:snapToGrid w:val="0"/>
              <w:spacing w:line="288" w:lineRule="auto"/>
              <w:rPr>
                <w:rFonts w:hint="eastAsia" w:ascii="宋体" w:hAnsi="宋体" w:eastAsia="宋体" w:cs="宋体"/>
                <w:b/>
                <w:bCs/>
                <w:color w:val="auto"/>
                <w:szCs w:val="21"/>
              </w:rPr>
            </w:pPr>
          </w:p>
        </w:tc>
      </w:tr>
    </w:tbl>
    <w:p w14:paraId="3D76638D">
      <w:pPr>
        <w:adjustRightInd w:val="0"/>
        <w:snapToGrid w:val="0"/>
        <w:spacing w:line="288" w:lineRule="auto"/>
        <w:rPr>
          <w:rFonts w:hint="eastAsia" w:ascii="宋体" w:hAnsi="宋体" w:eastAsia="宋体" w:cs="Times New Roman"/>
          <w:color w:val="auto"/>
          <w:spacing w:val="-6"/>
          <w:szCs w:val="21"/>
        </w:rPr>
      </w:pPr>
    </w:p>
    <w:p w14:paraId="42BE46DF">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color w:val="auto"/>
          <w:szCs w:val="21"/>
        </w:rPr>
      </w:pPr>
    </w:p>
    <w:p w14:paraId="3753EC28">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5BFEEE6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2</w:t>
      </w:r>
      <w:r>
        <w:rPr>
          <w:rFonts w:hint="eastAsia" w:ascii="宋体" w:hAnsi="宋体" w:eastAsia="宋体" w:cs="宋体"/>
          <w:b/>
          <w:color w:val="auto"/>
          <w:spacing w:val="-6"/>
          <w:szCs w:val="21"/>
        </w:rPr>
        <w:t>）</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color w:val="auto"/>
          <w:szCs w:val="21"/>
        </w:rPr>
      </w:pPr>
    </w:p>
    <w:p w14:paraId="69E4B3BC">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75" w:name="_Hlk118098443"/>
      <w:r>
        <w:rPr>
          <w:rFonts w:ascii="宋体" w:hAnsi="宋体" w:eastAsia="宋体" w:cs="Times New Roman"/>
          <w:i/>
          <w:color w:val="auto"/>
          <w:szCs w:val="21"/>
          <w:u w:val="single"/>
        </w:rPr>
        <w:t>项目名称</w:t>
      </w:r>
      <w:bookmarkEnd w:id="75"/>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color w:val="auto"/>
          <w:szCs w:val="21"/>
        </w:rPr>
      </w:pPr>
    </w:p>
    <w:p w14:paraId="0619F3D2">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hint="eastAsia" w:ascii="宋体" w:hAnsi="宋体" w:eastAsia="宋体" w:cs="Times New Roman"/>
          <w:color w:val="auto"/>
          <w:szCs w:val="21"/>
        </w:rPr>
      </w:pPr>
    </w:p>
    <w:p w14:paraId="000631ED">
      <w:pPr>
        <w:adjustRightInd w:val="0"/>
        <w:snapToGrid w:val="0"/>
        <w:spacing w:line="288" w:lineRule="auto"/>
        <w:ind w:firstLine="495" w:firstLineChars="236"/>
        <w:rPr>
          <w:rFonts w:hint="eastAsia"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hint="eastAsia" w:ascii="宋体" w:hAnsi="宋体" w:eastAsia="宋体" w:cs="宋体"/>
          <w:color w:val="auto"/>
          <w:kern w:val="0"/>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）属于监狱企业的证明文件（若属于监狱企业）</w:t>
      </w:r>
    </w:p>
    <w:p w14:paraId="338CC1CB">
      <w:pPr>
        <w:adjustRightInd w:val="0"/>
        <w:snapToGrid w:val="0"/>
        <w:spacing w:line="288" w:lineRule="auto"/>
        <w:rPr>
          <w:rFonts w:hint="eastAsia" w:ascii="宋体" w:hAnsi="宋体" w:eastAsia="宋体" w:cs="宋体"/>
          <w:color w:val="auto"/>
          <w:kern w:val="0"/>
          <w:szCs w:val="21"/>
        </w:rPr>
      </w:pPr>
    </w:p>
    <w:p w14:paraId="5B8617AF">
      <w:pPr>
        <w:adjustRightInd w:val="0"/>
        <w:snapToGrid w:val="0"/>
        <w:spacing w:line="288" w:lineRule="auto"/>
        <w:ind w:firstLine="373" w:firstLineChars="177"/>
        <w:rPr>
          <w:rFonts w:hint="eastAsia"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color w:val="auto"/>
          <w:szCs w:val="21"/>
        </w:rPr>
      </w:pPr>
    </w:p>
    <w:p w14:paraId="68D881FA">
      <w:pPr>
        <w:adjustRightInd w:val="0"/>
        <w:snapToGrid w:val="0"/>
        <w:spacing w:line="288" w:lineRule="auto"/>
        <w:rPr>
          <w:rFonts w:hint="eastAsia"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color w:val="auto"/>
          <w:spacing w:val="6"/>
          <w:szCs w:val="21"/>
        </w:rPr>
      </w:pPr>
    </w:p>
    <w:p w14:paraId="43A8AA8E">
      <w:pPr>
        <w:adjustRightInd w:val="0"/>
        <w:snapToGrid w:val="0"/>
        <w:spacing w:line="288" w:lineRule="auto"/>
        <w:ind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hint="eastAsia" w:ascii="宋体" w:hAnsi="宋体" w:eastAsia="宋体"/>
          <w:color w:val="auto"/>
          <w:szCs w:val="21"/>
        </w:rPr>
      </w:pPr>
    </w:p>
    <w:p w14:paraId="194EFBD5">
      <w:pPr>
        <w:adjustRightInd w:val="0"/>
        <w:snapToGrid w:val="0"/>
        <w:spacing w:line="288" w:lineRule="auto"/>
        <w:rPr>
          <w:rFonts w:hint="eastAsia"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残疾人福利性单位属于小型、微型企业的，不重复享受政策。</w:t>
      </w:r>
    </w:p>
    <w:p w14:paraId="01BBCD5F">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hint="eastAsia"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hint="eastAsia" w:ascii="宋体" w:hAnsi="宋体" w:eastAsia="宋体" w:cs="仿宋_GB2312"/>
          <w:color w:val="auto"/>
          <w:szCs w:val="21"/>
          <w:u w:val="single"/>
        </w:rPr>
      </w:pPr>
    </w:p>
    <w:p w14:paraId="06230838">
      <w:pPr>
        <w:snapToGrid w:val="0"/>
        <w:spacing w:line="288" w:lineRule="auto"/>
        <w:rPr>
          <w:rFonts w:hint="eastAsia"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hint="eastAsia"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hint="eastAsia"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hint="eastAsia" w:ascii="宋体" w:hAnsi="宋体" w:eastAsia="宋体" w:cs="宋体"/>
          <w:b/>
          <w:bCs/>
          <w:color w:val="auto"/>
          <w:szCs w:val="21"/>
        </w:rPr>
      </w:pPr>
    </w:p>
    <w:p w14:paraId="299B8C33">
      <w:pPr>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hint="eastAsia" w:ascii="宋体" w:hAnsi="宋体" w:eastAsia="宋体" w:cs="宋体"/>
                <w:color w:val="auto"/>
                <w:szCs w:val="21"/>
              </w:rPr>
            </w:pPr>
          </w:p>
        </w:tc>
        <w:tc>
          <w:tcPr>
            <w:tcW w:w="4814" w:type="dxa"/>
          </w:tcPr>
          <w:p w14:paraId="6E2B4F3D">
            <w:pPr>
              <w:snapToGrid w:val="0"/>
              <w:spacing w:line="288" w:lineRule="auto"/>
              <w:rPr>
                <w:rFonts w:hint="eastAsia" w:ascii="宋体" w:hAnsi="宋体" w:eastAsia="宋体" w:cs="宋体"/>
                <w:color w:val="auto"/>
                <w:szCs w:val="21"/>
              </w:rPr>
            </w:pPr>
          </w:p>
        </w:tc>
      </w:tr>
    </w:tbl>
    <w:p w14:paraId="4F8710BE">
      <w:pPr>
        <w:snapToGrid w:val="0"/>
        <w:spacing w:line="288" w:lineRule="auto"/>
        <w:rPr>
          <w:rFonts w:hint="eastAsia" w:ascii="宋体" w:hAnsi="宋体" w:eastAsia="宋体" w:cs="宋体"/>
          <w:color w:val="auto"/>
          <w:szCs w:val="21"/>
        </w:rPr>
      </w:pPr>
    </w:p>
    <w:p w14:paraId="325C4AE2">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hint="eastAsia"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hint="eastAsia"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color w:val="auto"/>
          <w:kern w:val="0"/>
          <w:szCs w:val="21"/>
          <w:lang w:val="zh-CN"/>
        </w:rPr>
      </w:pPr>
    </w:p>
    <w:p w14:paraId="50157048">
      <w:pPr>
        <w:snapToGrid w:val="0"/>
        <w:spacing w:line="288" w:lineRule="auto"/>
        <w:ind w:firstLine="422" w:firstLineChars="201"/>
        <w:rPr>
          <w:rFonts w:hint="eastAsia" w:ascii="宋体" w:hAnsi="宋体" w:eastAsia="宋体" w:cs="仿宋_GB2312"/>
          <w:color w:val="auto"/>
          <w:kern w:val="0"/>
          <w:szCs w:val="21"/>
          <w:lang w:val="zh-CN"/>
        </w:rPr>
      </w:pPr>
    </w:p>
    <w:p w14:paraId="27595E15">
      <w:pPr>
        <w:snapToGrid w:val="0"/>
        <w:spacing w:line="288" w:lineRule="auto"/>
        <w:ind w:firstLine="424" w:firstLineChars="201"/>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color w:val="auto"/>
          <w:kern w:val="0"/>
          <w:szCs w:val="21"/>
          <w:lang w:val="zh-CN"/>
        </w:rPr>
      </w:pPr>
    </w:p>
    <w:p w14:paraId="191C763B">
      <w:pPr>
        <w:snapToGrid w:val="0"/>
        <w:spacing w:line="288" w:lineRule="auto"/>
        <w:ind w:firstLine="424" w:firstLineChars="201"/>
        <w:rPr>
          <w:rFonts w:hint="eastAsia" w:ascii="宋体" w:hAnsi="宋体" w:eastAsia="宋体" w:cs="Times New Roman"/>
          <w:b/>
          <w:bCs/>
          <w:color w:val="auto"/>
          <w:szCs w:val="21"/>
        </w:rPr>
      </w:pPr>
    </w:p>
    <w:p w14:paraId="77AF9BFF">
      <w:pPr>
        <w:snapToGrid w:val="0"/>
        <w:spacing w:line="288" w:lineRule="auto"/>
        <w:ind w:firstLine="424" w:firstLineChars="201"/>
        <w:rPr>
          <w:rFonts w:hint="eastAsia"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hint="eastAsia"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hint="eastAsia"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hint="eastAsia"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hint="eastAsia" w:ascii="宋体" w:hAnsi="宋体" w:eastAsia="宋体" w:cs="仿宋_GB2312"/>
          <w:color w:val="auto"/>
          <w:kern w:val="0"/>
          <w:szCs w:val="21"/>
          <w:lang w:val="zh-CN"/>
        </w:rPr>
      </w:pPr>
    </w:p>
    <w:p w14:paraId="1D16F0E5">
      <w:pPr>
        <w:snapToGrid w:val="0"/>
        <w:spacing w:line="288" w:lineRule="auto"/>
        <w:ind w:firstLine="422" w:firstLineChars="200"/>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hint="eastAsia" w:ascii="宋体" w:hAnsi="宋体" w:eastAsia="宋体" w:cs="仿宋_GB2312"/>
          <w:b/>
          <w:bCs/>
          <w:color w:val="auto"/>
          <w:kern w:val="0"/>
          <w:szCs w:val="21"/>
          <w:lang w:val="zh-CN"/>
        </w:rPr>
      </w:pPr>
    </w:p>
    <w:p w14:paraId="0EFAAFAF">
      <w:pPr>
        <w:snapToGrid w:val="0"/>
        <w:spacing w:line="288" w:lineRule="auto"/>
        <w:ind w:firstLine="424" w:firstLineChars="201"/>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hint="eastAsia" w:ascii="宋体" w:hAnsi="宋体" w:eastAsia="宋体" w:cs="仿宋_GB2312"/>
          <w:b/>
          <w:bCs/>
          <w:color w:val="auto"/>
          <w:kern w:val="0"/>
          <w:szCs w:val="21"/>
          <w:lang w:val="zh-CN"/>
        </w:rPr>
      </w:pPr>
    </w:p>
    <w:p w14:paraId="4F6AC4DF">
      <w:pPr>
        <w:snapToGrid w:val="0"/>
        <w:spacing w:line="288" w:lineRule="auto"/>
        <w:ind w:firstLine="424" w:firstLineChars="201"/>
        <w:rPr>
          <w:rFonts w:hint="eastAsia"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hint="eastAsia" w:ascii="等线" w:hAnsi="等线" w:eastAsia="等线" w:cs="Times New Roman"/>
          <w:color w:val="auto"/>
        </w:rPr>
      </w:pPr>
    </w:p>
    <w:p w14:paraId="650A653D">
      <w:pPr>
        <w:adjustRightInd w:val="0"/>
        <w:snapToGrid w:val="0"/>
        <w:spacing w:line="288" w:lineRule="auto"/>
        <w:rPr>
          <w:rFonts w:hint="eastAsia"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0FEE"/>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35C8"/>
    <w:rsid w:val="000D4121"/>
    <w:rsid w:val="000D763B"/>
    <w:rsid w:val="000E0B46"/>
    <w:rsid w:val="000E12A8"/>
    <w:rsid w:val="000E158D"/>
    <w:rsid w:val="000E3384"/>
    <w:rsid w:val="000E6420"/>
    <w:rsid w:val="000F4562"/>
    <w:rsid w:val="001012B6"/>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44F2"/>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792"/>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0A36"/>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914"/>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4F7"/>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33D"/>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04AD"/>
    <w:rsid w:val="00A616FB"/>
    <w:rsid w:val="00A62074"/>
    <w:rsid w:val="00A626B0"/>
    <w:rsid w:val="00A63A9C"/>
    <w:rsid w:val="00A63F72"/>
    <w:rsid w:val="00A66EBD"/>
    <w:rsid w:val="00A72B3B"/>
    <w:rsid w:val="00A73039"/>
    <w:rsid w:val="00A739E7"/>
    <w:rsid w:val="00A75C85"/>
    <w:rsid w:val="00A75CD7"/>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3698"/>
    <w:rsid w:val="00AF4159"/>
    <w:rsid w:val="00AF47F0"/>
    <w:rsid w:val="00AF4C17"/>
    <w:rsid w:val="00AF57C7"/>
    <w:rsid w:val="00AF7D17"/>
    <w:rsid w:val="00AF7E39"/>
    <w:rsid w:val="00B016AA"/>
    <w:rsid w:val="00B02CEA"/>
    <w:rsid w:val="00B03E42"/>
    <w:rsid w:val="00B108C3"/>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57533"/>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2B1"/>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5B1"/>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200"/>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331E"/>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0646"/>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2F9B"/>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3FC3"/>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8F0E99"/>
    <w:rsid w:val="0B4A1776"/>
    <w:rsid w:val="0BD50265"/>
    <w:rsid w:val="0BEC010D"/>
    <w:rsid w:val="0C786503"/>
    <w:rsid w:val="0D1A04C9"/>
    <w:rsid w:val="0D8F4DDA"/>
    <w:rsid w:val="0DA43FD6"/>
    <w:rsid w:val="0DCB77B4"/>
    <w:rsid w:val="0FF539C8"/>
    <w:rsid w:val="100A1485"/>
    <w:rsid w:val="10757130"/>
    <w:rsid w:val="112B34AD"/>
    <w:rsid w:val="11FF5827"/>
    <w:rsid w:val="167C6A40"/>
    <w:rsid w:val="16FE0496"/>
    <w:rsid w:val="18090C43"/>
    <w:rsid w:val="18FB5F15"/>
    <w:rsid w:val="1B321622"/>
    <w:rsid w:val="1BDC2BFF"/>
    <w:rsid w:val="1E452027"/>
    <w:rsid w:val="1EEB1A56"/>
    <w:rsid w:val="1F9C38D3"/>
    <w:rsid w:val="20767551"/>
    <w:rsid w:val="212705BE"/>
    <w:rsid w:val="21AC2FA2"/>
    <w:rsid w:val="21DB64E2"/>
    <w:rsid w:val="221C4C30"/>
    <w:rsid w:val="22A70B6C"/>
    <w:rsid w:val="22AD65CC"/>
    <w:rsid w:val="23C14303"/>
    <w:rsid w:val="23F8253A"/>
    <w:rsid w:val="23FF4622"/>
    <w:rsid w:val="24FF7EBF"/>
    <w:rsid w:val="25A217AC"/>
    <w:rsid w:val="27432BC1"/>
    <w:rsid w:val="27F0275A"/>
    <w:rsid w:val="28580092"/>
    <w:rsid w:val="28BC23D4"/>
    <w:rsid w:val="2AA10ED5"/>
    <w:rsid w:val="2ADA0518"/>
    <w:rsid w:val="2C921974"/>
    <w:rsid w:val="2D135EB1"/>
    <w:rsid w:val="2DBE14C9"/>
    <w:rsid w:val="2E2B31E3"/>
    <w:rsid w:val="2E4175D0"/>
    <w:rsid w:val="2ED77388"/>
    <w:rsid w:val="2F380CDF"/>
    <w:rsid w:val="2F6A64D8"/>
    <w:rsid w:val="300A03B7"/>
    <w:rsid w:val="30616EA9"/>
    <w:rsid w:val="30B80A0C"/>
    <w:rsid w:val="31A44D82"/>
    <w:rsid w:val="320C1026"/>
    <w:rsid w:val="32BE120D"/>
    <w:rsid w:val="330C0EF9"/>
    <w:rsid w:val="33506DE6"/>
    <w:rsid w:val="33B73EB0"/>
    <w:rsid w:val="34004E73"/>
    <w:rsid w:val="34973C0D"/>
    <w:rsid w:val="349B054D"/>
    <w:rsid w:val="35194EAC"/>
    <w:rsid w:val="35A54CED"/>
    <w:rsid w:val="36DD7E2B"/>
    <w:rsid w:val="37534CA7"/>
    <w:rsid w:val="37C157A9"/>
    <w:rsid w:val="37D824F1"/>
    <w:rsid w:val="39B918B5"/>
    <w:rsid w:val="3B0C4DFA"/>
    <w:rsid w:val="3C4D26C6"/>
    <w:rsid w:val="3D044EFC"/>
    <w:rsid w:val="3DA24CD7"/>
    <w:rsid w:val="3E6946AD"/>
    <w:rsid w:val="3EB60CB3"/>
    <w:rsid w:val="3EC436F9"/>
    <w:rsid w:val="3F740895"/>
    <w:rsid w:val="3FB93DC6"/>
    <w:rsid w:val="402A691C"/>
    <w:rsid w:val="403C43D5"/>
    <w:rsid w:val="422E66F3"/>
    <w:rsid w:val="4275164D"/>
    <w:rsid w:val="430A3262"/>
    <w:rsid w:val="44265D88"/>
    <w:rsid w:val="46A824B9"/>
    <w:rsid w:val="46BB170B"/>
    <w:rsid w:val="47510906"/>
    <w:rsid w:val="483C1E1F"/>
    <w:rsid w:val="495D70F7"/>
    <w:rsid w:val="497349FC"/>
    <w:rsid w:val="498C1364"/>
    <w:rsid w:val="4B6974A4"/>
    <w:rsid w:val="4B7D5F80"/>
    <w:rsid w:val="4BA46863"/>
    <w:rsid w:val="4BF40741"/>
    <w:rsid w:val="4C5E019B"/>
    <w:rsid w:val="4F64249F"/>
    <w:rsid w:val="4F6E1200"/>
    <w:rsid w:val="4FEE189E"/>
    <w:rsid w:val="500B7C38"/>
    <w:rsid w:val="5345653C"/>
    <w:rsid w:val="53F038EA"/>
    <w:rsid w:val="549F2962"/>
    <w:rsid w:val="54E01333"/>
    <w:rsid w:val="54EC7E91"/>
    <w:rsid w:val="5668599A"/>
    <w:rsid w:val="56932E67"/>
    <w:rsid w:val="59BA69E3"/>
    <w:rsid w:val="5A661DF4"/>
    <w:rsid w:val="5ACF0178"/>
    <w:rsid w:val="5B9E3DE4"/>
    <w:rsid w:val="5BE42A48"/>
    <w:rsid w:val="5C3E17F9"/>
    <w:rsid w:val="5C483ABC"/>
    <w:rsid w:val="5D052980"/>
    <w:rsid w:val="5D297D72"/>
    <w:rsid w:val="5D3A6920"/>
    <w:rsid w:val="5D8135CC"/>
    <w:rsid w:val="5DF10A2F"/>
    <w:rsid w:val="5ED57F57"/>
    <w:rsid w:val="5EF534F9"/>
    <w:rsid w:val="600446EC"/>
    <w:rsid w:val="600D2EE6"/>
    <w:rsid w:val="61D4087B"/>
    <w:rsid w:val="621760F6"/>
    <w:rsid w:val="62246B60"/>
    <w:rsid w:val="628A2B7E"/>
    <w:rsid w:val="644F1ACD"/>
    <w:rsid w:val="64751744"/>
    <w:rsid w:val="668E2F31"/>
    <w:rsid w:val="67060D39"/>
    <w:rsid w:val="67FF1998"/>
    <w:rsid w:val="680D1D99"/>
    <w:rsid w:val="69431270"/>
    <w:rsid w:val="695A5C32"/>
    <w:rsid w:val="6A147DD2"/>
    <w:rsid w:val="6A7F4F75"/>
    <w:rsid w:val="6ACA16F9"/>
    <w:rsid w:val="6B16774A"/>
    <w:rsid w:val="6C467142"/>
    <w:rsid w:val="6C9D77E6"/>
    <w:rsid w:val="6CB03B45"/>
    <w:rsid w:val="6ECE2681"/>
    <w:rsid w:val="6ED12033"/>
    <w:rsid w:val="72340F9C"/>
    <w:rsid w:val="763243C9"/>
    <w:rsid w:val="774152C9"/>
    <w:rsid w:val="775D6EE2"/>
    <w:rsid w:val="793070F8"/>
    <w:rsid w:val="79D825C1"/>
    <w:rsid w:val="7A7E5B51"/>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9">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110">
    <w:name w:val="修订2"/>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26490</Words>
  <Characters>28357</Characters>
  <Lines>1</Lines>
  <Paragraphs>1</Paragraphs>
  <TotalTime>0</TotalTime>
  <ScaleCrop>false</ScaleCrop>
  <LinksUpToDate>false</LinksUpToDate>
  <CharactersWithSpaces>28648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2025-10-14T06:40:00Z</dcterms:created>
  <dc:creator>hj j</dc:creator>
  <cp:lastModifiedBy>yubin</cp:lastModifiedBy>
  <cp:lastPrinted>2022-10-31T00:58:00Z</cp:lastPrinted>
  <dcterms:modified xsi:type="dcterms:W3CDTF">2025-10-24T07:26:32Z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