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145"/>
        <w:widowControl w:val="0"/>
        <w:snapToGrid w:val="0"/>
        <w:spacing w:line="470" w:lineRule="atLeast"/>
        <w:ind w:firstLine="0"/>
        <w:jc w:val="center"/>
        <w:rPr>
          <w:rFonts w:ascii="黑体" w:hAnsi="宋体" w:eastAsia="黑体"/>
          <w:b w:val="0"/>
          <w:color w:val="auto"/>
          <w:sz w:val="32"/>
        </w:rPr>
      </w:pPr>
    </w:p>
    <w:p>
      <w:pPr>
        <w:pStyle w:val="145"/>
        <w:widowControl w:val="0"/>
        <w:snapToGrid w:val="0"/>
        <w:spacing w:line="470" w:lineRule="atLeast"/>
        <w:ind w:firstLine="0"/>
        <w:jc w:val="center"/>
        <w:rPr>
          <w:rFonts w:ascii="黑体" w:hAnsi="宋体" w:eastAsia="黑体"/>
          <w:b w:val="0"/>
          <w:color w:val="auto"/>
          <w:sz w:val="32"/>
        </w:rPr>
      </w:pPr>
    </w:p>
    <w:p>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pPr>
        <w:pStyle w:val="145"/>
        <w:widowControl w:val="0"/>
        <w:snapToGrid w:val="0"/>
        <w:spacing w:line="470" w:lineRule="atLeast"/>
        <w:ind w:firstLine="0"/>
        <w:jc w:val="center"/>
        <w:outlineLvl w:val="0"/>
        <w:rPr>
          <w:rFonts w:ascii="黑体" w:hAnsi="宋体" w:eastAsia="黑体"/>
          <w:b w:val="0"/>
          <w:color w:val="auto"/>
          <w:sz w:val="48"/>
          <w:szCs w:val="48"/>
        </w:rPr>
      </w:pPr>
      <w:r>
        <w:rPr>
          <w:rFonts w:hint="eastAsia" w:ascii="黑体" w:hAnsi="宋体" w:eastAsia="黑体"/>
          <w:b w:val="0"/>
          <w:color w:val="auto"/>
          <w:sz w:val="48"/>
          <w:szCs w:val="48"/>
        </w:rPr>
        <w:t>污水管道清理服务项目</w:t>
      </w:r>
    </w:p>
    <w:p>
      <w:pPr>
        <w:pStyle w:val="145"/>
        <w:widowControl w:val="0"/>
        <w:snapToGrid w:val="0"/>
        <w:spacing w:line="470" w:lineRule="atLeast"/>
        <w:ind w:firstLine="0"/>
        <w:jc w:val="center"/>
        <w:rPr>
          <w:rFonts w:ascii="黑体" w:eastAsia="黑体"/>
          <w:b w:val="0"/>
          <w:color w:val="auto"/>
          <w:sz w:val="36"/>
          <w:szCs w:val="36"/>
        </w:rPr>
      </w:pPr>
    </w:p>
    <w:p>
      <w:pPr>
        <w:pStyle w:val="145"/>
        <w:widowControl w:val="0"/>
        <w:snapToGrid w:val="0"/>
        <w:spacing w:line="470" w:lineRule="atLeast"/>
        <w:ind w:firstLine="0"/>
        <w:jc w:val="center"/>
        <w:rPr>
          <w:rFonts w:ascii="黑体" w:eastAsia="黑体"/>
          <w:b w:val="0"/>
          <w:color w:val="auto"/>
          <w:sz w:val="36"/>
        </w:rPr>
      </w:pPr>
    </w:p>
    <w:p>
      <w:pPr>
        <w:pStyle w:val="145"/>
        <w:widowControl w:val="0"/>
        <w:snapToGrid w:val="0"/>
        <w:spacing w:line="470" w:lineRule="atLeast"/>
        <w:ind w:firstLine="0"/>
        <w:jc w:val="center"/>
        <w:rPr>
          <w:rFonts w:ascii="黑体" w:eastAsia="黑体"/>
          <w:b w:val="0"/>
          <w:color w:val="auto"/>
          <w:sz w:val="36"/>
        </w:rPr>
      </w:pPr>
    </w:p>
    <w:p>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rPr>
        <w:t>竞争性磋商文件</w:t>
      </w:r>
    </w:p>
    <w:p>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pPr>
        <w:pStyle w:val="145"/>
        <w:widowControl w:val="0"/>
        <w:snapToGrid w:val="0"/>
        <w:spacing w:line="360" w:lineRule="auto"/>
        <w:ind w:firstLine="2400" w:firstLineChars="750"/>
        <w:rPr>
          <w:rFonts w:ascii="黑体" w:hAnsi="宋体" w:eastAsia="黑体"/>
          <w:b w:val="0"/>
          <w:color w:val="auto"/>
          <w:sz w:val="32"/>
        </w:rPr>
      </w:pPr>
    </w:p>
    <w:p>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6</w:t>
      </w:r>
      <w:r>
        <w:rPr>
          <w:rFonts w:hint="eastAsia" w:ascii="黑体" w:hAnsi="宋体" w:eastAsia="黑体"/>
          <w:b w:val="0"/>
          <w:color w:val="auto"/>
          <w:sz w:val="32"/>
        </w:rPr>
        <w:t>-JH-CS</w:t>
      </w:r>
      <w:r>
        <w:rPr>
          <w:rFonts w:hint="eastAsia" w:ascii="黑体" w:hAnsi="宋体" w:eastAsia="黑体"/>
          <w:b w:val="0"/>
          <w:color w:val="auto"/>
          <w:sz w:val="32"/>
          <w:lang w:val="en-US" w:eastAsia="zh-CN"/>
        </w:rPr>
        <w:t>03</w:t>
      </w: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6</w:t>
      </w:r>
      <w:r>
        <w:rPr>
          <w:rFonts w:hint="eastAsia" w:ascii="黑体" w:eastAsia="黑体"/>
          <w:b w:val="0"/>
          <w:color w:val="auto"/>
          <w:sz w:val="32"/>
          <w:szCs w:val="32"/>
        </w:rPr>
        <w:t>年</w:t>
      </w:r>
      <w:r>
        <w:rPr>
          <w:rFonts w:hint="eastAsia" w:ascii="黑体" w:eastAsia="黑体"/>
          <w:b w:val="0"/>
          <w:color w:val="auto"/>
          <w:sz w:val="32"/>
          <w:szCs w:val="32"/>
          <w:lang w:val="en-US" w:eastAsia="zh-CN"/>
        </w:rPr>
        <w:t>3</w:t>
      </w:r>
      <w:r>
        <w:rPr>
          <w:rFonts w:hint="eastAsia" w:ascii="黑体" w:eastAsia="黑体"/>
          <w:b w:val="0"/>
          <w:color w:val="auto"/>
          <w:sz w:val="32"/>
          <w:szCs w:val="32"/>
        </w:rPr>
        <w:t>月</w:t>
      </w:r>
      <w:r>
        <w:rPr>
          <w:rFonts w:hint="eastAsia" w:ascii="黑体" w:eastAsia="黑体"/>
          <w:b w:val="0"/>
          <w:color w:val="auto"/>
          <w:sz w:val="32"/>
          <w:szCs w:val="32"/>
          <w:lang w:val="en-US" w:eastAsia="zh-CN"/>
        </w:rPr>
        <w:t>27</w:t>
      </w:r>
      <w:r>
        <w:rPr>
          <w:rFonts w:hint="eastAsia" w:ascii="黑体" w:eastAsia="黑体"/>
          <w:b w:val="0"/>
          <w:color w:val="auto"/>
          <w:sz w:val="32"/>
          <w:szCs w:val="32"/>
        </w:rPr>
        <w:t>日</w:t>
      </w:r>
    </w:p>
    <w:p>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sdt>
      <w:sdtPr>
        <w:rPr>
          <w:rFonts w:ascii="宋体" w:hAnsi="宋体" w:eastAsia="宋体" w:cs="Times New Roman"/>
          <w:color w:val="auto"/>
          <w:sz w:val="21"/>
          <w:lang w:val="en-US" w:eastAsia="zh-CN" w:bidi="ar-SA"/>
        </w:rPr>
        <w:id w:val="147470368"/>
        <w:docPartObj>
          <w:docPartGallery w:val="Table of Contents"/>
          <w:docPartUnique/>
        </w:docPartObj>
      </w:sdtPr>
      <w:sdtEndPr>
        <w:rPr>
          <w:rFonts w:asciiTheme="minorHAnsi" w:hAnsiTheme="minorHAnsi" w:eastAsiaTheme="minorEastAsia" w:cstheme="minorBidi"/>
          <w:color w:val="auto"/>
          <w:sz w:val="20"/>
          <w:szCs w:val="20"/>
          <w:lang w:val="en-US" w:eastAsia="zh-CN" w:bidi="ar-SA"/>
        </w:rPr>
      </w:sdtEndPr>
      <w:sdtContent>
        <w:p>
          <w:pPr>
            <w:spacing w:before="0" w:beforeLines="0" w:after="0" w:afterLines="0" w:line="240" w:lineRule="auto"/>
            <w:ind w:left="0" w:leftChars="0" w:right="0" w:rightChars="0" w:firstLine="0" w:firstLineChars="0"/>
            <w:jc w:val="center"/>
            <w:rPr>
              <w:color w:val="auto"/>
            </w:rPr>
          </w:pPr>
          <w:bookmarkStart w:id="0" w:name="_Toc25852_WPSOffice_Type1"/>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_Toc24674_WPSOffice_Level1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07f19542-2e2e-45f0-a2e5-dee73b3af31a}"/>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第一部分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竞争性磋商公告</w:t>
              </w:r>
            </w:sdtContent>
          </w:sdt>
          <w:r>
            <w:rPr>
              <w:color w:val="auto"/>
              <w:sz w:val="24"/>
              <w:szCs w:val="24"/>
            </w:rPr>
            <w:tab/>
          </w:r>
          <w:bookmarkStart w:id="1" w:name="_Toc24674_WPSOffice_Level1Page"/>
          <w:r>
            <w:rPr>
              <w:color w:val="auto"/>
              <w:sz w:val="24"/>
              <w:szCs w:val="24"/>
            </w:rPr>
            <w:t>3</w:t>
          </w:r>
          <w:bookmarkEnd w:id="1"/>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_Toc25852_WPSOffice_Level1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f0fc2fac-6f5d-471a-bd70-99bd99d29f62}"/>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第二部分 响应方须知</w:t>
              </w:r>
            </w:sdtContent>
          </w:sdt>
          <w:r>
            <w:rPr>
              <w:color w:val="auto"/>
              <w:sz w:val="24"/>
              <w:szCs w:val="24"/>
            </w:rPr>
            <w:tab/>
          </w:r>
          <w:bookmarkStart w:id="2" w:name="_Toc25852_WPSOffice_Level1Page"/>
          <w:r>
            <w:rPr>
              <w:color w:val="auto"/>
              <w:sz w:val="24"/>
              <w:szCs w:val="24"/>
            </w:rPr>
            <w:t>5</w:t>
          </w:r>
          <w:bookmarkEnd w:id="2"/>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_Toc14616_WPSOffice_Level1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92539d57-b515-4ce0-9dbd-86ee3bc926e8}"/>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第三部分 采购需求</w:t>
              </w:r>
            </w:sdtContent>
          </w:sdt>
          <w:r>
            <w:rPr>
              <w:color w:val="auto"/>
              <w:sz w:val="24"/>
              <w:szCs w:val="24"/>
            </w:rPr>
            <w:tab/>
          </w:r>
          <w:bookmarkStart w:id="3" w:name="_Toc14616_WPSOffice_Level1Page"/>
          <w:r>
            <w:rPr>
              <w:color w:val="auto"/>
              <w:sz w:val="24"/>
              <w:szCs w:val="24"/>
            </w:rPr>
            <w:t>14</w:t>
          </w:r>
          <w:bookmarkEnd w:id="3"/>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_Toc1370_WPSOffice_Level1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4aaff741-74b0-464a-873c-f3b8c63d9628}"/>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第四部分 评审办法与评分标准</w:t>
              </w:r>
            </w:sdtContent>
          </w:sdt>
          <w:r>
            <w:rPr>
              <w:color w:val="auto"/>
              <w:sz w:val="24"/>
              <w:szCs w:val="24"/>
            </w:rPr>
            <w:tab/>
          </w:r>
          <w:bookmarkStart w:id="4" w:name="_Toc1370_WPSOffice_Level1Page"/>
          <w:r>
            <w:rPr>
              <w:color w:val="auto"/>
              <w:sz w:val="24"/>
              <w:szCs w:val="24"/>
            </w:rPr>
            <w:t>16</w:t>
          </w:r>
          <w:bookmarkEnd w:id="4"/>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_Toc2559_WPSOffice_Level1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11b3c449-8093-40de-82c0-9bb687c31a59}"/>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第五部分 合同基本条款</w:t>
              </w:r>
            </w:sdtContent>
          </w:sdt>
          <w:r>
            <w:rPr>
              <w:color w:val="auto"/>
              <w:sz w:val="24"/>
              <w:szCs w:val="24"/>
            </w:rPr>
            <w:tab/>
          </w:r>
          <w:bookmarkStart w:id="5" w:name="_Toc2559_WPSOffice_Level1Page"/>
          <w:r>
            <w:rPr>
              <w:color w:val="auto"/>
              <w:sz w:val="24"/>
              <w:szCs w:val="24"/>
            </w:rPr>
            <w:t>18</w:t>
          </w:r>
          <w:bookmarkEnd w:id="5"/>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_Toc13890_WPSOffice_Level1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0f75c166-722e-4140-bac2-9e7f5387e192}"/>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第六部分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响应文件格式</w:t>
              </w:r>
            </w:sdtContent>
          </w:sdt>
          <w:r>
            <w:rPr>
              <w:color w:val="auto"/>
              <w:sz w:val="24"/>
              <w:szCs w:val="24"/>
            </w:rPr>
            <w:tab/>
          </w:r>
          <w:bookmarkStart w:id="6" w:name="_Toc13890_WPSOffice_Level1Page"/>
          <w:r>
            <w:rPr>
              <w:color w:val="auto"/>
              <w:sz w:val="24"/>
              <w:szCs w:val="24"/>
            </w:rPr>
            <w:t>22</w:t>
          </w:r>
          <w:bookmarkEnd w:id="6"/>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_Toc24474_WPSOffice_Level1 </w:instrText>
          </w:r>
          <w:r>
            <w:rPr>
              <w:color w:val="auto"/>
              <w:sz w:val="24"/>
              <w:szCs w:val="24"/>
            </w:rPr>
            <w:fldChar w:fldCharType="separate"/>
          </w:r>
          <w:sdt>
            <w:sdtPr>
              <w:rPr>
                <w:rFonts w:ascii="Times New Roman" w:hAnsi="Times New Roman" w:eastAsia="宋体" w:cs="Times New Roman"/>
                <w:b/>
                <w:bCs/>
                <w:color w:val="auto"/>
                <w:sz w:val="24"/>
                <w:szCs w:val="24"/>
                <w:lang w:val="en-US" w:eastAsia="zh-CN" w:bidi="ar-SA"/>
              </w:rPr>
              <w:id w:val="147470368"/>
              <w:placeholder>
                <w:docPart w:val="{6949278f-0e81-46bb-afa0-8b42a2e34c74}"/>
              </w:placeholder>
            </w:sdtPr>
            <w:sdtEndPr>
              <w:rPr>
                <w:rFonts w:ascii="Times New Roman" w:hAnsi="Times New Roman" w:eastAsia="宋体" w:cs="Times New Roman"/>
                <w:b/>
                <w:bCs/>
                <w:color w:val="auto"/>
                <w:sz w:val="24"/>
                <w:szCs w:val="24"/>
                <w:lang w:val="en-US" w:eastAsia="zh-CN" w:bidi="ar-SA"/>
              </w:rPr>
            </w:sdtEndPr>
            <w:sdtContent>
              <w:r>
                <w:rPr>
                  <w:rFonts w:hint="eastAsia" w:ascii="Times New Roman" w:hAnsi="Times New Roman" w:eastAsia="宋体" w:cs="Times New Roman"/>
                  <w:b/>
                  <w:bCs/>
                  <w:color w:val="auto"/>
                  <w:sz w:val="24"/>
                  <w:szCs w:val="24"/>
                </w:rPr>
                <w:t xml:space="preserve">目 </w:t>
              </w:r>
              <w:r>
                <w:rPr>
                  <w:rFonts w:ascii="Times New Roman" w:hAnsi="Times New Roman" w:eastAsia="宋体" w:cs="Times New Roman"/>
                  <w:b/>
                  <w:bCs/>
                  <w:color w:val="auto"/>
                  <w:sz w:val="24"/>
                  <w:szCs w:val="24"/>
                </w:rPr>
                <w:t xml:space="preserve"> </w:t>
              </w:r>
              <w:r>
                <w:rPr>
                  <w:rFonts w:hint="eastAsia" w:ascii="Times New Roman" w:hAnsi="Times New Roman" w:eastAsia="宋体" w:cs="Times New Roman"/>
                  <w:b/>
                  <w:bCs/>
                  <w:color w:val="auto"/>
                  <w:sz w:val="24"/>
                  <w:szCs w:val="24"/>
                </w:rPr>
                <w:t>录</w:t>
              </w:r>
            </w:sdtContent>
          </w:sdt>
          <w:r>
            <w:rPr>
              <w:color w:val="auto"/>
              <w:sz w:val="24"/>
              <w:szCs w:val="24"/>
            </w:rPr>
            <w:tab/>
          </w:r>
          <w:bookmarkStart w:id="7" w:name="_Toc24474_WPSOffice_Level1Page"/>
          <w:r>
            <w:rPr>
              <w:color w:val="auto"/>
              <w:sz w:val="24"/>
              <w:szCs w:val="24"/>
            </w:rPr>
            <w:t>22</w:t>
          </w:r>
          <w:bookmarkEnd w:id="7"/>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_Toc797_WPSOffice_Level1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c0c0cfab-1b11-453c-8aaa-d60164de3850}"/>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1.资格文件</w:t>
              </w:r>
            </w:sdtContent>
          </w:sdt>
          <w:r>
            <w:rPr>
              <w:color w:val="auto"/>
              <w:sz w:val="24"/>
              <w:szCs w:val="24"/>
            </w:rPr>
            <w:tab/>
          </w:r>
          <w:bookmarkStart w:id="8" w:name="_Toc797_WPSOffice_Level1Page"/>
          <w:r>
            <w:rPr>
              <w:color w:val="auto"/>
              <w:sz w:val="24"/>
              <w:szCs w:val="24"/>
            </w:rPr>
            <w:t>22</w:t>
          </w:r>
          <w:bookmarkEnd w:id="8"/>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_Toc31779_WPSOffice_Level1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1a72fa1b-cc0a-47a3-9bc4-24b5dd4cec2a}"/>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2.报价文件</w:t>
              </w:r>
            </w:sdtContent>
          </w:sdt>
          <w:r>
            <w:rPr>
              <w:color w:val="auto"/>
              <w:sz w:val="24"/>
              <w:szCs w:val="24"/>
            </w:rPr>
            <w:tab/>
          </w:r>
          <w:bookmarkStart w:id="9" w:name="_Toc31779_WPSOffice_Level1Page"/>
          <w:r>
            <w:rPr>
              <w:color w:val="auto"/>
              <w:sz w:val="24"/>
              <w:szCs w:val="24"/>
            </w:rPr>
            <w:t>22</w:t>
          </w:r>
          <w:bookmarkEnd w:id="9"/>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_Toc24529_WPSOffice_Level1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a35e6794-e42e-4f18-a93a-36f76f257bf1}"/>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3.商务和技术文件</w:t>
              </w:r>
            </w:sdtContent>
          </w:sdt>
          <w:r>
            <w:rPr>
              <w:color w:val="auto"/>
              <w:sz w:val="24"/>
              <w:szCs w:val="24"/>
            </w:rPr>
            <w:tab/>
          </w:r>
          <w:bookmarkStart w:id="10" w:name="_Toc24529_WPSOffice_Level1Page"/>
          <w:r>
            <w:rPr>
              <w:color w:val="auto"/>
              <w:sz w:val="24"/>
              <w:szCs w:val="24"/>
            </w:rPr>
            <w:t>22</w:t>
          </w:r>
          <w:bookmarkEnd w:id="10"/>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_Toc7221_WPSOffice_Level1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5a36f07a-70f5-4683-b038-287335a6bc92}"/>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4.评分标准索引表</w:t>
              </w:r>
            </w:sdtContent>
          </w:sdt>
          <w:r>
            <w:rPr>
              <w:color w:val="auto"/>
              <w:sz w:val="24"/>
              <w:szCs w:val="24"/>
            </w:rPr>
            <w:tab/>
          </w:r>
          <w:bookmarkStart w:id="11" w:name="_Toc7221_WPSOffice_Level1Page"/>
          <w:r>
            <w:rPr>
              <w:color w:val="auto"/>
              <w:sz w:val="24"/>
              <w:szCs w:val="24"/>
            </w:rPr>
            <w:t>22</w:t>
          </w:r>
          <w:bookmarkEnd w:id="11"/>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_Toc30132_WPSOffice_Level1 </w:instrText>
          </w:r>
          <w:r>
            <w:rPr>
              <w:color w:val="auto"/>
              <w:sz w:val="24"/>
              <w:szCs w:val="24"/>
            </w:rPr>
            <w:fldChar w:fldCharType="separate"/>
          </w:r>
          <w:sdt>
            <w:sdtPr>
              <w:rPr>
                <w:rFonts w:ascii="Times New Roman" w:hAnsi="Times New Roman" w:eastAsia="宋体" w:cs="Times New Roman"/>
                <w:b/>
                <w:bCs/>
                <w:color w:val="auto"/>
                <w:sz w:val="24"/>
                <w:szCs w:val="24"/>
                <w:lang w:val="en-US" w:eastAsia="zh-CN" w:bidi="ar-SA"/>
              </w:rPr>
              <w:id w:val="147470368"/>
              <w:placeholder>
                <w:docPart w:val="{d48a50b7-2b19-45f3-bbe4-ff9b87af04bf}"/>
              </w:placeholder>
            </w:sdtPr>
            <w:sdtEndPr>
              <w:rPr>
                <w:rFonts w:ascii="Times New Roman" w:hAnsi="Times New Roman" w:eastAsia="宋体" w:cs="Times New Roman"/>
                <w:b/>
                <w:bCs/>
                <w:color w:val="auto"/>
                <w:sz w:val="24"/>
                <w:szCs w:val="24"/>
                <w:lang w:val="en-US" w:eastAsia="zh-CN" w:bidi="ar-SA"/>
              </w:rPr>
            </w:sdtEndPr>
            <w:sdtContent>
              <w:r>
                <w:rPr>
                  <w:rFonts w:hint="eastAsia" w:ascii="Times New Roman" w:hAnsi="Times New Roman" w:eastAsia="宋体" w:cs="Times New Roman"/>
                  <w:b/>
                  <w:bCs/>
                  <w:color w:val="auto"/>
                  <w:sz w:val="24"/>
                  <w:szCs w:val="24"/>
                </w:rPr>
                <w:t>资格文件</w:t>
              </w:r>
            </w:sdtContent>
          </w:sdt>
          <w:r>
            <w:rPr>
              <w:color w:val="auto"/>
              <w:sz w:val="24"/>
              <w:szCs w:val="24"/>
            </w:rPr>
            <w:tab/>
          </w:r>
          <w:bookmarkStart w:id="12" w:name="_Toc30132_WPSOffice_Level1Page"/>
          <w:r>
            <w:rPr>
              <w:color w:val="auto"/>
              <w:sz w:val="24"/>
              <w:szCs w:val="24"/>
            </w:rPr>
            <w:t>23</w:t>
          </w:r>
          <w:bookmarkEnd w:id="12"/>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_Toc11878_WPSOffice_Level1 </w:instrText>
          </w:r>
          <w:r>
            <w:rPr>
              <w:color w:val="auto"/>
              <w:sz w:val="24"/>
              <w:szCs w:val="24"/>
            </w:rPr>
            <w:fldChar w:fldCharType="separate"/>
          </w:r>
          <w:r>
            <w:rPr>
              <w:color w:val="auto"/>
              <w:sz w:val="24"/>
              <w:szCs w:val="24"/>
            </w:rPr>
            <w:fldChar w:fldCharType="end"/>
          </w:r>
          <w:r>
            <w:rPr>
              <w:color w:val="auto"/>
              <w:sz w:val="24"/>
              <w:szCs w:val="24"/>
            </w:rPr>
            <w:fldChar w:fldCharType="begin"/>
          </w:r>
          <w:r>
            <w:rPr>
              <w:color w:val="auto"/>
              <w:sz w:val="24"/>
              <w:szCs w:val="24"/>
            </w:rPr>
            <w:instrText xml:space="preserve"> HYPERLINK \l _Toc8495_WPSOffice_Level1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150cf3eb-29ca-491c-ba2f-89f0ec397a61}"/>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1）有效的法人或者其他组织的营业执照等证明文件，自然人的身份证明</w:t>
              </w:r>
            </w:sdtContent>
          </w:sdt>
          <w:r>
            <w:rPr>
              <w:color w:val="auto"/>
              <w:sz w:val="24"/>
              <w:szCs w:val="24"/>
            </w:rPr>
            <w:tab/>
          </w:r>
          <w:bookmarkStart w:id="13" w:name="_Toc8495_WPSOffice_Level1Page"/>
          <w:r>
            <w:rPr>
              <w:color w:val="auto"/>
              <w:sz w:val="24"/>
              <w:szCs w:val="24"/>
            </w:rPr>
            <w:t>23</w:t>
          </w:r>
          <w:bookmarkEnd w:id="13"/>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_Toc27879_WPSOffice_Level1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82da95fc-0f15-43f0-8040-21c0fde6825e}"/>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2）资格条件承诺函</w:t>
              </w:r>
            </w:sdtContent>
          </w:sdt>
          <w:r>
            <w:rPr>
              <w:color w:val="auto"/>
              <w:sz w:val="24"/>
              <w:szCs w:val="24"/>
            </w:rPr>
            <w:tab/>
          </w:r>
          <w:bookmarkStart w:id="14" w:name="_Toc27879_WPSOffice_Level1Page"/>
          <w:r>
            <w:rPr>
              <w:color w:val="auto"/>
              <w:sz w:val="24"/>
              <w:szCs w:val="24"/>
            </w:rPr>
            <w:t>24</w:t>
          </w:r>
          <w:bookmarkEnd w:id="14"/>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_Toc28021_WPSOffice_Level1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a4ccd27a-b83c-4833-92bf-c87270f64ef9}"/>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3）中小企业声明函（服务）</w:t>
              </w:r>
            </w:sdtContent>
          </w:sdt>
          <w:r>
            <w:rPr>
              <w:color w:val="auto"/>
              <w:sz w:val="24"/>
              <w:szCs w:val="24"/>
            </w:rPr>
            <w:tab/>
          </w:r>
          <w:bookmarkStart w:id="15" w:name="_Toc28021_WPSOffice_Level1Page"/>
          <w:r>
            <w:rPr>
              <w:color w:val="auto"/>
              <w:sz w:val="24"/>
              <w:szCs w:val="24"/>
            </w:rPr>
            <w:t>25</w:t>
          </w:r>
          <w:bookmarkEnd w:id="15"/>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_Toc4312_WPSOffice_Level1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3bdfab19-89c3-4080-a39a-06787fb374ec}"/>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4）合法有效的化粪池清掏资质、管道疏通清洗资质证明</w:t>
              </w:r>
            </w:sdtContent>
          </w:sdt>
          <w:r>
            <w:rPr>
              <w:color w:val="auto"/>
              <w:sz w:val="24"/>
              <w:szCs w:val="24"/>
            </w:rPr>
            <w:tab/>
          </w:r>
          <w:bookmarkStart w:id="16" w:name="_Toc4312_WPSOffice_Level1Page"/>
          <w:r>
            <w:rPr>
              <w:color w:val="auto"/>
              <w:sz w:val="24"/>
              <w:szCs w:val="24"/>
            </w:rPr>
            <w:t>29</w:t>
          </w:r>
          <w:bookmarkEnd w:id="16"/>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_Toc1786_WPSOffice_Level1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54172291-9f50-49d1-8dc3-86aed69b1e01}"/>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b/>
                  <w:bCs/>
                  <w:color w:val="auto"/>
                  <w:sz w:val="24"/>
                  <w:szCs w:val="24"/>
                </w:rPr>
                <w:t>报价文件</w:t>
              </w:r>
            </w:sdtContent>
          </w:sdt>
          <w:r>
            <w:rPr>
              <w:color w:val="auto"/>
              <w:sz w:val="24"/>
              <w:szCs w:val="24"/>
            </w:rPr>
            <w:tab/>
          </w:r>
          <w:bookmarkStart w:id="17" w:name="_Toc1786_WPSOffice_Level1Page"/>
          <w:r>
            <w:rPr>
              <w:color w:val="auto"/>
              <w:sz w:val="24"/>
              <w:szCs w:val="24"/>
            </w:rPr>
            <w:t>30</w:t>
          </w:r>
          <w:bookmarkEnd w:id="17"/>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_Toc21866_WPSOffice_Level1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bb7aadb6-394e-47d1-912b-4556cea87385}"/>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（1）初次报价一览表</w:t>
              </w:r>
            </w:sdtContent>
          </w:sdt>
          <w:r>
            <w:rPr>
              <w:color w:val="auto"/>
              <w:sz w:val="24"/>
              <w:szCs w:val="24"/>
            </w:rPr>
            <w:tab/>
          </w:r>
          <w:bookmarkStart w:id="18" w:name="_Toc21866_WPSOffice_Level1Page"/>
          <w:r>
            <w:rPr>
              <w:color w:val="auto"/>
              <w:sz w:val="24"/>
              <w:szCs w:val="24"/>
            </w:rPr>
            <w:t>30</w:t>
          </w:r>
          <w:bookmarkEnd w:id="18"/>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_Toc8839_WPSOffice_Level1 </w:instrText>
          </w:r>
          <w:r>
            <w:rPr>
              <w:color w:val="auto"/>
              <w:sz w:val="24"/>
              <w:szCs w:val="24"/>
            </w:rPr>
            <w:fldChar w:fldCharType="separate"/>
          </w:r>
          <w:sdt>
            <w:sdtPr>
              <w:rPr>
                <w:rFonts w:ascii="Times New Roman" w:hAnsi="Times New Roman" w:eastAsia="宋体" w:cs="Times New Roman"/>
                <w:b/>
                <w:bCs/>
                <w:color w:val="auto"/>
                <w:sz w:val="24"/>
                <w:szCs w:val="24"/>
                <w:lang w:val="en-US" w:eastAsia="zh-CN" w:bidi="ar-SA"/>
              </w:rPr>
              <w:id w:val="147470368"/>
              <w:placeholder>
                <w:docPart w:val="{c1ee6414-477e-4852-bf06-a4b9f05b57d9}"/>
              </w:placeholder>
            </w:sdtPr>
            <w:sdtEndPr>
              <w:rPr>
                <w:rFonts w:ascii="Times New Roman" w:hAnsi="Times New Roman" w:eastAsia="宋体" w:cs="Times New Roman"/>
                <w:b/>
                <w:bCs/>
                <w:color w:val="auto"/>
                <w:sz w:val="24"/>
                <w:szCs w:val="24"/>
                <w:lang w:val="en-US" w:eastAsia="zh-CN" w:bidi="ar-SA"/>
              </w:rPr>
            </w:sdtEndPr>
            <w:sdtContent>
              <w:r>
                <w:rPr>
                  <w:rFonts w:hint="eastAsia" w:ascii="Times New Roman" w:hAnsi="Times New Roman" w:eastAsia="宋体" w:cs="Times New Roman"/>
                  <w:b/>
                  <w:bCs/>
                  <w:color w:val="auto"/>
                  <w:sz w:val="24"/>
                  <w:szCs w:val="24"/>
                </w:rPr>
                <w:t>商务和技术文件</w:t>
              </w:r>
            </w:sdtContent>
          </w:sdt>
          <w:r>
            <w:rPr>
              <w:color w:val="auto"/>
              <w:sz w:val="24"/>
              <w:szCs w:val="24"/>
            </w:rPr>
            <w:tab/>
          </w:r>
          <w:bookmarkStart w:id="19" w:name="_Toc8839_WPSOffice_Level1Page"/>
          <w:r>
            <w:rPr>
              <w:color w:val="auto"/>
              <w:sz w:val="24"/>
              <w:szCs w:val="24"/>
            </w:rPr>
            <w:t>31</w:t>
          </w:r>
          <w:bookmarkEnd w:id="19"/>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_Toc28949_WPSOffice_Level1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fa6967f3-ca6a-4d3a-b21b-d731de434181}"/>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（1）磋商响应函</w:t>
              </w:r>
            </w:sdtContent>
          </w:sdt>
          <w:r>
            <w:rPr>
              <w:color w:val="auto"/>
              <w:sz w:val="24"/>
              <w:szCs w:val="24"/>
            </w:rPr>
            <w:tab/>
          </w:r>
          <w:bookmarkStart w:id="20" w:name="_Toc28949_WPSOffice_Level1Page"/>
          <w:r>
            <w:rPr>
              <w:color w:val="auto"/>
              <w:sz w:val="24"/>
              <w:szCs w:val="24"/>
            </w:rPr>
            <w:t>31</w:t>
          </w:r>
          <w:bookmarkEnd w:id="20"/>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_Toc1577_WPSOffice_Level1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ef404d32-4e2a-4703-8a68-9bcf03fcde19}"/>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（2）法定代表人授权书（非法定代表人参加时提供）</w:t>
              </w:r>
            </w:sdtContent>
          </w:sdt>
          <w:r>
            <w:rPr>
              <w:color w:val="auto"/>
              <w:sz w:val="24"/>
              <w:szCs w:val="24"/>
            </w:rPr>
            <w:tab/>
          </w:r>
          <w:bookmarkStart w:id="21" w:name="_Toc1577_WPSOffice_Level1Page"/>
          <w:r>
            <w:rPr>
              <w:color w:val="auto"/>
              <w:sz w:val="24"/>
              <w:szCs w:val="24"/>
            </w:rPr>
            <w:t>32</w:t>
          </w:r>
          <w:bookmarkEnd w:id="21"/>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_Toc7524_WPSOffice_Level1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2ef7e425-7dea-4c75-8ddc-8f79d1c89a75}"/>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（3）授权代表社保缴纳证明</w:t>
              </w:r>
            </w:sdtContent>
          </w:sdt>
          <w:r>
            <w:rPr>
              <w:color w:val="auto"/>
              <w:sz w:val="24"/>
              <w:szCs w:val="24"/>
            </w:rPr>
            <w:tab/>
          </w:r>
          <w:bookmarkStart w:id="22" w:name="_Toc7524_WPSOffice_Level1Page"/>
          <w:r>
            <w:rPr>
              <w:color w:val="auto"/>
              <w:sz w:val="24"/>
              <w:szCs w:val="24"/>
            </w:rPr>
            <w:t>33</w:t>
          </w:r>
          <w:bookmarkEnd w:id="22"/>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_Toc2628_WPSOffice_Level1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13b6ffdd-38f5-4755-b39a-82a55a4b5f8b}"/>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（4）法定代表人资格证明书（法定代表人参加时提供）</w:t>
              </w:r>
            </w:sdtContent>
          </w:sdt>
          <w:r>
            <w:rPr>
              <w:color w:val="auto"/>
              <w:sz w:val="24"/>
              <w:szCs w:val="24"/>
            </w:rPr>
            <w:tab/>
          </w:r>
          <w:bookmarkStart w:id="23" w:name="_Toc2628_WPSOffice_Level1Page"/>
          <w:r>
            <w:rPr>
              <w:color w:val="auto"/>
              <w:sz w:val="24"/>
              <w:szCs w:val="24"/>
            </w:rPr>
            <w:t>34</w:t>
          </w:r>
          <w:bookmarkEnd w:id="23"/>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_Toc18973_WPSOffice_Level1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6e9b40b3-4630-408c-be15-9e9f2889d04d}"/>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（5）采购需求偏离表</w:t>
              </w:r>
            </w:sdtContent>
          </w:sdt>
          <w:r>
            <w:rPr>
              <w:color w:val="auto"/>
              <w:sz w:val="24"/>
              <w:szCs w:val="24"/>
            </w:rPr>
            <w:tab/>
          </w:r>
          <w:bookmarkStart w:id="24" w:name="_Toc18973_WPSOffice_Level1Page"/>
          <w:r>
            <w:rPr>
              <w:color w:val="auto"/>
              <w:sz w:val="24"/>
              <w:szCs w:val="24"/>
            </w:rPr>
            <w:t>35</w:t>
          </w:r>
          <w:bookmarkEnd w:id="24"/>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_Toc23700_WPSOffice_Level1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6472d4bb-4e41-4226-901f-11133787a0e7}"/>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（6）响应方基本情况表</w:t>
              </w:r>
            </w:sdtContent>
          </w:sdt>
          <w:r>
            <w:rPr>
              <w:color w:val="auto"/>
              <w:sz w:val="24"/>
              <w:szCs w:val="24"/>
            </w:rPr>
            <w:tab/>
          </w:r>
          <w:bookmarkStart w:id="25" w:name="_Toc23700_WPSOffice_Level1Page"/>
          <w:r>
            <w:rPr>
              <w:color w:val="auto"/>
              <w:sz w:val="24"/>
              <w:szCs w:val="24"/>
            </w:rPr>
            <w:t>36</w:t>
          </w:r>
          <w:bookmarkEnd w:id="25"/>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_Toc16094_WPSOffice_Level1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5b4996e1-8f57-4c1e-a292-350d4b5c838d}"/>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（7）供应商同类合同一览表</w:t>
              </w:r>
            </w:sdtContent>
          </w:sdt>
          <w:r>
            <w:rPr>
              <w:color w:val="auto"/>
              <w:sz w:val="24"/>
              <w:szCs w:val="24"/>
            </w:rPr>
            <w:tab/>
          </w:r>
          <w:bookmarkStart w:id="26" w:name="_Toc16094_WPSOffice_Level1Page"/>
          <w:r>
            <w:rPr>
              <w:color w:val="auto"/>
              <w:sz w:val="24"/>
              <w:szCs w:val="24"/>
            </w:rPr>
            <w:t>37</w:t>
          </w:r>
          <w:bookmarkEnd w:id="26"/>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_Toc23522_WPSOffice_Level1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4ba3f7fa-5011-4af5-87b9-1a19a0163afc}"/>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（8）详细技术和服务方案</w:t>
              </w:r>
            </w:sdtContent>
          </w:sdt>
          <w:r>
            <w:rPr>
              <w:color w:val="auto"/>
              <w:sz w:val="24"/>
              <w:szCs w:val="24"/>
            </w:rPr>
            <w:tab/>
          </w:r>
          <w:bookmarkStart w:id="27" w:name="_Toc23522_WPSOffice_Level1Page"/>
          <w:r>
            <w:rPr>
              <w:color w:val="auto"/>
              <w:sz w:val="24"/>
              <w:szCs w:val="24"/>
            </w:rPr>
            <w:t>38</w:t>
          </w:r>
          <w:bookmarkEnd w:id="27"/>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_Toc18015_WPSOffice_Level1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905ecc54-bb3b-41e4-93d3-75d24bec9938}"/>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（9）项目组成员一览表</w:t>
              </w:r>
            </w:sdtContent>
          </w:sdt>
          <w:r>
            <w:rPr>
              <w:color w:val="auto"/>
              <w:sz w:val="24"/>
              <w:szCs w:val="24"/>
            </w:rPr>
            <w:tab/>
          </w:r>
          <w:bookmarkStart w:id="28" w:name="_Toc18015_WPSOffice_Level1Page"/>
          <w:r>
            <w:rPr>
              <w:color w:val="auto"/>
              <w:sz w:val="24"/>
              <w:szCs w:val="24"/>
            </w:rPr>
            <w:t>38</w:t>
          </w:r>
          <w:bookmarkEnd w:id="28"/>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_Toc23223_WPSOffice_Level1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c98a5919-7942-4fc1-beac-e76918ae7252}"/>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（10）关于对磋商文件中有关条款的拒绝声明(如有)</w:t>
              </w:r>
            </w:sdtContent>
          </w:sdt>
          <w:r>
            <w:rPr>
              <w:color w:val="auto"/>
              <w:sz w:val="24"/>
              <w:szCs w:val="24"/>
            </w:rPr>
            <w:tab/>
          </w:r>
          <w:bookmarkStart w:id="29" w:name="_Toc23223_WPSOffice_Level1Page"/>
          <w:r>
            <w:rPr>
              <w:color w:val="auto"/>
              <w:sz w:val="24"/>
              <w:szCs w:val="24"/>
            </w:rPr>
            <w:t>38</w:t>
          </w:r>
          <w:bookmarkEnd w:id="29"/>
          <w:r>
            <w:rPr>
              <w:color w:val="auto"/>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_Toc6391_WPSOffice_Level1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70368"/>
              <w:placeholder>
                <w:docPart w:val="{0ef11914-198e-4229-bb45-021728d7eb81}"/>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评分标准索引表</w:t>
              </w:r>
            </w:sdtContent>
          </w:sdt>
          <w:r>
            <w:rPr>
              <w:color w:val="auto"/>
              <w:sz w:val="24"/>
              <w:szCs w:val="24"/>
            </w:rPr>
            <w:tab/>
          </w:r>
          <w:bookmarkStart w:id="30" w:name="_Toc6391_WPSOffice_Level1Page"/>
          <w:r>
            <w:rPr>
              <w:color w:val="auto"/>
              <w:sz w:val="24"/>
              <w:szCs w:val="24"/>
            </w:rPr>
            <w:t>39</w:t>
          </w:r>
          <w:bookmarkEnd w:id="30"/>
          <w:r>
            <w:rPr>
              <w:color w:val="auto"/>
              <w:sz w:val="24"/>
              <w:szCs w:val="24"/>
            </w:rPr>
            <w:fldChar w:fldCharType="end"/>
          </w:r>
        </w:p>
        <w:bookmarkEnd w:id="0"/>
        <w:p>
          <w:pPr>
            <w:pStyle w:val="195"/>
            <w:tabs>
              <w:tab w:val="right" w:leader="dot" w:pos="9413"/>
            </w:tabs>
            <w:rPr>
              <w:color w:val="auto"/>
            </w:rPr>
          </w:pPr>
        </w:p>
      </w:sdtContent>
    </w:sdt>
    <w:p>
      <w:pPr>
        <w:pStyle w:val="26"/>
        <w:keepNext w:val="0"/>
        <w:keepLines w:val="0"/>
        <w:pageBreakBefore w:val="0"/>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TOC \o "1-3" \h \u </w:instrText>
      </w:r>
      <w:r>
        <w:rPr>
          <w:color w:val="auto"/>
          <w:sz w:val="24"/>
          <w:szCs w:val="24"/>
        </w:rPr>
        <w:fldChar w:fldCharType="separate"/>
      </w:r>
    </w:p>
    <w:p>
      <w:pPr>
        <w:keepNext w:val="0"/>
        <w:keepLines w:val="0"/>
        <w:pageBreakBefore w:val="0"/>
        <w:kinsoku/>
        <w:wordWrap/>
        <w:overflowPunct/>
        <w:topLinePunct w:val="0"/>
        <w:autoSpaceDE/>
        <w:autoSpaceDN/>
        <w:bidi w:val="0"/>
        <w:adjustRightInd/>
        <w:snapToGrid/>
        <w:spacing w:line="288" w:lineRule="auto"/>
        <w:textAlignment w:val="auto"/>
        <w:rPr>
          <w:color w:val="auto"/>
        </w:rPr>
      </w:pPr>
      <w:r>
        <w:rPr>
          <w:color w:val="auto"/>
          <w:sz w:val="24"/>
          <w:szCs w:val="24"/>
        </w:rPr>
        <w:fldChar w:fldCharType="end"/>
      </w:r>
    </w:p>
    <w:p>
      <w:pPr>
        <w:pStyle w:val="2"/>
        <w:tabs>
          <w:tab w:val="right" w:leader="dot" w:pos="9000"/>
        </w:tabs>
        <w:snapToGrid w:val="0"/>
        <w:spacing w:before="0" w:after="0"/>
        <w:outlineLvl w:val="0"/>
        <w:rPr>
          <w:rStyle w:val="55"/>
          <w:b/>
          <w:color w:val="auto"/>
        </w:rPr>
      </w:pPr>
      <w:r>
        <w:rPr>
          <w:color w:val="auto"/>
          <w:sz w:val="24"/>
        </w:rPr>
        <w:br w:type="page"/>
      </w:r>
      <w:bookmarkStart w:id="31" w:name="_Toc118516209"/>
      <w:bookmarkStart w:id="32" w:name="_Toc171394907"/>
      <w:bookmarkStart w:id="33" w:name="_Toc23298"/>
      <w:bookmarkStart w:id="34" w:name="_Toc29876"/>
      <w:bookmarkStart w:id="35" w:name="_Toc16674"/>
      <w:bookmarkStart w:id="36" w:name="_Toc20259"/>
      <w:bookmarkStart w:id="37" w:name="_Toc4547"/>
      <w:bookmarkStart w:id="38" w:name="_Toc9769"/>
      <w:bookmarkStart w:id="39" w:name="_Toc24330"/>
      <w:bookmarkStart w:id="40" w:name="_Toc12840"/>
      <w:bookmarkStart w:id="41" w:name="_Toc14546"/>
      <w:bookmarkStart w:id="42" w:name="_Toc4488"/>
      <w:bookmarkStart w:id="43" w:name="_Toc938"/>
      <w:bookmarkStart w:id="44" w:name="_Toc17969"/>
      <w:bookmarkStart w:id="45" w:name="_Toc24674_WPSOffice_Level1"/>
      <w:bookmarkStart w:id="46" w:name="_Toc3034"/>
      <w:bookmarkStart w:id="47" w:name="_Toc7090"/>
      <w:bookmarkStart w:id="48" w:name="_Toc440"/>
      <w:bookmarkStart w:id="49" w:name="_Toc7321"/>
      <w:bookmarkStart w:id="50" w:name="_Toc25143"/>
      <w:bookmarkStart w:id="51" w:name="_Toc15311"/>
      <w:bookmarkStart w:id="52" w:name="_Toc29438"/>
      <w:bookmarkStart w:id="53" w:name="_Toc25841"/>
      <w:bookmarkStart w:id="54" w:name="_Toc10391"/>
      <w:bookmarkStart w:id="55" w:name="_Toc433537961"/>
      <w:bookmarkStart w:id="56" w:name="_Toc13062"/>
      <w:bookmarkStart w:id="57" w:name="_Toc6441"/>
      <w:bookmarkStart w:id="58" w:name="_Toc3154"/>
      <w:bookmarkStart w:id="59" w:name="_Toc32496"/>
      <w:bookmarkStart w:id="60" w:name="_Toc12052"/>
      <w:bookmarkStart w:id="61" w:name="_Toc10026"/>
      <w:bookmarkStart w:id="62" w:name="_Toc32381"/>
      <w:bookmarkStart w:id="63" w:name="_Toc9372"/>
      <w:bookmarkStart w:id="64" w:name="_Toc27478"/>
      <w:bookmarkStart w:id="65" w:name="_Toc9280"/>
      <w:bookmarkStart w:id="66" w:name="_Toc14280"/>
      <w:r>
        <w:rPr>
          <w:rStyle w:val="55"/>
          <w:rFonts w:hint="eastAsia"/>
          <w:b/>
          <w:color w:val="auto"/>
        </w:rPr>
        <w:t>第一部分</w:t>
      </w:r>
      <w:bookmarkEnd w:id="31"/>
      <w:r>
        <w:rPr>
          <w:rStyle w:val="55"/>
          <w:b/>
          <w:color w:val="auto"/>
        </w:rPr>
        <w:t xml:space="preserve"> </w:t>
      </w:r>
      <w:r>
        <w:rPr>
          <w:rStyle w:val="55"/>
          <w:rFonts w:hint="eastAsia"/>
          <w:b/>
          <w:color w:val="auto"/>
        </w:rPr>
        <w:t>竞争性磋商</w:t>
      </w:r>
      <w:bookmarkEnd w:id="32"/>
      <w:r>
        <w:rPr>
          <w:rStyle w:val="55"/>
          <w:rFonts w:hint="eastAsia"/>
          <w:b/>
          <w:color w:val="auto"/>
        </w:rPr>
        <w:t>公告</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67" w:name="_Toc171394908"/>
      <w:bookmarkStart w:id="68" w:name="_Toc171394910"/>
      <w:bookmarkStart w:id="69"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污水管道清理服务项目进行竞争性磋商(简称磋商)采购，欢迎国内合格的供应商前来参加。</w:t>
      </w:r>
    </w:p>
    <w:p>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default" w:asciiTheme="minorEastAsia" w:hAnsiTheme="minorEastAsia" w:eastAsiaTheme="minorEastAsia" w:cstheme="minorEastAsia"/>
          <w:color w:val="auto"/>
          <w:sz w:val="24"/>
          <w:szCs w:val="24"/>
          <w:lang w:val="en-US" w:eastAsia="zh-CN"/>
        </w:rPr>
      </w:pPr>
      <w:bookmarkStart w:id="70" w:name="_Toc25225"/>
      <w:bookmarkStart w:id="71" w:name="_Toc12969"/>
      <w:bookmarkStart w:id="72" w:name="_Toc10031"/>
      <w:bookmarkStart w:id="73" w:name="_Toc21083"/>
      <w:bookmarkStart w:id="74" w:name="_Toc6517"/>
      <w:bookmarkStart w:id="75" w:name="_Toc28017"/>
      <w:bookmarkStart w:id="76" w:name="_Toc19591"/>
      <w:bookmarkStart w:id="77" w:name="_Toc183786415"/>
      <w:bookmarkStart w:id="78" w:name="_Toc433537963"/>
      <w:r>
        <w:rPr>
          <w:rFonts w:hint="eastAsia" w:asciiTheme="minorEastAsia" w:hAnsiTheme="minorEastAsia" w:eastAsiaTheme="minorEastAsia" w:cstheme="minorEastAsia"/>
          <w:b/>
          <w:bCs/>
          <w:color w:val="auto"/>
          <w:sz w:val="24"/>
          <w:szCs w:val="24"/>
        </w:rPr>
        <w:t>一、</w:t>
      </w:r>
      <w:bookmarkEnd w:id="67"/>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-JH-CS</w:t>
      </w:r>
      <w:r>
        <w:rPr>
          <w:rFonts w:hint="eastAsia" w:asciiTheme="minorEastAsia" w:hAnsiTheme="minorEastAsia" w:eastAsiaTheme="minorEastAsia" w:cstheme="minorEastAsia"/>
          <w:color w:val="auto"/>
          <w:sz w:val="24"/>
          <w:szCs w:val="24"/>
          <w:lang w:val="en-US" w:eastAsia="zh-CN"/>
        </w:rPr>
        <w:t>03</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37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1200"/>
        <w:gridCol w:w="5715"/>
        <w:gridCol w:w="705"/>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trPr>
        <w:tc>
          <w:tcPr>
            <w:tcW w:w="694" w:type="dxa"/>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1200" w:type="dxa"/>
            <w:tcBorders>
              <w:right w:val="single" w:color="000000" w:sz="4" w:space="0"/>
            </w:tcBorders>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5715" w:type="dxa"/>
            <w:tcBorders>
              <w:right w:val="single" w:color="000000" w:sz="4" w:space="0"/>
            </w:tcBorders>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705" w:type="dxa"/>
            <w:tcBorders>
              <w:left w:val="single" w:color="000000" w:sz="4" w:space="0"/>
            </w:tcBorders>
            <w:vAlign w:val="center"/>
          </w:tcPr>
          <w:p>
            <w:pPr>
              <w:spacing w:line="400" w:lineRule="exact"/>
              <w:jc w:val="center"/>
              <w:rPr>
                <w:rFonts w:hint="eastAsia" w:ascii="宋体" w:hAnsi="宋体" w:eastAsia="宋体" w:cs="宋体"/>
                <w:bCs/>
                <w:color w:val="auto"/>
                <w:spacing w:val="-6"/>
                <w:sz w:val="24"/>
                <w:szCs w:val="24"/>
                <w:lang w:eastAsia="zh-CN"/>
              </w:rPr>
            </w:pPr>
            <w:r>
              <w:rPr>
                <w:rFonts w:hint="eastAsia" w:ascii="宋体" w:hAnsi="宋体" w:cs="宋体"/>
                <w:bCs/>
                <w:color w:val="auto"/>
                <w:spacing w:val="-6"/>
                <w:sz w:val="24"/>
                <w:szCs w:val="24"/>
                <w:lang w:val="en-US" w:eastAsia="zh-CN"/>
              </w:rPr>
              <w:t>期限</w:t>
            </w:r>
          </w:p>
        </w:tc>
        <w:tc>
          <w:tcPr>
            <w:tcW w:w="1065" w:type="dxa"/>
            <w:vAlign w:val="center"/>
          </w:tcPr>
          <w:p>
            <w:pPr>
              <w:spacing w:line="400" w:lineRule="exact"/>
              <w:jc w:val="both"/>
              <w:rPr>
                <w:rFonts w:ascii="宋体" w:hAnsi="宋体" w:cs="宋体"/>
                <w:bCs/>
                <w:color w:val="auto"/>
                <w:spacing w:val="-6"/>
                <w:sz w:val="24"/>
                <w:szCs w:val="24"/>
              </w:rPr>
            </w:pPr>
            <w:r>
              <w:rPr>
                <w:rFonts w:hint="eastAsia" w:ascii="宋体" w:hAnsi="宋体" w:cs="宋体"/>
                <w:bCs/>
                <w:color w:val="auto"/>
                <w:spacing w:val="-6"/>
                <w:sz w:val="24"/>
                <w:szCs w:val="24"/>
              </w:rPr>
              <w:t>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7" w:hRule="atLeast"/>
        </w:trPr>
        <w:tc>
          <w:tcPr>
            <w:tcW w:w="694" w:type="dxa"/>
            <w:vAlign w:val="center"/>
          </w:tcPr>
          <w:p>
            <w:pPr>
              <w:spacing w:line="420" w:lineRule="exact"/>
              <w:jc w:val="center"/>
              <w:rPr>
                <w:rFonts w:ascii="宋体" w:hAnsi="宋体"/>
                <w:color w:val="auto"/>
                <w:sz w:val="24"/>
                <w:szCs w:val="24"/>
              </w:rPr>
            </w:pPr>
            <w:r>
              <w:rPr>
                <w:rFonts w:hint="eastAsia" w:ascii="宋体" w:hAnsi="宋体"/>
                <w:color w:val="auto"/>
                <w:sz w:val="24"/>
                <w:szCs w:val="24"/>
              </w:rPr>
              <w:t>1</w:t>
            </w:r>
          </w:p>
        </w:tc>
        <w:tc>
          <w:tcPr>
            <w:tcW w:w="1200" w:type="dxa"/>
            <w:tcBorders>
              <w:right w:val="single" w:color="000000" w:sz="4" w:space="0"/>
            </w:tcBorders>
            <w:vAlign w:val="center"/>
          </w:tcPr>
          <w:p>
            <w:pPr>
              <w:spacing w:line="420" w:lineRule="exact"/>
              <w:jc w:val="center"/>
              <w:rPr>
                <w:rFonts w:ascii="宋体" w:hAnsi="宋体"/>
                <w:color w:val="auto"/>
                <w:sz w:val="24"/>
                <w:szCs w:val="24"/>
              </w:rPr>
            </w:pPr>
            <w:r>
              <w:rPr>
                <w:rFonts w:hint="eastAsia" w:ascii="宋体" w:hAnsi="宋体"/>
                <w:color w:val="auto"/>
                <w:sz w:val="24"/>
                <w:szCs w:val="24"/>
              </w:rPr>
              <w:t>污水管道清理服务</w:t>
            </w:r>
          </w:p>
        </w:tc>
        <w:tc>
          <w:tcPr>
            <w:tcW w:w="5715" w:type="dxa"/>
            <w:tcBorders>
              <w:right w:val="single" w:color="000000" w:sz="4" w:space="0"/>
            </w:tcBorders>
            <w:vAlign w:val="center"/>
          </w:tcPr>
          <w:p>
            <w:pPr>
              <w:spacing w:line="420" w:lineRule="exact"/>
              <w:jc w:val="center"/>
              <w:rPr>
                <w:rFonts w:ascii="宋体" w:hAnsi="宋体"/>
                <w:color w:val="auto"/>
                <w:sz w:val="24"/>
                <w:szCs w:val="24"/>
              </w:rPr>
            </w:pPr>
            <w:r>
              <w:rPr>
                <w:rFonts w:hint="eastAsia" w:ascii="宋体" w:hAnsi="宋体" w:cs="宋体"/>
                <w:color w:val="auto"/>
                <w:sz w:val="24"/>
                <w:lang w:val="en-US" w:eastAsia="zh-CN"/>
              </w:rPr>
              <w:t>对</w:t>
            </w:r>
            <w:r>
              <w:rPr>
                <w:rFonts w:hint="eastAsia" w:ascii="宋体" w:hAnsi="宋体" w:cs="宋体"/>
                <w:color w:val="auto"/>
                <w:sz w:val="24"/>
              </w:rPr>
              <w:t>下沙校区（含生活区，东校区）、研究生公寓及教学区、教师公寓室内小管道、蹲坑</w:t>
            </w:r>
            <w:r>
              <w:rPr>
                <w:rFonts w:hint="eastAsia" w:ascii="宋体" w:hAnsi="宋体" w:cs="宋体"/>
                <w:color w:val="auto"/>
                <w:sz w:val="24"/>
                <w:lang w:eastAsia="zh-CN"/>
              </w:rPr>
              <w:t>、</w:t>
            </w:r>
            <w:r>
              <w:rPr>
                <w:rFonts w:hint="eastAsia" w:ascii="宋体" w:hAnsi="宋体" w:cs="宋体"/>
                <w:color w:val="auto"/>
                <w:sz w:val="24"/>
              </w:rPr>
              <w:t>小便池</w:t>
            </w:r>
            <w:r>
              <w:rPr>
                <w:rFonts w:hint="eastAsia" w:ascii="宋体" w:hAnsi="宋体" w:cs="宋体"/>
                <w:color w:val="auto"/>
                <w:sz w:val="24"/>
                <w:lang w:eastAsia="zh-CN"/>
              </w:rPr>
              <w:t>、</w:t>
            </w:r>
            <w:r>
              <w:rPr>
                <w:rFonts w:hint="eastAsia" w:ascii="宋体" w:hAnsi="宋体" w:cs="宋体"/>
                <w:color w:val="auto"/>
                <w:sz w:val="24"/>
              </w:rPr>
              <w:t>坐便器</w:t>
            </w:r>
            <w:r>
              <w:rPr>
                <w:rFonts w:hint="eastAsia" w:ascii="宋体" w:hAnsi="宋体" w:cs="宋体"/>
                <w:color w:val="auto"/>
                <w:sz w:val="24"/>
                <w:lang w:eastAsia="zh-CN"/>
              </w:rPr>
              <w:t>、</w:t>
            </w:r>
            <w:r>
              <w:rPr>
                <w:rFonts w:hint="eastAsia" w:ascii="宋体" w:hAnsi="宋体" w:cs="宋体"/>
                <w:color w:val="auto"/>
                <w:sz w:val="24"/>
              </w:rPr>
              <w:t>地漏，上述区域室外污水管道</w:t>
            </w:r>
            <w:r>
              <w:rPr>
                <w:rFonts w:hint="eastAsia" w:ascii="宋体" w:hAnsi="宋体" w:cs="宋体"/>
                <w:color w:val="auto"/>
                <w:sz w:val="24"/>
                <w:lang w:eastAsia="zh-CN"/>
              </w:rPr>
              <w:t>、</w:t>
            </w:r>
            <w:r>
              <w:rPr>
                <w:rFonts w:hint="eastAsia" w:ascii="宋体" w:hAnsi="宋体" w:cs="宋体"/>
                <w:color w:val="auto"/>
                <w:sz w:val="24"/>
              </w:rPr>
              <w:t>雨污窨井</w:t>
            </w:r>
            <w:r>
              <w:rPr>
                <w:rFonts w:hint="eastAsia" w:ascii="宋体" w:hAnsi="宋体" w:cs="宋体"/>
                <w:color w:val="auto"/>
                <w:sz w:val="24"/>
                <w:lang w:eastAsia="zh-CN"/>
              </w:rPr>
              <w:t>、</w:t>
            </w:r>
            <w:r>
              <w:rPr>
                <w:rFonts w:hint="eastAsia" w:ascii="宋体" w:hAnsi="宋体" w:cs="宋体"/>
                <w:color w:val="auto"/>
                <w:sz w:val="24"/>
              </w:rPr>
              <w:t>边窨井</w:t>
            </w:r>
            <w:r>
              <w:rPr>
                <w:rFonts w:hint="eastAsia" w:ascii="宋体" w:hAnsi="宋体" w:cs="宋体"/>
                <w:color w:val="auto"/>
                <w:sz w:val="24"/>
                <w:lang w:eastAsia="zh-CN"/>
              </w:rPr>
              <w:t>、</w:t>
            </w:r>
            <w:r>
              <w:rPr>
                <w:rFonts w:hint="eastAsia" w:ascii="宋体" w:hAnsi="宋体" w:cs="宋体"/>
                <w:color w:val="auto"/>
                <w:sz w:val="24"/>
              </w:rPr>
              <w:t>化粪池</w:t>
            </w:r>
            <w:r>
              <w:rPr>
                <w:rFonts w:hint="eastAsia" w:ascii="宋体" w:hAnsi="宋体" w:cs="宋体"/>
                <w:color w:val="auto"/>
                <w:sz w:val="24"/>
                <w:lang w:eastAsia="zh-CN"/>
              </w:rPr>
              <w:t>、</w:t>
            </w:r>
            <w:r>
              <w:rPr>
                <w:rFonts w:hint="eastAsia" w:ascii="宋体" w:hAnsi="宋体" w:cs="宋体"/>
                <w:color w:val="auto"/>
                <w:sz w:val="24"/>
              </w:rPr>
              <w:t>隔油池等进行疏通处置和无害化清理</w:t>
            </w:r>
          </w:p>
        </w:tc>
        <w:tc>
          <w:tcPr>
            <w:tcW w:w="705" w:type="dxa"/>
            <w:tcBorders>
              <w:left w:val="single" w:color="000000" w:sz="4" w:space="0"/>
            </w:tcBorders>
            <w:vAlign w:val="center"/>
          </w:tcPr>
          <w:p>
            <w:pPr>
              <w:spacing w:line="420" w:lineRule="exact"/>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3年</w:t>
            </w:r>
          </w:p>
        </w:tc>
        <w:tc>
          <w:tcPr>
            <w:tcW w:w="1065" w:type="dxa"/>
            <w:vAlign w:val="center"/>
          </w:tcPr>
          <w:p>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42万元</w:t>
            </w:r>
          </w:p>
        </w:tc>
      </w:tr>
    </w:tbl>
    <w:p>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68"/>
      <w:bookmarkEnd w:id="69"/>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79" w:name="_Toc171394913"/>
      <w:r>
        <w:rPr>
          <w:rFonts w:hint="eastAsia" w:ascii="宋体" w:hAnsi="宋体"/>
          <w:color w:val="auto"/>
          <w:sz w:val="24"/>
          <w:szCs w:val="24"/>
        </w:rPr>
        <w:t>2.落实政府采购政策需满足的资格要求：本项目整体专门面向中小企业采购。监狱企业、残疾人福利性单位视同小型、微型企业。</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w:t>
      </w:r>
      <w:r>
        <w:rPr>
          <w:rFonts w:hint="eastAsia" w:ascii="宋体" w:hAnsi="宋体"/>
          <w:color w:val="auto"/>
          <w:sz w:val="24"/>
          <w:szCs w:val="24"/>
          <w:lang w:val="en-US" w:eastAsia="zh-CN"/>
        </w:rPr>
        <w:t>供应商具备合法有效的</w:t>
      </w:r>
      <w:r>
        <w:rPr>
          <w:rFonts w:hint="eastAsia" w:ascii="宋体" w:hAnsi="宋体"/>
          <w:color w:val="auto"/>
          <w:sz w:val="24"/>
          <w:szCs w:val="24"/>
        </w:rPr>
        <w:t>化粪池清掏资质、管道疏通清洗资质</w:t>
      </w:r>
      <w:r>
        <w:rPr>
          <w:rFonts w:hint="eastAsia" w:ascii="宋体" w:hAnsi="宋体"/>
          <w:color w:val="auto"/>
          <w:sz w:val="24"/>
          <w:szCs w:val="24"/>
          <w:lang w:val="en-US" w:eastAsia="zh-CN"/>
        </w:rPr>
        <w:t>证明</w:t>
      </w:r>
      <w:r>
        <w:rPr>
          <w:rFonts w:hint="eastAsia" w:ascii="宋体" w:hAnsi="宋体"/>
          <w:color w:val="auto"/>
          <w:sz w:val="24"/>
          <w:szCs w:val="24"/>
        </w:rPr>
        <w:t>。</w:t>
      </w:r>
    </w:p>
    <w:p>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eastAsia" w:ascii="宋体" w:hAnsi="宋体"/>
          <w:color w:val="auto"/>
          <w:sz w:val="24"/>
          <w:szCs w:val="24"/>
          <w:lang w:val="en-US" w:eastAsia="zh-CN"/>
        </w:rPr>
        <w:t>3</w:t>
      </w:r>
      <w:r>
        <w:rPr>
          <w:rFonts w:hint="eastAsia" w:ascii="宋体" w:hAnsi="宋体"/>
          <w:color w:val="auto"/>
          <w:sz w:val="24"/>
          <w:szCs w:val="24"/>
        </w:rPr>
        <w:t>月</w:t>
      </w:r>
      <w:r>
        <w:rPr>
          <w:rFonts w:hint="eastAsia" w:ascii="宋体" w:hAnsi="宋体"/>
          <w:color w:val="auto"/>
          <w:sz w:val="24"/>
          <w:szCs w:val="24"/>
          <w:lang w:val="en-US" w:eastAsia="zh-CN"/>
        </w:rPr>
        <w:t>27</w:t>
      </w:r>
      <w:r>
        <w:rPr>
          <w:rFonts w:hint="eastAsia" w:ascii="宋体" w:hAnsi="宋体"/>
          <w:color w:val="auto"/>
          <w:sz w:val="24"/>
          <w:szCs w:val="24"/>
        </w:rPr>
        <w:t>日至202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eastAsia" w:ascii="宋体" w:hAnsi="宋体"/>
          <w:color w:val="auto"/>
          <w:sz w:val="24"/>
          <w:szCs w:val="24"/>
          <w:lang w:val="en-US" w:eastAsia="zh-CN"/>
        </w:rPr>
        <w:t>4</w:t>
      </w:r>
      <w:r>
        <w:rPr>
          <w:rFonts w:hint="eastAsia" w:ascii="宋体" w:hAnsi="宋体"/>
          <w:color w:val="auto"/>
          <w:sz w:val="24"/>
          <w:szCs w:val="24"/>
        </w:rPr>
        <w:t>月</w:t>
      </w:r>
      <w:r>
        <w:rPr>
          <w:rFonts w:hint="eastAsia" w:ascii="宋体" w:hAnsi="宋体"/>
          <w:color w:val="auto"/>
          <w:sz w:val="24"/>
          <w:szCs w:val="24"/>
          <w:lang w:val="en-US" w:eastAsia="zh-CN"/>
        </w:rPr>
        <w:t>7</w:t>
      </w:r>
      <w:r>
        <w:rPr>
          <w:rFonts w:hint="eastAsia" w:ascii="宋体" w:hAnsi="宋体"/>
          <w:color w:val="auto"/>
          <w:sz w:val="24"/>
          <w:szCs w:val="24"/>
        </w:rPr>
        <w:t>日，上午00:00至12:00，下午12:00至23:59（北京时间，线上获取法定节假日均可，线下获取双休日及法定节假日除外）。</w:t>
      </w:r>
    </w:p>
    <w:p>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老师；联系方式：0571-87713548。</w:t>
      </w:r>
    </w:p>
    <w:p>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6</w:t>
      </w:r>
      <w:r>
        <w:rPr>
          <w:rFonts w:hint="eastAsia" w:ascii="宋体" w:hAnsi="宋体"/>
          <w:b/>
          <w:bCs/>
          <w:color w:val="auto"/>
          <w:sz w:val="24"/>
          <w:szCs w:val="24"/>
        </w:rPr>
        <w:t>年</w:t>
      </w:r>
      <w:r>
        <w:rPr>
          <w:rFonts w:hint="eastAsia" w:ascii="宋体" w:hAnsi="宋体"/>
          <w:b/>
          <w:bCs/>
          <w:color w:val="auto"/>
          <w:sz w:val="24"/>
          <w:szCs w:val="24"/>
          <w:lang w:val="en-US" w:eastAsia="zh-CN"/>
        </w:rPr>
        <w:t>4</w:t>
      </w:r>
      <w:r>
        <w:rPr>
          <w:rFonts w:hint="eastAsia" w:ascii="宋体" w:hAnsi="宋体"/>
          <w:b/>
          <w:bCs/>
          <w:color w:val="auto"/>
          <w:sz w:val="24"/>
          <w:szCs w:val="24"/>
        </w:rPr>
        <w:t>月</w:t>
      </w:r>
      <w:r>
        <w:rPr>
          <w:rFonts w:hint="eastAsia" w:ascii="宋体" w:hAnsi="宋体"/>
          <w:b/>
          <w:bCs/>
          <w:color w:val="auto"/>
          <w:sz w:val="24"/>
          <w:szCs w:val="24"/>
          <w:lang w:val="en-US" w:eastAsia="zh-CN"/>
        </w:rPr>
        <w:t>7</w:t>
      </w:r>
      <w:r>
        <w:rPr>
          <w:rFonts w:hint="eastAsia" w:ascii="宋体" w:hAnsi="宋体"/>
          <w:b/>
          <w:bCs/>
          <w:color w:val="auto"/>
          <w:sz w:val="24"/>
          <w:szCs w:val="24"/>
        </w:rPr>
        <w:t>日下午1时40分</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2026年4月7日下午1时40分</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80" w:name="OLE_LINK5"/>
      <w:r>
        <w:rPr>
          <w:rFonts w:hint="eastAsia" w:asciiTheme="minorEastAsia" w:hAnsiTheme="minorEastAsia" w:eastAsiaTheme="minorEastAsia" w:cstheme="minorEastAsia"/>
          <w:b/>
          <w:bCs/>
          <w:color w:val="auto"/>
          <w:sz w:val="24"/>
          <w:szCs w:val="24"/>
        </w:rPr>
        <w:t>公告期限</w:t>
      </w:r>
      <w:bookmarkEnd w:id="80"/>
    </w:p>
    <w:p>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pPr>
        <w:widowControl/>
        <w:spacing w:line="288" w:lineRule="auto"/>
        <w:ind w:firstLine="480" w:firstLineChars="200"/>
        <w:jc w:val="left"/>
        <w:rPr>
          <w:rFonts w:hint="default" w:ascii="宋体" w:eastAsia="宋体"/>
          <w:color w:val="auto"/>
          <w:sz w:val="24"/>
          <w:szCs w:val="24"/>
          <w:lang w:val="en-US" w:eastAsia="zh-CN"/>
        </w:rPr>
      </w:pPr>
      <w:r>
        <w:rPr>
          <w:rFonts w:hint="eastAsia" w:ascii="宋体" w:hAnsi="宋体"/>
          <w:color w:val="auto"/>
          <w:sz w:val="24"/>
          <w:szCs w:val="24"/>
        </w:rPr>
        <w:t>采购人用户部门：杭州电子科技大学</w:t>
      </w:r>
      <w:r>
        <w:rPr>
          <w:rFonts w:hint="eastAsia" w:ascii="宋体" w:hAnsi="宋体"/>
          <w:color w:val="auto"/>
          <w:sz w:val="24"/>
          <w:szCs w:val="24"/>
          <w:lang w:val="en-US" w:eastAsia="zh-CN"/>
        </w:rPr>
        <w:t>后勤服务中心</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陈</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0571-86919284，18257139588。</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pPr>
        <w:pStyle w:val="53"/>
        <w:rPr>
          <w:color w:val="auto"/>
        </w:rPr>
      </w:pPr>
    </w:p>
    <w:p>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pPr>
        <w:pStyle w:val="22"/>
        <w:rPr>
          <w:color w:val="auto"/>
        </w:rPr>
      </w:pPr>
    </w:p>
    <w:p>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eastAsia" w:ascii="宋体" w:hAnsi="宋体"/>
          <w:color w:val="auto"/>
          <w:sz w:val="24"/>
          <w:szCs w:val="24"/>
          <w:lang w:val="en-US" w:eastAsia="zh-CN"/>
        </w:rPr>
        <w:t>3</w:t>
      </w:r>
      <w:r>
        <w:rPr>
          <w:rFonts w:hint="eastAsia" w:ascii="宋体" w:hAnsi="宋体"/>
          <w:color w:val="auto"/>
          <w:sz w:val="24"/>
          <w:szCs w:val="24"/>
        </w:rPr>
        <w:t>月</w:t>
      </w:r>
      <w:r>
        <w:rPr>
          <w:rFonts w:hint="eastAsia" w:ascii="宋体" w:hAnsi="宋体"/>
          <w:color w:val="auto"/>
          <w:sz w:val="24"/>
          <w:szCs w:val="24"/>
          <w:lang w:val="en-US" w:eastAsia="zh-CN"/>
        </w:rPr>
        <w:t>27</w:t>
      </w:r>
      <w:r>
        <w:rPr>
          <w:rFonts w:hint="eastAsia" w:ascii="宋体" w:hAnsi="宋体"/>
          <w:color w:val="auto"/>
          <w:sz w:val="24"/>
          <w:szCs w:val="24"/>
        </w:rPr>
        <w:t>日</w:t>
      </w:r>
    </w:p>
    <w:p>
      <w:pPr>
        <w:wordWrap w:val="0"/>
        <w:adjustRightInd w:val="0"/>
        <w:snapToGrid w:val="0"/>
        <w:spacing w:line="420" w:lineRule="exact"/>
        <w:ind w:left="31" w:right="480" w:hanging="31" w:hangingChars="13"/>
        <w:jc w:val="right"/>
        <w:rPr>
          <w:rFonts w:ascii="宋体"/>
          <w:color w:val="auto"/>
          <w:sz w:val="24"/>
          <w:szCs w:val="24"/>
        </w:rPr>
      </w:pPr>
    </w:p>
    <w:p>
      <w:pPr>
        <w:adjustRightInd w:val="0"/>
        <w:snapToGrid w:val="0"/>
        <w:spacing w:before="120" w:beforeLines="50" w:after="120" w:afterLines="50" w:line="420" w:lineRule="exact"/>
        <w:ind w:right="480"/>
        <w:jc w:val="center"/>
        <w:outlineLvl w:val="0"/>
        <w:rPr>
          <w:rFonts w:hint="eastAsia" w:ascii="Times New Roman" w:hAnsi="Times New Roman" w:eastAsia="黑体" w:cs="Times New Roman"/>
          <w:b/>
          <w:color w:val="auto"/>
          <w:kern w:val="44"/>
          <w:sz w:val="36"/>
          <w:szCs w:val="22"/>
          <w:lang w:val="en-US" w:eastAsia="zh-CN" w:bidi="ar-SA"/>
        </w:rPr>
      </w:pPr>
      <w:r>
        <w:rPr>
          <w:rStyle w:val="111"/>
          <w:b w:val="0"/>
          <w:snapToGrid/>
          <w:color w:val="auto"/>
          <w:sz w:val="24"/>
          <w:szCs w:val="24"/>
        </w:rPr>
        <w:br w:type="page"/>
      </w:r>
      <w:bookmarkStart w:id="81" w:name="_Toc25852_WPSOffice_Level1"/>
      <w:bookmarkStart w:id="82" w:name="_Toc31424"/>
      <w:bookmarkStart w:id="83" w:name="_Toc8774"/>
      <w:bookmarkStart w:id="84" w:name="_Toc8413"/>
      <w:bookmarkStart w:id="85" w:name="_Toc25903"/>
      <w:bookmarkStart w:id="86" w:name="_Toc5412"/>
      <w:bookmarkStart w:id="87" w:name="_Toc15380"/>
      <w:bookmarkStart w:id="88" w:name="_Toc13359"/>
      <w:bookmarkStart w:id="89" w:name="_Toc16190"/>
      <w:bookmarkStart w:id="90" w:name="_Toc31607"/>
      <w:bookmarkStart w:id="91" w:name="_Toc25493"/>
      <w:bookmarkStart w:id="92" w:name="_Toc30939"/>
      <w:bookmarkStart w:id="93" w:name="_Toc28369"/>
      <w:bookmarkStart w:id="94" w:name="_Toc10682"/>
      <w:bookmarkStart w:id="95" w:name="_Toc14371"/>
      <w:bookmarkStart w:id="96" w:name="_Toc21096"/>
      <w:bookmarkStart w:id="97" w:name="_Toc11189"/>
      <w:bookmarkStart w:id="98" w:name="_Toc7205"/>
      <w:bookmarkStart w:id="99" w:name="_Toc14615"/>
      <w:bookmarkStart w:id="100" w:name="_Toc14015"/>
      <w:bookmarkStart w:id="101" w:name="_Toc30984"/>
      <w:bookmarkStart w:id="102" w:name="_Toc13468"/>
      <w:bookmarkStart w:id="103" w:name="_Toc9474"/>
      <w:bookmarkStart w:id="104" w:name="_Toc20151"/>
      <w:bookmarkStart w:id="105" w:name="_Toc20175"/>
      <w:bookmarkStart w:id="106" w:name="_Toc8923"/>
      <w:bookmarkStart w:id="107" w:name="_Toc30864"/>
      <w:bookmarkStart w:id="108" w:name="_Toc6139"/>
      <w:bookmarkStart w:id="109" w:name="_Toc27564"/>
      <w:bookmarkStart w:id="110" w:name="_Toc31392"/>
      <w:bookmarkStart w:id="111" w:name="_Toc27007"/>
      <w:bookmarkStart w:id="112" w:name="_Toc19935"/>
      <w:bookmarkStart w:id="113" w:name="_Toc18447"/>
      <w:r>
        <w:rPr>
          <w:rFonts w:hint="eastAsia" w:ascii="Times New Roman" w:hAnsi="Times New Roman" w:eastAsia="黑体" w:cs="Times New Roman"/>
          <w:b/>
          <w:color w:val="auto"/>
          <w:kern w:val="44"/>
          <w:sz w:val="36"/>
          <w:szCs w:val="22"/>
          <w:lang w:val="en-US" w:eastAsia="zh-CN" w:bidi="ar-SA"/>
        </w:rPr>
        <w:t>第二部分 响应方须知</w:t>
      </w:r>
      <w:bookmarkEnd w:id="81"/>
    </w:p>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14" w:name="_Toc9778"/>
      <w:bookmarkStart w:id="115" w:name="_Toc26073"/>
      <w:bookmarkStart w:id="116" w:name="_Toc17697"/>
      <w:bookmarkStart w:id="117" w:name="_Toc32596"/>
      <w:bookmarkStart w:id="118" w:name="_Toc6421"/>
      <w:bookmarkStart w:id="119" w:name="_Toc23155"/>
      <w:bookmarkStart w:id="120" w:name="_Toc10518"/>
      <w:bookmarkStart w:id="121" w:name="_Toc31880"/>
      <w:bookmarkStart w:id="122" w:name="_Toc26853"/>
      <w:bookmarkStart w:id="123" w:name="_Toc23359"/>
      <w:bookmarkStart w:id="124" w:name="_Toc20573"/>
      <w:bookmarkStart w:id="125" w:name="_Toc3269"/>
      <w:bookmarkStart w:id="126" w:name="_Toc30159"/>
      <w:bookmarkStart w:id="127" w:name="_Toc29458"/>
      <w:bookmarkStart w:id="128" w:name="_Toc27500"/>
      <w:bookmarkStart w:id="129" w:name="_Toc20565"/>
      <w:bookmarkStart w:id="130" w:name="_Toc6715"/>
      <w:bookmarkStart w:id="131" w:name="_Toc10414"/>
      <w:bookmarkStart w:id="132" w:name="_Toc1743"/>
      <w:bookmarkStart w:id="133" w:name="_Toc16998"/>
      <w:bookmarkStart w:id="134" w:name="_Toc4505"/>
      <w:bookmarkStart w:id="135" w:name="_Toc12644"/>
      <w:bookmarkStart w:id="136" w:name="_Toc28026"/>
      <w:bookmarkStart w:id="137" w:name="_Toc29793"/>
      <w:bookmarkStart w:id="138" w:name="_Toc28079"/>
      <w:bookmarkStart w:id="139" w:name="_Toc22339"/>
      <w:bookmarkStart w:id="140" w:name="_Toc23420"/>
      <w:bookmarkStart w:id="141" w:name="_Toc10657"/>
      <w:bookmarkStart w:id="142" w:name="_Toc26025"/>
      <w:bookmarkStart w:id="143" w:name="_Toc483"/>
      <w:bookmarkStart w:id="144" w:name="_Toc1714"/>
      <w:bookmarkStart w:id="145" w:name="_Toc9123"/>
      <w:r>
        <w:rPr>
          <w:rFonts w:hint="eastAsia" w:ascii="楷体" w:hAnsi="楷体" w:eastAsia="楷体" w:cs="楷体"/>
          <w:snapToGrid w:val="0"/>
          <w:color w:val="auto"/>
          <w:kern w:val="44"/>
          <w:sz w:val="32"/>
          <w:szCs w:val="32"/>
        </w:rPr>
        <w:t>前附表</w:t>
      </w:r>
      <w:bookmarkEnd w:id="79"/>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Start w:id="146" w:name="_Toc183786414"/>
    </w:p>
    <w:tbl>
      <w:tblPr>
        <w:tblStyle w:val="45"/>
        <w:tblW w:w="913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44" w:type="dxa"/>
            <w:vAlign w:val="center"/>
          </w:tcPr>
          <w:p>
            <w:pPr>
              <w:rPr>
                <w:rFonts w:ascii="宋体"/>
                <w:b/>
                <w:color w:val="auto"/>
                <w:sz w:val="24"/>
                <w:szCs w:val="24"/>
              </w:rPr>
            </w:pPr>
            <w:r>
              <w:rPr>
                <w:rFonts w:hint="eastAsia" w:ascii="宋体" w:hAnsi="宋体"/>
                <w:b/>
                <w:color w:val="auto"/>
                <w:sz w:val="24"/>
                <w:szCs w:val="24"/>
              </w:rPr>
              <w:t>序号</w:t>
            </w:r>
          </w:p>
        </w:tc>
        <w:tc>
          <w:tcPr>
            <w:tcW w:w="2043" w:type="dxa"/>
            <w:vAlign w:val="center"/>
          </w:tcPr>
          <w:p>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pPr>
              <w:jc w:val="center"/>
              <w:rPr>
                <w:rFonts w:ascii="宋体"/>
                <w:b/>
                <w:color w:val="auto"/>
                <w:sz w:val="24"/>
                <w:szCs w:val="24"/>
              </w:rPr>
            </w:pPr>
            <w:r>
              <w:rPr>
                <w:rFonts w:hint="eastAsia" w:ascii="宋体" w:hAnsi="宋体"/>
                <w:b/>
                <w:color w:val="auto"/>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pStyle w:val="181"/>
              <w:adjustRightInd/>
              <w:spacing w:line="240" w:lineRule="auto"/>
              <w:rPr>
                <w:color w:val="auto"/>
                <w:szCs w:val="24"/>
              </w:rPr>
            </w:pPr>
            <w:r>
              <w:rPr>
                <w:rFonts w:hint="eastAsia"/>
                <w:color w:val="auto"/>
                <w:szCs w:val="24"/>
              </w:rPr>
              <w:t>1</w:t>
            </w:r>
          </w:p>
        </w:tc>
        <w:tc>
          <w:tcPr>
            <w:tcW w:w="2043" w:type="dxa"/>
            <w:vAlign w:val="center"/>
          </w:tcPr>
          <w:p>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pPr>
              <w:rPr>
                <w:rFonts w:ascii="宋体"/>
                <w:color w:val="auto"/>
                <w:sz w:val="24"/>
                <w:szCs w:val="24"/>
              </w:rPr>
            </w:pPr>
            <w:r>
              <w:rPr>
                <w:rFonts w:hint="eastAsia" w:ascii="宋体" w:hAnsi="宋体"/>
                <w:color w:val="auto"/>
                <w:sz w:val="24"/>
                <w:szCs w:val="24"/>
              </w:rPr>
              <w:t>污水管道清理服务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hAnsi="宋体"/>
                <w:color w:val="auto"/>
                <w:sz w:val="24"/>
                <w:szCs w:val="24"/>
              </w:rPr>
            </w:pPr>
          </w:p>
        </w:tc>
        <w:tc>
          <w:tcPr>
            <w:tcW w:w="2043" w:type="dxa"/>
            <w:vAlign w:val="center"/>
          </w:tcPr>
          <w:p>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其他未列明行业。</w:t>
            </w:r>
            <w:r>
              <w:rPr>
                <w:rFonts w:hint="eastAsia" w:ascii="宋体" w:hAnsi="宋体" w:cs="宋体"/>
                <w:b/>
                <w:bCs/>
                <w:color w:val="auto"/>
                <w:szCs w:val="21"/>
                <w:u w:val="none"/>
              </w:rPr>
              <w:t>从业人员300人以下的为中小微型企业。其中，从业人员100人及以上的为中型企业；从业人员10人及以上的为小型企业；从业人员10人以下的为微型企业。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2</w:t>
            </w:r>
          </w:p>
        </w:tc>
        <w:tc>
          <w:tcPr>
            <w:tcW w:w="2043" w:type="dxa"/>
            <w:vAlign w:val="center"/>
          </w:tcPr>
          <w:p>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pPr>
              <w:rPr>
                <w:rFonts w:hint="default" w:ascii="宋体" w:eastAsia="宋体"/>
                <w:color w:val="auto"/>
                <w:sz w:val="24"/>
                <w:szCs w:val="24"/>
                <w:lang w:val="en-US" w:eastAsia="zh-CN"/>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-JH-CS</w:t>
            </w:r>
            <w:r>
              <w:rPr>
                <w:rFonts w:hint="eastAsia" w:ascii="宋体" w:hAnsi="宋体"/>
                <w:color w:val="auto"/>
                <w:sz w:val="24"/>
                <w:szCs w:val="24"/>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p>
        </w:tc>
        <w:tc>
          <w:tcPr>
            <w:tcW w:w="2043" w:type="dxa"/>
            <w:vAlign w:val="center"/>
          </w:tcPr>
          <w:p>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3</w:t>
            </w:r>
          </w:p>
        </w:tc>
        <w:tc>
          <w:tcPr>
            <w:tcW w:w="2043" w:type="dxa"/>
            <w:vAlign w:val="center"/>
          </w:tcPr>
          <w:p>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pPr>
              <w:pStyle w:val="28"/>
              <w:ind w:left="0" w:leftChars="0"/>
              <w:rPr>
                <w:color w:val="auto"/>
                <w:szCs w:val="24"/>
              </w:rPr>
            </w:pPr>
            <w:r>
              <w:rPr>
                <w:rFonts w:hint="eastAsia"/>
                <w:color w:val="auto"/>
                <w:szCs w:val="24"/>
              </w:rPr>
              <w:t>杭州电子科技大学</w:t>
            </w:r>
            <w:r>
              <w:rPr>
                <w:rFonts w:hint="eastAsia"/>
                <w:color w:val="auto"/>
                <w:kern w:val="0"/>
                <w:szCs w:val="24"/>
              </w:rPr>
              <w:t>后勤服务中心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4</w:t>
            </w:r>
          </w:p>
        </w:tc>
        <w:tc>
          <w:tcPr>
            <w:tcW w:w="2043" w:type="dxa"/>
            <w:vAlign w:val="center"/>
          </w:tcPr>
          <w:p>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pPr>
              <w:rPr>
                <w:rFonts w:ascii="宋体"/>
                <w:color w:val="auto"/>
                <w:sz w:val="24"/>
                <w:szCs w:val="24"/>
              </w:rPr>
            </w:pPr>
            <w:r>
              <w:rPr>
                <w:rFonts w:hint="eastAsia" w:ascii="宋体" w:hAnsi="宋体"/>
                <w:color w:val="auto"/>
                <w:sz w:val="24"/>
                <w:szCs w:val="24"/>
              </w:rPr>
              <w:t>详见第三部分采购需求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5</w:t>
            </w:r>
          </w:p>
        </w:tc>
        <w:tc>
          <w:tcPr>
            <w:tcW w:w="2043" w:type="dxa"/>
            <w:vAlign w:val="center"/>
          </w:tcPr>
          <w:p>
            <w:pPr>
              <w:jc w:val="center"/>
              <w:rPr>
                <w:color w:val="auto"/>
                <w:sz w:val="24"/>
              </w:rPr>
            </w:pPr>
            <w:r>
              <w:rPr>
                <w:rFonts w:hint="eastAsia"/>
                <w:color w:val="auto"/>
                <w:sz w:val="24"/>
              </w:rPr>
              <w:t>磋商报价及费用</w:t>
            </w:r>
          </w:p>
        </w:tc>
        <w:tc>
          <w:tcPr>
            <w:tcW w:w="6348" w:type="dxa"/>
            <w:vAlign w:val="center"/>
          </w:tcPr>
          <w:p>
            <w:pPr>
              <w:rPr>
                <w:color w:val="auto"/>
                <w:sz w:val="24"/>
              </w:rPr>
            </w:pPr>
            <w:r>
              <w:rPr>
                <w:rFonts w:hint="eastAsia"/>
                <w:color w:val="auto"/>
                <w:sz w:val="24"/>
              </w:rPr>
              <w:t>详见采购文件第二部分第三节第（三）点报价内容。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6</w:t>
            </w:r>
          </w:p>
        </w:tc>
        <w:tc>
          <w:tcPr>
            <w:tcW w:w="2043" w:type="dxa"/>
            <w:vAlign w:val="center"/>
          </w:tcPr>
          <w:p>
            <w:pPr>
              <w:jc w:val="center"/>
              <w:rPr>
                <w:rFonts w:ascii="宋体"/>
                <w:color w:val="auto"/>
                <w:sz w:val="24"/>
                <w:szCs w:val="24"/>
              </w:rPr>
            </w:pPr>
            <w:r>
              <w:rPr>
                <w:rFonts w:hint="eastAsia"/>
                <w:color w:val="auto"/>
                <w:sz w:val="24"/>
              </w:rPr>
              <w:t>磋商响应有效期</w:t>
            </w:r>
          </w:p>
        </w:tc>
        <w:tc>
          <w:tcPr>
            <w:tcW w:w="6348" w:type="dxa"/>
            <w:vAlign w:val="center"/>
          </w:tcPr>
          <w:p>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7</w:t>
            </w:r>
          </w:p>
        </w:tc>
        <w:tc>
          <w:tcPr>
            <w:tcW w:w="2043" w:type="dxa"/>
            <w:vAlign w:val="center"/>
          </w:tcPr>
          <w:p>
            <w:pPr>
              <w:jc w:val="center"/>
              <w:rPr>
                <w:rFonts w:ascii="宋体"/>
                <w:color w:val="auto"/>
                <w:sz w:val="24"/>
                <w:szCs w:val="24"/>
              </w:rPr>
            </w:pPr>
            <w:r>
              <w:rPr>
                <w:rFonts w:hint="eastAsia"/>
                <w:color w:val="auto"/>
                <w:sz w:val="24"/>
              </w:rPr>
              <w:t>磋商文件答疑</w:t>
            </w:r>
            <w:r>
              <w:rPr>
                <w:rFonts w:hint="eastAsia"/>
                <w:b/>
                <w:bCs/>
                <w:color w:val="auto"/>
                <w:sz w:val="24"/>
              </w:rPr>
              <w:t>和现场考察</w:t>
            </w:r>
          </w:p>
        </w:tc>
        <w:tc>
          <w:tcPr>
            <w:tcW w:w="6348" w:type="dxa"/>
            <w:vAlign w:val="center"/>
          </w:tcPr>
          <w:p>
            <w:pPr>
              <w:ind w:left="0" w:leftChars="0" w:firstLine="420" w:firstLineChars="175"/>
              <w:jc w:val="left"/>
              <w:rPr>
                <w:rFonts w:hint="eastAsia"/>
                <w:color w:val="auto"/>
                <w:lang w:val="en-US" w:eastAsia="zh-CN"/>
              </w:rPr>
            </w:pPr>
            <w:r>
              <w:rPr>
                <w:rFonts w:hint="eastAsia"/>
                <w:color w:val="auto"/>
                <w:sz w:val="24"/>
                <w:lang w:val="en-US" w:eastAsia="zh-CN"/>
              </w:rPr>
              <w:t>1、</w:t>
            </w: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eastAsia"/>
                <w:color w:val="auto"/>
                <w:sz w:val="24"/>
                <w:u w:val="single"/>
                <w:lang w:val="en-US" w:eastAsia="zh-CN"/>
              </w:rPr>
              <w:t>4</w:t>
            </w:r>
            <w:r>
              <w:rPr>
                <w:rFonts w:hint="eastAsia"/>
                <w:color w:val="auto"/>
                <w:sz w:val="24"/>
                <w:u w:val="single"/>
              </w:rPr>
              <w:t>月</w:t>
            </w:r>
            <w:r>
              <w:rPr>
                <w:rFonts w:hint="eastAsia"/>
                <w:color w:val="auto"/>
                <w:sz w:val="24"/>
                <w:u w:val="single"/>
                <w:lang w:val="en-US" w:eastAsia="zh-CN"/>
              </w:rPr>
              <w:t>4</w:t>
            </w:r>
            <w:r>
              <w:rPr>
                <w:rFonts w:hint="eastAsia"/>
                <w:color w:val="auto"/>
                <w:sz w:val="24"/>
                <w:u w:val="single"/>
              </w:rPr>
              <w:t>日</w:t>
            </w:r>
            <w:r>
              <w:rPr>
                <w:color w:val="auto"/>
                <w:sz w:val="24"/>
                <w:u w:val="single"/>
              </w:rPr>
              <w:t xml:space="preserve"> </w:t>
            </w:r>
            <w:r>
              <w:rPr>
                <w:rFonts w:hint="eastAsia"/>
                <w:color w:val="auto"/>
                <w:sz w:val="24"/>
                <w:u w:val="single"/>
                <w:lang w:val="en-US" w:eastAsia="zh-CN"/>
              </w:rPr>
              <w:t>9</w:t>
            </w:r>
            <w:bookmarkStart w:id="808" w:name="_GoBack"/>
            <w:bookmarkEnd w:id="808"/>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eastAsia"/>
                <w:color w:val="auto"/>
                <w:sz w:val="24"/>
                <w:u w:val="single"/>
                <w:lang w:val="en-US" w:eastAsia="zh-CN"/>
              </w:rPr>
              <w:t>4</w:t>
            </w:r>
            <w:r>
              <w:rPr>
                <w:rFonts w:hint="eastAsia"/>
                <w:color w:val="auto"/>
                <w:sz w:val="24"/>
                <w:u w:val="single"/>
              </w:rPr>
              <w:t>月</w:t>
            </w:r>
            <w:r>
              <w:rPr>
                <w:rFonts w:hint="eastAsia"/>
                <w:color w:val="auto"/>
                <w:sz w:val="24"/>
                <w:u w:val="single"/>
                <w:lang w:val="en-US" w:eastAsia="zh-CN"/>
              </w:rPr>
              <w:t>7</w:t>
            </w:r>
            <w:r>
              <w:rPr>
                <w:rFonts w:hint="eastAsia"/>
                <w:color w:val="auto"/>
                <w:sz w:val="24"/>
                <w:u w:val="single"/>
              </w:rPr>
              <w:t>日1</w:t>
            </w:r>
            <w:r>
              <w:rPr>
                <w:rFonts w:hint="eastAsia"/>
                <w:color w:val="auto"/>
                <w:sz w:val="24"/>
                <w:u w:val="single"/>
                <w:lang w:val="en-US" w:eastAsia="zh-CN"/>
              </w:rPr>
              <w:t>3</w:t>
            </w:r>
            <w:r>
              <w:rPr>
                <w:rFonts w:hint="eastAsia"/>
                <w:color w:val="auto"/>
                <w:sz w:val="24"/>
                <w:u w:val="single"/>
              </w:rPr>
              <w:t>：</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r>
              <w:rPr>
                <w:rFonts w:hint="eastAsia"/>
                <w:color w:val="auto"/>
                <w:lang w:val="en-US" w:eastAsia="zh-CN"/>
              </w:rPr>
              <w:t xml:space="preserve">  </w:t>
            </w:r>
          </w:p>
          <w:p>
            <w:pPr>
              <w:ind w:left="0" w:leftChars="0" w:firstLine="422" w:firstLineChars="175"/>
              <w:jc w:val="left"/>
              <w:rPr>
                <w:rFonts w:hint="default"/>
                <w:color w:val="auto"/>
                <w:lang w:val="en-US" w:eastAsia="zh-CN"/>
              </w:rPr>
            </w:pPr>
            <w:r>
              <w:rPr>
                <w:rFonts w:hint="default" w:ascii="宋体" w:hAnsi="宋体" w:eastAsia="宋体" w:cs="Times New Roman"/>
                <w:b/>
                <w:bCs/>
                <w:color w:val="auto"/>
                <w:kern w:val="0"/>
                <w:sz w:val="24"/>
                <w:szCs w:val="24"/>
                <w:lang w:val="en-US" w:eastAsia="zh-CN" w:bidi="ar-SA"/>
              </w:rPr>
              <w:t>2、现场考察：</w:t>
            </w:r>
            <w:r>
              <w:rPr>
                <w:rFonts w:hint="default" w:ascii="宋体" w:hAnsi="宋体" w:eastAsia="宋体" w:cs="Times New Roman"/>
                <w:b w:val="0"/>
                <w:bCs w:val="0"/>
                <w:color w:val="auto"/>
                <w:kern w:val="0"/>
                <w:sz w:val="24"/>
                <w:szCs w:val="24"/>
                <w:lang w:val="en-US" w:eastAsia="zh-CN" w:bidi="ar-SA"/>
              </w:rPr>
              <w:t>供应商自行前往，地点：</w:t>
            </w:r>
            <w:r>
              <w:rPr>
                <w:rFonts w:hint="eastAsia" w:ascii="宋体" w:hAnsi="宋体" w:cs="Times New Roman"/>
                <w:b w:val="0"/>
                <w:bCs w:val="0"/>
                <w:color w:val="auto"/>
                <w:kern w:val="0"/>
                <w:sz w:val="24"/>
                <w:szCs w:val="24"/>
                <w:lang w:val="en-US" w:eastAsia="zh-CN" w:bidi="ar-SA"/>
              </w:rPr>
              <w:t>磋商文件服务范围所在地点</w:t>
            </w:r>
            <w:r>
              <w:rPr>
                <w:rFonts w:hint="default" w:ascii="宋体" w:hAnsi="宋体" w:eastAsia="宋体" w:cs="Times New Roman"/>
                <w:b w:val="0"/>
                <w:bCs w:val="0"/>
                <w:color w:val="auto"/>
                <w:kern w:val="0"/>
                <w:sz w:val="24"/>
                <w:szCs w:val="24"/>
                <w:lang w:val="en-US" w:eastAsia="zh-CN" w:bidi="ar-SA"/>
              </w:rPr>
              <w:t>，联系人：</w:t>
            </w:r>
            <w:r>
              <w:rPr>
                <w:rFonts w:hint="default" w:ascii="宋体" w:hAnsi="宋体" w:eastAsia="宋体" w:cs="Times New Roman"/>
                <w:b w:val="0"/>
                <w:bCs w:val="0"/>
                <w:color w:val="auto"/>
                <w:kern w:val="0"/>
                <w:sz w:val="24"/>
                <w:szCs w:val="24"/>
                <w:u w:val="single"/>
                <w:lang w:val="en-US" w:eastAsia="zh-CN" w:bidi="ar-SA"/>
              </w:rPr>
              <w:t>陈老师</w:t>
            </w:r>
            <w:r>
              <w:rPr>
                <w:rFonts w:hint="default" w:ascii="宋体" w:hAnsi="宋体" w:eastAsia="宋体" w:cs="Times New Roman"/>
                <w:b w:val="0"/>
                <w:bCs w:val="0"/>
                <w:color w:val="auto"/>
                <w:kern w:val="0"/>
                <w:sz w:val="24"/>
                <w:szCs w:val="24"/>
                <w:lang w:val="en-US" w:eastAsia="zh-CN" w:bidi="ar-SA"/>
              </w:rPr>
              <w:t>，电话：</w:t>
            </w:r>
            <w:r>
              <w:rPr>
                <w:rFonts w:hint="default" w:ascii="宋体" w:hAnsi="宋体" w:eastAsia="宋体" w:cs="Times New Roman"/>
                <w:b w:val="0"/>
                <w:bCs w:val="0"/>
                <w:color w:val="auto"/>
                <w:kern w:val="0"/>
                <w:sz w:val="24"/>
                <w:szCs w:val="24"/>
                <w:u w:val="single"/>
                <w:lang w:val="en-US" w:eastAsia="zh-CN" w:bidi="ar-SA"/>
              </w:rPr>
              <w:t xml:space="preserve"> 0571-86919284，18257139588。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8</w:t>
            </w:r>
          </w:p>
        </w:tc>
        <w:tc>
          <w:tcPr>
            <w:tcW w:w="2043" w:type="dxa"/>
            <w:vAlign w:val="center"/>
          </w:tcPr>
          <w:p>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演示视频</w:t>
            </w:r>
            <w:r>
              <w:rPr>
                <w:rFonts w:hint="default"/>
                <w:b/>
                <w:bCs/>
                <w:color w:val="auto"/>
                <w:sz w:val="24"/>
                <w:szCs w:val="20"/>
                <w:lang w:eastAsia="zh-CN"/>
              </w:rPr>
              <w:t>（如有）</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@hdu.edu.cn，以便查收）。</w:t>
            </w:r>
          </w:p>
          <w:p>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9</w:t>
            </w:r>
          </w:p>
        </w:tc>
        <w:tc>
          <w:tcPr>
            <w:tcW w:w="2043" w:type="dxa"/>
            <w:vAlign w:val="center"/>
          </w:tcPr>
          <w:p>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10</w:t>
            </w:r>
          </w:p>
        </w:tc>
        <w:tc>
          <w:tcPr>
            <w:tcW w:w="2043" w:type="dxa"/>
            <w:vAlign w:val="center"/>
          </w:tcPr>
          <w:p>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pPr>
              <w:jc w:val="left"/>
              <w:rPr>
                <w:rFonts w:ascii="宋体"/>
                <w:color w:val="auto"/>
                <w:sz w:val="24"/>
                <w:szCs w:val="24"/>
              </w:rPr>
            </w:pPr>
            <w:r>
              <w:rPr>
                <w:rFonts w:hint="eastAsia"/>
                <w:color w:val="auto"/>
                <w:sz w:val="24"/>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11</w:t>
            </w:r>
          </w:p>
        </w:tc>
        <w:tc>
          <w:tcPr>
            <w:tcW w:w="2043" w:type="dxa"/>
            <w:vAlign w:val="center"/>
          </w:tcPr>
          <w:p>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pPr>
              <w:jc w:val="left"/>
              <w:rPr>
                <w:rFonts w:hint="default" w:ascii="宋体" w:eastAsia="宋体"/>
                <w:color w:val="auto"/>
                <w:sz w:val="24"/>
                <w:szCs w:val="24"/>
                <w:lang w:val="en-US" w:eastAsia="zh-CN"/>
              </w:rPr>
            </w:pPr>
            <w:r>
              <w:rPr>
                <w:rFonts w:hint="eastAsia"/>
                <w:color w:val="auto"/>
                <w:sz w:val="24"/>
                <w:lang w:val="en-US" w:eastAsia="zh-CN"/>
              </w:rPr>
              <w:t>杭州电子科技大学采购中心网站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12</w:t>
            </w:r>
          </w:p>
        </w:tc>
        <w:tc>
          <w:tcPr>
            <w:tcW w:w="2043" w:type="dxa"/>
            <w:vAlign w:val="center"/>
          </w:tcPr>
          <w:p>
            <w:pPr>
              <w:jc w:val="center"/>
              <w:rPr>
                <w:rFonts w:ascii="宋体"/>
                <w:color w:val="auto"/>
                <w:sz w:val="24"/>
                <w:szCs w:val="24"/>
              </w:rPr>
            </w:pPr>
            <w:r>
              <w:rPr>
                <w:rFonts w:hint="eastAsia"/>
                <w:color w:val="auto"/>
                <w:sz w:val="24"/>
              </w:rPr>
              <w:t>解释</w:t>
            </w:r>
          </w:p>
        </w:tc>
        <w:tc>
          <w:tcPr>
            <w:tcW w:w="6348" w:type="dxa"/>
            <w:vAlign w:val="center"/>
          </w:tcPr>
          <w:p>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Ansi="宋体"/>
          <w:color w:val="auto"/>
          <w:sz w:val="32"/>
        </w:rPr>
        <w:br w:type="page"/>
      </w:r>
      <w:bookmarkEnd w:id="146"/>
      <w:bookmarkStart w:id="147" w:name="_Toc3922"/>
      <w:bookmarkStart w:id="148" w:name="_Toc19879"/>
      <w:bookmarkStart w:id="149" w:name="_Toc14022"/>
      <w:bookmarkStart w:id="150" w:name="_Toc7947"/>
      <w:bookmarkStart w:id="151" w:name="_Toc1492"/>
      <w:bookmarkStart w:id="152" w:name="_Toc67"/>
      <w:bookmarkStart w:id="153" w:name="_Toc11749"/>
      <w:bookmarkStart w:id="154" w:name="_Toc6934"/>
      <w:bookmarkStart w:id="155" w:name="_Toc20458"/>
      <w:bookmarkStart w:id="156" w:name="_Toc6841"/>
      <w:bookmarkStart w:id="157" w:name="_Toc22060"/>
      <w:bookmarkStart w:id="158" w:name="_Toc6802"/>
      <w:bookmarkStart w:id="159" w:name="_Toc689"/>
      <w:bookmarkStart w:id="160" w:name="_Toc20897"/>
      <w:bookmarkStart w:id="161" w:name="_Toc18556"/>
      <w:bookmarkStart w:id="162" w:name="_Toc7875"/>
      <w:bookmarkStart w:id="163" w:name="_Toc1408"/>
      <w:bookmarkStart w:id="164" w:name="_Toc2257"/>
      <w:bookmarkStart w:id="165" w:name="_Toc24686"/>
      <w:bookmarkStart w:id="166" w:name="_Toc6501"/>
      <w:bookmarkStart w:id="167" w:name="_Toc30371"/>
      <w:bookmarkStart w:id="168" w:name="_Toc9017"/>
      <w:bookmarkStart w:id="169" w:name="_Toc24333"/>
      <w:bookmarkStart w:id="170" w:name="_Toc6991"/>
      <w:bookmarkStart w:id="171" w:name="_Toc26898"/>
      <w:bookmarkStart w:id="172" w:name="_Toc15936"/>
      <w:bookmarkStart w:id="173" w:name="_Toc18182"/>
      <w:bookmarkStart w:id="174" w:name="_Toc15369"/>
      <w:bookmarkStart w:id="175" w:name="_Toc19375"/>
      <w:bookmarkStart w:id="176" w:name="_Toc3209"/>
      <w:bookmarkStart w:id="177" w:name="_Toc12127"/>
      <w:bookmarkStart w:id="178" w:name="_Toc15091"/>
      <w:bookmarkStart w:id="179" w:name="_Toc23407"/>
      <w:bookmarkStart w:id="180" w:name="_Toc27769"/>
      <w:bookmarkStart w:id="181" w:name="_Toc11583"/>
      <w:r>
        <w:rPr>
          <w:rFonts w:hint="eastAsia" w:ascii="楷体" w:hAnsi="楷体" w:eastAsia="楷体" w:cs="楷体"/>
          <w:snapToGrid w:val="0"/>
          <w:color w:val="auto"/>
          <w:kern w:val="44"/>
          <w:sz w:val="32"/>
          <w:szCs w:val="32"/>
        </w:rPr>
        <w:t>一、磋商说明</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pPr>
        <w:spacing w:line="288" w:lineRule="auto"/>
        <w:ind w:firstLine="420" w:firstLineChars="175"/>
        <w:rPr>
          <w:color w:val="auto"/>
          <w:sz w:val="24"/>
        </w:rPr>
      </w:pPr>
      <w:r>
        <w:rPr>
          <w:rFonts w:hint="eastAsia"/>
          <w:color w:val="auto"/>
          <w:sz w:val="24"/>
        </w:rPr>
        <w:t>（1）产品质量、服务等不符合国家有关规定和响应文件承诺的标准的；</w:t>
      </w:r>
    </w:p>
    <w:p>
      <w:pPr>
        <w:spacing w:line="288" w:lineRule="auto"/>
        <w:ind w:firstLine="420" w:firstLineChars="175"/>
        <w:rPr>
          <w:color w:val="auto"/>
          <w:sz w:val="24"/>
        </w:rPr>
      </w:pPr>
      <w:r>
        <w:rPr>
          <w:rFonts w:hint="eastAsia"/>
          <w:color w:val="auto"/>
          <w:sz w:val="24"/>
        </w:rPr>
        <w:t>（2）被质疑投诉，经证实情况严重的；</w:t>
      </w:r>
    </w:p>
    <w:p>
      <w:pPr>
        <w:spacing w:line="288" w:lineRule="auto"/>
        <w:ind w:firstLine="420" w:firstLineChars="175"/>
        <w:rPr>
          <w:color w:val="auto"/>
          <w:sz w:val="24"/>
        </w:rPr>
      </w:pPr>
      <w:r>
        <w:rPr>
          <w:rFonts w:hint="eastAsia"/>
          <w:color w:val="auto"/>
          <w:sz w:val="24"/>
        </w:rPr>
        <w:t>（3）使用不正当竞争手段，影响采购人正常采购活动的；</w:t>
      </w:r>
    </w:p>
    <w:p>
      <w:pPr>
        <w:spacing w:line="288" w:lineRule="auto"/>
        <w:ind w:firstLine="420" w:firstLineChars="175"/>
        <w:rPr>
          <w:color w:val="auto"/>
          <w:sz w:val="24"/>
        </w:rPr>
      </w:pPr>
      <w:r>
        <w:rPr>
          <w:rFonts w:hint="eastAsia"/>
          <w:color w:val="auto"/>
          <w:sz w:val="24"/>
        </w:rPr>
        <w:t>（4）响应方串通投标的；</w:t>
      </w:r>
    </w:p>
    <w:p>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pPr>
        <w:spacing w:line="288" w:lineRule="auto"/>
        <w:ind w:firstLine="420" w:firstLineChars="175"/>
        <w:rPr>
          <w:color w:val="auto"/>
          <w:sz w:val="24"/>
        </w:rPr>
      </w:pPr>
      <w:r>
        <w:rPr>
          <w:rFonts w:hint="eastAsia"/>
          <w:color w:val="auto"/>
          <w:sz w:val="24"/>
        </w:rPr>
        <w:t>（6）响应方在投标中弄虚作假，提供虚假材料的；</w:t>
      </w:r>
    </w:p>
    <w:p>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pPr>
        <w:spacing w:line="288" w:lineRule="auto"/>
        <w:ind w:firstLine="420" w:firstLineChars="175"/>
        <w:rPr>
          <w:color w:val="auto"/>
          <w:sz w:val="24"/>
        </w:rPr>
      </w:pPr>
      <w:r>
        <w:rPr>
          <w:rFonts w:hint="eastAsia"/>
          <w:color w:val="auto"/>
          <w:sz w:val="24"/>
        </w:rPr>
        <w:t>（9）其他严重扰乱磋商程序的；</w:t>
      </w:r>
    </w:p>
    <w:p>
      <w:pPr>
        <w:spacing w:line="288" w:lineRule="auto"/>
        <w:ind w:firstLine="420" w:firstLineChars="175"/>
        <w:rPr>
          <w:color w:val="auto"/>
          <w:sz w:val="24"/>
        </w:rPr>
      </w:pPr>
      <w:r>
        <w:rPr>
          <w:rFonts w:hint="eastAsia"/>
          <w:color w:val="auto"/>
          <w:sz w:val="24"/>
        </w:rPr>
        <w:t>（10）未成交供应商恶意质疑、投诉的。</w:t>
      </w:r>
    </w:p>
    <w:p>
      <w:pPr>
        <w:spacing w:line="288" w:lineRule="auto"/>
        <w:ind w:firstLine="420" w:firstLineChars="175"/>
        <w:rPr>
          <w:color w:val="auto"/>
          <w:sz w:val="24"/>
        </w:rPr>
      </w:pPr>
      <w:r>
        <w:rPr>
          <w:rFonts w:hint="eastAsia"/>
          <w:color w:val="auto"/>
          <w:sz w:val="24"/>
        </w:rPr>
        <w:t>（11）违反法律法规和合同约定的其他情形的。</w:t>
      </w:r>
    </w:p>
    <w:p>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w:t>
      </w:r>
    </w:p>
    <w:p>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pPr>
        <w:spacing w:line="288" w:lineRule="auto"/>
        <w:ind w:firstLine="477" w:firstLineChars="199"/>
        <w:rPr>
          <w:color w:val="auto"/>
          <w:sz w:val="24"/>
        </w:rPr>
      </w:pPr>
      <w:r>
        <w:rPr>
          <w:color w:val="auto"/>
          <w:sz w:val="24"/>
        </w:rPr>
        <w:t>3</w:t>
      </w:r>
      <w:r>
        <w:rPr>
          <w:rFonts w:hint="eastAsia"/>
          <w:color w:val="auto"/>
          <w:sz w:val="24"/>
        </w:rPr>
        <w:t>、“乙方”</w:t>
      </w:r>
      <w:r>
        <w:rPr>
          <w:rFonts w:hint="eastAsia"/>
          <w:color w:val="auto"/>
          <w:sz w:val="24"/>
          <w:lang w:eastAsia="zh-CN"/>
        </w:rPr>
        <w:t>“</w:t>
      </w:r>
      <w:r>
        <w:rPr>
          <w:rFonts w:hint="eastAsia"/>
          <w:color w:val="auto"/>
          <w:sz w:val="24"/>
          <w:lang w:val="en-US" w:eastAsia="zh-CN"/>
        </w:rPr>
        <w:t>成交人</w:t>
      </w:r>
      <w:r>
        <w:rPr>
          <w:rFonts w:hint="eastAsia"/>
          <w:color w:val="auto"/>
          <w:sz w:val="24"/>
          <w:lang w:eastAsia="zh-CN"/>
        </w:rPr>
        <w:t>”</w:t>
      </w:r>
      <w:r>
        <w:rPr>
          <w:rFonts w:hint="eastAsia"/>
          <w:color w:val="auto"/>
          <w:sz w:val="24"/>
        </w:rPr>
        <w:t>“成交方”“中标人”“</w:t>
      </w:r>
      <w:r>
        <w:rPr>
          <w:rFonts w:hint="eastAsia"/>
          <w:color w:val="auto"/>
          <w:sz w:val="24"/>
          <w:lang w:val="en-US" w:eastAsia="zh-CN"/>
        </w:rPr>
        <w:t>中标</w:t>
      </w:r>
      <w:r>
        <w:rPr>
          <w:rFonts w:hint="eastAsia"/>
          <w:color w:val="auto"/>
          <w:sz w:val="24"/>
        </w:rPr>
        <w:t>方”指本次磋商的成交供应商。</w:t>
      </w:r>
    </w:p>
    <w:p>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pPr>
        <w:spacing w:line="288" w:lineRule="auto"/>
        <w:ind w:firstLine="477" w:firstLineChars="199"/>
        <w:rPr>
          <w:color w:val="auto"/>
          <w:sz w:val="24"/>
        </w:rPr>
      </w:pPr>
      <w:r>
        <w:rPr>
          <w:rFonts w:hint="eastAsia"/>
          <w:color w:val="auto"/>
          <w:sz w:val="24"/>
        </w:rPr>
        <w:t>磋商文件对响应文件签署、盖章的要求适用于电子签名。</w:t>
      </w:r>
    </w:p>
    <w:p>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82" w:name="_Toc10503"/>
      <w:bookmarkStart w:id="183" w:name="_Toc23441"/>
      <w:bookmarkStart w:id="184" w:name="_Toc14339"/>
      <w:bookmarkStart w:id="185" w:name="_Toc16259"/>
      <w:bookmarkStart w:id="186" w:name="_Toc12746"/>
      <w:bookmarkStart w:id="187" w:name="_Toc13352"/>
      <w:bookmarkStart w:id="188" w:name="_Toc16623"/>
      <w:bookmarkStart w:id="189" w:name="_Toc30651"/>
      <w:bookmarkStart w:id="190" w:name="_Toc17024"/>
      <w:bookmarkStart w:id="191" w:name="_Toc12934"/>
      <w:bookmarkStart w:id="192" w:name="_Toc12939"/>
      <w:bookmarkStart w:id="193" w:name="_Toc32029"/>
      <w:bookmarkStart w:id="194" w:name="_Toc17921"/>
      <w:bookmarkStart w:id="195" w:name="_Toc30356"/>
      <w:bookmarkStart w:id="196" w:name="_Toc11863"/>
      <w:bookmarkStart w:id="197" w:name="_Toc6681"/>
      <w:bookmarkStart w:id="198" w:name="_Toc23883"/>
      <w:bookmarkStart w:id="199" w:name="_Toc14905"/>
      <w:bookmarkStart w:id="200" w:name="_Toc10460"/>
      <w:bookmarkStart w:id="201" w:name="_Toc25478"/>
      <w:bookmarkStart w:id="202" w:name="_Toc7225"/>
      <w:bookmarkStart w:id="203" w:name="_Toc29315"/>
      <w:bookmarkStart w:id="204" w:name="_Toc25249"/>
      <w:bookmarkStart w:id="205" w:name="_Toc15004"/>
      <w:bookmarkStart w:id="206" w:name="_Toc4587"/>
      <w:bookmarkStart w:id="207" w:name="_Toc4054"/>
      <w:bookmarkStart w:id="208" w:name="_Toc2692"/>
      <w:r>
        <w:rPr>
          <w:rFonts w:hint="eastAsia" w:ascii="楷体" w:hAnsi="楷体" w:eastAsia="楷体" w:cs="楷体"/>
          <w:snapToGrid w:val="0"/>
          <w:color w:val="auto"/>
          <w:kern w:val="44"/>
          <w:sz w:val="32"/>
          <w:szCs w:val="32"/>
        </w:rPr>
        <w:t>二、磋商文件</w:t>
      </w:r>
      <w:bookmarkEnd w:id="70"/>
      <w:bookmarkEnd w:id="71"/>
      <w:bookmarkEnd w:id="72"/>
      <w:bookmarkEnd w:id="73"/>
      <w:bookmarkEnd w:id="74"/>
      <w:bookmarkEnd w:id="75"/>
      <w:bookmarkEnd w:id="76"/>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pPr>
        <w:spacing w:line="288" w:lineRule="auto"/>
        <w:outlineLvl w:val="2"/>
        <w:rPr>
          <w:color w:val="auto"/>
          <w:sz w:val="24"/>
        </w:rPr>
      </w:pPr>
      <w:r>
        <w:rPr>
          <w:rFonts w:hint="eastAsia"/>
          <w:b/>
          <w:bCs/>
          <w:color w:val="auto"/>
          <w:sz w:val="24"/>
        </w:rPr>
        <w:t>（一）磋商文件的构成。</w:t>
      </w:r>
      <w:r>
        <w:rPr>
          <w:rFonts w:hint="eastAsia"/>
          <w:color w:val="auto"/>
          <w:sz w:val="24"/>
        </w:rPr>
        <w:t>本磋商文件由以下部分组成：</w:t>
      </w:r>
    </w:p>
    <w:p>
      <w:pPr>
        <w:spacing w:line="288" w:lineRule="auto"/>
        <w:ind w:firstLine="360" w:firstLineChars="150"/>
        <w:rPr>
          <w:color w:val="auto"/>
          <w:sz w:val="24"/>
        </w:rPr>
      </w:pPr>
      <w:r>
        <w:rPr>
          <w:color w:val="auto"/>
          <w:sz w:val="24"/>
        </w:rPr>
        <w:t>1</w:t>
      </w:r>
      <w:r>
        <w:rPr>
          <w:rFonts w:hint="eastAsia"/>
          <w:color w:val="auto"/>
          <w:sz w:val="24"/>
        </w:rPr>
        <w:t>、磋商公告</w:t>
      </w:r>
    </w:p>
    <w:p>
      <w:pPr>
        <w:spacing w:line="288" w:lineRule="auto"/>
        <w:ind w:firstLine="360" w:firstLineChars="150"/>
        <w:rPr>
          <w:color w:val="auto"/>
          <w:sz w:val="24"/>
        </w:rPr>
      </w:pPr>
      <w:r>
        <w:rPr>
          <w:color w:val="auto"/>
          <w:sz w:val="24"/>
        </w:rPr>
        <w:t>2</w:t>
      </w:r>
      <w:r>
        <w:rPr>
          <w:rFonts w:hint="eastAsia"/>
          <w:color w:val="auto"/>
          <w:sz w:val="24"/>
        </w:rPr>
        <w:t>、响应方须知</w:t>
      </w:r>
    </w:p>
    <w:p>
      <w:pPr>
        <w:spacing w:line="288" w:lineRule="auto"/>
        <w:ind w:firstLine="360" w:firstLineChars="150"/>
        <w:rPr>
          <w:color w:val="auto"/>
          <w:sz w:val="24"/>
        </w:rPr>
      </w:pPr>
      <w:r>
        <w:rPr>
          <w:color w:val="auto"/>
          <w:sz w:val="24"/>
        </w:rPr>
        <w:t>3</w:t>
      </w:r>
      <w:r>
        <w:rPr>
          <w:rFonts w:hint="eastAsia"/>
          <w:color w:val="auto"/>
          <w:sz w:val="24"/>
        </w:rPr>
        <w:t>、采购要求</w:t>
      </w:r>
    </w:p>
    <w:p>
      <w:pPr>
        <w:spacing w:line="288" w:lineRule="auto"/>
        <w:ind w:firstLine="360" w:firstLineChars="150"/>
        <w:rPr>
          <w:color w:val="auto"/>
          <w:sz w:val="24"/>
        </w:rPr>
      </w:pPr>
      <w:r>
        <w:rPr>
          <w:color w:val="auto"/>
          <w:sz w:val="24"/>
        </w:rPr>
        <w:t>4</w:t>
      </w:r>
      <w:r>
        <w:rPr>
          <w:rFonts w:hint="eastAsia"/>
          <w:color w:val="auto"/>
          <w:sz w:val="24"/>
        </w:rPr>
        <w:t>、评审办法及评分标准</w:t>
      </w:r>
    </w:p>
    <w:p>
      <w:pPr>
        <w:spacing w:line="288" w:lineRule="auto"/>
        <w:ind w:firstLine="360" w:firstLineChars="150"/>
        <w:rPr>
          <w:color w:val="auto"/>
          <w:sz w:val="24"/>
        </w:rPr>
      </w:pPr>
      <w:r>
        <w:rPr>
          <w:color w:val="auto"/>
          <w:sz w:val="24"/>
        </w:rPr>
        <w:t>5</w:t>
      </w:r>
      <w:r>
        <w:rPr>
          <w:rFonts w:hint="eastAsia"/>
          <w:color w:val="auto"/>
          <w:sz w:val="24"/>
        </w:rPr>
        <w:t>、合同主要条款</w:t>
      </w:r>
    </w:p>
    <w:p>
      <w:pPr>
        <w:spacing w:line="288" w:lineRule="auto"/>
        <w:ind w:firstLine="360" w:firstLineChars="150"/>
        <w:rPr>
          <w:color w:val="auto"/>
          <w:sz w:val="24"/>
        </w:rPr>
      </w:pPr>
      <w:r>
        <w:rPr>
          <w:color w:val="auto"/>
          <w:sz w:val="24"/>
        </w:rPr>
        <w:t>6</w:t>
      </w:r>
      <w:r>
        <w:rPr>
          <w:rFonts w:hint="eastAsia"/>
          <w:color w:val="auto"/>
          <w:sz w:val="24"/>
        </w:rPr>
        <w:t>、响应文件格式</w:t>
      </w:r>
    </w:p>
    <w:p>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pPr>
        <w:spacing w:line="288" w:lineRule="auto"/>
        <w:outlineLvl w:val="2"/>
        <w:rPr>
          <w:b/>
          <w:bCs/>
          <w:color w:val="auto"/>
          <w:sz w:val="24"/>
        </w:rPr>
      </w:pPr>
      <w:r>
        <w:rPr>
          <w:rFonts w:hint="eastAsia"/>
          <w:b/>
          <w:bCs/>
          <w:color w:val="auto"/>
          <w:sz w:val="24"/>
        </w:rPr>
        <w:t>（二）磋商文件的澄清与修改</w:t>
      </w:r>
      <w:r>
        <w:rPr>
          <w:b/>
          <w:bCs/>
          <w:color w:val="auto"/>
          <w:sz w:val="24"/>
        </w:rPr>
        <w:t xml:space="preserve"> </w:t>
      </w:r>
    </w:p>
    <w:p>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09" w:name="_Toc10605"/>
      <w:bookmarkStart w:id="210" w:name="_Toc7515"/>
      <w:bookmarkStart w:id="211" w:name="_Toc32051"/>
      <w:bookmarkStart w:id="212" w:name="_Toc21501"/>
      <w:bookmarkStart w:id="213" w:name="_Toc28569"/>
      <w:bookmarkStart w:id="214" w:name="_Toc805"/>
      <w:bookmarkStart w:id="215" w:name="_Toc22572"/>
      <w:bookmarkStart w:id="216" w:name="_Toc4837"/>
      <w:bookmarkStart w:id="217" w:name="_Toc6322"/>
      <w:bookmarkStart w:id="218" w:name="_Toc28201"/>
      <w:bookmarkStart w:id="219" w:name="_Toc7450"/>
      <w:bookmarkStart w:id="220" w:name="_Toc4055"/>
      <w:bookmarkStart w:id="221" w:name="_Toc22140"/>
      <w:bookmarkStart w:id="222" w:name="_Toc24465"/>
      <w:bookmarkStart w:id="223" w:name="_Toc11900"/>
      <w:bookmarkStart w:id="224" w:name="_Toc32494"/>
      <w:bookmarkStart w:id="225" w:name="_Toc14673"/>
      <w:bookmarkStart w:id="226" w:name="_Toc16752"/>
      <w:bookmarkStart w:id="227" w:name="_Toc15797"/>
      <w:bookmarkStart w:id="228" w:name="_Toc13358"/>
      <w:bookmarkStart w:id="229" w:name="_Toc25502"/>
      <w:bookmarkStart w:id="230" w:name="_Toc26634"/>
      <w:bookmarkStart w:id="231" w:name="_Toc19339"/>
      <w:bookmarkStart w:id="232" w:name="_Toc30772"/>
      <w:bookmarkStart w:id="233" w:name="_Toc15772"/>
      <w:bookmarkStart w:id="234" w:name="_Toc9434"/>
      <w:bookmarkStart w:id="235" w:name="_Toc789"/>
      <w:bookmarkStart w:id="236" w:name="_Toc2334"/>
      <w:bookmarkStart w:id="237" w:name="_Toc21890"/>
      <w:bookmarkStart w:id="238" w:name="_Toc8035"/>
      <w:bookmarkStart w:id="239" w:name="_Toc25933"/>
      <w:bookmarkStart w:id="240" w:name="_Toc17035"/>
      <w:bookmarkStart w:id="241" w:name="_Toc6503"/>
      <w:bookmarkStart w:id="242" w:name="_Toc3328"/>
      <w:r>
        <w:rPr>
          <w:rFonts w:hint="eastAsia" w:ascii="楷体" w:hAnsi="楷体" w:eastAsia="楷体" w:cs="楷体"/>
          <w:snapToGrid w:val="0"/>
          <w:color w:val="auto"/>
          <w:kern w:val="44"/>
          <w:sz w:val="32"/>
          <w:szCs w:val="32"/>
        </w:rPr>
        <w:t>三、响应文件</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Pr>
          <w:rFonts w:hint="eastAsia" w:ascii="楷体" w:hAnsi="楷体" w:eastAsia="楷体" w:cs="楷体"/>
          <w:snapToGrid w:val="0"/>
          <w:color w:val="auto"/>
          <w:kern w:val="44"/>
          <w:sz w:val="32"/>
          <w:szCs w:val="32"/>
        </w:rPr>
        <w:t>的编制</w:t>
      </w:r>
    </w:p>
    <w:p>
      <w:pPr>
        <w:spacing w:line="288" w:lineRule="auto"/>
        <w:outlineLvl w:val="2"/>
        <w:rPr>
          <w:b/>
          <w:bCs/>
          <w:color w:val="auto"/>
          <w:sz w:val="24"/>
        </w:rPr>
      </w:pPr>
      <w:r>
        <w:rPr>
          <w:rFonts w:hint="eastAsia"/>
          <w:b/>
          <w:bCs/>
          <w:color w:val="auto"/>
          <w:sz w:val="24"/>
        </w:rPr>
        <w:t>（一）响应文件的组成</w:t>
      </w:r>
    </w:p>
    <w:p>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pPr>
        <w:spacing w:line="288" w:lineRule="auto"/>
        <w:ind w:firstLine="422" w:firstLineChars="175"/>
        <w:rPr>
          <w:color w:val="auto"/>
          <w:sz w:val="24"/>
        </w:rPr>
      </w:pPr>
      <w:r>
        <w:rPr>
          <w:rFonts w:hint="eastAsia"/>
          <w:b/>
          <w:bCs/>
          <w:color w:val="auto"/>
          <w:sz w:val="24"/>
        </w:rPr>
        <w:t>响应文件组成：详见“第六部分  响应文件格式”目录</w:t>
      </w:r>
    </w:p>
    <w:p>
      <w:pPr>
        <w:spacing w:line="288" w:lineRule="auto"/>
        <w:outlineLvl w:val="2"/>
        <w:rPr>
          <w:b/>
          <w:bCs/>
          <w:color w:val="auto"/>
          <w:sz w:val="24"/>
        </w:rPr>
      </w:pPr>
      <w:r>
        <w:rPr>
          <w:rFonts w:hint="eastAsia"/>
          <w:b/>
          <w:bCs/>
          <w:color w:val="auto"/>
          <w:sz w:val="24"/>
        </w:rPr>
        <w:t>（二）响应文件的签署和份数</w:t>
      </w:r>
    </w:p>
    <w:p>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spacing w:line="288" w:lineRule="auto"/>
        <w:ind w:firstLine="420" w:firstLineChars="175"/>
        <w:rPr>
          <w:color w:val="auto"/>
          <w:sz w:val="24"/>
        </w:rPr>
      </w:pPr>
      <w:r>
        <w:rPr>
          <w:rFonts w:hint="eastAsia"/>
          <w:color w:val="auto"/>
          <w:sz w:val="24"/>
        </w:rPr>
        <w:t>2.响应文件须由供应商在规定位置加盖公章</w:t>
      </w:r>
      <w:bookmarkStart w:id="243" w:name="_Hlk96329193"/>
      <w:r>
        <w:rPr>
          <w:rFonts w:hint="eastAsia"/>
          <w:color w:val="auto"/>
          <w:sz w:val="24"/>
        </w:rPr>
        <w:t>，供应商应写全称。</w:t>
      </w:r>
      <w:bookmarkEnd w:id="243"/>
    </w:p>
    <w:p>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pPr>
        <w:spacing w:line="288" w:lineRule="auto"/>
        <w:ind w:firstLine="420" w:firstLineChars="175"/>
        <w:rPr>
          <w:color w:val="auto"/>
          <w:sz w:val="24"/>
        </w:rPr>
      </w:pPr>
      <w:r>
        <w:rPr>
          <w:rFonts w:hint="eastAsia"/>
          <w:color w:val="auto"/>
          <w:sz w:val="24"/>
        </w:rPr>
        <w:t>4.响应文件份数：</w:t>
      </w:r>
    </w:p>
    <w:p>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@hdu.edu.cn，以便查收）。</w:t>
      </w:r>
    </w:p>
    <w:p>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pPr>
        <w:spacing w:line="288" w:lineRule="auto"/>
        <w:outlineLvl w:val="2"/>
        <w:rPr>
          <w:b/>
          <w:bCs/>
          <w:color w:val="auto"/>
          <w:sz w:val="24"/>
        </w:rPr>
      </w:pPr>
      <w:r>
        <w:rPr>
          <w:rFonts w:hint="eastAsia"/>
          <w:b/>
          <w:bCs/>
          <w:color w:val="auto"/>
          <w:sz w:val="24"/>
        </w:rPr>
        <w:t>（三）响应文件的上传、递交、修改和撤回</w:t>
      </w:r>
    </w:p>
    <w:p>
      <w:pPr>
        <w:spacing w:line="288" w:lineRule="auto"/>
        <w:ind w:firstLine="422" w:firstLineChars="175"/>
        <w:rPr>
          <w:b/>
          <w:bCs/>
          <w:color w:val="auto"/>
          <w:sz w:val="24"/>
        </w:rPr>
      </w:pPr>
      <w:r>
        <w:rPr>
          <w:rFonts w:hint="eastAsia"/>
          <w:b/>
          <w:bCs/>
          <w:color w:val="auto"/>
          <w:sz w:val="24"/>
        </w:rPr>
        <w:t>1.响应文件的上传、递交：</w:t>
      </w:r>
    </w:p>
    <w:p>
      <w:pPr>
        <w:spacing w:line="288" w:lineRule="auto"/>
        <w:ind w:firstLine="420" w:firstLineChars="175"/>
        <w:rPr>
          <w:color w:val="auto"/>
          <w:sz w:val="24"/>
        </w:rPr>
      </w:pPr>
      <w:r>
        <w:rPr>
          <w:rFonts w:hint="eastAsia"/>
          <w:color w:val="auto"/>
          <w:sz w:val="24"/>
        </w:rPr>
        <w:t>（1）电子加密响应文件的上传：</w:t>
      </w:r>
    </w:p>
    <w:p>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pPr>
        <w:spacing w:line="288" w:lineRule="auto"/>
        <w:ind w:firstLine="420" w:firstLineChars="175"/>
        <w:rPr>
          <w:color w:val="auto"/>
          <w:sz w:val="24"/>
        </w:rPr>
      </w:pPr>
      <w:r>
        <w:rPr>
          <w:rFonts w:hint="eastAsia"/>
          <w:color w:val="auto"/>
          <w:sz w:val="24"/>
        </w:rPr>
        <w:t>（2）备份响应文件的密封包装、递交：</w:t>
      </w:r>
    </w:p>
    <w:p>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pPr>
        <w:spacing w:line="288" w:lineRule="auto"/>
        <w:outlineLvl w:val="2"/>
        <w:rPr>
          <w:b/>
          <w:bCs/>
          <w:color w:val="auto"/>
          <w:sz w:val="24"/>
        </w:rPr>
      </w:pPr>
      <w:r>
        <w:rPr>
          <w:rFonts w:hint="eastAsia"/>
          <w:b/>
          <w:bCs/>
          <w:color w:val="auto"/>
          <w:sz w:val="24"/>
        </w:rPr>
        <w:t>（四）响应文件的语言及计量</w:t>
      </w:r>
    </w:p>
    <w:p>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pPr>
        <w:spacing w:line="288" w:lineRule="auto"/>
        <w:outlineLvl w:val="2"/>
        <w:rPr>
          <w:b/>
          <w:bCs/>
          <w:color w:val="auto"/>
          <w:sz w:val="24"/>
        </w:rPr>
      </w:pPr>
      <w:r>
        <w:rPr>
          <w:rFonts w:hint="eastAsia"/>
          <w:b/>
          <w:bCs/>
          <w:color w:val="auto"/>
          <w:sz w:val="24"/>
        </w:rPr>
        <w:t>（五）磋商报价</w:t>
      </w:r>
    </w:p>
    <w:p>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pPr>
        <w:spacing w:line="288" w:lineRule="auto"/>
        <w:outlineLvl w:val="2"/>
        <w:rPr>
          <w:b/>
          <w:bCs/>
          <w:color w:val="auto"/>
          <w:sz w:val="24"/>
        </w:rPr>
      </w:pPr>
      <w:r>
        <w:rPr>
          <w:rFonts w:hint="eastAsia"/>
          <w:b/>
          <w:bCs/>
          <w:color w:val="auto"/>
          <w:sz w:val="24"/>
        </w:rPr>
        <w:t>（六）响应有效期</w:t>
      </w:r>
    </w:p>
    <w:p>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四、响应无效的情形</w:t>
      </w:r>
    </w:p>
    <w:p>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3）根据电子评标程序规则的需要，资格证明材料必须放在资格文件中，若放在其它地方，采购机构或评审小组有权认定其</w:t>
      </w:r>
      <w:r>
        <w:rPr>
          <w:rFonts w:hint="eastAsia" w:ascii="宋体" w:hAnsi="宋体"/>
          <w:b w:val="0"/>
          <w:bCs/>
          <w:color w:val="auto"/>
          <w:spacing w:val="-6"/>
          <w:sz w:val="24"/>
          <w:szCs w:val="24"/>
        </w:rPr>
        <w:t>资格审查不通过</w:t>
      </w:r>
      <w:r>
        <w:rPr>
          <w:rFonts w:hint="eastAsia" w:ascii="宋体" w:hAnsi="宋体"/>
          <w:color w:val="auto"/>
          <w:spacing w:val="-6"/>
          <w:sz w:val="24"/>
          <w:szCs w:val="24"/>
          <w:lang w:val="en-US" w:eastAsia="zh-CN"/>
        </w:rPr>
        <w:t>。</w:t>
      </w:r>
    </w:p>
    <w:p>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77"/>
    <w:bookmarkEnd w:id="78"/>
    <w:p>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44" w:name="_Toc11859"/>
      <w:bookmarkStart w:id="245" w:name="_Toc24390"/>
      <w:bookmarkStart w:id="246" w:name="_Toc14837"/>
      <w:bookmarkStart w:id="247" w:name="_Toc22208"/>
      <w:bookmarkStart w:id="248" w:name="_Toc30706"/>
      <w:bookmarkStart w:id="249" w:name="_Toc20980"/>
      <w:bookmarkStart w:id="250" w:name="_Toc6184"/>
      <w:bookmarkStart w:id="251" w:name="_Toc13917"/>
      <w:bookmarkStart w:id="252" w:name="_Toc200"/>
      <w:bookmarkStart w:id="253" w:name="_Toc9444"/>
      <w:bookmarkStart w:id="254" w:name="_Toc4601"/>
      <w:bookmarkStart w:id="255" w:name="_Toc32590"/>
      <w:bookmarkStart w:id="256" w:name="_Toc23374"/>
      <w:bookmarkStart w:id="257" w:name="_Toc20654"/>
      <w:bookmarkStart w:id="258" w:name="_Toc207550884"/>
      <w:bookmarkStart w:id="259" w:name="_Toc11828"/>
      <w:bookmarkStart w:id="260" w:name="_Toc8275"/>
      <w:bookmarkStart w:id="261" w:name="_Toc6290"/>
      <w:bookmarkStart w:id="262" w:name="_Toc433537967"/>
      <w:bookmarkStart w:id="263" w:name="_Toc26820"/>
      <w:bookmarkStart w:id="264" w:name="_Toc6013"/>
      <w:bookmarkStart w:id="265" w:name="_Toc8057"/>
      <w:bookmarkStart w:id="266" w:name="_Toc14125"/>
      <w:bookmarkStart w:id="267" w:name="_Toc27001"/>
      <w:bookmarkStart w:id="268" w:name="_Toc28358"/>
      <w:bookmarkStart w:id="269" w:name="_Toc6009"/>
      <w:bookmarkStart w:id="270" w:name="_Toc11365"/>
      <w:bookmarkStart w:id="271" w:name="_Toc8571"/>
      <w:bookmarkStart w:id="272" w:name="_Toc17194"/>
      <w:bookmarkStart w:id="273" w:name="_Toc467"/>
      <w:bookmarkStart w:id="274" w:name="_Toc12201"/>
      <w:bookmarkStart w:id="275" w:name="_Toc24793"/>
      <w:bookmarkStart w:id="276" w:name="_Toc25705"/>
      <w:bookmarkStart w:id="277" w:name="_Toc183786419"/>
      <w:r>
        <w:rPr>
          <w:rFonts w:hint="eastAsia" w:ascii="楷体" w:hAnsi="楷体" w:eastAsia="楷体" w:cs="楷体"/>
          <w:snapToGrid w:val="0"/>
          <w:color w:val="auto"/>
          <w:kern w:val="44"/>
          <w:sz w:val="32"/>
          <w:szCs w:val="32"/>
        </w:rPr>
        <w:t>五、开启响应文件</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pPr>
        <w:spacing w:line="288" w:lineRule="auto"/>
        <w:ind w:firstLine="482"/>
        <w:rPr>
          <w:color w:val="auto"/>
          <w:sz w:val="24"/>
        </w:rPr>
      </w:pPr>
      <w:bookmarkStart w:id="278" w:name="_Toc12629"/>
      <w:bookmarkStart w:id="279" w:name="_Toc841"/>
      <w:bookmarkStart w:id="280" w:name="_Toc26833"/>
      <w:bookmarkStart w:id="281" w:name="_Toc11659"/>
      <w:bookmarkStart w:id="282" w:name="_Toc10811"/>
      <w:bookmarkStart w:id="283" w:name="_Toc5075"/>
      <w:bookmarkStart w:id="284" w:name="_Toc8052"/>
      <w:bookmarkStart w:id="285" w:name="_Toc28057"/>
      <w:bookmarkStart w:id="286" w:name="_Toc9028"/>
      <w:bookmarkStart w:id="287" w:name="_Toc18007"/>
      <w:bookmarkStart w:id="288" w:name="_Toc7609"/>
      <w:bookmarkStart w:id="289" w:name="_Toc26778"/>
      <w:bookmarkStart w:id="290" w:name="_Toc18579"/>
      <w:bookmarkStart w:id="291" w:name="_Toc15608"/>
      <w:bookmarkStart w:id="292" w:name="_Toc32220"/>
      <w:bookmarkStart w:id="293" w:name="_Toc27046"/>
      <w:bookmarkStart w:id="294" w:name="_Toc29445"/>
      <w:bookmarkStart w:id="295" w:name="_Toc12021"/>
      <w:bookmarkStart w:id="296" w:name="_Toc6558"/>
      <w:bookmarkStart w:id="297" w:name="_Toc650"/>
      <w:bookmarkStart w:id="298" w:name="_Toc902"/>
      <w:bookmarkStart w:id="299" w:name="_Toc20003"/>
      <w:bookmarkStart w:id="300" w:name="_Toc30360"/>
      <w:bookmarkStart w:id="301" w:name="_Toc4789"/>
      <w:bookmarkStart w:id="302" w:name="_Toc22017"/>
      <w:bookmarkStart w:id="303" w:name="_Toc13314"/>
      <w:bookmarkStart w:id="304" w:name="_Toc8181"/>
      <w:bookmarkStart w:id="305" w:name="_Toc25227"/>
      <w:bookmarkStart w:id="306" w:name="_Toc29181"/>
      <w:bookmarkStart w:id="307" w:name="_Toc10561"/>
      <w:bookmarkStart w:id="308" w:name="_Toc667"/>
      <w:bookmarkStart w:id="309" w:name="_Toc22094"/>
      <w:bookmarkStart w:id="310" w:name="_Toc10251"/>
      <w:bookmarkStart w:id="311" w:name="_Toc30679"/>
      <w:r>
        <w:rPr>
          <w:rFonts w:hint="eastAsia"/>
          <w:color w:val="auto"/>
          <w:sz w:val="24"/>
        </w:rPr>
        <w:t>采购机构按照磋商文件规定的时间通过电子交易平台组织开启，所有供应商均应当准时在线参加。供应商不足3家的，不得开启。</w:t>
      </w:r>
    </w:p>
    <w:p>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六、</w:t>
      </w:r>
      <w:bookmarkEnd w:id="278"/>
      <w:bookmarkEnd w:id="279"/>
      <w:bookmarkEnd w:id="280"/>
      <w:r>
        <w:rPr>
          <w:rFonts w:hint="eastAsia" w:ascii="楷体" w:hAnsi="楷体" w:eastAsia="楷体" w:cs="楷体"/>
          <w:snapToGrid w:val="0"/>
          <w:color w:val="auto"/>
          <w:kern w:val="44"/>
          <w:sz w:val="32"/>
          <w:szCs w:val="32"/>
        </w:rPr>
        <w:t>评审和磋商</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（一）磋商小组</w:t>
      </w:r>
    </w:p>
    <w:p>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（二）响应文件实质性响应的确定</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、无效的响应文件不再进入下一步磋商程序；</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、判断响应文件的响应性仅基于响应文件本身而不靠外部证据；</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（三）响应文件的详细评审和进一步磋商</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磋商小组对各响应文件的全部内容进行审阅，并按本部分第四条响应无效的情形确定各响应文件是否有效。</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磋商小组所有成员应当集中与单一供应商分别进行磋商，并给予所有参加磋商的供应商平等的磋商机会。</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供应商的磋商内容无法通过政府采购云平台上传的，可在规定时间内（半小时内）通过指定的电子邮箱（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（四）最后报价</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供应商的最后报价无法通过政府采购云平台上传的，可在规定时间内（半小时内）通过指定的电子邮箱（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（五）错误修正</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响应文件报价出现前后不一致的，除磋商文件另有规定外，按照下列规定修正：</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（一）响应文件中报价表内容与响应文件中相应内容不一致的，以报价表为准；</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（二）大写金额和小写金额不一致的，以大写金额为准；</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（三）单价金额小数点或者百分比有明显错位的，以报价表的总价为准，并修改单价；</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（四）总价金额与按单价汇总金额不一致的，以单价金额计算结果为准；</w:t>
      </w:r>
    </w:p>
    <w:p>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（六）综合评分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（七）汇总商务技术得分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（八）排序与推荐</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w:t>
      </w:r>
      <w:bookmarkStart w:id="312" w:name="OLE_LINK6"/>
      <w:r>
        <w:rPr>
          <w:rFonts w:hint="eastAsia"/>
          <w:color w:val="auto"/>
          <w:sz w:val="24"/>
        </w:rPr>
        <w:t>第二十一条第三款</w:t>
      </w:r>
      <w:bookmarkEnd w:id="312"/>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（九）编写评审报告</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（十）磋商评审过程的保密性</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13" w:name="_Toc13854"/>
      <w:bookmarkStart w:id="314" w:name="_Toc12279"/>
      <w:bookmarkStart w:id="315" w:name="_Toc2251"/>
      <w:bookmarkStart w:id="316" w:name="_Toc22706"/>
      <w:bookmarkStart w:id="317" w:name="_Toc5340"/>
      <w:bookmarkStart w:id="318" w:name="_Toc17917"/>
      <w:bookmarkStart w:id="319" w:name="_Toc30131"/>
      <w:bookmarkStart w:id="320" w:name="_Toc17524"/>
      <w:bookmarkStart w:id="321" w:name="_Toc32587"/>
      <w:bookmarkStart w:id="322" w:name="_Toc9496"/>
      <w:bookmarkStart w:id="323" w:name="_Toc26757"/>
      <w:bookmarkStart w:id="324" w:name="_Toc5529"/>
      <w:bookmarkStart w:id="325" w:name="_Toc326"/>
      <w:bookmarkStart w:id="326" w:name="_Toc29029"/>
      <w:bookmarkStart w:id="327" w:name="_Toc21433"/>
      <w:bookmarkStart w:id="328" w:name="_Toc15767"/>
      <w:bookmarkStart w:id="329" w:name="_Toc8603"/>
      <w:bookmarkStart w:id="330" w:name="_Toc14468"/>
      <w:bookmarkStart w:id="331" w:name="_Toc21515"/>
      <w:bookmarkStart w:id="332" w:name="_Toc29830"/>
      <w:bookmarkStart w:id="333" w:name="_Toc20162"/>
      <w:bookmarkStart w:id="334" w:name="_Toc4483"/>
      <w:bookmarkStart w:id="335" w:name="_Toc30041"/>
      <w:bookmarkStart w:id="336" w:name="_Toc6273"/>
      <w:bookmarkStart w:id="337" w:name="_Toc16451"/>
      <w:bookmarkStart w:id="338" w:name="_Toc18073"/>
      <w:bookmarkStart w:id="339" w:name="_Toc7256"/>
      <w:bookmarkStart w:id="340" w:name="_Toc27426"/>
      <w:bookmarkStart w:id="341" w:name="_Toc26044"/>
      <w:bookmarkStart w:id="342" w:name="_Toc28002"/>
      <w:bookmarkStart w:id="343" w:name="_Toc26288"/>
      <w:bookmarkStart w:id="344" w:name="_Toc22665"/>
      <w:bookmarkStart w:id="345" w:name="_Toc3813"/>
      <w:bookmarkStart w:id="346" w:name="_Toc10879"/>
      <w:r>
        <w:rPr>
          <w:rFonts w:hint="eastAsia" w:ascii="楷体" w:hAnsi="楷体" w:eastAsia="楷体" w:cs="楷体"/>
          <w:snapToGrid w:val="0"/>
          <w:color w:val="auto"/>
          <w:kern w:val="44"/>
          <w:sz w:val="32"/>
          <w:szCs w:val="32"/>
        </w:rPr>
        <w:t>七、合同授予</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（一）资格最终审查</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（二）接受和拒绝部分或所有磋商内容的权力</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（三）成交通知书</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w:t>
      </w:r>
      <w:r>
        <w:rPr>
          <w:rFonts w:hint="eastAsia"/>
          <w:color w:val="auto"/>
          <w:sz w:val="24"/>
          <w:lang w:val="en-US" w:eastAsia="zh-CN"/>
        </w:rPr>
        <w:t>杭州电子科技大学采购中心网站</w:t>
      </w:r>
      <w:r>
        <w:rPr>
          <w:rFonts w:hint="eastAsia"/>
          <w:color w:val="auto"/>
          <w:sz w:val="24"/>
        </w:rPr>
        <w:t>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（四）授予合同时变更数量的权力</w:t>
      </w:r>
    </w:p>
    <w:p>
      <w:pPr>
        <w:pStyle w:val="27"/>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（五）签订合同</w:t>
      </w:r>
    </w:p>
    <w:p>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pPr>
        <w:pStyle w:val="4"/>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pPr>
        <w:pStyle w:val="2"/>
        <w:bidi w:val="0"/>
        <w:outlineLvl w:val="0"/>
        <w:rPr>
          <w:rFonts w:hint="eastAsia" w:ascii="Times New Roman" w:hAnsi="Times New Roman" w:eastAsia="黑体" w:cs="Times New Roman"/>
          <w:b/>
          <w:color w:val="auto"/>
          <w:kern w:val="44"/>
          <w:sz w:val="36"/>
          <w:szCs w:val="22"/>
          <w:lang w:val="en-US" w:eastAsia="zh-CN" w:bidi="ar-SA"/>
        </w:rPr>
      </w:pPr>
      <w:bookmarkStart w:id="347" w:name="_Toc10023"/>
      <w:bookmarkStart w:id="348" w:name="_Toc31754"/>
      <w:bookmarkStart w:id="349" w:name="_Toc27094"/>
      <w:bookmarkStart w:id="350" w:name="_Toc30987"/>
      <w:bookmarkStart w:id="351" w:name="_Toc18478"/>
      <w:bookmarkStart w:id="352" w:name="_Toc24700"/>
      <w:bookmarkStart w:id="353" w:name="_Toc11599"/>
      <w:r>
        <w:rPr>
          <w:rStyle w:val="55"/>
          <w:rFonts w:ascii="Times New Roman" w:hAnsi="Times New Roman"/>
          <w:b/>
          <w:snapToGrid w:val="0"/>
          <w:color w:val="auto"/>
        </w:rPr>
        <w:br w:type="page"/>
      </w:r>
      <w:bookmarkStart w:id="354" w:name="_Toc14616_WPSOffice_Level1"/>
      <w:bookmarkStart w:id="355" w:name="_Toc22180"/>
      <w:bookmarkStart w:id="356" w:name="_Toc15038"/>
      <w:bookmarkStart w:id="357" w:name="_Toc27525"/>
      <w:bookmarkStart w:id="358" w:name="_Toc23632"/>
      <w:bookmarkStart w:id="359" w:name="_Toc16902"/>
      <w:bookmarkStart w:id="360" w:name="_Toc15832"/>
      <w:bookmarkStart w:id="361" w:name="_Toc17768"/>
      <w:bookmarkStart w:id="362" w:name="_Toc7338"/>
      <w:bookmarkStart w:id="363" w:name="_Toc23225"/>
      <w:bookmarkStart w:id="364" w:name="_Toc26100"/>
      <w:bookmarkStart w:id="365" w:name="_Toc14406"/>
      <w:bookmarkStart w:id="366" w:name="_Toc14142"/>
      <w:bookmarkStart w:id="367" w:name="_Toc24396"/>
      <w:bookmarkStart w:id="368" w:name="_Toc17708"/>
      <w:bookmarkStart w:id="369" w:name="_Toc30158"/>
      <w:bookmarkStart w:id="370" w:name="_Toc10406"/>
      <w:bookmarkStart w:id="371" w:name="_Toc12012"/>
      <w:bookmarkStart w:id="372" w:name="_Toc12347"/>
      <w:bookmarkStart w:id="373" w:name="_Toc26169"/>
      <w:bookmarkStart w:id="374" w:name="_Toc7293"/>
      <w:bookmarkStart w:id="375" w:name="_Toc3282"/>
      <w:bookmarkStart w:id="376" w:name="_Toc646"/>
      <w:bookmarkStart w:id="377" w:name="_Toc32035"/>
      <w:bookmarkStart w:id="378" w:name="_Toc27781"/>
      <w:bookmarkStart w:id="379" w:name="_Toc30301"/>
      <w:bookmarkStart w:id="380" w:name="_Toc5470"/>
      <w:bookmarkStart w:id="381" w:name="_Toc8630"/>
      <w:bookmarkStart w:id="382" w:name="_Toc6438"/>
      <w:bookmarkStart w:id="383" w:name="_Toc20593"/>
      <w:bookmarkStart w:id="384" w:name="_Toc365"/>
      <w:bookmarkStart w:id="385" w:name="_Toc9109"/>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54"/>
    </w:p>
    <w:bookmarkEnd w:id="347"/>
    <w:bookmarkEnd w:id="348"/>
    <w:bookmarkEnd w:id="349"/>
    <w:bookmarkEnd w:id="350"/>
    <w:bookmarkEnd w:id="351"/>
    <w:bookmarkEnd w:id="352"/>
    <w:bookmarkEnd w:id="353"/>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Pr>
        <w:pStyle w:val="4"/>
        <w:ind w:left="0" w:firstLine="0"/>
        <w:outlineLvl w:val="1"/>
        <w:rPr>
          <w:rFonts w:hint="eastAsia" w:ascii="宋体" w:hAnsi="Times New Roman" w:eastAsia="宋体" w:cs="Times New Roman"/>
          <w:color w:val="auto"/>
          <w:szCs w:val="22"/>
        </w:rPr>
      </w:pPr>
      <w:bookmarkStart w:id="386" w:name="_Toc21296"/>
      <w:bookmarkStart w:id="387" w:name="_Toc1660"/>
      <w:bookmarkStart w:id="388" w:name="_Toc14512"/>
      <w:bookmarkStart w:id="389" w:name="_Toc20153"/>
      <w:bookmarkStart w:id="390" w:name="_Toc31434"/>
      <w:bookmarkStart w:id="391" w:name="_Toc3691"/>
      <w:bookmarkStart w:id="392" w:name="_Toc29510"/>
      <w:bookmarkStart w:id="393" w:name="_Toc27955"/>
      <w:bookmarkStart w:id="394" w:name="_Toc3711"/>
      <w:r>
        <w:rPr>
          <w:rFonts w:hint="eastAsia" w:ascii="宋体" w:hAnsi="Times New Roman" w:eastAsia="宋体" w:cs="Times New Roman"/>
          <w:color w:val="auto"/>
          <w:szCs w:val="22"/>
        </w:rPr>
        <w:t>一、服务内容和详细要求</w:t>
      </w:r>
    </w:p>
    <w:p>
      <w:pPr>
        <w:rPr>
          <w:color w:val="auto"/>
        </w:rPr>
      </w:pPr>
    </w:p>
    <w:p>
      <w:pPr>
        <w:pStyle w:val="54"/>
        <w:keepNext w:val="0"/>
        <w:keepLines w:val="0"/>
        <w:pageBreakBefore w:val="0"/>
        <w:kinsoku/>
        <w:overflowPunct/>
        <w:topLinePunct w:val="0"/>
        <w:bidi w:val="0"/>
        <w:snapToGrid/>
        <w:spacing w:line="288" w:lineRule="auto"/>
        <w:ind w:left="0" w:leftChars="0" w:firstLine="422" w:firstLineChars="175"/>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1.服务内容及范围：</w:t>
      </w:r>
      <w:r>
        <w:rPr>
          <w:rFonts w:hint="eastAsia" w:ascii="宋体" w:hAnsi="宋体" w:eastAsia="宋体" w:cs="宋体"/>
          <w:color w:val="auto"/>
          <w:sz w:val="24"/>
          <w:szCs w:val="24"/>
        </w:rPr>
        <w:t>杭州电子科技大学下沙校区（含生活区，东校区）、研究生公寓及教学区、教师公寓室内小管道（具体以实际现场为准）、蹲坑（约2100个），小便池（约1300个），坐便器（约350个），地漏（约120个），上述区域室外污水管道（约1800米），雨污窨井（105个），边窨井，化粪池（约85组），隔油池（约8组）等进行疏通处置和无害化清理。</w:t>
      </w:r>
    </w:p>
    <w:p>
      <w:pPr>
        <w:pStyle w:val="54"/>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lang w:val="en-US" w:eastAsia="zh-CN" w:bidi="ar-SA"/>
        </w:rPr>
        <w:t>2.服务质量保证：</w:t>
      </w:r>
    </w:p>
    <w:p>
      <w:pPr>
        <w:pStyle w:val="53"/>
        <w:keepNext w:val="0"/>
        <w:keepLines w:val="0"/>
        <w:pageBreakBefore w:val="0"/>
        <w:kinsoku/>
        <w:overflowPunct/>
        <w:topLinePunct w:val="0"/>
        <w:bidi w:val="0"/>
        <w:snapToGrid/>
        <w:spacing w:line="288" w:lineRule="auto"/>
        <w:ind w:left="0" w:leftChars="0" w:firstLine="422" w:firstLineChars="175"/>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（一）项目技术规范</w:t>
      </w:r>
    </w:p>
    <w:p>
      <w:pPr>
        <w:pStyle w:val="54"/>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（1）采用先进、无害化技术，符合国家、省市相关规定要求，清理处置时产生的肥料和垃圾要密封装袋并及时清运、不产生二次污染。</w:t>
      </w:r>
    </w:p>
    <w:p>
      <w:pPr>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施工工艺要求：清理处置时应经过三个环节：固液分离—药物处理—粪便分类。所有抽上来的污物、粪水首先要通过机器进行固液分离，把固体垃圾如石块、纸巾、塑料袋等杂物分离出去；固液分离之后进行药物处理，将粪水搅拌与药物结合。将与药物产生反应后的污物，进入最后的分类系统，成为生产有机生物肥料的原料打包外运，产生的劣二类水再重复利用于稀释化粪池污物。</w:t>
      </w:r>
    </w:p>
    <w:p>
      <w:pPr>
        <w:pStyle w:val="53"/>
        <w:keepNext w:val="0"/>
        <w:keepLines w:val="0"/>
        <w:pageBreakBefore w:val="0"/>
        <w:kinsoku/>
        <w:overflowPunct/>
        <w:topLinePunct w:val="0"/>
        <w:bidi w:val="0"/>
        <w:snapToGrid/>
        <w:spacing w:line="288" w:lineRule="auto"/>
        <w:ind w:left="0" w:leftChars="0" w:firstLine="422" w:firstLineChars="175"/>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（二）服务要求以及质量标准</w:t>
      </w:r>
    </w:p>
    <w:p>
      <w:pPr>
        <w:pStyle w:val="54"/>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（1）乙方应每年对化粪池、隔油池等</w:t>
      </w:r>
      <w:r>
        <w:rPr>
          <w:rFonts w:hint="eastAsia" w:ascii="宋体" w:hAnsi="宋体" w:eastAsia="宋体" w:cs="宋体"/>
          <w:color w:val="auto"/>
          <w:sz w:val="24"/>
          <w:szCs w:val="24"/>
          <w:lang w:val="en-US" w:eastAsia="zh-CN"/>
        </w:rPr>
        <w:t>必须/</w:t>
      </w:r>
      <w:r>
        <w:rPr>
          <w:rFonts w:hint="eastAsia" w:ascii="宋体" w:hAnsi="宋体" w:eastAsia="宋体" w:cs="宋体"/>
          <w:color w:val="auto"/>
          <w:sz w:val="24"/>
          <w:szCs w:val="24"/>
        </w:rPr>
        <w:t>清理一次，清掏处置服务时间不能影响校方的正常作息时间，须在寒暑假期间完成。清掏处置完毕后池内应无明显块状物和漂浮物，保证池、入口管道及污水井的畅通。</w:t>
      </w:r>
    </w:p>
    <w:p>
      <w:pPr>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（2）乙方对清掏处置时产生的垃圾应及时清运、不能产生二次污染，清理时间不能影响校方的正常作息时间。</w:t>
      </w:r>
    </w:p>
    <w:p>
      <w:pPr>
        <w:pStyle w:val="53"/>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b/>
          <w:bCs/>
          <w:color w:val="auto"/>
          <w:sz w:val="24"/>
          <w:szCs w:val="24"/>
          <w:lang w:val="en-US" w:eastAsia="zh-CN"/>
        </w:rPr>
        <w:t>服务范围</w:t>
      </w:r>
      <w:r>
        <w:rPr>
          <w:rFonts w:hint="eastAsia" w:ascii="宋体" w:hAnsi="宋体" w:eastAsia="宋体" w:cs="宋体"/>
          <w:b/>
          <w:bCs/>
          <w:color w:val="auto"/>
          <w:sz w:val="24"/>
          <w:szCs w:val="24"/>
        </w:rPr>
        <w:t>内一旦发生污水小管道、雨污窨井、化粪池、隔油池等堵塞或满溢现象，乙方须在2小时内赶到现场进行处置，并保证24小时内完全疏通；如乙方在响应时间里未到达，</w:t>
      </w:r>
      <w:r>
        <w:rPr>
          <w:rFonts w:hint="eastAsia" w:ascii="宋体" w:hAnsi="宋体" w:eastAsia="宋体" w:cs="宋体"/>
          <w:b/>
          <w:bCs/>
          <w:color w:val="auto"/>
          <w:sz w:val="24"/>
          <w:szCs w:val="24"/>
          <w:lang w:val="en-US" w:eastAsia="zh-CN"/>
        </w:rPr>
        <w:t>甲方</w:t>
      </w:r>
      <w:r>
        <w:rPr>
          <w:rFonts w:hint="eastAsia" w:ascii="宋体" w:hAnsi="宋体" w:eastAsia="宋体" w:cs="宋体"/>
          <w:b/>
          <w:bCs/>
          <w:color w:val="auto"/>
          <w:sz w:val="24"/>
          <w:szCs w:val="24"/>
        </w:rPr>
        <w:t>有权联系第三方施工，第三方产生的施工费用由乙方支付，并在合同总价里扣除。在合同期内不计次数给予及时的清掏处置，并达到甲方要求。</w:t>
      </w:r>
    </w:p>
    <w:p>
      <w:pPr>
        <w:pStyle w:val="54"/>
        <w:keepNext w:val="0"/>
        <w:keepLines w:val="0"/>
        <w:pageBreakBefore w:val="0"/>
        <w:kinsoku/>
        <w:overflowPunct/>
        <w:topLinePunct w:val="0"/>
        <w:bidi w:val="0"/>
        <w:snapToGrid/>
        <w:spacing w:line="288" w:lineRule="auto"/>
        <w:ind w:left="0" w:leftChars="0" w:firstLine="422" w:firstLineChars="175"/>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（三）安全管理</w:t>
      </w:r>
    </w:p>
    <w:p>
      <w:pPr>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（1）乙方应确保场地的消防安全，制定应急措施、安全管理制度，配备必要的消防设施，加强员工的安全教育。</w:t>
      </w:r>
    </w:p>
    <w:p>
      <w:pPr>
        <w:pStyle w:val="53"/>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（2）乙方应按甲方要求、对公司车辆进出路线、时间及服务人员进行管理，确保校内师生安全。</w:t>
      </w:r>
    </w:p>
    <w:p>
      <w:pPr>
        <w:pStyle w:val="54"/>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（3）安全操作，作业区域放置安全警示牌，施工人员穿戴安全帽、防毒、反光工作衣等作业防护装备，并做好监护工作，严格按照规定流程操作。清理工作完成后应对作业场地进行保洁，把池盖封好才能撤离。</w:t>
      </w:r>
    </w:p>
    <w:p>
      <w:pPr>
        <w:keepNext w:val="0"/>
        <w:keepLines w:val="0"/>
        <w:pageBreakBefore w:val="0"/>
        <w:kinsoku/>
        <w:overflowPunct/>
        <w:topLinePunct w:val="0"/>
        <w:bidi w:val="0"/>
        <w:snapToGrid/>
        <w:spacing w:line="288" w:lineRule="auto"/>
        <w:ind w:left="0" w:leftChars="0" w:firstLine="422" w:firstLineChars="175"/>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（四）其他</w:t>
      </w:r>
    </w:p>
    <w:p>
      <w:pPr>
        <w:pStyle w:val="53"/>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（1）乙方要对所属范围内员工的职业道德、业务素质、安全健康等进行全面管理，从业人员应规范服务程序，做到礼貌用语、文明服务、尊重师生。</w:t>
      </w:r>
    </w:p>
    <w:p>
      <w:pPr>
        <w:pStyle w:val="54"/>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（2）乙方必须接受甲方的监督、检查于管理，积极配合学校工作。</w:t>
      </w:r>
    </w:p>
    <w:p>
      <w:pPr>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在合同期内，乙方如发生企业变更或与甲方有关联的内部人事调动（如乙方业务员离职等），应及时以书面形式函告甲方，否则乙方发生的经济纠纷、损失与甲方无关，甲方不承担任何责任。在合同期限内乙方不得私自转包或变相转包他人。</w:t>
      </w:r>
    </w:p>
    <w:p>
      <w:pPr>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（4）拟指派项目负责人具有专业对口污水处理管理工程师技术职称的，拟指派项目负责人在同类项目中担任过项目负责人。</w:t>
      </w:r>
    </w:p>
    <w:p>
      <w:pPr>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施工人员</w:t>
      </w:r>
      <w:r>
        <w:rPr>
          <w:rFonts w:hint="eastAsia" w:ascii="宋体" w:hAnsi="宋体" w:eastAsia="宋体" w:cs="宋体"/>
          <w:color w:val="auto"/>
          <w:sz w:val="24"/>
          <w:szCs w:val="24"/>
          <w:lang w:val="en-US" w:eastAsia="zh-CN"/>
        </w:rPr>
        <w:t>具有</w:t>
      </w:r>
      <w:r>
        <w:rPr>
          <w:rFonts w:hint="eastAsia" w:ascii="宋体" w:hAnsi="宋体" w:eastAsia="宋体" w:cs="宋体"/>
          <w:color w:val="auto"/>
          <w:sz w:val="24"/>
          <w:szCs w:val="24"/>
        </w:rPr>
        <w:t>安全证书、机械员证书、质量员证书、污废水处理工证、化粪池管理处理</w:t>
      </w:r>
      <w:r>
        <w:rPr>
          <w:rFonts w:hint="eastAsia" w:ascii="宋体" w:hAnsi="宋体" w:eastAsia="宋体" w:cs="宋体"/>
          <w:color w:val="auto"/>
          <w:sz w:val="24"/>
          <w:szCs w:val="24"/>
          <w:lang w:val="en-US" w:eastAsia="zh-CN"/>
        </w:rPr>
        <w:t>专业</w:t>
      </w:r>
      <w:r>
        <w:rPr>
          <w:rFonts w:hint="eastAsia" w:ascii="宋体" w:hAnsi="宋体" w:eastAsia="宋体" w:cs="宋体"/>
          <w:color w:val="auto"/>
          <w:sz w:val="24"/>
          <w:szCs w:val="24"/>
        </w:rPr>
        <w:t>证</w:t>
      </w:r>
      <w:r>
        <w:rPr>
          <w:rFonts w:hint="eastAsia" w:ascii="宋体" w:hAnsi="宋体" w:eastAsia="宋体" w:cs="宋体"/>
          <w:color w:val="auto"/>
          <w:sz w:val="24"/>
          <w:szCs w:val="24"/>
          <w:lang w:val="en-US" w:eastAsia="zh-CN"/>
        </w:rPr>
        <w:t>书</w:t>
      </w:r>
      <w:r>
        <w:rPr>
          <w:rFonts w:hint="eastAsia" w:ascii="宋体" w:hAnsi="宋体" w:eastAsia="宋体" w:cs="宋体"/>
          <w:color w:val="auto"/>
          <w:sz w:val="24"/>
          <w:szCs w:val="24"/>
        </w:rPr>
        <w:t>、市政排水管道有限空间作业证安全书等。</w:t>
      </w:r>
    </w:p>
    <w:p>
      <w:pPr>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需停置一辆疏通吸污车及配备一名疏通管道人员在校内作为备用应急处理。</w:t>
      </w:r>
    </w:p>
    <w:p>
      <w:pPr>
        <w:keepNext w:val="0"/>
        <w:keepLines w:val="0"/>
        <w:pageBreakBefore w:val="0"/>
        <w:kinsoku/>
        <w:overflowPunct/>
        <w:topLinePunct w:val="0"/>
        <w:bidi w:val="0"/>
        <w:snapToGrid/>
        <w:spacing w:line="288" w:lineRule="auto"/>
        <w:ind w:left="0" w:leftChars="0" w:firstLine="422" w:firstLineChars="175"/>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（五）甲方</w:t>
      </w:r>
      <w:r>
        <w:rPr>
          <w:rFonts w:hint="eastAsia" w:ascii="宋体" w:hAnsi="宋体" w:eastAsia="宋体" w:cs="宋体"/>
          <w:b/>
          <w:color w:val="auto"/>
          <w:sz w:val="24"/>
          <w:szCs w:val="24"/>
          <w:lang w:val="en-US" w:eastAsia="zh-CN"/>
        </w:rPr>
        <w:t>权利</w:t>
      </w:r>
      <w:r>
        <w:rPr>
          <w:rFonts w:hint="eastAsia" w:ascii="宋体" w:hAnsi="宋体" w:eastAsia="宋体" w:cs="宋体"/>
          <w:b/>
          <w:color w:val="auto"/>
          <w:sz w:val="24"/>
          <w:szCs w:val="24"/>
        </w:rPr>
        <w:t>和义务</w:t>
      </w:r>
    </w:p>
    <w:p>
      <w:pPr>
        <w:keepNext w:val="0"/>
        <w:keepLines w:val="0"/>
        <w:pageBreakBefore w:val="0"/>
        <w:numPr>
          <w:ilvl w:val="0"/>
          <w:numId w:val="0"/>
        </w:numPr>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甲方应提供乙方施工期间消防水、电源（布线及消防水带有乙方自行购置携带）及场地空间保障，以便乙方开展工作。</w:t>
      </w:r>
    </w:p>
    <w:p>
      <w:pPr>
        <w:keepNext w:val="0"/>
        <w:keepLines w:val="0"/>
        <w:pageBreakBefore w:val="0"/>
        <w:numPr>
          <w:ilvl w:val="0"/>
          <w:numId w:val="0"/>
        </w:numPr>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2、甲方应保障乙方施工车辆及人员进出校园提供便利。</w:t>
      </w:r>
    </w:p>
    <w:p>
      <w:pPr>
        <w:keepNext w:val="0"/>
        <w:keepLines w:val="0"/>
        <w:pageBreakBefore w:val="0"/>
        <w:numPr>
          <w:ilvl w:val="0"/>
          <w:numId w:val="0"/>
        </w:numPr>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3、甲方有权对乙方不规范不文明施工行为进行制止。</w:t>
      </w:r>
    </w:p>
    <w:p>
      <w:pPr>
        <w:keepNext w:val="0"/>
        <w:keepLines w:val="0"/>
        <w:pageBreakBefore w:val="0"/>
        <w:numPr>
          <w:ilvl w:val="0"/>
          <w:numId w:val="0"/>
        </w:numPr>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4、甲方须每次在乙方施工后进行验收考核，验收不合格的，每次甲方有权扣除年合同总额2%，直至验收合格为止。三次不合格的，甲方有权解除合同。</w:t>
      </w:r>
    </w:p>
    <w:p>
      <w:pPr>
        <w:keepNext w:val="0"/>
        <w:keepLines w:val="0"/>
        <w:pageBreakBefore w:val="0"/>
        <w:kinsoku/>
        <w:overflowPunct/>
        <w:topLinePunct w:val="0"/>
        <w:bidi w:val="0"/>
        <w:snapToGrid/>
        <w:spacing w:line="288" w:lineRule="auto"/>
        <w:ind w:left="0" w:leftChars="0" w:firstLine="422" w:firstLineChars="175"/>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（六）乙方</w:t>
      </w:r>
      <w:r>
        <w:rPr>
          <w:rFonts w:hint="eastAsia" w:ascii="宋体" w:hAnsi="宋体" w:eastAsia="宋体" w:cs="宋体"/>
          <w:b/>
          <w:color w:val="auto"/>
          <w:sz w:val="24"/>
          <w:szCs w:val="24"/>
          <w:lang w:val="en-US" w:eastAsia="zh-CN"/>
        </w:rPr>
        <w:t>权利</w:t>
      </w:r>
      <w:r>
        <w:rPr>
          <w:rFonts w:hint="eastAsia" w:ascii="宋体" w:hAnsi="宋体" w:eastAsia="宋体" w:cs="宋体"/>
          <w:b/>
          <w:color w:val="auto"/>
          <w:sz w:val="24"/>
          <w:szCs w:val="24"/>
        </w:rPr>
        <w:t>和义务</w:t>
      </w:r>
    </w:p>
    <w:p>
      <w:pPr>
        <w:pStyle w:val="54"/>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1、乙方应保障施工从业人员具备符合开展相关工作的资质和条件人员进行施工。乙方进场施工应服从甲方及相关部门管理规定并注意道路安全与校内人员安全。</w:t>
      </w:r>
    </w:p>
    <w:p>
      <w:pPr>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2、乙方在作业期间尽量减少对校内师生、教职工的影响，师生、教职工反映的问题须及时进行整改。</w:t>
      </w:r>
    </w:p>
    <w:p>
      <w:pPr>
        <w:pStyle w:val="53"/>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3、乙方在施工期间应对施工区域进行围栏作业并在醒目位置张贴安全提示，涉及夜间施工的应放置警示灯进行提示，对使用电线拉线路的部位应做好用电安全措施。</w:t>
      </w:r>
    </w:p>
    <w:p>
      <w:pPr>
        <w:pStyle w:val="54"/>
        <w:keepNext w:val="0"/>
        <w:keepLines w:val="0"/>
        <w:pageBreakBefore w:val="0"/>
        <w:kinsoku/>
        <w:overflowPunct/>
        <w:topLinePunct w:val="0"/>
        <w:bidi w:val="0"/>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4、乙方在施工结束后须对施工区域周围环境进行卫生清理。</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5、在施工期间造成的一切法律责任均由乙方自行负责。</w:t>
      </w:r>
    </w:p>
    <w:p>
      <w:pPr>
        <w:rPr>
          <w:bCs/>
          <w:color w:val="auto"/>
          <w:sz w:val="24"/>
        </w:rPr>
      </w:pPr>
    </w:p>
    <w:p>
      <w:pPr>
        <w:pStyle w:val="4"/>
        <w:ind w:left="0" w:firstLine="0"/>
        <w:outlineLvl w:val="1"/>
        <w:rPr>
          <w:color w:val="auto"/>
        </w:rPr>
      </w:pPr>
      <w:r>
        <w:rPr>
          <w:rFonts w:hint="eastAsia"/>
          <w:color w:val="auto"/>
        </w:rPr>
        <w:t>二、商务要求</w:t>
      </w:r>
    </w:p>
    <w:p>
      <w:pPr>
        <w:spacing w:line="360" w:lineRule="auto"/>
        <w:ind w:firstLine="422" w:firstLineChars="175"/>
        <w:rPr>
          <w:rFonts w:hint="eastAsia" w:hAnsi="宋体" w:cs="宋体"/>
          <w:color w:val="auto"/>
          <w:sz w:val="24"/>
        </w:rPr>
      </w:pPr>
      <w:r>
        <w:rPr>
          <w:rFonts w:hint="eastAsia"/>
          <w:b/>
          <w:bCs/>
          <w:color w:val="auto"/>
          <w:sz w:val="24"/>
        </w:rPr>
        <w:t>1、</w:t>
      </w:r>
      <w:r>
        <w:rPr>
          <w:rFonts w:hint="eastAsia" w:ascii="宋体" w:hAnsi="宋体" w:eastAsia="宋体" w:cs="宋体"/>
          <w:b/>
          <w:bCs/>
          <w:color w:val="auto"/>
          <w:sz w:val="24"/>
        </w:rPr>
        <w:t>▲</w:t>
      </w:r>
      <w:r>
        <w:rPr>
          <w:rFonts w:hint="eastAsia" w:hAnsi="宋体" w:cs="宋体"/>
          <w:b/>
          <w:bCs/>
          <w:color w:val="auto"/>
          <w:sz w:val="24"/>
        </w:rPr>
        <w:t>服务期限</w:t>
      </w:r>
      <w:r>
        <w:rPr>
          <w:rFonts w:hint="eastAsia" w:hAnsi="宋体" w:cs="宋体"/>
          <w:color w:val="auto"/>
          <w:sz w:val="24"/>
        </w:rPr>
        <w:t>：</w:t>
      </w:r>
      <w:r>
        <w:rPr>
          <w:rFonts w:hint="eastAsia" w:hAnsi="宋体" w:cs="宋体"/>
          <w:color w:val="auto"/>
          <w:sz w:val="24"/>
          <w:u w:val="single"/>
        </w:rPr>
        <w:t xml:space="preserve"> </w:t>
      </w:r>
      <w:r>
        <w:rPr>
          <w:rFonts w:hint="eastAsia" w:hAnsi="宋体" w:cs="宋体"/>
          <w:color w:val="auto"/>
          <w:sz w:val="24"/>
          <w:u w:val="single"/>
          <w:lang w:val="en-US" w:eastAsia="zh-CN"/>
        </w:rPr>
        <w:t>叁</w:t>
      </w:r>
      <w:r>
        <w:rPr>
          <w:rFonts w:hint="eastAsia" w:hAnsi="宋体" w:cs="宋体"/>
          <w:color w:val="auto"/>
          <w:sz w:val="24"/>
          <w:u w:val="single"/>
        </w:rPr>
        <w:t xml:space="preserve"> </w:t>
      </w:r>
      <w:r>
        <w:rPr>
          <w:rFonts w:hint="eastAsia" w:hAnsi="宋体" w:cs="宋体"/>
          <w:color w:val="auto"/>
          <w:sz w:val="24"/>
        </w:rPr>
        <w:t>年，自合同签订之日起至三年。</w:t>
      </w:r>
    </w:p>
    <w:p>
      <w:pPr>
        <w:spacing w:line="360" w:lineRule="auto"/>
        <w:ind w:firstLine="422" w:firstLineChars="175"/>
        <w:rPr>
          <w:rFonts w:hint="eastAsia" w:ascii="Times New Roman" w:hAnsi="Times New Roman" w:eastAsia="宋体" w:cs="Times New Roman"/>
          <w:b w:val="0"/>
          <w:bCs w:val="0"/>
          <w:color w:val="auto"/>
          <w:sz w:val="24"/>
          <w:szCs w:val="22"/>
          <w:lang w:eastAsia="zh-CN"/>
        </w:rPr>
      </w:pPr>
      <w:r>
        <w:rPr>
          <w:rFonts w:hint="eastAsia" w:ascii="Times New Roman" w:hAnsi="Times New Roman" w:eastAsia="宋体" w:cs="Times New Roman"/>
          <w:b/>
          <w:bCs/>
          <w:color w:val="auto"/>
          <w:sz w:val="24"/>
          <w:szCs w:val="22"/>
        </w:rPr>
        <w:t>2、▲服务地点：</w:t>
      </w:r>
      <w:bookmarkStart w:id="395" w:name="_Hlk169254344"/>
      <w:r>
        <w:rPr>
          <w:rFonts w:hint="eastAsia" w:ascii="Times New Roman" w:hAnsi="Times New Roman" w:eastAsia="宋体" w:cs="Times New Roman"/>
          <w:b w:val="0"/>
          <w:bCs w:val="0"/>
          <w:color w:val="auto"/>
          <w:sz w:val="24"/>
          <w:szCs w:val="22"/>
        </w:rPr>
        <w:t>杭州电子科技大学</w:t>
      </w:r>
      <w:r>
        <w:rPr>
          <w:rFonts w:hint="eastAsia" w:ascii="Times New Roman" w:hAnsi="Times New Roman" w:eastAsia="宋体" w:cs="Times New Roman"/>
          <w:b w:val="0"/>
          <w:bCs w:val="0"/>
          <w:color w:val="auto"/>
          <w:sz w:val="24"/>
          <w:szCs w:val="22"/>
          <w:u w:val="single"/>
        </w:rPr>
        <w:t>下沙校区（含生活区，东校区）、研究生公寓及教学区、教师公寓室内</w:t>
      </w:r>
      <w:r>
        <w:rPr>
          <w:rFonts w:hint="eastAsia" w:cs="Times New Roman"/>
          <w:b w:val="0"/>
          <w:bCs w:val="0"/>
          <w:color w:val="auto"/>
          <w:sz w:val="24"/>
          <w:szCs w:val="22"/>
          <w:u w:val="single"/>
          <w:lang w:val="en-US" w:eastAsia="zh-CN"/>
        </w:rPr>
        <w:t>室外</w:t>
      </w:r>
      <w:r>
        <w:rPr>
          <w:rFonts w:hint="eastAsia" w:ascii="Times New Roman" w:hAnsi="Times New Roman" w:eastAsia="宋体" w:cs="Times New Roman"/>
          <w:b w:val="0"/>
          <w:bCs w:val="0"/>
          <w:color w:val="auto"/>
          <w:sz w:val="24"/>
          <w:szCs w:val="22"/>
          <w:u w:val="single"/>
          <w:lang w:val="en-US" w:eastAsia="zh-CN"/>
        </w:rPr>
        <w:t>等</w:t>
      </w:r>
      <w:r>
        <w:rPr>
          <w:rFonts w:hint="eastAsia" w:ascii="Times New Roman" w:hAnsi="Times New Roman" w:eastAsia="宋体" w:cs="Times New Roman"/>
          <w:b w:val="0"/>
          <w:bCs w:val="0"/>
          <w:color w:val="auto"/>
          <w:sz w:val="24"/>
          <w:szCs w:val="22"/>
        </w:rPr>
        <w:t>甲方指定地点</w:t>
      </w:r>
      <w:bookmarkEnd w:id="395"/>
      <w:r>
        <w:rPr>
          <w:rFonts w:hint="eastAsia" w:ascii="Times New Roman" w:hAnsi="Times New Roman" w:eastAsia="宋体" w:cs="Times New Roman"/>
          <w:b w:val="0"/>
          <w:bCs w:val="0"/>
          <w:color w:val="auto"/>
          <w:sz w:val="24"/>
          <w:szCs w:val="22"/>
          <w:lang w:eastAsia="zh-CN"/>
        </w:rPr>
        <w:t>。</w:t>
      </w:r>
    </w:p>
    <w:p>
      <w:pPr>
        <w:spacing w:line="360" w:lineRule="auto"/>
        <w:ind w:firstLine="422" w:firstLineChars="175"/>
        <w:rPr>
          <w:rFonts w:hint="eastAsia" w:ascii="Times New Roman" w:hAnsi="Times New Roman" w:eastAsia="宋体" w:cs="Times New Roman"/>
          <w:b/>
          <w:bCs/>
          <w:color w:val="auto"/>
          <w:sz w:val="24"/>
          <w:szCs w:val="22"/>
          <w:u w:val="none"/>
          <w:lang w:eastAsia="zh-CN"/>
        </w:rPr>
      </w:pPr>
      <w:r>
        <w:rPr>
          <w:rFonts w:hint="eastAsia" w:ascii="Times New Roman" w:hAnsi="Times New Roman" w:eastAsia="宋体" w:cs="Times New Roman"/>
          <w:b/>
          <w:bCs/>
          <w:color w:val="auto"/>
          <w:sz w:val="24"/>
          <w:szCs w:val="22"/>
        </w:rPr>
        <w:t>3、▲付款方式：</w:t>
      </w:r>
      <w:r>
        <w:rPr>
          <w:rFonts w:hint="eastAsia" w:ascii="Times New Roman" w:hAnsi="Times New Roman" w:eastAsia="宋体" w:cs="Times New Roman"/>
          <w:b w:val="0"/>
          <w:bCs w:val="0"/>
          <w:color w:val="auto"/>
          <w:sz w:val="24"/>
          <w:szCs w:val="22"/>
          <w:lang w:val="en-US" w:eastAsia="zh-CN"/>
        </w:rPr>
        <w:t>合同生效后</w:t>
      </w:r>
      <w:r>
        <w:rPr>
          <w:rFonts w:hint="eastAsia" w:ascii="Times New Roman" w:hAnsi="Times New Roman" w:eastAsia="宋体" w:cs="Times New Roman"/>
          <w:b w:val="0"/>
          <w:bCs w:val="0"/>
          <w:color w:val="auto"/>
          <w:sz w:val="24"/>
          <w:szCs w:val="22"/>
        </w:rPr>
        <w:t>，</w:t>
      </w:r>
      <w:r>
        <w:rPr>
          <w:rFonts w:hint="eastAsia" w:ascii="Times New Roman" w:hAnsi="Times New Roman" w:eastAsia="宋体" w:cs="Times New Roman"/>
          <w:b w:val="0"/>
          <w:bCs w:val="0"/>
          <w:color w:val="auto"/>
          <w:sz w:val="24"/>
          <w:szCs w:val="22"/>
          <w:u w:val="none"/>
        </w:rPr>
        <w:t>自合同签订之日起每半年验收一次，经甲方验收合格并收到有效发票后 10个工作日内，甲方向乙方支付合同总额的六分之一</w:t>
      </w:r>
      <w:r>
        <w:rPr>
          <w:rFonts w:hint="eastAsia" w:ascii="Times New Roman" w:hAnsi="Times New Roman" w:eastAsia="宋体" w:cs="Times New Roman"/>
          <w:b w:val="0"/>
          <w:bCs w:val="0"/>
          <w:color w:val="auto"/>
          <w:sz w:val="24"/>
          <w:szCs w:val="22"/>
          <w:u w:val="none"/>
          <w:lang w:eastAsia="zh-CN"/>
        </w:rPr>
        <w:t>。</w:t>
      </w:r>
    </w:p>
    <w:p>
      <w:pPr>
        <w:spacing w:line="360" w:lineRule="auto"/>
        <w:ind w:firstLine="422" w:firstLineChars="175"/>
        <w:rPr>
          <w:rFonts w:hint="eastAsia" w:ascii="Times New Roman" w:hAnsi="Times New Roman" w:eastAsia="宋体" w:cs="Times New Roman"/>
          <w:b/>
          <w:bCs/>
          <w:color w:val="auto"/>
          <w:sz w:val="24"/>
          <w:szCs w:val="22"/>
          <w:lang w:eastAsia="zh-CN"/>
        </w:rPr>
      </w:pPr>
      <w:r>
        <w:rPr>
          <w:rFonts w:hint="eastAsia" w:ascii="Times New Roman" w:hAnsi="Times New Roman" w:eastAsia="宋体" w:cs="Times New Roman"/>
          <w:b/>
          <w:bCs/>
          <w:color w:val="auto"/>
          <w:sz w:val="24"/>
          <w:szCs w:val="22"/>
          <w:lang w:val="en-US" w:eastAsia="zh-CN"/>
        </w:rPr>
        <w:t>4、</w:t>
      </w:r>
      <w:r>
        <w:rPr>
          <w:rFonts w:hint="eastAsia" w:ascii="Times New Roman" w:hAnsi="Times New Roman" w:eastAsia="宋体" w:cs="Times New Roman"/>
          <w:b/>
          <w:bCs/>
          <w:color w:val="auto"/>
          <w:sz w:val="24"/>
          <w:szCs w:val="22"/>
        </w:rPr>
        <w:t>评分标准及</w:t>
      </w:r>
      <w:r>
        <w:rPr>
          <w:rFonts w:hint="eastAsia" w:ascii="Times New Roman" w:hAnsi="Times New Roman" w:eastAsia="宋体" w:cs="Times New Roman"/>
          <w:b/>
          <w:bCs/>
          <w:color w:val="auto"/>
          <w:sz w:val="24"/>
          <w:szCs w:val="22"/>
          <w:lang w:val="en-US" w:eastAsia="zh-CN"/>
        </w:rPr>
        <w:t>合同基本条款</w:t>
      </w:r>
      <w:r>
        <w:rPr>
          <w:rFonts w:hint="eastAsia" w:ascii="Times New Roman" w:hAnsi="Times New Roman" w:eastAsia="宋体" w:cs="Times New Roman"/>
          <w:b/>
          <w:bCs/>
          <w:color w:val="auto"/>
          <w:sz w:val="24"/>
          <w:szCs w:val="22"/>
        </w:rPr>
        <w:t>中明确的其它相关要求</w:t>
      </w:r>
      <w:r>
        <w:rPr>
          <w:rFonts w:hint="eastAsia" w:ascii="Times New Roman" w:hAnsi="Times New Roman" w:eastAsia="宋体" w:cs="Times New Roman"/>
          <w:b/>
          <w:bCs/>
          <w:color w:val="auto"/>
          <w:sz w:val="24"/>
          <w:szCs w:val="22"/>
          <w:lang w:eastAsia="zh-CN"/>
        </w:rPr>
        <w:t>。</w:t>
      </w:r>
    </w:p>
    <w:p>
      <w:pPr>
        <w:spacing w:line="288" w:lineRule="auto"/>
        <w:jc w:val="left"/>
        <w:rPr>
          <w:rStyle w:val="55"/>
          <w:color w:val="auto"/>
        </w:rPr>
      </w:pPr>
      <w:r>
        <w:rPr>
          <w:rFonts w:hint="eastAsia" w:ascii="宋体" w:hAnsi="宋体" w:cs="宋体"/>
          <w:color w:val="auto"/>
          <w:sz w:val="24"/>
          <w:szCs w:val="24"/>
        </w:rPr>
        <w:br w:type="page"/>
      </w:r>
    </w:p>
    <w:bookmarkEnd w:id="386"/>
    <w:bookmarkEnd w:id="387"/>
    <w:bookmarkEnd w:id="388"/>
    <w:bookmarkEnd w:id="389"/>
    <w:bookmarkEnd w:id="390"/>
    <w:bookmarkEnd w:id="391"/>
    <w:bookmarkEnd w:id="392"/>
    <w:bookmarkEnd w:id="393"/>
    <w:bookmarkEnd w:id="394"/>
    <w:p>
      <w:pPr>
        <w:pStyle w:val="2"/>
        <w:bidi w:val="0"/>
        <w:outlineLvl w:val="0"/>
        <w:rPr>
          <w:rFonts w:hint="eastAsia"/>
          <w:color w:val="auto"/>
          <w:szCs w:val="22"/>
        </w:rPr>
      </w:pPr>
      <w:bookmarkStart w:id="396" w:name="_Toc1370_WPSOffice_Level1"/>
      <w:bookmarkStart w:id="397" w:name="_Toc19657"/>
      <w:bookmarkStart w:id="398" w:name="_Toc11774"/>
      <w:bookmarkStart w:id="399" w:name="_Toc26662"/>
      <w:bookmarkStart w:id="400" w:name="_Toc1851"/>
      <w:bookmarkStart w:id="401" w:name="_Toc9292"/>
      <w:bookmarkStart w:id="402" w:name="_Toc12327"/>
      <w:bookmarkStart w:id="403" w:name="_Toc28691"/>
      <w:bookmarkStart w:id="404" w:name="_Toc3339"/>
      <w:bookmarkStart w:id="405" w:name="_Toc8403"/>
      <w:bookmarkStart w:id="406" w:name="_Toc13623"/>
      <w:bookmarkStart w:id="407" w:name="_Toc18980"/>
      <w:bookmarkStart w:id="408" w:name="_Toc16392"/>
      <w:bookmarkStart w:id="409" w:name="_Toc19846"/>
      <w:bookmarkStart w:id="410" w:name="_Toc11902"/>
      <w:bookmarkStart w:id="411" w:name="_Toc18295"/>
      <w:bookmarkStart w:id="412" w:name="_Toc98"/>
      <w:bookmarkStart w:id="413" w:name="_Toc25130"/>
      <w:bookmarkStart w:id="414" w:name="_Toc3709"/>
      <w:bookmarkStart w:id="415" w:name="_Toc17732"/>
      <w:r>
        <w:rPr>
          <w:rFonts w:hint="eastAsia"/>
          <w:color w:val="auto"/>
          <w:szCs w:val="22"/>
        </w:rPr>
        <w:t>第四部分 评审办法与评分标准</w:t>
      </w:r>
      <w:bookmarkEnd w:id="396"/>
    </w:p>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Pr>
        <w:pStyle w:val="4"/>
        <w:ind w:left="0" w:firstLine="0"/>
        <w:outlineLvl w:val="1"/>
        <w:rPr>
          <w:color w:val="auto"/>
        </w:rPr>
      </w:pPr>
      <w:r>
        <w:rPr>
          <w:rFonts w:hint="eastAsia"/>
          <w:color w:val="auto"/>
        </w:rPr>
        <w:t>一、评审方法</w:t>
      </w:r>
    </w:p>
    <w:p>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pStyle w:val="4"/>
        <w:ind w:left="0" w:firstLine="0"/>
        <w:outlineLvl w:val="1"/>
        <w:rPr>
          <w:bCs/>
          <w:color w:val="auto"/>
          <w:sz w:val="24"/>
          <w:szCs w:val="24"/>
        </w:rPr>
      </w:pPr>
      <w:r>
        <w:rPr>
          <w:rFonts w:hint="eastAsia"/>
          <w:bCs/>
          <w:color w:val="auto"/>
          <w:sz w:val="24"/>
          <w:szCs w:val="24"/>
        </w:rPr>
        <w:t>二、评审标准</w:t>
      </w:r>
    </w:p>
    <w:tbl>
      <w:tblPr>
        <w:tblStyle w:val="4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84" w:hRule="atLeast"/>
        </w:trPr>
        <w:tc>
          <w:tcPr>
            <w:tcW w:w="1745" w:type="dxa"/>
            <w:vAlign w:val="center"/>
          </w:tcPr>
          <w:p>
            <w:pPr>
              <w:adjustRightInd w:val="0"/>
              <w:snapToGrid w:val="0"/>
              <w:spacing w:line="288" w:lineRule="auto"/>
              <w:jc w:val="center"/>
              <w:rPr>
                <w:b/>
                <w:bCs/>
                <w:color w:val="auto"/>
                <w:sz w:val="24"/>
                <w:szCs w:val="24"/>
              </w:rPr>
            </w:pPr>
            <w:r>
              <w:rPr>
                <w:rFonts w:hint="eastAsia"/>
                <w:b/>
                <w:bCs/>
                <w:color w:val="auto"/>
                <w:sz w:val="24"/>
                <w:szCs w:val="24"/>
              </w:rPr>
              <w:t>评审因素</w:t>
            </w:r>
          </w:p>
        </w:tc>
        <w:tc>
          <w:tcPr>
            <w:tcW w:w="854" w:type="dxa"/>
            <w:vAlign w:val="center"/>
          </w:tcPr>
          <w:p>
            <w:pPr>
              <w:adjustRightInd w:val="0"/>
              <w:snapToGrid w:val="0"/>
              <w:spacing w:line="288" w:lineRule="auto"/>
              <w:jc w:val="center"/>
              <w:rPr>
                <w:b/>
                <w:bCs/>
                <w:color w:val="auto"/>
                <w:sz w:val="24"/>
                <w:szCs w:val="24"/>
              </w:rPr>
            </w:pPr>
            <w:r>
              <w:rPr>
                <w:rFonts w:hint="eastAsia"/>
                <w:b/>
                <w:bCs/>
                <w:color w:val="auto"/>
                <w:sz w:val="24"/>
                <w:szCs w:val="24"/>
              </w:rPr>
              <w:t>分值</w:t>
            </w:r>
          </w:p>
        </w:tc>
        <w:tc>
          <w:tcPr>
            <w:tcW w:w="6757" w:type="dxa"/>
            <w:vAlign w:val="center"/>
          </w:tcPr>
          <w:p>
            <w:pPr>
              <w:adjustRightInd w:val="0"/>
              <w:snapToGrid w:val="0"/>
              <w:spacing w:line="288" w:lineRule="auto"/>
              <w:jc w:val="center"/>
              <w:rPr>
                <w:b/>
                <w:bCs/>
                <w:color w:val="auto"/>
                <w:sz w:val="24"/>
                <w:szCs w:val="24"/>
              </w:rPr>
            </w:pPr>
            <w:r>
              <w:rPr>
                <w:rFonts w:hint="eastAsia"/>
                <w:b/>
                <w:bCs/>
                <w:color w:val="auto"/>
                <w:sz w:val="24"/>
                <w:szCs w:val="24"/>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4"/>
                <w:szCs w:val="24"/>
              </w:rPr>
            </w:pPr>
            <w:r>
              <w:rPr>
                <w:rFonts w:hint="eastAsia"/>
                <w:b/>
                <w:bCs/>
                <w:color w:val="auto"/>
                <w:sz w:val="24"/>
                <w:szCs w:val="24"/>
              </w:rPr>
              <w:t>价格分（</w:t>
            </w:r>
            <w:r>
              <w:rPr>
                <w:rFonts w:hint="eastAsia"/>
                <w:b/>
                <w:bCs/>
                <w:color w:val="auto"/>
                <w:sz w:val="24"/>
                <w:szCs w:val="24"/>
                <w:lang w:val="en-US" w:eastAsia="zh-CN"/>
              </w:rPr>
              <w:t>20</w:t>
            </w:r>
            <w:r>
              <w:rPr>
                <w:rFonts w:hint="eastAsia"/>
                <w:b/>
                <w:bCs/>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4"/>
                <w:szCs w:val="24"/>
              </w:rPr>
            </w:pPr>
            <w:r>
              <w:rPr>
                <w:rFonts w:hint="eastAsia"/>
                <w:b/>
                <w:bCs/>
                <w:color w:val="auto"/>
                <w:sz w:val="24"/>
                <w:szCs w:val="24"/>
              </w:rPr>
              <w:t>最后磋商报价</w:t>
            </w:r>
          </w:p>
        </w:tc>
        <w:tc>
          <w:tcPr>
            <w:tcW w:w="854" w:type="dxa"/>
            <w:vAlign w:val="center"/>
          </w:tcPr>
          <w:p>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20</w:t>
            </w:r>
          </w:p>
        </w:tc>
        <w:tc>
          <w:tcPr>
            <w:tcW w:w="6757" w:type="dxa"/>
            <w:vAlign w:val="center"/>
          </w:tcPr>
          <w:p>
            <w:pPr>
              <w:adjustRightInd w:val="0"/>
              <w:snapToGrid w:val="0"/>
              <w:spacing w:line="288" w:lineRule="auto"/>
              <w:ind w:firstLine="480" w:firstLineChars="200"/>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pPr>
              <w:adjustRightInd w:val="0"/>
              <w:snapToGrid w:val="0"/>
              <w:spacing w:line="288" w:lineRule="auto"/>
              <w:rPr>
                <w:color w:val="auto"/>
              </w:rPr>
            </w:pPr>
            <w:r>
              <w:rPr>
                <w:rFonts w:hint="eastAsia"/>
                <w:color w:val="auto"/>
                <w:sz w:val="24"/>
                <w:szCs w:val="24"/>
              </w:rPr>
              <w:t>磋商报价得分</w:t>
            </w:r>
            <w:r>
              <w:rPr>
                <w:color w:val="auto"/>
                <w:sz w:val="24"/>
                <w:szCs w:val="24"/>
              </w:rPr>
              <w:t>=（磋商基准价/最后磋商报价）×</w:t>
            </w:r>
            <w:r>
              <w:rPr>
                <w:rFonts w:hint="eastAsia"/>
                <w:color w:val="auto"/>
                <w:sz w:val="24"/>
                <w:szCs w:val="24"/>
                <w:lang w:val="en-US" w:eastAsia="zh-CN"/>
              </w:rPr>
              <w:t>20</w:t>
            </w:r>
            <w:r>
              <w:rPr>
                <w:rFonts w:hint="eastAsia"/>
                <w:color w:val="auto"/>
                <w:sz w:val="24"/>
                <w:szCs w:val="24"/>
              </w:rPr>
              <w:t>%</w:t>
            </w:r>
            <w:r>
              <w:rPr>
                <w:color w:val="auto"/>
                <w:sz w:val="24"/>
                <w:szCs w:val="24"/>
              </w:rPr>
              <w:t>×100</w:t>
            </w:r>
            <w:r>
              <w:rPr>
                <w:rFonts w:hint="eastAsia"/>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4"/>
                <w:szCs w:val="24"/>
              </w:rPr>
            </w:pPr>
            <w:r>
              <w:rPr>
                <w:rFonts w:hint="eastAsia"/>
                <w:b/>
                <w:bCs/>
                <w:color w:val="auto"/>
                <w:sz w:val="24"/>
                <w:szCs w:val="24"/>
              </w:rPr>
              <w:t>商务分（</w:t>
            </w:r>
            <w:r>
              <w:rPr>
                <w:rFonts w:hint="eastAsia"/>
                <w:b/>
                <w:bCs/>
                <w:color w:val="auto"/>
                <w:sz w:val="24"/>
                <w:szCs w:val="24"/>
                <w:lang w:val="en-US" w:eastAsia="zh-CN"/>
              </w:rPr>
              <w:t>6</w:t>
            </w:r>
            <w:r>
              <w:rPr>
                <w:rFonts w:hint="eastAsia"/>
                <w:b/>
                <w:bCs/>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4"/>
                <w:szCs w:val="24"/>
              </w:rPr>
            </w:pPr>
            <w:r>
              <w:rPr>
                <w:rFonts w:hint="eastAsia"/>
                <w:b/>
                <w:bCs/>
                <w:color w:val="auto"/>
                <w:sz w:val="24"/>
                <w:szCs w:val="24"/>
              </w:rPr>
              <w:t>业绩</w:t>
            </w:r>
          </w:p>
        </w:tc>
        <w:tc>
          <w:tcPr>
            <w:tcW w:w="854" w:type="dxa"/>
            <w:vAlign w:val="center"/>
          </w:tcPr>
          <w:p>
            <w:pPr>
              <w:adjustRightInd w:val="0"/>
              <w:snapToGrid w:val="0"/>
              <w:spacing w:line="288" w:lineRule="auto"/>
              <w:jc w:val="center"/>
              <w:rPr>
                <w:b/>
                <w:bCs/>
                <w:color w:val="auto"/>
                <w:sz w:val="24"/>
                <w:szCs w:val="24"/>
              </w:rPr>
            </w:pPr>
            <w:r>
              <w:rPr>
                <w:b/>
                <w:bCs/>
                <w:color w:val="auto"/>
                <w:sz w:val="24"/>
                <w:szCs w:val="24"/>
              </w:rPr>
              <w:t>2</w:t>
            </w:r>
          </w:p>
        </w:tc>
        <w:tc>
          <w:tcPr>
            <w:tcW w:w="6757" w:type="dxa"/>
            <w:vAlign w:val="center"/>
          </w:tcPr>
          <w:p>
            <w:pPr>
              <w:adjustRightInd w:val="0"/>
              <w:snapToGrid w:val="0"/>
              <w:spacing w:line="288" w:lineRule="auto"/>
              <w:rPr>
                <w:rFonts w:hint="eastAsia"/>
                <w:color w:val="auto"/>
              </w:rPr>
            </w:pPr>
            <w:r>
              <w:rPr>
                <w:rFonts w:hint="eastAsia" w:ascii="宋体" w:hAnsi="Times New Roman" w:eastAsia="宋体" w:cs="Times New Roman"/>
                <w:color w:val="auto"/>
                <w:kern w:val="2"/>
                <w:sz w:val="24"/>
                <w:szCs w:val="24"/>
                <w:u w:val="none"/>
                <w:lang w:val="en-US" w:eastAsia="zh-CN" w:bidi="ar-SA"/>
              </w:rPr>
              <w:t>供应商自</w:t>
            </w:r>
            <w:r>
              <w:rPr>
                <w:rFonts w:hint="eastAsia" w:ascii="宋体" w:cs="Times New Roman"/>
                <w:color w:val="auto"/>
                <w:kern w:val="2"/>
                <w:sz w:val="24"/>
                <w:szCs w:val="24"/>
                <w:u w:val="none"/>
                <w:lang w:val="en-US" w:eastAsia="zh-CN" w:bidi="ar-SA"/>
              </w:rPr>
              <w:t>2023</w:t>
            </w:r>
            <w:r>
              <w:rPr>
                <w:rFonts w:hint="eastAsia" w:ascii="宋体" w:hAnsi="Times New Roman" w:eastAsia="宋体" w:cs="Times New Roman"/>
                <w:color w:val="auto"/>
                <w:kern w:val="2"/>
                <w:sz w:val="24"/>
                <w:szCs w:val="24"/>
                <w:u w:val="none"/>
                <w:lang w:val="en-US" w:eastAsia="zh-CN" w:bidi="ar-SA"/>
              </w:rPr>
              <w:t>年</w:t>
            </w:r>
            <w:r>
              <w:rPr>
                <w:rFonts w:hint="eastAsia" w:ascii="宋体" w:cs="Times New Roman"/>
                <w:color w:val="auto"/>
                <w:kern w:val="2"/>
                <w:sz w:val="24"/>
                <w:szCs w:val="24"/>
                <w:u w:val="none"/>
                <w:lang w:val="en-US" w:eastAsia="zh-CN" w:bidi="ar-SA"/>
              </w:rPr>
              <w:t>1</w:t>
            </w:r>
            <w:r>
              <w:rPr>
                <w:rFonts w:hint="eastAsia" w:ascii="宋体" w:hAnsi="Times New Roman" w:eastAsia="宋体" w:cs="Times New Roman"/>
                <w:color w:val="auto"/>
                <w:kern w:val="2"/>
                <w:sz w:val="24"/>
                <w:szCs w:val="24"/>
                <w:u w:val="none"/>
                <w:lang w:val="en-US" w:eastAsia="zh-CN" w:bidi="ar-SA"/>
              </w:rPr>
              <w:t>月1日以来（以合同签订时间为准）同类成功案例的业绩（以提供的合同扫描件为准）：每提供1份合同业绩得1分，最高得2分。</w:t>
            </w:r>
            <w:r>
              <w:rPr>
                <w:rFonts w:hint="eastAsia"/>
                <w:b/>
                <w:bCs/>
                <w:color w:val="auto"/>
                <w:sz w:val="24"/>
                <w:szCs w:val="24"/>
                <w:lang w:val="en-US" w:eastAsia="zh-CN"/>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公司实力</w:t>
            </w:r>
          </w:p>
        </w:tc>
        <w:tc>
          <w:tcPr>
            <w:tcW w:w="854" w:type="dxa"/>
            <w:vAlign w:val="center"/>
          </w:tcPr>
          <w:p>
            <w:pPr>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4</w:t>
            </w:r>
          </w:p>
        </w:tc>
        <w:tc>
          <w:tcPr>
            <w:tcW w:w="6757" w:type="dxa"/>
            <w:vAlign w:val="center"/>
          </w:tcPr>
          <w:p>
            <w:pPr>
              <w:adjustRightInd w:val="0"/>
              <w:snapToGrid w:val="0"/>
              <w:spacing w:line="288" w:lineRule="auto"/>
              <w:rPr>
                <w:rFonts w:hint="default" w:eastAsia="宋体"/>
                <w:color w:val="auto"/>
                <w:sz w:val="24"/>
                <w:szCs w:val="24"/>
                <w:lang w:val="en-US" w:eastAsia="zh-CN"/>
              </w:rPr>
            </w:pPr>
            <w:r>
              <w:rPr>
                <w:rFonts w:hint="eastAsia"/>
                <w:color w:val="auto"/>
                <w:sz w:val="24"/>
                <w:szCs w:val="24"/>
              </w:rPr>
              <w:t>供应商具有有效的质量管理体系认证证书、环境管理体系认证证书、职业健康安全管理体系认证证书、质量服务诚信等级证书。每提供一份得1分，最高得</w:t>
            </w:r>
            <w:r>
              <w:rPr>
                <w:rFonts w:hint="eastAsia"/>
                <w:color w:val="auto"/>
                <w:sz w:val="24"/>
                <w:szCs w:val="24"/>
                <w:lang w:val="en-US" w:eastAsia="zh-CN"/>
              </w:rPr>
              <w:t>4</w:t>
            </w:r>
            <w:r>
              <w:rPr>
                <w:rFonts w:hint="eastAsia"/>
                <w:color w:val="auto"/>
                <w:sz w:val="24"/>
                <w:szCs w:val="24"/>
              </w:rPr>
              <w:t>分。</w:t>
            </w:r>
            <w:r>
              <w:rPr>
                <w:rFonts w:hint="eastAsia"/>
                <w:b/>
                <w:bCs/>
                <w:color w:val="auto"/>
                <w:sz w:val="24"/>
                <w:szCs w:val="24"/>
                <w:lang w:val="en-US" w:eastAsia="zh-CN"/>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4"/>
                <w:szCs w:val="24"/>
              </w:rPr>
            </w:pPr>
            <w:r>
              <w:rPr>
                <w:rFonts w:hint="eastAsia"/>
                <w:b/>
                <w:bCs/>
                <w:color w:val="auto"/>
                <w:sz w:val="24"/>
                <w:szCs w:val="24"/>
              </w:rPr>
              <w:t>技术分（</w:t>
            </w:r>
            <w:r>
              <w:rPr>
                <w:rFonts w:hint="eastAsia"/>
                <w:b/>
                <w:bCs/>
                <w:color w:val="auto"/>
                <w:sz w:val="24"/>
                <w:szCs w:val="24"/>
                <w:lang w:val="en-US" w:eastAsia="zh-CN"/>
              </w:rPr>
              <w:t>74</w:t>
            </w:r>
            <w:r>
              <w:rPr>
                <w:rFonts w:hint="eastAsia"/>
                <w:b/>
                <w:bCs/>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4"/>
                <w:szCs w:val="24"/>
              </w:rPr>
            </w:pPr>
            <w:r>
              <w:rPr>
                <w:rFonts w:hint="eastAsia"/>
                <w:b/>
                <w:bCs/>
                <w:color w:val="auto"/>
                <w:sz w:val="24"/>
                <w:szCs w:val="24"/>
              </w:rPr>
              <w:t>服务内容响应情况</w:t>
            </w:r>
          </w:p>
        </w:tc>
        <w:tc>
          <w:tcPr>
            <w:tcW w:w="854" w:type="dxa"/>
            <w:vAlign w:val="center"/>
          </w:tcPr>
          <w:p>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20</w:t>
            </w:r>
          </w:p>
        </w:tc>
        <w:tc>
          <w:tcPr>
            <w:tcW w:w="6757" w:type="dxa"/>
            <w:vAlign w:val="center"/>
          </w:tcPr>
          <w:p>
            <w:pPr>
              <w:adjustRightInd w:val="0"/>
              <w:snapToGrid w:val="0"/>
              <w:spacing w:line="288" w:lineRule="auto"/>
              <w:rPr>
                <w:rFonts w:hint="default" w:eastAsia="宋体"/>
                <w:color w:val="auto"/>
                <w:sz w:val="24"/>
                <w:szCs w:val="24"/>
                <w:lang w:val="en-US" w:eastAsia="zh-CN"/>
              </w:rPr>
            </w:pPr>
            <w:r>
              <w:rPr>
                <w:rFonts w:hint="eastAsia"/>
                <w:color w:val="auto"/>
                <w:sz w:val="24"/>
                <w:szCs w:val="24"/>
              </w:rPr>
              <w:t>响应条款全部满足竞争性磋商文件采购需求的得满分；低于采购需求（负偏离）的，每项扣</w:t>
            </w:r>
            <w:r>
              <w:rPr>
                <w:rFonts w:hint="eastAsia"/>
                <w:color w:val="auto"/>
                <w:sz w:val="24"/>
                <w:szCs w:val="24"/>
                <w:lang w:val="en-US" w:eastAsia="zh-CN"/>
              </w:rPr>
              <w:t>2</w:t>
            </w:r>
            <w:r>
              <w:rPr>
                <w:rFonts w:hint="eastAsia"/>
                <w:color w:val="auto"/>
                <w:sz w:val="24"/>
                <w:szCs w:val="24"/>
              </w:rPr>
              <w:t>分，低于采购需求（负偏离）达到5条及以上的响应无效。</w:t>
            </w:r>
            <w:r>
              <w:rPr>
                <w:rFonts w:hint="eastAsia"/>
                <w:color w:val="auto"/>
                <w:sz w:val="24"/>
                <w:szCs w:val="24"/>
                <w:lang w:val="en-US" w:eastAsia="zh-CN"/>
              </w:rPr>
              <w:t>最高20分。</w:t>
            </w:r>
            <w:r>
              <w:rPr>
                <w:rFonts w:hint="eastAsia"/>
                <w:b/>
                <w:bCs/>
                <w:color w:val="auto"/>
                <w:sz w:val="24"/>
                <w:szCs w:val="24"/>
                <w:lang w:val="en-US" w:eastAsia="zh-CN"/>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4"/>
                <w:szCs w:val="24"/>
              </w:rPr>
            </w:pPr>
            <w:r>
              <w:rPr>
                <w:rFonts w:hint="eastAsia"/>
                <w:b/>
                <w:bCs/>
                <w:color w:val="auto"/>
                <w:sz w:val="24"/>
                <w:szCs w:val="24"/>
              </w:rPr>
              <w:t>拟派项目组成员情况</w:t>
            </w:r>
          </w:p>
        </w:tc>
        <w:tc>
          <w:tcPr>
            <w:tcW w:w="854" w:type="dxa"/>
            <w:vAlign w:val="center"/>
          </w:tcPr>
          <w:p>
            <w:pPr>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9</w:t>
            </w:r>
          </w:p>
        </w:tc>
        <w:tc>
          <w:tcPr>
            <w:tcW w:w="6757" w:type="dxa"/>
            <w:vAlign w:val="center"/>
          </w:tcPr>
          <w:p>
            <w:pPr>
              <w:adjustRightInd w:val="0"/>
              <w:snapToGrid w:val="0"/>
              <w:spacing w:line="288" w:lineRule="auto"/>
              <w:rPr>
                <w:rFonts w:hint="default" w:eastAsia="宋体"/>
                <w:color w:val="auto"/>
                <w:sz w:val="24"/>
                <w:szCs w:val="24"/>
                <w:lang w:val="en-US" w:eastAsia="zh-CN"/>
              </w:rPr>
            </w:pPr>
            <w:r>
              <w:rPr>
                <w:rFonts w:hint="eastAsia"/>
                <w:color w:val="auto"/>
                <w:sz w:val="24"/>
                <w:szCs w:val="24"/>
              </w:rPr>
              <w:t>指派专职项目负责人相关工作经验</w:t>
            </w:r>
            <w:r>
              <w:rPr>
                <w:rFonts w:hint="eastAsia"/>
                <w:color w:val="auto"/>
                <w:sz w:val="24"/>
                <w:szCs w:val="24"/>
                <w:lang w:eastAsia="zh-CN"/>
              </w:rPr>
              <w:t>（</w:t>
            </w:r>
            <w:r>
              <w:rPr>
                <w:rFonts w:hint="eastAsia"/>
                <w:color w:val="auto"/>
                <w:sz w:val="24"/>
                <w:szCs w:val="24"/>
                <w:lang w:val="en-US" w:eastAsia="zh-CN"/>
              </w:rPr>
              <w:t>1分</w:t>
            </w:r>
            <w:r>
              <w:rPr>
                <w:rFonts w:hint="eastAsia"/>
                <w:color w:val="auto"/>
                <w:sz w:val="24"/>
                <w:szCs w:val="24"/>
                <w:lang w:eastAsia="zh-CN"/>
              </w:rPr>
              <w:t>）</w:t>
            </w:r>
            <w:r>
              <w:rPr>
                <w:rFonts w:hint="eastAsia"/>
                <w:color w:val="auto"/>
                <w:sz w:val="24"/>
                <w:szCs w:val="24"/>
              </w:rPr>
              <w:t>、履历</w:t>
            </w:r>
            <w:r>
              <w:rPr>
                <w:rFonts w:hint="eastAsia"/>
                <w:color w:val="auto"/>
                <w:sz w:val="24"/>
                <w:szCs w:val="24"/>
                <w:lang w:eastAsia="zh-CN"/>
              </w:rPr>
              <w:t>（</w:t>
            </w:r>
            <w:r>
              <w:rPr>
                <w:rFonts w:hint="eastAsia"/>
                <w:color w:val="auto"/>
                <w:sz w:val="24"/>
                <w:szCs w:val="24"/>
                <w:lang w:val="en-US" w:eastAsia="zh-CN"/>
              </w:rPr>
              <w:t>1分）</w:t>
            </w:r>
            <w:r>
              <w:rPr>
                <w:rFonts w:hint="eastAsia"/>
                <w:color w:val="auto"/>
                <w:sz w:val="24"/>
                <w:szCs w:val="24"/>
              </w:rPr>
              <w:t>、提供污水处理管理工程师资质证书</w:t>
            </w:r>
            <w:r>
              <w:rPr>
                <w:rFonts w:hint="eastAsia"/>
                <w:color w:val="auto"/>
                <w:sz w:val="24"/>
                <w:szCs w:val="24"/>
                <w:lang w:eastAsia="zh-CN"/>
              </w:rPr>
              <w:t>（</w:t>
            </w:r>
            <w:r>
              <w:rPr>
                <w:rFonts w:hint="eastAsia"/>
                <w:color w:val="auto"/>
                <w:sz w:val="24"/>
                <w:szCs w:val="24"/>
                <w:lang w:val="en-US" w:eastAsia="zh-CN"/>
              </w:rPr>
              <w:t>1分）</w:t>
            </w:r>
            <w:r>
              <w:rPr>
                <w:rFonts w:hint="eastAsia"/>
                <w:color w:val="auto"/>
                <w:sz w:val="24"/>
                <w:szCs w:val="24"/>
              </w:rPr>
              <w:t>，提供相关施工人安全员</w:t>
            </w:r>
            <w:r>
              <w:rPr>
                <w:rFonts w:hint="eastAsia"/>
                <w:color w:val="auto"/>
                <w:sz w:val="24"/>
                <w:szCs w:val="24"/>
                <w:lang w:val="en-US" w:eastAsia="zh-CN"/>
              </w:rPr>
              <w:t>证书</w:t>
            </w:r>
            <w:r>
              <w:rPr>
                <w:rFonts w:hint="eastAsia"/>
                <w:color w:val="auto"/>
                <w:sz w:val="24"/>
                <w:szCs w:val="24"/>
                <w:lang w:eastAsia="zh-CN"/>
              </w:rPr>
              <w:t>（</w:t>
            </w:r>
            <w:r>
              <w:rPr>
                <w:rFonts w:hint="eastAsia"/>
                <w:color w:val="auto"/>
                <w:sz w:val="24"/>
                <w:szCs w:val="24"/>
                <w:lang w:val="en-US" w:eastAsia="zh-CN"/>
              </w:rPr>
              <w:t>1分）</w:t>
            </w:r>
            <w:r>
              <w:rPr>
                <w:rFonts w:hint="eastAsia"/>
                <w:color w:val="auto"/>
                <w:sz w:val="24"/>
                <w:szCs w:val="24"/>
              </w:rPr>
              <w:t>、质量员</w:t>
            </w:r>
            <w:r>
              <w:rPr>
                <w:rFonts w:hint="eastAsia"/>
                <w:color w:val="auto"/>
                <w:sz w:val="24"/>
                <w:szCs w:val="24"/>
                <w:lang w:val="en-US" w:eastAsia="zh-CN"/>
              </w:rPr>
              <w:t>证书（1分）</w:t>
            </w:r>
            <w:r>
              <w:rPr>
                <w:rFonts w:hint="eastAsia"/>
                <w:color w:val="auto"/>
                <w:sz w:val="24"/>
                <w:szCs w:val="24"/>
              </w:rPr>
              <w:t>、机械员</w:t>
            </w:r>
            <w:r>
              <w:rPr>
                <w:rFonts w:hint="eastAsia"/>
                <w:color w:val="auto"/>
                <w:sz w:val="24"/>
                <w:szCs w:val="24"/>
                <w:lang w:val="en-US" w:eastAsia="zh-CN"/>
              </w:rPr>
              <w:t>证书（1分）</w:t>
            </w:r>
            <w:r>
              <w:rPr>
                <w:rFonts w:hint="eastAsia"/>
                <w:color w:val="auto"/>
                <w:sz w:val="24"/>
                <w:szCs w:val="24"/>
              </w:rPr>
              <w:t>、市政排水管道有限空间作业培训</w:t>
            </w:r>
            <w:r>
              <w:rPr>
                <w:rFonts w:hint="eastAsia"/>
                <w:color w:val="auto"/>
                <w:sz w:val="24"/>
                <w:szCs w:val="24"/>
                <w:lang w:val="en-US" w:eastAsia="zh-CN"/>
              </w:rPr>
              <w:t>相关证书（1分）</w:t>
            </w:r>
            <w:r>
              <w:rPr>
                <w:rFonts w:hint="eastAsia"/>
                <w:color w:val="auto"/>
                <w:sz w:val="24"/>
                <w:szCs w:val="24"/>
              </w:rPr>
              <w:t>、生活污废水处理（中级工或以上）资格证书</w:t>
            </w:r>
            <w:r>
              <w:rPr>
                <w:rFonts w:hint="eastAsia"/>
                <w:color w:val="auto"/>
                <w:sz w:val="24"/>
                <w:szCs w:val="24"/>
                <w:lang w:eastAsia="zh-CN"/>
              </w:rPr>
              <w:t>（</w:t>
            </w:r>
            <w:r>
              <w:rPr>
                <w:rFonts w:hint="eastAsia"/>
                <w:color w:val="auto"/>
                <w:sz w:val="24"/>
                <w:szCs w:val="24"/>
                <w:lang w:val="en-US" w:eastAsia="zh-CN"/>
              </w:rPr>
              <w:t>1分</w:t>
            </w:r>
            <w:r>
              <w:rPr>
                <w:rFonts w:hint="eastAsia"/>
                <w:color w:val="auto"/>
                <w:sz w:val="24"/>
                <w:szCs w:val="24"/>
                <w:lang w:eastAsia="zh-CN"/>
              </w:rPr>
              <w:t>）</w:t>
            </w:r>
            <w:r>
              <w:rPr>
                <w:rFonts w:hint="eastAsia"/>
                <w:color w:val="auto"/>
                <w:sz w:val="24"/>
                <w:szCs w:val="24"/>
              </w:rPr>
              <w:t>、化粪池中级清掏或以上职称证书</w:t>
            </w:r>
            <w:r>
              <w:rPr>
                <w:rFonts w:hint="eastAsia"/>
                <w:color w:val="auto"/>
                <w:sz w:val="24"/>
                <w:szCs w:val="24"/>
                <w:lang w:eastAsia="zh-CN"/>
              </w:rPr>
              <w:t>（</w:t>
            </w:r>
            <w:r>
              <w:rPr>
                <w:rFonts w:hint="eastAsia"/>
                <w:color w:val="auto"/>
                <w:sz w:val="24"/>
                <w:szCs w:val="24"/>
                <w:lang w:val="en-US" w:eastAsia="zh-CN"/>
              </w:rPr>
              <w:t>1分）</w:t>
            </w:r>
            <w:r>
              <w:rPr>
                <w:rFonts w:hint="eastAsia"/>
                <w:color w:val="auto"/>
                <w:sz w:val="24"/>
                <w:szCs w:val="24"/>
              </w:rPr>
              <w:t>复印件</w:t>
            </w:r>
            <w:r>
              <w:rPr>
                <w:rFonts w:hint="eastAsia"/>
                <w:color w:val="auto"/>
                <w:sz w:val="24"/>
                <w:szCs w:val="24"/>
                <w:lang w:eastAsia="zh-CN"/>
              </w:rPr>
              <w:t>。</w:t>
            </w:r>
            <w:r>
              <w:rPr>
                <w:rFonts w:hint="eastAsia"/>
                <w:color w:val="auto"/>
                <w:sz w:val="24"/>
                <w:szCs w:val="24"/>
              </w:rPr>
              <w:t>每满足1项得1分</w:t>
            </w:r>
            <w:r>
              <w:rPr>
                <w:rFonts w:hint="eastAsia"/>
                <w:color w:val="auto"/>
                <w:sz w:val="24"/>
                <w:szCs w:val="24"/>
                <w:lang w:eastAsia="zh-CN"/>
              </w:rPr>
              <w:t>，</w:t>
            </w:r>
            <w:r>
              <w:rPr>
                <w:rFonts w:hint="eastAsia"/>
                <w:color w:val="auto"/>
                <w:sz w:val="24"/>
                <w:szCs w:val="24"/>
                <w:lang w:val="en-US" w:eastAsia="zh-CN"/>
              </w:rPr>
              <w:t>最高9分。</w:t>
            </w:r>
            <w:r>
              <w:rPr>
                <w:rFonts w:hint="eastAsia"/>
                <w:b/>
                <w:bCs/>
                <w:color w:val="auto"/>
                <w:sz w:val="24"/>
                <w:szCs w:val="24"/>
                <w:lang w:val="en-US" w:eastAsia="zh-CN"/>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rFonts w:hint="eastAsia"/>
                <w:b/>
                <w:bCs/>
                <w:color w:val="auto"/>
                <w:sz w:val="24"/>
                <w:szCs w:val="24"/>
              </w:rPr>
            </w:pPr>
            <w:r>
              <w:rPr>
                <w:rFonts w:hint="eastAsia"/>
                <w:b/>
                <w:bCs/>
                <w:color w:val="auto"/>
                <w:sz w:val="24"/>
                <w:szCs w:val="24"/>
              </w:rPr>
              <w:t>拟投入车辆情况</w:t>
            </w:r>
          </w:p>
        </w:tc>
        <w:tc>
          <w:tcPr>
            <w:tcW w:w="854" w:type="dxa"/>
            <w:vAlign w:val="center"/>
          </w:tcPr>
          <w:p>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10</w:t>
            </w:r>
          </w:p>
        </w:tc>
        <w:tc>
          <w:tcPr>
            <w:tcW w:w="6757" w:type="dxa"/>
            <w:vAlign w:val="center"/>
          </w:tcPr>
          <w:p>
            <w:pPr>
              <w:adjustRightInd w:val="0"/>
              <w:snapToGrid w:val="0"/>
              <w:spacing w:line="288" w:lineRule="auto"/>
              <w:rPr>
                <w:rFonts w:hint="default" w:eastAsia="宋体"/>
                <w:color w:val="auto"/>
                <w:sz w:val="24"/>
                <w:szCs w:val="24"/>
                <w:lang w:val="en-US" w:eastAsia="zh-CN"/>
              </w:rPr>
            </w:pPr>
            <w:r>
              <w:rPr>
                <w:rFonts w:hint="eastAsia"/>
                <w:color w:val="auto"/>
                <w:sz w:val="24"/>
                <w:szCs w:val="24"/>
                <w:lang w:val="en-US" w:eastAsia="zh-CN"/>
              </w:rPr>
              <w:t>供应商</w:t>
            </w:r>
            <w:r>
              <w:rPr>
                <w:rFonts w:hint="eastAsia"/>
                <w:color w:val="auto"/>
                <w:sz w:val="24"/>
                <w:szCs w:val="24"/>
              </w:rPr>
              <w:t>针对本项目</w:t>
            </w:r>
            <w:r>
              <w:rPr>
                <w:rFonts w:hint="eastAsia"/>
                <w:color w:val="auto"/>
                <w:sz w:val="24"/>
                <w:szCs w:val="24"/>
                <w:lang w:val="en-US" w:eastAsia="zh-CN"/>
              </w:rPr>
              <w:t>合理配置</w:t>
            </w:r>
            <w:r>
              <w:rPr>
                <w:rFonts w:hint="eastAsia"/>
                <w:color w:val="auto"/>
                <w:sz w:val="24"/>
                <w:szCs w:val="24"/>
              </w:rPr>
              <w:t>的车辆，每</w:t>
            </w:r>
            <w:r>
              <w:rPr>
                <w:rFonts w:hint="eastAsia"/>
                <w:color w:val="auto"/>
                <w:sz w:val="24"/>
                <w:szCs w:val="24"/>
                <w:lang w:val="en-US" w:eastAsia="zh-CN"/>
              </w:rPr>
              <w:t>提供一</w:t>
            </w:r>
            <w:r>
              <w:rPr>
                <w:rFonts w:hint="eastAsia"/>
                <w:color w:val="auto"/>
                <w:sz w:val="24"/>
                <w:szCs w:val="24"/>
              </w:rPr>
              <w:t>辆得2分；最高10分。</w:t>
            </w:r>
            <w:r>
              <w:rPr>
                <w:rFonts w:hint="eastAsia"/>
                <w:color w:val="auto"/>
                <w:sz w:val="24"/>
                <w:szCs w:val="24"/>
                <w:lang w:val="en-US" w:eastAsia="zh-CN"/>
              </w:rPr>
              <w:t>须</w:t>
            </w:r>
            <w:r>
              <w:rPr>
                <w:rFonts w:hint="eastAsia"/>
                <w:color w:val="auto"/>
                <w:sz w:val="24"/>
                <w:szCs w:val="24"/>
              </w:rPr>
              <w:t>提供与</w:t>
            </w:r>
            <w:r>
              <w:rPr>
                <w:rFonts w:hint="eastAsia"/>
                <w:color w:val="auto"/>
                <w:sz w:val="24"/>
                <w:szCs w:val="24"/>
                <w:lang w:val="en-US" w:eastAsia="zh-CN"/>
              </w:rPr>
              <w:t>自己</w:t>
            </w:r>
            <w:r>
              <w:rPr>
                <w:rFonts w:hint="eastAsia"/>
                <w:color w:val="auto"/>
                <w:sz w:val="24"/>
                <w:szCs w:val="24"/>
              </w:rPr>
              <w:t>公司相关联的车辆行驶证等证明文件</w:t>
            </w:r>
            <w:r>
              <w:rPr>
                <w:rFonts w:hint="eastAsia"/>
                <w:color w:val="auto"/>
                <w:sz w:val="24"/>
                <w:szCs w:val="24"/>
                <w:lang w:eastAsia="zh-CN"/>
              </w:rPr>
              <w:t>，</w:t>
            </w:r>
            <w:r>
              <w:rPr>
                <w:rFonts w:hint="eastAsia"/>
                <w:color w:val="auto"/>
                <w:sz w:val="24"/>
                <w:szCs w:val="24"/>
                <w:lang w:val="en-US" w:eastAsia="zh-CN"/>
              </w:rPr>
              <w:t>未提供不得分</w:t>
            </w:r>
            <w:r>
              <w:rPr>
                <w:rFonts w:hint="eastAsia"/>
                <w:color w:val="auto"/>
                <w:sz w:val="24"/>
                <w:szCs w:val="24"/>
              </w:rPr>
              <w:t>。</w:t>
            </w:r>
            <w:r>
              <w:rPr>
                <w:rFonts w:hint="eastAsia"/>
                <w:b/>
                <w:bCs/>
                <w:color w:val="auto"/>
                <w:sz w:val="24"/>
                <w:szCs w:val="24"/>
                <w:lang w:val="en-US" w:eastAsia="zh-CN"/>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spacing w:line="288" w:lineRule="auto"/>
              <w:jc w:val="center"/>
              <w:rPr>
                <w:b/>
                <w:bCs/>
                <w:color w:val="auto"/>
                <w:sz w:val="24"/>
                <w:szCs w:val="24"/>
              </w:rPr>
            </w:pPr>
            <w:r>
              <w:rPr>
                <w:rFonts w:hint="eastAsia" w:ascii="宋体" w:hAnsi="宋体" w:cs="宋体"/>
                <w:b/>
                <w:bCs/>
                <w:color w:val="auto"/>
                <w:spacing w:val="-6"/>
                <w:kern w:val="2"/>
                <w:sz w:val="24"/>
                <w:szCs w:val="24"/>
                <w:lang w:bidi="ar"/>
              </w:rPr>
              <w:t xml:space="preserve">项目实施方案 </w:t>
            </w:r>
          </w:p>
        </w:tc>
        <w:tc>
          <w:tcPr>
            <w:tcW w:w="854" w:type="dxa"/>
            <w:vAlign w:val="center"/>
          </w:tcPr>
          <w:p>
            <w:pPr>
              <w:spacing w:line="288" w:lineRule="auto"/>
              <w:jc w:val="center"/>
              <w:rPr>
                <w:rFonts w:hint="eastAsia" w:eastAsia="宋体"/>
                <w:b/>
                <w:bCs/>
                <w:color w:val="auto"/>
                <w:sz w:val="24"/>
                <w:szCs w:val="24"/>
                <w:lang w:eastAsia="zh-CN"/>
              </w:rPr>
            </w:pPr>
            <w:r>
              <w:rPr>
                <w:rFonts w:hint="eastAsia" w:ascii="宋体" w:hAnsi="宋体" w:cs="宋体"/>
                <w:b/>
                <w:bCs/>
                <w:color w:val="auto"/>
                <w:spacing w:val="-6"/>
                <w:kern w:val="2"/>
                <w:sz w:val="24"/>
                <w:szCs w:val="24"/>
                <w:lang w:val="en-US" w:eastAsia="zh-CN" w:bidi="ar"/>
              </w:rPr>
              <w:t>6</w:t>
            </w:r>
          </w:p>
        </w:tc>
        <w:tc>
          <w:tcPr>
            <w:tcW w:w="6757" w:type="dxa"/>
            <w:vAlign w:val="center"/>
          </w:tcPr>
          <w:p>
            <w:pPr>
              <w:spacing w:line="288" w:lineRule="auto"/>
              <w:jc w:val="left"/>
              <w:rPr>
                <w:color w:val="auto"/>
                <w:sz w:val="24"/>
                <w:szCs w:val="24"/>
              </w:rPr>
            </w:pPr>
            <w:r>
              <w:rPr>
                <w:rFonts w:hint="eastAsia" w:ascii="宋体" w:hAnsi="宋体" w:cs="宋体"/>
                <w:color w:val="auto"/>
                <w:spacing w:val="-6"/>
                <w:kern w:val="2"/>
                <w:sz w:val="24"/>
                <w:szCs w:val="24"/>
                <w:lang w:bidi="ar"/>
              </w:rPr>
              <w:t>化粪池清理实施方案（机械化作业方案</w:t>
            </w:r>
            <w:r>
              <w:rPr>
                <w:rFonts w:hint="eastAsia" w:ascii="宋体" w:hAnsi="宋体" w:cs="宋体"/>
                <w:color w:val="auto"/>
                <w:spacing w:val="-6"/>
                <w:kern w:val="2"/>
                <w:sz w:val="24"/>
                <w:szCs w:val="24"/>
                <w:lang w:val="en-US" w:eastAsia="zh-CN" w:bidi="ar"/>
              </w:rPr>
              <w:t>3</w:t>
            </w:r>
            <w:r>
              <w:rPr>
                <w:rFonts w:hint="eastAsia" w:ascii="宋体" w:hAnsi="宋体" w:cs="宋体"/>
                <w:color w:val="auto"/>
                <w:spacing w:val="-6"/>
                <w:kern w:val="2"/>
                <w:sz w:val="24"/>
                <w:szCs w:val="24"/>
                <w:lang w:bidi="ar"/>
              </w:rPr>
              <w:t>分、人工作业方案</w:t>
            </w:r>
            <w:r>
              <w:rPr>
                <w:rFonts w:hint="eastAsia" w:ascii="宋体" w:hAnsi="宋体" w:cs="宋体"/>
                <w:color w:val="auto"/>
                <w:spacing w:val="-6"/>
                <w:kern w:val="2"/>
                <w:sz w:val="24"/>
                <w:szCs w:val="24"/>
                <w:lang w:val="en-US" w:eastAsia="zh-CN" w:bidi="ar"/>
              </w:rPr>
              <w:t>3</w:t>
            </w:r>
            <w:r>
              <w:rPr>
                <w:rFonts w:hint="eastAsia" w:ascii="宋体" w:hAnsi="宋体" w:cs="宋体"/>
                <w:color w:val="auto"/>
                <w:spacing w:val="-6"/>
                <w:kern w:val="2"/>
                <w:sz w:val="24"/>
                <w:szCs w:val="24"/>
                <w:lang w:bidi="ar"/>
              </w:rPr>
              <w:t>分），</w:t>
            </w:r>
            <w:r>
              <w:rPr>
                <w:rFonts w:hint="eastAsia" w:ascii="宋体" w:hAnsi="宋体" w:cs="宋体"/>
                <w:color w:val="auto"/>
                <w:spacing w:val="-6"/>
                <w:kern w:val="2"/>
                <w:sz w:val="24"/>
                <w:szCs w:val="24"/>
                <w:lang w:val="en-US" w:eastAsia="zh-CN" w:bidi="ar"/>
              </w:rPr>
              <w:t>根据</w:t>
            </w:r>
            <w:r>
              <w:rPr>
                <w:rFonts w:hint="eastAsia" w:ascii="宋体" w:hAnsi="宋体" w:cs="宋体"/>
                <w:color w:val="auto"/>
                <w:spacing w:val="-6"/>
                <w:kern w:val="2"/>
                <w:sz w:val="24"/>
                <w:szCs w:val="24"/>
                <w:lang w:bidi="ar"/>
              </w:rPr>
              <w:t>方案</w:t>
            </w:r>
            <w:r>
              <w:rPr>
                <w:rFonts w:hint="eastAsia" w:cs="宋体"/>
                <w:color w:val="auto"/>
                <w:spacing w:val="-6"/>
                <w:kern w:val="2"/>
                <w:sz w:val="24"/>
                <w:szCs w:val="24"/>
                <w:lang w:bidi="ar"/>
              </w:rPr>
              <w:t>的完整性、合理性</w:t>
            </w:r>
            <w:r>
              <w:rPr>
                <w:rFonts w:hint="eastAsia" w:cs="宋体"/>
                <w:color w:val="auto"/>
                <w:spacing w:val="-6"/>
                <w:kern w:val="2"/>
                <w:sz w:val="24"/>
                <w:szCs w:val="24"/>
                <w:lang w:val="en-US" w:eastAsia="zh-CN" w:bidi="ar"/>
              </w:rPr>
              <w:t>打分</w:t>
            </w:r>
            <w:r>
              <w:rPr>
                <w:rFonts w:hint="eastAsia" w:cs="宋体"/>
                <w:color w:val="auto"/>
                <w:spacing w:val="-6"/>
                <w:kern w:val="2"/>
                <w:sz w:val="24"/>
                <w:szCs w:val="24"/>
                <w:lang w:bidi="ar"/>
              </w:rPr>
              <w:t>，本项最高</w:t>
            </w:r>
            <w:r>
              <w:rPr>
                <w:rFonts w:hint="eastAsia" w:cs="宋体"/>
                <w:color w:val="auto"/>
                <w:spacing w:val="-6"/>
                <w:kern w:val="2"/>
                <w:sz w:val="24"/>
                <w:szCs w:val="24"/>
                <w:lang w:val="en-US" w:eastAsia="zh-CN" w:bidi="ar"/>
              </w:rPr>
              <w:t>6</w:t>
            </w:r>
            <w:r>
              <w:rPr>
                <w:rFonts w:hint="eastAsia" w:cs="宋体"/>
                <w:color w:val="auto"/>
                <w:spacing w:val="-6"/>
                <w:kern w:val="2"/>
                <w:sz w:val="24"/>
                <w:szCs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spacing w:line="288" w:lineRule="auto"/>
              <w:jc w:val="center"/>
              <w:rPr>
                <w:rFonts w:ascii="宋体" w:hAnsi="宋体" w:cs="宋体"/>
                <w:b/>
                <w:bCs/>
                <w:color w:val="auto"/>
                <w:spacing w:val="-6"/>
                <w:kern w:val="2"/>
                <w:sz w:val="24"/>
                <w:szCs w:val="24"/>
                <w:lang w:bidi="ar"/>
              </w:rPr>
            </w:pPr>
          </w:p>
        </w:tc>
        <w:tc>
          <w:tcPr>
            <w:tcW w:w="854" w:type="dxa"/>
            <w:vAlign w:val="center"/>
          </w:tcPr>
          <w:p>
            <w:pPr>
              <w:spacing w:line="288" w:lineRule="auto"/>
              <w:jc w:val="center"/>
              <w:rPr>
                <w:rFonts w:hint="eastAsia" w:ascii="宋体" w:hAnsi="宋体" w:eastAsia="宋体" w:cs="宋体"/>
                <w:b/>
                <w:bCs/>
                <w:color w:val="auto"/>
                <w:spacing w:val="-6"/>
                <w:kern w:val="2"/>
                <w:sz w:val="24"/>
                <w:szCs w:val="24"/>
                <w:lang w:eastAsia="zh-CN" w:bidi="ar"/>
              </w:rPr>
            </w:pPr>
            <w:r>
              <w:rPr>
                <w:rFonts w:hint="eastAsia" w:cs="宋体"/>
                <w:b/>
                <w:bCs/>
                <w:color w:val="auto"/>
                <w:spacing w:val="-6"/>
                <w:kern w:val="2"/>
                <w:sz w:val="24"/>
                <w:szCs w:val="24"/>
                <w:lang w:val="en-US" w:eastAsia="zh-CN" w:bidi="ar"/>
              </w:rPr>
              <w:t>5</w:t>
            </w:r>
          </w:p>
        </w:tc>
        <w:tc>
          <w:tcPr>
            <w:tcW w:w="6757" w:type="dxa"/>
            <w:vAlign w:val="center"/>
          </w:tcPr>
          <w:p>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bidi="ar"/>
              </w:rPr>
              <w:t>主排污管道、化粪池管道、过渡井、检查井实施方案的针对性、完整性、适用性、可行性，本项最高</w:t>
            </w:r>
            <w:r>
              <w:rPr>
                <w:rFonts w:hint="eastAsia" w:ascii="宋体" w:hAnsi="宋体" w:cs="宋体"/>
                <w:color w:val="auto"/>
                <w:spacing w:val="-6"/>
                <w:kern w:val="2"/>
                <w:sz w:val="24"/>
                <w:szCs w:val="24"/>
                <w:lang w:val="en-US" w:eastAsia="zh-CN" w:bidi="ar"/>
              </w:rPr>
              <w:t>5</w:t>
            </w:r>
            <w:r>
              <w:rPr>
                <w:rFonts w:hint="eastAsia" w:ascii="宋体" w:hAnsi="宋体" w:cs="宋体"/>
                <w:color w:val="auto"/>
                <w:spacing w:val="-6"/>
                <w:kern w:val="2"/>
                <w:sz w:val="24"/>
                <w:szCs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spacing w:line="288" w:lineRule="auto"/>
              <w:jc w:val="center"/>
              <w:rPr>
                <w:rFonts w:ascii="宋体" w:hAnsi="宋体" w:cs="宋体"/>
                <w:b/>
                <w:bCs/>
                <w:color w:val="auto"/>
                <w:spacing w:val="-6"/>
                <w:kern w:val="2"/>
                <w:sz w:val="24"/>
                <w:szCs w:val="24"/>
                <w:lang w:bidi="ar"/>
              </w:rPr>
            </w:pPr>
          </w:p>
        </w:tc>
        <w:tc>
          <w:tcPr>
            <w:tcW w:w="854" w:type="dxa"/>
            <w:vAlign w:val="center"/>
          </w:tcPr>
          <w:p>
            <w:pPr>
              <w:spacing w:line="288" w:lineRule="auto"/>
              <w:jc w:val="center"/>
              <w:rPr>
                <w:rFonts w:hint="eastAsia" w:eastAsia="宋体" w:cs="宋体"/>
                <w:b/>
                <w:bCs/>
                <w:color w:val="auto"/>
                <w:spacing w:val="-6"/>
                <w:kern w:val="2"/>
                <w:sz w:val="24"/>
                <w:szCs w:val="24"/>
                <w:lang w:eastAsia="zh-CN" w:bidi="ar"/>
              </w:rPr>
            </w:pPr>
            <w:r>
              <w:rPr>
                <w:rFonts w:hint="eastAsia" w:cs="宋体"/>
                <w:b/>
                <w:bCs/>
                <w:color w:val="auto"/>
                <w:spacing w:val="-6"/>
                <w:kern w:val="2"/>
                <w:sz w:val="24"/>
                <w:szCs w:val="24"/>
                <w:lang w:val="en-US" w:eastAsia="zh-CN" w:bidi="ar"/>
              </w:rPr>
              <w:t>4</w:t>
            </w:r>
          </w:p>
        </w:tc>
        <w:tc>
          <w:tcPr>
            <w:tcW w:w="6757" w:type="dxa"/>
            <w:vAlign w:val="center"/>
          </w:tcPr>
          <w:p>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bidi="ar"/>
              </w:rPr>
              <w:t>服务质量保障措施的针对性、完整性、适用性、可行性，本项最高4分。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spacing w:line="288" w:lineRule="auto"/>
              <w:jc w:val="center"/>
              <w:rPr>
                <w:rFonts w:ascii="宋体" w:hAnsi="宋体" w:cs="宋体"/>
                <w:b/>
                <w:bCs/>
                <w:color w:val="auto"/>
                <w:spacing w:val="-6"/>
                <w:kern w:val="2"/>
                <w:sz w:val="24"/>
                <w:szCs w:val="24"/>
                <w:lang w:bidi="ar"/>
              </w:rPr>
            </w:pPr>
          </w:p>
        </w:tc>
        <w:tc>
          <w:tcPr>
            <w:tcW w:w="854" w:type="dxa"/>
            <w:vAlign w:val="center"/>
          </w:tcPr>
          <w:p>
            <w:pPr>
              <w:spacing w:line="288" w:lineRule="auto"/>
              <w:jc w:val="center"/>
              <w:rPr>
                <w:rFonts w:hint="eastAsia" w:ascii="宋体" w:hAnsi="宋体" w:eastAsia="宋体" w:cs="宋体"/>
                <w:b/>
                <w:bCs/>
                <w:color w:val="auto"/>
                <w:spacing w:val="-6"/>
                <w:kern w:val="2"/>
                <w:sz w:val="24"/>
                <w:szCs w:val="24"/>
                <w:lang w:eastAsia="zh-CN" w:bidi="ar"/>
              </w:rPr>
            </w:pPr>
            <w:r>
              <w:rPr>
                <w:rFonts w:hint="eastAsia" w:cs="宋体"/>
                <w:b/>
                <w:bCs/>
                <w:color w:val="auto"/>
                <w:spacing w:val="-6"/>
                <w:kern w:val="2"/>
                <w:sz w:val="24"/>
                <w:szCs w:val="24"/>
                <w:lang w:val="en-US" w:eastAsia="zh-CN" w:bidi="ar"/>
              </w:rPr>
              <w:t>4</w:t>
            </w:r>
          </w:p>
        </w:tc>
        <w:tc>
          <w:tcPr>
            <w:tcW w:w="6757" w:type="dxa"/>
            <w:vAlign w:val="center"/>
          </w:tcPr>
          <w:p>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bidi="ar"/>
              </w:rPr>
              <w:t>安全作业保障措施的针对性、完整性、适用性、可行性，本项最高4分。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spacing w:line="288" w:lineRule="auto"/>
              <w:jc w:val="center"/>
              <w:rPr>
                <w:b/>
                <w:bCs/>
                <w:color w:val="auto"/>
                <w:sz w:val="24"/>
                <w:szCs w:val="24"/>
              </w:rPr>
            </w:pPr>
            <w:r>
              <w:rPr>
                <w:rFonts w:hint="eastAsia" w:ascii="宋体" w:hAnsi="宋体" w:cs="宋体"/>
                <w:b/>
                <w:bCs/>
                <w:color w:val="auto"/>
                <w:kern w:val="2"/>
                <w:sz w:val="24"/>
                <w:szCs w:val="24"/>
                <w:lang w:bidi="ar"/>
              </w:rPr>
              <w:t>工作重点、难点及其解决措施</w:t>
            </w:r>
          </w:p>
        </w:tc>
        <w:tc>
          <w:tcPr>
            <w:tcW w:w="854" w:type="dxa"/>
            <w:vAlign w:val="center"/>
          </w:tcPr>
          <w:p>
            <w:pPr>
              <w:spacing w:line="288" w:lineRule="auto"/>
              <w:jc w:val="center"/>
              <w:rPr>
                <w:rFonts w:hint="eastAsia" w:eastAsia="宋体"/>
                <w:b/>
                <w:bCs/>
                <w:color w:val="auto"/>
                <w:sz w:val="24"/>
                <w:szCs w:val="24"/>
                <w:lang w:eastAsia="zh-CN"/>
              </w:rPr>
            </w:pPr>
            <w:r>
              <w:rPr>
                <w:rFonts w:hint="eastAsia" w:cs="宋体"/>
                <w:b/>
                <w:bCs/>
                <w:color w:val="auto"/>
                <w:spacing w:val="-6"/>
                <w:kern w:val="2"/>
                <w:sz w:val="24"/>
                <w:szCs w:val="24"/>
                <w:lang w:val="en-US" w:eastAsia="zh-CN" w:bidi="ar"/>
              </w:rPr>
              <w:t>4</w:t>
            </w:r>
          </w:p>
        </w:tc>
        <w:tc>
          <w:tcPr>
            <w:tcW w:w="6757" w:type="dxa"/>
            <w:vAlign w:val="center"/>
          </w:tcPr>
          <w:p>
            <w:pPr>
              <w:spacing w:line="288" w:lineRule="auto"/>
              <w:rPr>
                <w:color w:val="auto"/>
                <w:sz w:val="24"/>
                <w:szCs w:val="24"/>
              </w:rPr>
            </w:pPr>
            <w:r>
              <w:rPr>
                <w:rFonts w:hint="eastAsia" w:ascii="宋体" w:hAnsi="宋体" w:cs="宋体"/>
                <w:color w:val="auto"/>
                <w:kern w:val="2"/>
                <w:sz w:val="24"/>
                <w:szCs w:val="24"/>
                <w:lang w:bidi="ar"/>
              </w:rPr>
              <w:t>供应商就本项目重点、难点分析情况，根据完整性、合理性打分，本项最高4分。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spacing w:line="288" w:lineRule="auto"/>
              <w:jc w:val="center"/>
              <w:rPr>
                <w:rFonts w:hint="eastAsia" w:ascii="宋体" w:hAnsi="宋体" w:cs="宋体"/>
                <w:b/>
                <w:bCs/>
                <w:color w:val="auto"/>
                <w:kern w:val="2"/>
                <w:sz w:val="24"/>
                <w:szCs w:val="24"/>
                <w:lang w:bidi="ar"/>
              </w:rPr>
            </w:pPr>
          </w:p>
        </w:tc>
        <w:tc>
          <w:tcPr>
            <w:tcW w:w="854" w:type="dxa"/>
            <w:vAlign w:val="center"/>
          </w:tcPr>
          <w:p>
            <w:pPr>
              <w:spacing w:line="288" w:lineRule="auto"/>
              <w:jc w:val="center"/>
              <w:rPr>
                <w:rFonts w:hint="default" w:cs="宋体"/>
                <w:b/>
                <w:bCs/>
                <w:color w:val="auto"/>
                <w:spacing w:val="-6"/>
                <w:kern w:val="2"/>
                <w:sz w:val="24"/>
                <w:szCs w:val="24"/>
                <w:lang w:val="en-US" w:eastAsia="zh-CN" w:bidi="ar"/>
              </w:rPr>
            </w:pPr>
            <w:r>
              <w:rPr>
                <w:rFonts w:hint="eastAsia" w:cs="宋体"/>
                <w:b/>
                <w:bCs/>
                <w:color w:val="auto"/>
                <w:spacing w:val="-6"/>
                <w:kern w:val="2"/>
                <w:sz w:val="24"/>
                <w:szCs w:val="24"/>
                <w:lang w:val="en-US" w:eastAsia="zh-CN" w:bidi="ar"/>
              </w:rPr>
              <w:t>4</w:t>
            </w:r>
          </w:p>
        </w:tc>
        <w:tc>
          <w:tcPr>
            <w:tcW w:w="6757" w:type="dxa"/>
            <w:vAlign w:val="center"/>
          </w:tcPr>
          <w:p>
            <w:pPr>
              <w:spacing w:line="288" w:lineRule="auto"/>
              <w:rPr>
                <w:rFonts w:hint="eastAsia" w:ascii="宋体" w:hAnsi="宋体" w:eastAsia="宋体" w:cs="宋体"/>
                <w:color w:val="auto"/>
                <w:kern w:val="2"/>
                <w:sz w:val="24"/>
                <w:szCs w:val="24"/>
                <w:lang w:eastAsia="zh-CN" w:bidi="ar"/>
              </w:rPr>
            </w:pPr>
            <w:r>
              <w:rPr>
                <w:rFonts w:hint="eastAsia" w:ascii="宋体" w:hAnsi="宋体" w:cs="宋体"/>
                <w:color w:val="auto"/>
                <w:kern w:val="2"/>
                <w:sz w:val="24"/>
                <w:szCs w:val="24"/>
                <w:lang w:bidi="ar"/>
              </w:rPr>
              <w:t>针对本项目重难点问题提供相应解决措施的合理、可行性，本项最高4分</w:t>
            </w:r>
            <w:r>
              <w:rPr>
                <w:rFonts w:hint="eastAsia" w:ascii="宋体" w:hAnsi="宋体" w:cs="宋体"/>
                <w:color w:val="auto"/>
                <w:kern w:val="2"/>
                <w:sz w:val="24"/>
                <w:szCs w:val="24"/>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rFonts w:hint="eastAsia" w:eastAsia="宋体"/>
                <w:b/>
                <w:bCs/>
                <w:color w:val="auto"/>
                <w:sz w:val="24"/>
                <w:szCs w:val="24"/>
                <w:lang w:val="en-US" w:eastAsia="zh-CN"/>
              </w:rPr>
            </w:pPr>
            <w:r>
              <w:rPr>
                <w:rFonts w:hint="eastAsia"/>
                <w:b/>
                <w:bCs/>
                <w:color w:val="auto"/>
                <w:sz w:val="24"/>
                <w:szCs w:val="24"/>
              </w:rPr>
              <w:t>验收</w:t>
            </w:r>
            <w:r>
              <w:rPr>
                <w:rFonts w:hint="eastAsia"/>
                <w:b/>
                <w:bCs/>
                <w:color w:val="auto"/>
                <w:sz w:val="24"/>
                <w:szCs w:val="24"/>
                <w:lang w:val="en-US" w:eastAsia="zh-CN"/>
              </w:rPr>
              <w:t>方案</w:t>
            </w:r>
          </w:p>
        </w:tc>
        <w:tc>
          <w:tcPr>
            <w:tcW w:w="854" w:type="dxa"/>
            <w:vAlign w:val="center"/>
          </w:tcPr>
          <w:p>
            <w:pPr>
              <w:spacing w:line="288" w:lineRule="auto"/>
              <w:jc w:val="center"/>
              <w:rPr>
                <w:rFonts w:hint="default" w:cs="宋体"/>
                <w:b/>
                <w:bCs/>
                <w:color w:val="auto"/>
                <w:spacing w:val="-6"/>
                <w:kern w:val="2"/>
                <w:sz w:val="24"/>
                <w:szCs w:val="24"/>
                <w:lang w:val="en-US" w:eastAsia="zh-CN" w:bidi="ar"/>
              </w:rPr>
            </w:pPr>
            <w:r>
              <w:rPr>
                <w:rFonts w:hint="eastAsia" w:cs="宋体"/>
                <w:b/>
                <w:bCs/>
                <w:color w:val="auto"/>
                <w:spacing w:val="-6"/>
                <w:kern w:val="2"/>
                <w:sz w:val="24"/>
                <w:szCs w:val="24"/>
                <w:lang w:val="en-US" w:eastAsia="zh-CN" w:bidi="ar"/>
              </w:rPr>
              <w:t>4</w:t>
            </w:r>
          </w:p>
        </w:tc>
        <w:tc>
          <w:tcPr>
            <w:tcW w:w="6757" w:type="dxa"/>
            <w:vAlign w:val="center"/>
          </w:tcPr>
          <w:p>
            <w:pPr>
              <w:spacing w:line="288" w:lineRule="auto"/>
              <w:rPr>
                <w:color w:val="auto"/>
                <w:sz w:val="24"/>
                <w:szCs w:val="24"/>
              </w:rPr>
            </w:pPr>
            <w:r>
              <w:rPr>
                <w:rFonts w:hint="eastAsia"/>
                <w:color w:val="auto"/>
                <w:sz w:val="24"/>
                <w:szCs w:val="24"/>
              </w:rPr>
              <w:t>供应商提供的验收方案的完整性、合理性，本项最高</w:t>
            </w:r>
            <w:r>
              <w:rPr>
                <w:rFonts w:hint="eastAsia"/>
                <w:color w:val="auto"/>
                <w:sz w:val="24"/>
                <w:szCs w:val="24"/>
                <w:lang w:val="en-US" w:eastAsia="zh-CN"/>
              </w:rPr>
              <w:t>4</w:t>
            </w:r>
            <w:r>
              <w:rPr>
                <w:rFonts w:hint="eastAsia"/>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4"/>
                <w:szCs w:val="24"/>
              </w:rPr>
            </w:pPr>
            <w:r>
              <w:rPr>
                <w:rFonts w:hint="eastAsia"/>
                <w:b/>
                <w:bCs/>
                <w:color w:val="auto"/>
                <w:sz w:val="24"/>
                <w:szCs w:val="24"/>
              </w:rPr>
              <w:t>应急保障</w:t>
            </w:r>
          </w:p>
        </w:tc>
        <w:tc>
          <w:tcPr>
            <w:tcW w:w="854" w:type="dxa"/>
            <w:vAlign w:val="center"/>
          </w:tcPr>
          <w:p>
            <w:pPr>
              <w:spacing w:line="288" w:lineRule="auto"/>
              <w:jc w:val="center"/>
              <w:rPr>
                <w:rFonts w:hint="eastAsia" w:eastAsia="宋体"/>
                <w:b/>
                <w:bCs/>
                <w:color w:val="auto"/>
                <w:sz w:val="24"/>
                <w:szCs w:val="24"/>
                <w:lang w:eastAsia="zh-CN"/>
              </w:rPr>
            </w:pPr>
            <w:r>
              <w:rPr>
                <w:rFonts w:hint="eastAsia" w:cs="宋体"/>
                <w:b/>
                <w:bCs/>
                <w:color w:val="auto"/>
                <w:spacing w:val="-6"/>
                <w:kern w:val="2"/>
                <w:sz w:val="24"/>
                <w:szCs w:val="24"/>
                <w:lang w:val="en-US" w:eastAsia="zh-CN" w:bidi="ar"/>
              </w:rPr>
              <w:t>4</w:t>
            </w:r>
          </w:p>
        </w:tc>
        <w:tc>
          <w:tcPr>
            <w:tcW w:w="6757" w:type="dxa"/>
            <w:vAlign w:val="center"/>
          </w:tcPr>
          <w:p>
            <w:pPr>
              <w:spacing w:line="288" w:lineRule="auto"/>
              <w:rPr>
                <w:color w:val="auto"/>
                <w:sz w:val="24"/>
                <w:szCs w:val="24"/>
              </w:rPr>
            </w:pPr>
            <w:r>
              <w:rPr>
                <w:rFonts w:hint="eastAsia"/>
                <w:color w:val="auto"/>
                <w:sz w:val="24"/>
                <w:szCs w:val="24"/>
              </w:rPr>
              <w:t>遇到突发情况时</w:t>
            </w:r>
            <w:r>
              <w:rPr>
                <w:rFonts w:hint="eastAsia"/>
                <w:color w:val="auto"/>
                <w:sz w:val="24"/>
                <w:szCs w:val="24"/>
                <w:lang w:val="en-US" w:eastAsia="zh-CN"/>
              </w:rPr>
              <w:t>供应商</w:t>
            </w:r>
            <w:r>
              <w:rPr>
                <w:rFonts w:hint="eastAsia"/>
                <w:color w:val="auto"/>
                <w:sz w:val="24"/>
                <w:szCs w:val="24"/>
              </w:rPr>
              <w:t>提供的处置能力及应急保障方案措施</w:t>
            </w:r>
            <w:r>
              <w:rPr>
                <w:rFonts w:hint="eastAsia"/>
                <w:color w:val="auto"/>
                <w:sz w:val="24"/>
                <w:szCs w:val="24"/>
                <w:lang w:val="en-US" w:eastAsia="zh-CN"/>
              </w:rPr>
              <w:t>等</w:t>
            </w:r>
            <w:r>
              <w:rPr>
                <w:rFonts w:hint="eastAsia"/>
                <w:color w:val="auto"/>
                <w:sz w:val="24"/>
                <w:szCs w:val="24"/>
              </w:rPr>
              <w:t>情况，</w:t>
            </w:r>
            <w:r>
              <w:rPr>
                <w:rFonts w:hint="eastAsia"/>
                <w:color w:val="auto"/>
                <w:sz w:val="24"/>
                <w:szCs w:val="24"/>
                <w:lang w:val="en-US" w:eastAsia="zh-CN"/>
              </w:rPr>
              <w:t>包含停置</w:t>
            </w:r>
            <w:r>
              <w:rPr>
                <w:rFonts w:hint="eastAsia"/>
                <w:color w:val="auto"/>
                <w:sz w:val="24"/>
                <w:szCs w:val="24"/>
              </w:rPr>
              <w:t>一辆疏通吸污车及配备一名专职管道疏通工</w:t>
            </w:r>
            <w:r>
              <w:rPr>
                <w:rFonts w:hint="eastAsia"/>
                <w:color w:val="auto"/>
                <w:sz w:val="24"/>
                <w:szCs w:val="24"/>
                <w:lang w:eastAsia="zh-CN"/>
              </w:rPr>
              <w:t>，</w:t>
            </w:r>
            <w:r>
              <w:rPr>
                <w:rFonts w:hint="eastAsia"/>
                <w:color w:val="auto"/>
                <w:sz w:val="24"/>
                <w:szCs w:val="24"/>
              </w:rPr>
              <w:t>在校内作为备用应急处理。</w:t>
            </w:r>
            <w:r>
              <w:rPr>
                <w:rFonts w:hint="eastAsia"/>
                <w:color w:val="auto"/>
                <w:sz w:val="24"/>
                <w:szCs w:val="24"/>
                <w:lang w:val="en-US" w:eastAsia="zh-CN"/>
              </w:rPr>
              <w:t>根据供应商的处置能力及方案的完整性、合理性打分。</w:t>
            </w:r>
            <w:r>
              <w:rPr>
                <w:rFonts w:hint="eastAsia"/>
                <w:color w:val="auto"/>
                <w:sz w:val="24"/>
                <w:szCs w:val="24"/>
              </w:rPr>
              <w:t>本项最高</w:t>
            </w:r>
            <w:r>
              <w:rPr>
                <w:rFonts w:hint="eastAsia"/>
                <w:color w:val="auto"/>
                <w:sz w:val="24"/>
                <w:szCs w:val="24"/>
                <w:lang w:val="en-US" w:eastAsia="zh-CN"/>
              </w:rPr>
              <w:t>4</w:t>
            </w:r>
            <w:r>
              <w:rPr>
                <w:rFonts w:hint="eastAsia"/>
                <w:color w:val="auto"/>
                <w:sz w:val="24"/>
                <w:szCs w:val="24"/>
              </w:rPr>
              <w:t>分。</w:t>
            </w:r>
          </w:p>
        </w:tc>
      </w:tr>
    </w:tbl>
    <w:p>
      <w:pPr>
        <w:pStyle w:val="21"/>
        <w:spacing w:before="120" w:beforeLines="50" w:line="288" w:lineRule="auto"/>
        <w:ind w:firstLine="422" w:firstLineChars="175"/>
        <w:rPr>
          <w:b/>
          <w:color w:val="auto"/>
          <w:szCs w:val="24"/>
        </w:rPr>
      </w:pPr>
      <w:r>
        <w:rPr>
          <w:rFonts w:hint="eastAsia"/>
          <w:b/>
          <w:color w:val="auto"/>
          <w:szCs w:val="24"/>
        </w:rPr>
        <w:t>注：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pPr>
        <w:widowControl/>
        <w:snapToGrid w:val="0"/>
        <w:spacing w:line="288" w:lineRule="auto"/>
        <w:ind w:firstLine="482" w:firstLineChars="200"/>
        <w:rPr>
          <w:rFonts w:ascii="宋体" w:hAnsi="宋体" w:cs="宋体"/>
          <w:b/>
          <w:bCs/>
          <w:color w:val="auto"/>
          <w:sz w:val="24"/>
          <w:szCs w:val="24"/>
        </w:rPr>
      </w:pPr>
      <w:bookmarkStart w:id="416" w:name="_Toc10701"/>
      <w:bookmarkStart w:id="417" w:name="_Toc20757"/>
      <w:bookmarkStart w:id="418" w:name="_Toc24145"/>
      <w:bookmarkStart w:id="419" w:name="_Toc1372"/>
      <w:bookmarkStart w:id="420" w:name="_Toc25244"/>
      <w:bookmarkStart w:id="421" w:name="_Toc6434"/>
      <w:bookmarkStart w:id="422" w:name="_Toc22598"/>
    </w:p>
    <w:p>
      <w:pPr>
        <w:spacing w:line="288" w:lineRule="auto"/>
        <w:ind w:firstLine="422" w:firstLineChars="175"/>
        <w:rPr>
          <w:rFonts w:ascii="宋体" w:hAnsi="宋体"/>
          <w:b/>
          <w:color w:val="auto"/>
          <w:sz w:val="24"/>
          <w:szCs w:val="24"/>
        </w:rPr>
      </w:pPr>
      <w:r>
        <w:rPr>
          <w:rFonts w:hint="eastAsia" w:ascii="宋体" w:hAnsi="宋体"/>
          <w:b/>
          <w:color w:val="auto"/>
          <w:sz w:val="24"/>
          <w:szCs w:val="24"/>
        </w:rPr>
        <w:br w:type="page"/>
      </w:r>
    </w:p>
    <w:bookmarkEnd w:id="416"/>
    <w:bookmarkEnd w:id="417"/>
    <w:bookmarkEnd w:id="418"/>
    <w:bookmarkEnd w:id="419"/>
    <w:bookmarkEnd w:id="420"/>
    <w:bookmarkEnd w:id="421"/>
    <w:bookmarkEnd w:id="422"/>
    <w:p>
      <w:pPr>
        <w:pStyle w:val="2"/>
        <w:keepNext/>
        <w:keepLines/>
        <w:pageBreakBefore w:val="0"/>
        <w:widowControl w:val="0"/>
        <w:kinsoku/>
        <w:wordWrap/>
        <w:overflowPunct/>
        <w:topLinePunct w:val="0"/>
        <w:autoSpaceDE/>
        <w:autoSpaceDN/>
        <w:bidi w:val="0"/>
        <w:adjustRightInd w:val="0"/>
        <w:snapToGrid/>
        <w:spacing w:before="0" w:after="0"/>
        <w:textAlignment w:val="auto"/>
        <w:outlineLvl w:val="0"/>
        <w:rPr>
          <w:color w:val="auto"/>
        </w:rPr>
      </w:pPr>
      <w:bookmarkStart w:id="423" w:name="_Toc2559_WPSOffice_Level1"/>
      <w:bookmarkStart w:id="424" w:name="_Toc886"/>
      <w:bookmarkStart w:id="425" w:name="_Toc30517"/>
      <w:bookmarkStart w:id="426" w:name="_Toc26629"/>
      <w:bookmarkStart w:id="427" w:name="_Toc8356"/>
      <w:bookmarkStart w:id="428" w:name="_Toc24190"/>
      <w:bookmarkStart w:id="429" w:name="_Toc1600"/>
      <w:bookmarkStart w:id="430" w:name="_Toc18610"/>
      <w:bookmarkStart w:id="431" w:name="_Toc22722"/>
      <w:bookmarkStart w:id="432" w:name="_Toc32613"/>
      <w:bookmarkStart w:id="433" w:name="_Toc11103"/>
      <w:bookmarkStart w:id="434" w:name="_Toc1047"/>
      <w:bookmarkStart w:id="435" w:name="_Toc10667"/>
      <w:bookmarkStart w:id="436" w:name="_Toc22400"/>
      <w:bookmarkStart w:id="437" w:name="_Toc16795"/>
      <w:bookmarkStart w:id="438" w:name="_Toc10262"/>
      <w:bookmarkStart w:id="439" w:name="_Toc2560"/>
      <w:bookmarkStart w:id="440" w:name="_Toc11486"/>
      <w:bookmarkStart w:id="441" w:name="_Toc8120"/>
      <w:bookmarkStart w:id="442" w:name="_Toc3807"/>
      <w:bookmarkStart w:id="443" w:name="_Toc12834"/>
      <w:bookmarkStart w:id="444" w:name="_Toc18687"/>
      <w:bookmarkStart w:id="445" w:name="_Toc16244"/>
      <w:bookmarkStart w:id="446" w:name="_Toc3727"/>
      <w:bookmarkStart w:id="447" w:name="_Toc13533"/>
      <w:bookmarkStart w:id="448" w:name="_Toc8338"/>
      <w:bookmarkStart w:id="449" w:name="_Toc6559"/>
      <w:r>
        <w:rPr>
          <w:rFonts w:hint="eastAsia"/>
          <w:color w:val="auto"/>
        </w:rPr>
        <w:t>第五部分 合同基本条款</w:t>
      </w:r>
      <w:bookmarkEnd w:id="423"/>
    </w:p>
    <w:bookmarkEnd w:id="424"/>
    <w:bookmarkEnd w:id="425"/>
    <w:p>
      <w:pPr>
        <w:snapToGrid w:val="0"/>
        <w:spacing w:line="360" w:lineRule="auto"/>
        <w:rPr>
          <w:rFonts w:hAnsi="宋体"/>
          <w:b/>
          <w:bCs/>
          <w:color w:val="auto"/>
          <w:spacing w:val="-6"/>
          <w:szCs w:val="21"/>
        </w:rPr>
      </w:pPr>
      <w:bookmarkStart w:id="450" w:name="_Toc32708"/>
      <w:bookmarkStart w:id="451" w:name="_Toc8672"/>
      <w:bookmarkStart w:id="452" w:name="_Toc721"/>
      <w:bookmarkStart w:id="453" w:name="_Toc23835"/>
      <w:bookmarkStart w:id="454" w:name="_Toc11617"/>
      <w:bookmarkStart w:id="455" w:name="_Toc22294"/>
      <w:bookmarkStart w:id="456" w:name="_Toc7308"/>
      <w:bookmarkStart w:id="457" w:name="_Toc641"/>
      <w:bookmarkStart w:id="458" w:name="_Toc2191"/>
      <w:bookmarkStart w:id="459" w:name="_Toc5553"/>
      <w:bookmarkStart w:id="460" w:name="_Toc27502"/>
      <w:bookmarkStart w:id="461" w:name="_Toc762"/>
      <w:bookmarkStart w:id="462" w:name="_Toc816"/>
      <w:bookmarkStart w:id="463" w:name="_Toc32309"/>
      <w:r>
        <w:rPr>
          <w:rFonts w:hint="eastAsia" w:hAnsi="宋体"/>
          <w:b/>
          <w:bCs/>
          <w:color w:val="auto"/>
          <w:spacing w:val="-6"/>
          <w:szCs w:val="21"/>
        </w:rPr>
        <w:t>注：响应方不响应本合同中的条款，必须在响应文件偏离表中注明，否则视同完全响应。本合同</w:t>
      </w:r>
      <w:r>
        <w:rPr>
          <w:rFonts w:hint="eastAsia" w:hAnsi="宋体"/>
          <w:b/>
          <w:bCs/>
          <w:color w:val="auto"/>
          <w:spacing w:val="-6"/>
          <w:szCs w:val="21"/>
          <w:lang w:val="en-US" w:eastAsia="zh-CN"/>
        </w:rPr>
        <w:t>样稿</w:t>
      </w:r>
      <w:r>
        <w:rPr>
          <w:rFonts w:hint="eastAsia" w:hAnsi="宋体"/>
          <w:b/>
          <w:bCs/>
          <w:color w:val="auto"/>
          <w:spacing w:val="-6"/>
          <w:szCs w:val="21"/>
        </w:rPr>
        <w:t>为</w:t>
      </w:r>
      <w:r>
        <w:rPr>
          <w:rFonts w:hint="eastAsia" w:hAnsi="宋体"/>
          <w:b/>
          <w:bCs/>
          <w:color w:val="auto"/>
          <w:spacing w:val="-6"/>
          <w:szCs w:val="21"/>
          <w:lang w:val="en-US" w:eastAsia="zh-CN"/>
        </w:rPr>
        <w:t>采购统一</w:t>
      </w:r>
      <w:r>
        <w:rPr>
          <w:rFonts w:hint="eastAsia" w:hAnsi="宋体"/>
          <w:b/>
          <w:bCs/>
          <w:color w:val="auto"/>
          <w:spacing w:val="-6"/>
          <w:szCs w:val="21"/>
        </w:rPr>
        <w:t>合同</w:t>
      </w:r>
      <w:r>
        <w:rPr>
          <w:rFonts w:hint="eastAsia" w:hAnsi="宋体"/>
          <w:b/>
          <w:bCs/>
          <w:color w:val="auto"/>
          <w:spacing w:val="-6"/>
          <w:szCs w:val="21"/>
          <w:lang w:val="en-US" w:eastAsia="zh-CN"/>
        </w:rPr>
        <w:t>模板</w:t>
      </w:r>
      <w:r>
        <w:rPr>
          <w:rFonts w:hint="eastAsia" w:hAnsi="宋体"/>
          <w:b/>
          <w:bCs/>
          <w:color w:val="auto"/>
          <w:spacing w:val="-6"/>
          <w:szCs w:val="21"/>
        </w:rPr>
        <w:t>，</w:t>
      </w:r>
      <w:r>
        <w:rPr>
          <w:rFonts w:hint="eastAsia" w:hAnsi="宋体"/>
          <w:b/>
          <w:bCs/>
          <w:color w:val="auto"/>
          <w:spacing w:val="-6"/>
          <w:szCs w:val="21"/>
          <w:lang w:val="en-US" w:eastAsia="zh-CN"/>
        </w:rPr>
        <w:t>实际签订时以采购文件和采购结果为准，如有争议</w:t>
      </w:r>
      <w:r>
        <w:rPr>
          <w:rFonts w:hint="eastAsia" w:hAnsi="宋体"/>
          <w:b/>
          <w:bCs/>
          <w:color w:val="auto"/>
          <w:spacing w:val="-6"/>
          <w:szCs w:val="21"/>
        </w:rPr>
        <w:t>以甲方法务审核后的版本为准。</w:t>
      </w:r>
    </w:p>
    <w:p>
      <w:pPr>
        <w:ind w:firstLine="562"/>
        <w:jc w:val="center"/>
        <w:outlineLvl w:val="0"/>
        <w:rPr>
          <w:color w:val="auto"/>
        </w:rPr>
      </w:pPr>
      <w:r>
        <w:rPr>
          <w:rFonts w:hint="eastAsia"/>
          <w:b/>
          <w:bCs/>
          <w:color w:val="auto"/>
          <w:sz w:val="28"/>
          <w:szCs w:val="28"/>
        </w:rPr>
        <w:t>杭州电子科技大学采购合同（服务类）</w:t>
      </w:r>
    </w:p>
    <w:p>
      <w:pPr>
        <w:jc w:val="right"/>
        <w:outlineLvl w:val="0"/>
        <w:rPr>
          <w:b/>
          <w:bCs/>
          <w:color w:val="auto"/>
        </w:rPr>
      </w:pPr>
      <w:r>
        <w:rPr>
          <w:rFonts w:hint="eastAsia"/>
          <w:color w:val="auto"/>
        </w:rPr>
        <w:t>合同编号_</w:t>
      </w:r>
      <w:r>
        <w:rPr>
          <w:color w:val="auto"/>
        </w:rPr>
        <w:t>________________</w:t>
      </w:r>
    </w:p>
    <w:p>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确认书号：</w:t>
      </w:r>
    </w:p>
    <w:p>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项目编号：</w:t>
      </w:r>
    </w:p>
    <w:p>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 xml:space="preserve">甲方（采购人）：杭州电子科技大学 </w:t>
      </w:r>
      <w:r>
        <w:rPr>
          <w:color w:val="auto"/>
          <w:sz w:val="21"/>
          <w:szCs w:val="21"/>
        </w:rPr>
        <w:t xml:space="preserve"> </w:t>
      </w:r>
    </w:p>
    <w:p>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乙方（供应商）：</w:t>
      </w:r>
      <w:r>
        <w:rPr>
          <w:color w:val="auto"/>
          <w:sz w:val="21"/>
          <w:szCs w:val="21"/>
        </w:rPr>
        <w:t xml:space="preserve"> </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为了保护甲乙双方合法权益，根据项目</w:t>
      </w:r>
      <w:r>
        <w:rPr>
          <w:color w:val="auto"/>
          <w:sz w:val="21"/>
          <w:szCs w:val="21"/>
          <w:u w:val="single"/>
        </w:rPr>
        <w:t xml:space="preserve">   (</w:t>
      </w:r>
      <w:r>
        <w:rPr>
          <w:rFonts w:hint="eastAsia"/>
          <w:color w:val="auto"/>
          <w:sz w:val="21"/>
          <w:szCs w:val="21"/>
          <w:u w:val="single"/>
        </w:rPr>
        <w:t>填项目名称</w:t>
      </w:r>
      <w:r>
        <w:rPr>
          <w:color w:val="auto"/>
          <w:sz w:val="21"/>
          <w:szCs w:val="21"/>
          <w:u w:val="single"/>
        </w:rPr>
        <w:t xml:space="preserve">)      </w:t>
      </w:r>
      <w:r>
        <w:rPr>
          <w:rFonts w:hint="eastAsia"/>
          <w:color w:val="auto"/>
          <w:sz w:val="21"/>
          <w:szCs w:val="21"/>
          <w:lang w:eastAsia="zh-CN"/>
        </w:rPr>
        <w:t>、</w:t>
      </w:r>
      <w:r>
        <w:rPr>
          <w:color w:val="auto"/>
          <w:sz w:val="21"/>
          <w:szCs w:val="21"/>
          <w:u w:val="single"/>
        </w:rPr>
        <w:t xml:space="preserve"> </w:t>
      </w:r>
      <w:r>
        <w:rPr>
          <w:rFonts w:hint="eastAsia"/>
          <w:color w:val="auto"/>
          <w:sz w:val="21"/>
          <w:szCs w:val="21"/>
          <w:u w:val="single"/>
        </w:rPr>
        <w:t>（填采购方式）</w:t>
      </w:r>
      <w:r>
        <w:rPr>
          <w:color w:val="auto"/>
          <w:sz w:val="21"/>
          <w:szCs w:val="21"/>
          <w:u w:val="single"/>
        </w:rPr>
        <w:t xml:space="preserve">   </w:t>
      </w:r>
      <w:r>
        <w:rPr>
          <w:rFonts w:hint="eastAsia"/>
          <w:color w:val="auto"/>
          <w:sz w:val="21"/>
          <w:szCs w:val="21"/>
        </w:rPr>
        <w:t>的中标（成交）结果，签署本合同，以资共同遵守。</w:t>
      </w:r>
      <w:r>
        <w:rPr>
          <w:color w:val="auto"/>
          <w:sz w:val="21"/>
          <w:szCs w:val="21"/>
        </w:rPr>
        <w:t xml:space="preserve">  </w:t>
      </w:r>
    </w:p>
    <w:p>
      <w:pPr>
        <w:pStyle w:val="168"/>
        <w:keepNext w:val="0"/>
        <w:keepLines w:val="0"/>
        <w:pageBreakBefore w:val="0"/>
        <w:widowControl w:val="0"/>
        <w:kinsoku/>
        <w:wordWrap/>
        <w:overflowPunct/>
        <w:topLinePunct w:val="0"/>
        <w:bidi w:val="0"/>
        <w:snapToGrid/>
        <w:spacing w:line="288" w:lineRule="auto"/>
        <w:textAlignment w:val="auto"/>
        <w:outlineLvl w:val="0"/>
        <w:rPr>
          <w:b/>
          <w:bCs/>
          <w:color w:val="auto"/>
          <w:sz w:val="21"/>
          <w:szCs w:val="21"/>
        </w:rPr>
      </w:pPr>
      <w:r>
        <w:rPr>
          <w:rFonts w:hint="eastAsia"/>
          <w:b/>
          <w:bCs/>
          <w:color w:val="auto"/>
          <w:sz w:val="21"/>
          <w:szCs w:val="21"/>
          <w:lang w:val="en-US" w:eastAsia="zh-CN"/>
        </w:rPr>
        <w:t>一、</w:t>
      </w:r>
      <w:r>
        <w:rPr>
          <w:rFonts w:hint="eastAsia"/>
          <w:b/>
          <w:bCs/>
          <w:color w:val="auto"/>
          <w:sz w:val="21"/>
          <w:szCs w:val="21"/>
        </w:rPr>
        <w:t>采购服务内容及合同价格</w:t>
      </w:r>
    </w:p>
    <w:tbl>
      <w:tblPr>
        <w:tblStyle w:val="45"/>
        <w:tblW w:w="92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3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41"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jc w:val="center"/>
              <w:textAlignment w:val="auto"/>
              <w:outlineLvl w:val="0"/>
              <w:rPr>
                <w:color w:val="auto"/>
                <w:sz w:val="21"/>
                <w:szCs w:val="21"/>
              </w:rPr>
            </w:pPr>
            <w:r>
              <w:rPr>
                <w:rFonts w:hint="eastAsia"/>
                <w:color w:val="auto"/>
                <w:sz w:val="21"/>
                <w:szCs w:val="21"/>
              </w:rPr>
              <w:t>序号</w:t>
            </w:r>
          </w:p>
        </w:tc>
        <w:tc>
          <w:tcPr>
            <w:tcW w:w="1179" w:type="dxa"/>
            <w:vAlign w:val="center"/>
          </w:tcPr>
          <w:p>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名称</w:t>
            </w:r>
          </w:p>
        </w:tc>
        <w:tc>
          <w:tcPr>
            <w:tcW w:w="3289" w:type="dxa"/>
            <w:vAlign w:val="center"/>
          </w:tcPr>
          <w:p>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主要内容</w:t>
            </w:r>
          </w:p>
        </w:tc>
        <w:tc>
          <w:tcPr>
            <w:tcW w:w="3736" w:type="dxa"/>
            <w:vAlign w:val="center"/>
          </w:tcPr>
          <w:p>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rFonts w:hint="eastAsia"/>
                <w:color w:val="auto"/>
                <w:sz w:val="21"/>
                <w:szCs w:val="21"/>
              </w:rPr>
              <w:t>服务费用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jc w:val="center"/>
        </w:trPr>
        <w:tc>
          <w:tcPr>
            <w:tcW w:w="1041" w:type="dxa"/>
            <w:vAlign w:val="center"/>
          </w:tcPr>
          <w:p>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color w:val="auto"/>
                <w:sz w:val="21"/>
                <w:szCs w:val="21"/>
              </w:rPr>
              <w:t>1</w:t>
            </w:r>
          </w:p>
        </w:tc>
        <w:tc>
          <w:tcPr>
            <w:tcW w:w="1179" w:type="dxa"/>
            <w:vAlign w:val="center"/>
          </w:tcPr>
          <w:p>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jc w:val="center"/>
        </w:trPr>
        <w:tc>
          <w:tcPr>
            <w:tcW w:w="1041" w:type="dxa"/>
            <w:vAlign w:val="center"/>
          </w:tcPr>
          <w:p>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1179" w:type="dxa"/>
            <w:vAlign w:val="center"/>
          </w:tcPr>
          <w:p>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jc w:val="center"/>
        </w:trPr>
        <w:tc>
          <w:tcPr>
            <w:tcW w:w="9245" w:type="dxa"/>
            <w:gridSpan w:val="4"/>
            <w:vAlign w:val="center"/>
          </w:tcPr>
          <w:p>
            <w:pPr>
              <w:keepNext w:val="0"/>
              <w:keepLines w:val="0"/>
              <w:pageBreakBefore w:val="0"/>
              <w:widowControl w:val="0"/>
              <w:kinsoku/>
              <w:wordWrap/>
              <w:overflowPunct/>
              <w:topLinePunct w:val="0"/>
              <w:bidi w:val="0"/>
              <w:snapToGrid/>
              <w:spacing w:line="288" w:lineRule="auto"/>
              <w:textAlignment w:val="auto"/>
              <w:outlineLvl w:val="0"/>
              <w:rPr>
                <w:rFonts w:cs="宋体"/>
                <w:color w:val="auto"/>
                <w:sz w:val="21"/>
                <w:szCs w:val="21"/>
              </w:rPr>
            </w:pPr>
            <w:r>
              <w:rPr>
                <w:rFonts w:hint="eastAsia"/>
                <w:color w:val="auto"/>
                <w:sz w:val="21"/>
                <w:szCs w:val="21"/>
              </w:rPr>
              <w:t>合同总价（元，人民币）：小写</w:t>
            </w:r>
            <w:r>
              <w:rPr>
                <w:rFonts w:hint="eastAsia" w:cs="宋体"/>
                <w:color w:val="auto"/>
                <w:sz w:val="21"/>
                <w:szCs w:val="21"/>
              </w:rPr>
              <w:t>￥</w:t>
            </w:r>
            <w:r>
              <w:rPr>
                <w:color w:val="auto"/>
                <w:sz w:val="21"/>
                <w:szCs w:val="21"/>
              </w:rPr>
              <w:t xml:space="preserve">              </w:t>
            </w:r>
            <w:r>
              <w:rPr>
                <w:rFonts w:hint="eastAsia"/>
                <w:color w:val="auto"/>
                <w:sz w:val="21"/>
                <w:szCs w:val="21"/>
              </w:rPr>
              <w:t>，大写：</w:t>
            </w:r>
          </w:p>
        </w:tc>
      </w:tr>
    </w:tbl>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hint="eastAsia"/>
          <w:color w:val="auto"/>
          <w:sz w:val="21"/>
          <w:szCs w:val="21"/>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二、服务内容与要求</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三、服务时间与地点</w:t>
      </w:r>
    </w:p>
    <w:p>
      <w:pPr>
        <w:pStyle w:val="6"/>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u w:val="single"/>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rFonts w:hint="eastAsia"/>
          <w:b/>
          <w:bCs/>
          <w:color w:val="auto"/>
          <w:sz w:val="21"/>
          <w:szCs w:val="21"/>
        </w:rPr>
        <w:t>服务时间</w:t>
      </w:r>
      <w:r>
        <w:rPr>
          <w:color w:val="auto"/>
          <w:sz w:val="21"/>
          <w:szCs w:val="21"/>
        </w:rPr>
        <w:t xml:space="preserve"> </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default" w:eastAsia="宋体"/>
          <w:color w:val="auto"/>
          <w:sz w:val="21"/>
          <w:szCs w:val="21"/>
          <w:u w:val="single"/>
          <w:lang w:val="en-US" w:eastAsia="zh-CN"/>
        </w:rPr>
      </w:pPr>
      <w:r>
        <w:rPr>
          <w:rFonts w:hint="eastAsia"/>
          <w:color w:val="auto"/>
          <w:sz w:val="21"/>
          <w:szCs w:val="21"/>
        </w:rPr>
        <w:t>服务期限：</w:t>
      </w:r>
      <w:r>
        <w:rPr>
          <w:color w:val="auto"/>
          <w:sz w:val="21"/>
          <w:szCs w:val="21"/>
          <w:u w:val="single"/>
        </w:rPr>
        <w:t xml:space="preserve">    </w:t>
      </w:r>
      <w:r>
        <w:rPr>
          <w:rFonts w:hint="eastAsia"/>
          <w:color w:val="auto"/>
          <w:sz w:val="21"/>
          <w:szCs w:val="21"/>
          <w:lang w:val="en-US" w:eastAsia="zh-CN"/>
        </w:rPr>
        <w:t>月</w:t>
      </w:r>
      <w:r>
        <w:rPr>
          <w:rFonts w:hint="eastAsia"/>
          <w:color w:val="auto"/>
          <w:sz w:val="21"/>
          <w:szCs w:val="21"/>
        </w:rPr>
        <w:t>，从</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日至</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乙方须在</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前完成本项目并经甲方验收合格；其他质保及服务时间说明（如有）：</w:t>
      </w:r>
      <w:r>
        <w:rPr>
          <w:rFonts w:hint="eastAsia"/>
          <w:color w:val="auto"/>
          <w:sz w:val="21"/>
          <w:szCs w:val="21"/>
          <w:u w:val="single"/>
          <w:lang w:val="en-US" w:eastAsia="zh-CN"/>
        </w:rPr>
        <w:t xml:space="preserve">               </w:t>
      </w:r>
      <w:r>
        <w:rPr>
          <w:rFonts w:hint="eastAsia"/>
          <w:color w:val="auto"/>
          <w:sz w:val="21"/>
          <w:szCs w:val="21"/>
          <w:u w:val="none"/>
          <w:lang w:val="en-US" w:eastAsia="zh-CN"/>
        </w:rPr>
        <w:t xml:space="preserve"> 。</w:t>
      </w:r>
    </w:p>
    <w:p>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2</w:t>
      </w:r>
      <w:r>
        <w:rPr>
          <w:b/>
          <w:bCs/>
          <w:color w:val="auto"/>
          <w:sz w:val="21"/>
          <w:szCs w:val="21"/>
        </w:rPr>
        <w:t>.</w:t>
      </w:r>
      <w:r>
        <w:rPr>
          <w:rFonts w:hint="eastAsia"/>
          <w:b/>
          <w:bCs/>
          <w:color w:val="auto"/>
          <w:sz w:val="21"/>
          <w:szCs w:val="21"/>
        </w:rPr>
        <w:t>服务地点：</w:t>
      </w:r>
      <w:r>
        <w:rPr>
          <w:rFonts w:hint="eastAsia"/>
          <w:color w:val="auto"/>
          <w:sz w:val="21"/>
          <w:szCs w:val="21"/>
          <w:u w:val="single"/>
        </w:rPr>
        <w:t xml:space="preserve">  </w:t>
      </w:r>
      <w:r>
        <w:rPr>
          <w:rFonts w:hint="eastAsia"/>
          <w:color w:val="auto"/>
          <w:sz w:val="21"/>
          <w:szCs w:val="21"/>
          <w:u w:val="single"/>
          <w:lang w:val="en-US" w:eastAsia="zh-CN"/>
        </w:rPr>
        <w:t xml:space="preserve">甲方指定地点 </w:t>
      </w:r>
      <w:r>
        <w:rPr>
          <w:rFonts w:hint="eastAsia"/>
          <w:color w:val="auto"/>
          <w:sz w:val="21"/>
          <w:szCs w:val="21"/>
          <w:lang w:val="en-US" w:eastAsia="zh-CN"/>
        </w:rPr>
        <w:t>。</w:t>
      </w:r>
    </w:p>
    <w:p>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ascii="宋体" w:hAnsi="Times New Roman" w:eastAsia="宋体" w:cs="Times New Roman"/>
          <w:b/>
          <w:bCs/>
          <w:color w:val="auto"/>
          <w:sz w:val="21"/>
          <w:szCs w:val="21"/>
          <w:lang w:val="en-US" w:eastAsia="zh-CN" w:bidi="ar-SA"/>
        </w:rPr>
        <w:t>3.联系人及电话：</w:t>
      </w:r>
      <w:r>
        <w:rPr>
          <w:rFonts w:hint="eastAsia"/>
          <w:color w:val="auto"/>
          <w:sz w:val="21"/>
          <w:szCs w:val="21"/>
        </w:rPr>
        <w:t>甲方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；乙方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w:t>
      </w:r>
    </w:p>
    <w:p>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四、履约保证金与付款方式</w:t>
      </w:r>
    </w:p>
    <w:p>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b/>
          <w:bCs/>
          <w:color w:val="auto"/>
          <w:sz w:val="21"/>
          <w:szCs w:val="21"/>
        </w:rPr>
        <w:t>履约保证金（如</w:t>
      </w:r>
      <w:r>
        <w:rPr>
          <w:rFonts w:hint="eastAsia"/>
          <w:b/>
          <w:bCs/>
          <w:color w:val="auto"/>
          <w:sz w:val="21"/>
          <w:szCs w:val="21"/>
          <w:lang w:val="en-US" w:eastAsia="zh-CN"/>
        </w:rPr>
        <w:t>有</w:t>
      </w:r>
      <w:r>
        <w:rPr>
          <w:rFonts w:hint="eastAsia"/>
          <w:b/>
          <w:bCs/>
          <w:color w:val="auto"/>
          <w:sz w:val="21"/>
          <w:szCs w:val="21"/>
        </w:rPr>
        <w:t>）：</w:t>
      </w:r>
      <w:r>
        <w:rPr>
          <w:rFonts w:hint="eastAsia"/>
          <w:color w:val="auto"/>
          <w:sz w:val="21"/>
          <w:szCs w:val="21"/>
        </w:rPr>
        <w:t>合同总金额的</w:t>
      </w:r>
      <w:r>
        <w:rPr>
          <w:color w:val="auto"/>
          <w:sz w:val="21"/>
          <w:szCs w:val="21"/>
          <w:u w:val="single"/>
        </w:rPr>
        <w:t xml:space="preserve">     </w:t>
      </w:r>
      <w:r>
        <w:rPr>
          <w:color w:val="auto"/>
          <w:sz w:val="21"/>
          <w:szCs w:val="21"/>
        </w:rPr>
        <w:t>%</w:t>
      </w:r>
      <w:r>
        <w:rPr>
          <w:rFonts w:hint="eastAsia"/>
          <w:color w:val="auto"/>
          <w:sz w:val="21"/>
          <w:szCs w:val="21"/>
        </w:rPr>
        <w:t>，合同签订后</w:t>
      </w:r>
      <w:r>
        <w:rPr>
          <w:color w:val="auto"/>
          <w:sz w:val="21"/>
          <w:szCs w:val="21"/>
        </w:rPr>
        <w:t>5</w:t>
      </w:r>
      <w:r>
        <w:rPr>
          <w:rFonts w:hint="eastAsia"/>
          <w:color w:val="auto"/>
          <w:sz w:val="21"/>
          <w:szCs w:val="21"/>
        </w:rPr>
        <w:t>个工作日内交纳。交付方式</w:t>
      </w:r>
      <w:r>
        <w:rPr>
          <w:color w:val="auto"/>
          <w:sz w:val="21"/>
          <w:szCs w:val="21"/>
        </w:rPr>
        <w:t>:</w:t>
      </w:r>
      <w:r>
        <w:rPr>
          <w:rFonts w:hint="eastAsia"/>
          <w:color w:val="auto"/>
          <w:sz w:val="21"/>
          <w:szCs w:val="21"/>
        </w:rPr>
        <w:t>保函</w:t>
      </w:r>
      <w:r>
        <w:rPr>
          <w:color w:val="auto"/>
          <w:sz w:val="21"/>
          <w:szCs w:val="21"/>
        </w:rPr>
        <w:t>/</w:t>
      </w:r>
      <w:r>
        <w:rPr>
          <w:rFonts w:hint="eastAsia"/>
          <w:color w:val="auto"/>
          <w:sz w:val="21"/>
          <w:szCs w:val="21"/>
        </w:rPr>
        <w:t>汇票</w:t>
      </w:r>
      <w:r>
        <w:rPr>
          <w:color w:val="auto"/>
          <w:sz w:val="21"/>
          <w:szCs w:val="21"/>
        </w:rPr>
        <w:t>/</w:t>
      </w:r>
      <w:r>
        <w:rPr>
          <w:rFonts w:hint="eastAsia"/>
          <w:color w:val="auto"/>
          <w:sz w:val="21"/>
          <w:szCs w:val="21"/>
        </w:rPr>
        <w:t>支票</w:t>
      </w:r>
      <w:r>
        <w:rPr>
          <w:color w:val="auto"/>
          <w:sz w:val="21"/>
          <w:szCs w:val="21"/>
        </w:rPr>
        <w:t>/</w:t>
      </w:r>
      <w:r>
        <w:rPr>
          <w:rFonts w:hint="eastAsia"/>
          <w:color w:val="auto"/>
          <w:sz w:val="21"/>
          <w:szCs w:val="21"/>
        </w:rPr>
        <w:t>电汇</w:t>
      </w:r>
      <w:r>
        <w:rPr>
          <w:color w:val="auto"/>
          <w:sz w:val="21"/>
          <w:szCs w:val="21"/>
        </w:rPr>
        <w:t>/</w:t>
      </w:r>
      <w:r>
        <w:rPr>
          <w:rFonts w:hint="eastAsia"/>
          <w:color w:val="auto"/>
          <w:sz w:val="21"/>
          <w:szCs w:val="21"/>
        </w:rPr>
        <w:t>转账等。交付完毕后提供保函或联系杭州电子科技大学计划财务处大厅开收据，服务完成验收合格后</w:t>
      </w:r>
      <w:r>
        <w:rPr>
          <w:color w:val="auto"/>
          <w:sz w:val="21"/>
          <w:szCs w:val="21"/>
        </w:rPr>
        <w:t>7</w:t>
      </w:r>
      <w:r>
        <w:rPr>
          <w:rFonts w:hint="eastAsia"/>
          <w:color w:val="auto"/>
          <w:sz w:val="21"/>
          <w:szCs w:val="21"/>
        </w:rPr>
        <w:t>个工作日内凭原始收据不计息退还，以保函形式提交的履约保证金无需办理退还手续。收款单位（户名）</w:t>
      </w:r>
      <w:r>
        <w:rPr>
          <w:color w:val="auto"/>
          <w:sz w:val="21"/>
          <w:szCs w:val="21"/>
        </w:rPr>
        <w:t>:</w:t>
      </w:r>
      <w:r>
        <w:rPr>
          <w:rFonts w:hint="eastAsia"/>
          <w:color w:val="auto"/>
          <w:sz w:val="21"/>
          <w:szCs w:val="21"/>
        </w:rPr>
        <w:t>杭州电子科技大学。开户银行：工行高新支行。银行账号：</w:t>
      </w:r>
      <w:r>
        <w:rPr>
          <w:color w:val="auto"/>
          <w:sz w:val="21"/>
          <w:szCs w:val="21"/>
        </w:rPr>
        <w:t>1202026209008806216</w:t>
      </w:r>
      <w:r>
        <w:rPr>
          <w:rFonts w:hint="eastAsia"/>
          <w:color w:val="auto"/>
          <w:sz w:val="21"/>
          <w:szCs w:val="21"/>
        </w:rPr>
        <w:t>。</w:t>
      </w:r>
    </w:p>
    <w:p>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rFonts w:hint="eastAsia"/>
          <w:color w:val="auto"/>
          <w:sz w:val="21"/>
          <w:szCs w:val="21"/>
        </w:rPr>
      </w:pPr>
      <w:r>
        <w:rPr>
          <w:rFonts w:asciiTheme="minorEastAsia" w:hAnsiTheme="minorEastAsia" w:eastAsiaTheme="minorEastAsia"/>
          <w:b/>
          <w:bCs/>
          <w:color w:val="auto"/>
          <w:sz w:val="21"/>
          <w:szCs w:val="21"/>
        </w:rPr>
        <w:t>2</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ascii="宋体" w:hAnsi="宋体" w:cs="宋体"/>
          <w:b/>
          <w:bCs/>
          <w:color w:val="auto"/>
          <w:sz w:val="21"/>
          <w:szCs w:val="21"/>
        </w:rPr>
        <w:t>付款方式</w:t>
      </w:r>
      <w:r>
        <w:rPr>
          <w:rFonts w:hint="eastAsia"/>
          <w:b/>
          <w:bCs/>
          <w:color w:val="auto"/>
          <w:sz w:val="21"/>
          <w:szCs w:val="21"/>
        </w:rPr>
        <w:t>：</w:t>
      </w:r>
      <w:r>
        <w:rPr>
          <w:rFonts w:hint="eastAsia"/>
          <w:color w:val="auto"/>
          <w:sz w:val="21"/>
          <w:szCs w:val="21"/>
        </w:rPr>
        <w:t>按以下第</w:t>
      </w:r>
      <w:r>
        <w:rPr>
          <w:rFonts w:hint="eastAsia"/>
          <w:color w:val="auto"/>
          <w:sz w:val="21"/>
          <w:szCs w:val="21"/>
          <w:u w:val="single"/>
        </w:rPr>
        <w:t xml:space="preserve">        </w:t>
      </w:r>
      <w:r>
        <w:rPr>
          <w:rFonts w:hint="eastAsia"/>
          <w:color w:val="auto"/>
          <w:sz w:val="21"/>
          <w:szCs w:val="21"/>
        </w:rPr>
        <w:t>种方式支付乙方合同价款。</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eastAsia"/>
          <w:color w:val="auto"/>
          <w:sz w:val="21"/>
          <w:szCs w:val="21"/>
        </w:rPr>
      </w:pPr>
      <w:r>
        <w:rPr>
          <w:rFonts w:hint="eastAsia"/>
          <w:color w:val="auto"/>
          <w:sz w:val="21"/>
          <w:szCs w:val="21"/>
        </w:rPr>
        <w:t>（</w:t>
      </w:r>
      <w:r>
        <w:rPr>
          <w:rFonts w:asciiTheme="minorEastAsia" w:hAnsiTheme="minorEastAsia" w:eastAsiaTheme="minorEastAsia"/>
          <w:color w:val="auto"/>
          <w:spacing w:val="-6"/>
          <w:sz w:val="21"/>
          <w:szCs w:val="21"/>
        </w:rPr>
        <w:t>1</w:t>
      </w:r>
      <w:r>
        <w:rPr>
          <w:rFonts w:hint="eastAsia"/>
          <w:color w:val="auto"/>
          <w:sz w:val="21"/>
          <w:szCs w:val="21"/>
        </w:rPr>
        <w:t>）预付款方式：合同生效以及具备实施条件且乙方已向甲方提交银行、保险公司等金融机构出具的预付款保函</w:t>
      </w:r>
      <w:r>
        <w:rPr>
          <w:rFonts w:hint="eastAsia"/>
          <w:color w:val="auto"/>
          <w:sz w:val="21"/>
          <w:szCs w:val="21"/>
          <w:lang w:val="en-US" w:eastAsia="zh-CN"/>
        </w:rPr>
        <w:t>后</w:t>
      </w:r>
      <w:r>
        <w:rPr>
          <w:rFonts w:hint="eastAsia"/>
          <w:color w:val="auto"/>
          <w:sz w:val="21"/>
          <w:szCs w:val="21"/>
        </w:rPr>
        <w:t>，</w:t>
      </w:r>
      <w:r>
        <w:rPr>
          <w:color w:val="auto"/>
          <w:sz w:val="21"/>
          <w:szCs w:val="21"/>
        </w:rPr>
        <w:t>7</w:t>
      </w:r>
      <w:r>
        <w:rPr>
          <w:rFonts w:hint="eastAsia"/>
          <w:color w:val="auto"/>
          <w:sz w:val="21"/>
          <w:szCs w:val="21"/>
        </w:rPr>
        <w:t>个工作日内，甲方向乙方支付合同总价的</w:t>
      </w:r>
      <w:r>
        <w:rPr>
          <w:color w:val="auto"/>
          <w:sz w:val="21"/>
          <w:szCs w:val="21"/>
          <w:u w:val="single"/>
        </w:rPr>
        <w:t xml:space="preserve">      </w:t>
      </w:r>
      <w:r>
        <w:rPr>
          <w:color w:val="auto"/>
          <w:sz w:val="21"/>
          <w:szCs w:val="21"/>
        </w:rPr>
        <w:t>%（</w:t>
      </w:r>
      <w:r>
        <w:rPr>
          <w:rFonts w:hint="eastAsia"/>
          <w:color w:val="auto"/>
          <w:sz w:val="21"/>
          <w:szCs w:val="21"/>
          <w:lang w:val="en-US" w:eastAsia="zh-CN"/>
        </w:rPr>
        <w:t>中小微企业限</w:t>
      </w:r>
      <w:r>
        <w:rPr>
          <w:rFonts w:hint="eastAsia" w:ascii="仿宋_GB2312" w:hAnsi="仿宋" w:eastAsia="仿宋_GB2312" w:cs="仿宋_GB2312"/>
          <w:color w:val="auto"/>
          <w:kern w:val="2"/>
          <w:sz w:val="21"/>
          <w:szCs w:val="21"/>
          <w:lang w:val="en-US" w:eastAsia="zh-CN"/>
        </w:rPr>
        <w:t>3</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val="en-US" w:eastAsia="zh-CN"/>
        </w:rPr>
        <w:t>-7</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eastAsia="zh-CN"/>
        </w:rPr>
        <w:t>，</w:t>
      </w:r>
      <w:r>
        <w:rPr>
          <w:rFonts w:hint="eastAsia"/>
          <w:color w:val="auto"/>
          <w:sz w:val="21"/>
          <w:szCs w:val="21"/>
          <w:lang w:val="en-US" w:eastAsia="zh-CN"/>
        </w:rPr>
        <w:t>项目实施以人工投入为主的，中小微企业限20%-70%</w:t>
      </w:r>
      <w:r>
        <w:rPr>
          <w:color w:val="auto"/>
          <w:sz w:val="21"/>
          <w:szCs w:val="21"/>
        </w:rPr>
        <w:t>）</w:t>
      </w:r>
      <w:r>
        <w:rPr>
          <w:rFonts w:hint="eastAsia"/>
          <w:color w:val="auto"/>
          <w:sz w:val="21"/>
          <w:szCs w:val="21"/>
        </w:rPr>
        <w:t>；</w:t>
      </w:r>
      <w:r>
        <w:rPr>
          <w:rFonts w:hint="eastAsia"/>
          <w:color w:val="auto"/>
          <w:sz w:val="21"/>
          <w:szCs w:val="21"/>
          <w:lang w:val="en-US" w:eastAsia="zh-CN"/>
        </w:rPr>
        <w:t>服务完成，</w:t>
      </w:r>
      <w:r>
        <w:rPr>
          <w:rFonts w:hint="eastAsia"/>
          <w:color w:val="auto"/>
          <w:sz w:val="21"/>
          <w:szCs w:val="21"/>
        </w:rPr>
        <w:t>经甲方验收合格并收到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7</w:t>
      </w:r>
      <w:r>
        <w:rPr>
          <w:rFonts w:hint="eastAsia"/>
          <w:color w:val="auto"/>
          <w:sz w:val="21"/>
          <w:szCs w:val="21"/>
        </w:rPr>
        <w:t>个工作日内，向乙方支付合同总价的</w:t>
      </w:r>
      <w:r>
        <w:rPr>
          <w:rFonts w:hint="eastAsia"/>
          <w:color w:val="auto"/>
          <w:sz w:val="21"/>
          <w:szCs w:val="21"/>
          <w:u w:val="single"/>
        </w:rPr>
        <w:t>　　　</w:t>
      </w:r>
      <w:r>
        <w:rPr>
          <w:color w:val="auto"/>
          <w:sz w:val="21"/>
          <w:szCs w:val="21"/>
        </w:rPr>
        <w:t>%</w:t>
      </w:r>
      <w:r>
        <w:rPr>
          <w:rFonts w:hint="eastAsia"/>
          <w:color w:val="auto"/>
          <w:sz w:val="21"/>
          <w:szCs w:val="21"/>
        </w:rPr>
        <w:t>。若供应商收取预付款，要求预付款保函有效期覆盖项目验收合格时间；提供了预付款保函则供应商无需再缴纳履约保证金。</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）以人工投入为主且实行按月定期结算支付款项的项目，按月结算付款。</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）签订合同时乙方明确表示无需预付款，可以采用以下付款方式：</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①</w:t>
      </w:r>
      <w:r>
        <w:rPr>
          <w:rFonts w:hint="eastAsia"/>
          <w:b/>
          <w:color w:val="auto"/>
          <w:sz w:val="21"/>
          <w:szCs w:val="21"/>
        </w:rPr>
        <w:t>一</w:t>
      </w:r>
      <w:r>
        <w:rPr>
          <w:rFonts w:hint="eastAsia"/>
          <w:bCs/>
          <w:color w:val="auto"/>
          <w:sz w:val="21"/>
          <w:szCs w:val="21"/>
        </w:rPr>
        <w:t>次性付款</w:t>
      </w:r>
      <w:r>
        <w:rPr>
          <w:rFonts w:hint="eastAsia"/>
          <w:b/>
          <w:color w:val="auto"/>
          <w:sz w:val="21"/>
          <w:szCs w:val="21"/>
        </w:rPr>
        <w:t>：</w:t>
      </w:r>
      <w:r>
        <w:rPr>
          <w:rFonts w:hint="eastAsia"/>
          <w:color w:val="auto"/>
          <w:sz w:val="21"/>
          <w:szCs w:val="21"/>
        </w:rPr>
        <w:t>服务</w:t>
      </w:r>
      <w:r>
        <w:rPr>
          <w:rFonts w:hint="eastAsia"/>
          <w:color w:val="auto"/>
          <w:sz w:val="21"/>
          <w:szCs w:val="21"/>
          <w:lang w:val="en-US" w:eastAsia="zh-CN"/>
        </w:rPr>
        <w:t>完成</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个工作日内，甲方向乙方支付全部合同价款。</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②</w:t>
      </w:r>
      <w:r>
        <w:rPr>
          <w:rFonts w:hint="eastAsia"/>
          <w:bCs/>
          <w:color w:val="auto"/>
          <w:sz w:val="21"/>
          <w:szCs w:val="21"/>
        </w:rPr>
        <w:t>按期结算</w:t>
      </w:r>
      <w:r>
        <w:rPr>
          <w:rFonts w:hint="eastAsia"/>
          <w:b/>
          <w:color w:val="auto"/>
          <w:sz w:val="21"/>
          <w:szCs w:val="21"/>
        </w:rPr>
        <w:t>：</w:t>
      </w:r>
      <w:r>
        <w:rPr>
          <w:rFonts w:hint="eastAsia"/>
          <w:color w:val="auto"/>
          <w:sz w:val="21"/>
          <w:szCs w:val="21"/>
        </w:rPr>
        <w:t>每</w:t>
      </w:r>
      <w:r>
        <w:rPr>
          <w:color w:val="auto"/>
          <w:sz w:val="21"/>
          <w:szCs w:val="21"/>
          <w:u w:val="single"/>
        </w:rPr>
        <w:t xml:space="preserve">    </w:t>
      </w:r>
      <w:r>
        <w:rPr>
          <w:rFonts w:hint="eastAsia"/>
          <w:color w:val="auto"/>
          <w:sz w:val="21"/>
          <w:szCs w:val="21"/>
        </w:rPr>
        <w:t>末（月</w:t>
      </w:r>
      <w:r>
        <w:rPr>
          <w:rFonts w:hint="eastAsia"/>
          <w:color w:val="auto"/>
          <w:sz w:val="21"/>
          <w:szCs w:val="21"/>
          <w:lang w:val="en-US" w:eastAsia="zh-CN"/>
        </w:rPr>
        <w:t>\</w:t>
      </w:r>
      <w:r>
        <w:rPr>
          <w:rFonts w:hint="eastAsia"/>
          <w:color w:val="auto"/>
          <w:sz w:val="21"/>
          <w:szCs w:val="21"/>
        </w:rPr>
        <w:t>季度</w:t>
      </w:r>
      <w:r>
        <w:rPr>
          <w:rFonts w:hint="eastAsia"/>
          <w:color w:val="auto"/>
          <w:sz w:val="21"/>
          <w:szCs w:val="21"/>
          <w:lang w:val="en-US" w:eastAsia="zh-CN"/>
        </w:rPr>
        <w:t>\</w:t>
      </w:r>
      <w:r>
        <w:rPr>
          <w:rFonts w:hint="eastAsia"/>
          <w:color w:val="auto"/>
          <w:sz w:val="21"/>
          <w:szCs w:val="21"/>
        </w:rPr>
        <w:t>半年</w:t>
      </w:r>
      <w:r>
        <w:rPr>
          <w:rFonts w:hint="eastAsia"/>
          <w:color w:val="auto"/>
          <w:sz w:val="21"/>
          <w:szCs w:val="21"/>
          <w:lang w:val="en-US" w:eastAsia="zh-CN"/>
        </w:rPr>
        <w:t>\年</w:t>
      </w:r>
      <w:r>
        <w:rPr>
          <w:rFonts w:hint="eastAsia"/>
          <w:color w:val="auto"/>
          <w:sz w:val="21"/>
          <w:szCs w:val="21"/>
        </w:rPr>
        <w:t>），</w:t>
      </w:r>
      <w:r>
        <w:rPr>
          <w:color w:val="auto"/>
          <w:sz w:val="21"/>
          <w:szCs w:val="21"/>
        </w:rPr>
        <w:t>合同生效、具备使用条件</w:t>
      </w:r>
      <w:r>
        <w:rPr>
          <w:rFonts w:hint="eastAsia"/>
          <w:color w:val="auto"/>
          <w:sz w:val="21"/>
          <w:szCs w:val="21"/>
        </w:rPr>
        <w:t>并</w:t>
      </w:r>
      <w:r>
        <w:rPr>
          <w:color w:val="auto"/>
          <w:sz w:val="21"/>
          <w:szCs w:val="21"/>
        </w:rPr>
        <w:t>经</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 xml:space="preserve"> 10</w:t>
      </w:r>
      <w:r>
        <w:rPr>
          <w:rFonts w:hint="eastAsia"/>
          <w:color w:val="auto"/>
          <w:sz w:val="21"/>
          <w:szCs w:val="21"/>
        </w:rPr>
        <w:t>个工作日内，甲方向乙方支付本期款项。</w:t>
      </w:r>
      <w:r>
        <w:rPr>
          <w:color w:val="auto"/>
          <w:sz w:val="21"/>
          <w:szCs w:val="21"/>
        </w:rPr>
        <w:t xml:space="preserve"> </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③按进度付款</w:t>
      </w:r>
      <w:r>
        <w:rPr>
          <w:rFonts w:hint="eastAsia"/>
          <w:b/>
          <w:bCs/>
          <w:color w:val="auto"/>
          <w:sz w:val="21"/>
          <w:szCs w:val="21"/>
        </w:rPr>
        <w:t>：</w:t>
      </w:r>
      <w:r>
        <w:rPr>
          <w:rFonts w:hint="eastAsia"/>
          <w:color w:val="auto"/>
          <w:sz w:val="21"/>
          <w:szCs w:val="21"/>
        </w:rPr>
        <w:t>每个进度节点，</w:t>
      </w:r>
      <w:r>
        <w:rPr>
          <w:rFonts w:hint="eastAsia"/>
          <w:bCs/>
          <w:color w:val="auto"/>
          <w:sz w:val="21"/>
          <w:szCs w:val="21"/>
        </w:rPr>
        <w:t>甲方</w:t>
      </w:r>
      <w:r>
        <w:rPr>
          <w:rFonts w:hint="eastAsia"/>
          <w:color w:val="auto"/>
          <w:sz w:val="21"/>
          <w:szCs w:val="21"/>
        </w:rPr>
        <w:t>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个工作日内，甲方向乙方支付对应款项</w:t>
      </w:r>
      <w:r>
        <w:rPr>
          <w:rFonts w:hint="eastAsia"/>
          <w:color w:val="auto"/>
          <w:sz w:val="21"/>
          <w:szCs w:val="21"/>
          <w:lang w:eastAsia="zh-CN"/>
        </w:rPr>
        <w:t>，</w:t>
      </w:r>
      <w:r>
        <w:rPr>
          <w:rFonts w:hint="eastAsia"/>
          <w:color w:val="auto"/>
          <w:sz w:val="21"/>
          <w:szCs w:val="21"/>
          <w:lang w:val="en-US" w:eastAsia="zh-CN"/>
        </w:rPr>
        <w:t>具体结点及付款额度为</w:t>
      </w:r>
      <w:r>
        <w:rPr>
          <w:rFonts w:hint="eastAsia"/>
          <w:color w:val="auto"/>
          <w:sz w:val="21"/>
          <w:szCs w:val="21"/>
          <w:u w:val="single"/>
          <w:lang w:val="en-US" w:eastAsia="zh-CN"/>
        </w:rPr>
        <w:t xml:space="preserve">                                 </w:t>
      </w:r>
      <w:r>
        <w:rPr>
          <w:rFonts w:hint="eastAsia"/>
          <w:color w:val="auto"/>
          <w:sz w:val="21"/>
          <w:szCs w:val="21"/>
        </w:rPr>
        <w:t>。</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④其它支付形式</w:t>
      </w:r>
      <w:r>
        <w:rPr>
          <w:rFonts w:hint="eastAsia"/>
          <w:color w:val="auto"/>
          <w:sz w:val="21"/>
          <w:szCs w:val="21"/>
          <w:lang w:eastAsia="zh-CN"/>
        </w:rPr>
        <w:t>（</w:t>
      </w:r>
      <w:r>
        <w:rPr>
          <w:rFonts w:hint="eastAsia"/>
          <w:color w:val="auto"/>
          <w:sz w:val="21"/>
          <w:szCs w:val="21"/>
        </w:rPr>
        <w:t>双方协商一致，</w:t>
      </w:r>
      <w:r>
        <w:rPr>
          <w:rFonts w:hint="eastAsia"/>
          <w:color w:val="auto"/>
          <w:sz w:val="21"/>
          <w:szCs w:val="21"/>
          <w:lang w:val="en-US" w:eastAsia="zh-CN"/>
        </w:rPr>
        <w:t>需</w:t>
      </w:r>
      <w:r>
        <w:rPr>
          <w:rFonts w:hint="eastAsia"/>
          <w:color w:val="auto"/>
          <w:sz w:val="21"/>
          <w:szCs w:val="21"/>
        </w:rPr>
        <w:t>符合采购法规</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w:t>
      </w:r>
      <w:r>
        <w:rPr>
          <w:color w:val="auto"/>
          <w:sz w:val="21"/>
          <w:szCs w:val="21"/>
        </w:rPr>
        <w:t>房屋租赁、服务器租用、数据库使用等租用型项目，合同生效、具备使用条件</w:t>
      </w:r>
      <w:r>
        <w:rPr>
          <w:rFonts w:hint="eastAsia"/>
          <w:color w:val="auto"/>
          <w:sz w:val="21"/>
          <w:szCs w:val="21"/>
        </w:rPr>
        <w:t>并</w:t>
      </w:r>
      <w:r>
        <w:rPr>
          <w:color w:val="auto"/>
          <w:sz w:val="21"/>
          <w:szCs w:val="21"/>
        </w:rPr>
        <w:t>经甲方验收合格后按期支付费用</w:t>
      </w:r>
      <w:r>
        <w:rPr>
          <w:rFonts w:hint="eastAsia"/>
          <w:color w:val="auto"/>
          <w:sz w:val="21"/>
          <w:szCs w:val="21"/>
          <w:lang w:eastAsia="zh-CN"/>
        </w:rPr>
        <w:t>，</w:t>
      </w:r>
      <w:r>
        <w:rPr>
          <w:rFonts w:hint="eastAsia"/>
          <w:color w:val="auto"/>
          <w:sz w:val="21"/>
          <w:szCs w:val="21"/>
          <w:lang w:val="en-US" w:eastAsia="zh-CN"/>
        </w:rPr>
        <w:t>按</w:t>
      </w:r>
      <w:r>
        <w:rPr>
          <w:color w:val="auto"/>
          <w:sz w:val="21"/>
          <w:szCs w:val="21"/>
          <w:u w:val="single"/>
        </w:rPr>
        <w:t xml:space="preserve">    </w:t>
      </w:r>
      <w:r>
        <w:rPr>
          <w:color w:val="auto"/>
          <w:sz w:val="21"/>
          <w:szCs w:val="21"/>
        </w:rPr>
        <w:t>（月</w:t>
      </w:r>
      <w:r>
        <w:rPr>
          <w:rFonts w:hint="eastAsia"/>
          <w:color w:val="auto"/>
          <w:sz w:val="21"/>
          <w:szCs w:val="21"/>
          <w:lang w:val="en-US" w:eastAsia="zh-CN"/>
        </w:rPr>
        <w:t>\</w:t>
      </w:r>
      <w:r>
        <w:rPr>
          <w:color w:val="auto"/>
          <w:sz w:val="21"/>
          <w:szCs w:val="21"/>
        </w:rPr>
        <w:t>季度</w:t>
      </w:r>
      <w:r>
        <w:rPr>
          <w:rFonts w:hint="eastAsia"/>
          <w:color w:val="auto"/>
          <w:sz w:val="21"/>
          <w:szCs w:val="21"/>
          <w:lang w:val="en-US" w:eastAsia="zh-CN"/>
        </w:rPr>
        <w:t>\</w:t>
      </w:r>
      <w:r>
        <w:rPr>
          <w:color w:val="auto"/>
          <w:sz w:val="21"/>
          <w:szCs w:val="21"/>
        </w:rPr>
        <w:t>半年</w:t>
      </w:r>
      <w:r>
        <w:rPr>
          <w:rFonts w:hint="eastAsia"/>
          <w:color w:val="auto"/>
          <w:sz w:val="21"/>
          <w:szCs w:val="21"/>
          <w:lang w:val="en-US" w:eastAsia="zh-CN"/>
        </w:rPr>
        <w:t>\</w:t>
      </w:r>
      <w:r>
        <w:rPr>
          <w:color w:val="auto"/>
          <w:sz w:val="21"/>
          <w:szCs w:val="21"/>
        </w:rPr>
        <w:t>年）</w:t>
      </w:r>
      <w:r>
        <w:rPr>
          <w:rFonts w:hint="eastAsia"/>
          <w:color w:val="auto"/>
          <w:sz w:val="21"/>
          <w:szCs w:val="21"/>
          <w:lang w:val="en-US" w:eastAsia="zh-CN"/>
        </w:rPr>
        <w:t>支付</w:t>
      </w:r>
      <w:r>
        <w:rPr>
          <w:color w:val="auto"/>
          <w:sz w:val="21"/>
          <w:szCs w:val="21"/>
        </w:rPr>
        <w:t>。</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无论何种结算方式，付款前</w:t>
      </w:r>
      <w:r>
        <w:rPr>
          <w:rFonts w:hint="eastAsia"/>
          <w:color w:val="auto"/>
          <w:sz w:val="21"/>
          <w:szCs w:val="21"/>
          <w:lang w:eastAsia="zh-CN"/>
        </w:rPr>
        <w:t>，</w:t>
      </w:r>
      <w:r>
        <w:rPr>
          <w:rFonts w:hint="eastAsia"/>
          <w:color w:val="auto"/>
          <w:sz w:val="21"/>
          <w:szCs w:val="21"/>
        </w:rPr>
        <w:t>乙方须交纳合同约定的履约保证金（如有）并提供</w:t>
      </w:r>
      <w:r>
        <w:rPr>
          <w:rFonts w:hint="eastAsia"/>
          <w:color w:val="auto"/>
          <w:sz w:val="21"/>
          <w:szCs w:val="21"/>
          <w:lang w:val="en-US" w:eastAsia="zh-CN"/>
        </w:rPr>
        <w:t>履约保证金保函或</w:t>
      </w:r>
      <w:r>
        <w:rPr>
          <w:rFonts w:hint="eastAsia"/>
          <w:color w:val="auto"/>
          <w:sz w:val="21"/>
          <w:szCs w:val="21"/>
        </w:rPr>
        <w:t>甲方财务处开具的履约保证金收据，乙方向甲方开具等额有效的发票。</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开票信息如下：</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单位名称：杭州电子科技大学。税号：</w:t>
      </w:r>
      <w:r>
        <w:rPr>
          <w:color w:val="auto"/>
          <w:sz w:val="21"/>
          <w:szCs w:val="21"/>
        </w:rPr>
        <w:t>12330000470009026T</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开户银行：工行杭州高新支行。账号：</w:t>
      </w:r>
      <w:r>
        <w:rPr>
          <w:color w:val="auto"/>
          <w:sz w:val="21"/>
          <w:szCs w:val="21"/>
        </w:rPr>
        <w:t>1202026209008806216</w:t>
      </w:r>
    </w:p>
    <w:p>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五、双方权利与义务</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（按采购文件及采购结果填写，如有）</w:t>
      </w:r>
    </w:p>
    <w:p>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六、知识产权要求</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七、转包或分包</w:t>
      </w:r>
    </w:p>
    <w:p>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color w:val="auto"/>
          <w:spacing w:val="-6"/>
          <w:sz w:val="21"/>
          <w:szCs w:val="21"/>
        </w:rPr>
        <w:t>.</w:t>
      </w:r>
      <w:r>
        <w:rPr>
          <w:rFonts w:hint="eastAsia"/>
          <w:color w:val="auto"/>
          <w:sz w:val="21"/>
          <w:szCs w:val="21"/>
        </w:rPr>
        <w:t>本合同范围的</w:t>
      </w:r>
      <w:r>
        <w:rPr>
          <w:rFonts w:hint="eastAsia"/>
          <w:color w:val="auto"/>
          <w:sz w:val="21"/>
          <w:szCs w:val="21"/>
          <w:lang w:val="en-US" w:eastAsia="zh-CN"/>
        </w:rPr>
        <w:t>标的</w:t>
      </w:r>
      <w:r>
        <w:rPr>
          <w:rFonts w:hint="eastAsia"/>
          <w:color w:val="auto"/>
          <w:sz w:val="21"/>
          <w:szCs w:val="21"/>
        </w:rPr>
        <w:t>，应由乙方直接供应，不得转让他人供应。</w:t>
      </w:r>
    </w:p>
    <w:p>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除非得到甲方的书面同意，乙方不得将本合同范围的标的分包给他人供应。</w:t>
      </w:r>
    </w:p>
    <w:p>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3.</w:t>
      </w:r>
      <w:r>
        <w:rPr>
          <w:rFonts w:hint="eastAsia" w:asciiTheme="minorEastAsia" w:hAnsiTheme="minorEastAsia" w:eastAsiaTheme="minorEastAsia"/>
          <w:color w:val="auto"/>
          <w:sz w:val="21"/>
          <w:szCs w:val="21"/>
        </w:rPr>
        <w:t>如有转让或未经甲方同意的分包行为，甲方有权解除合同，没收履约保证金并要求乙方支付合同总价15%的违约金。</w:t>
      </w:r>
    </w:p>
    <w:p>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464" w:name="_Hlk155173514"/>
      <w:r>
        <w:rPr>
          <w:rFonts w:hint="eastAsia"/>
          <w:b/>
          <w:bCs/>
          <w:color w:val="auto"/>
          <w:sz w:val="21"/>
          <w:szCs w:val="21"/>
        </w:rPr>
        <w:t>八、</w:t>
      </w:r>
      <w:bookmarkEnd w:id="464"/>
      <w:r>
        <w:rPr>
          <w:rFonts w:hint="eastAsia"/>
          <w:b/>
          <w:bCs/>
          <w:color w:val="auto"/>
          <w:sz w:val="21"/>
          <w:szCs w:val="21"/>
        </w:rPr>
        <w:t>验收</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1</w:t>
      </w:r>
      <w:r>
        <w:rPr>
          <w:rFonts w:asciiTheme="minorEastAsia" w:hAnsiTheme="minorEastAsia" w:eastAsiaTheme="minorEastAsia"/>
          <w:color w:val="auto"/>
          <w:sz w:val="21"/>
          <w:szCs w:val="21"/>
        </w:rPr>
        <w:t>.</w:t>
      </w:r>
      <w:r>
        <w:rPr>
          <w:rFonts w:hint="eastAsia"/>
          <w:color w:val="auto"/>
          <w:sz w:val="21"/>
          <w:szCs w:val="21"/>
        </w:rPr>
        <w:t>验收前乙方应对所提供服务作出全面检查及对验收文件进行整理，并列出清单，作为甲方验收和使用的技术条件依据，检验的结果应交甲方。</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color w:val="auto"/>
          <w:sz w:val="21"/>
          <w:szCs w:val="21"/>
        </w:rPr>
      </w:pPr>
      <w:r>
        <w:rPr>
          <w:rFonts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asciiTheme="minorEastAsia" w:hAnsiTheme="minorEastAsia" w:eastAsiaTheme="minorEastAsia"/>
          <w:color w:val="auto"/>
          <w:sz w:val="21"/>
          <w:szCs w:val="21"/>
        </w:rPr>
        <w:t>如甲方需要，</w:t>
      </w:r>
      <w:r>
        <w:rPr>
          <w:rFonts w:hint="eastAsia"/>
          <w:color w:val="auto"/>
          <w:sz w:val="21"/>
          <w:szCs w:val="21"/>
        </w:rPr>
        <w:t>验收时乙方应在现场，验收完毕后作出验收结果报告。</w:t>
      </w:r>
      <w:r>
        <w:rPr>
          <w:rFonts w:cs="宋体"/>
          <w:color w:val="auto"/>
          <w:sz w:val="21"/>
          <w:szCs w:val="21"/>
        </w:rPr>
        <w:t xml:space="preserve"> </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val="0"/>
          <w:bCs w:val="0"/>
          <w:color w:val="auto"/>
          <w:sz w:val="21"/>
          <w:szCs w:val="21"/>
          <w:u w:val="single"/>
          <w:lang w:val="en-US" w:eastAsia="zh-CN"/>
        </w:rPr>
        <w:t>10</w:t>
      </w:r>
      <w:r>
        <w:rPr>
          <w:rFonts w:hint="eastAsia" w:asciiTheme="minorEastAsia" w:hAnsiTheme="minorEastAsia" w:eastAsiaTheme="minorEastAsia"/>
          <w:b w:val="0"/>
          <w:bCs w:val="0"/>
          <w:color w:val="auto"/>
          <w:sz w:val="21"/>
          <w:szCs w:val="21"/>
          <w:u w:val="single"/>
        </w:rPr>
        <w:t xml:space="preserve"> </w:t>
      </w:r>
      <w:r>
        <w:rPr>
          <w:rFonts w:hint="eastAsia"/>
          <w:color w:val="auto"/>
          <w:sz w:val="21"/>
          <w:szCs w:val="21"/>
        </w:rPr>
        <w:t>个工作日内开始验收。</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strike/>
          <w:color w:val="auto"/>
          <w:sz w:val="21"/>
          <w:szCs w:val="21"/>
        </w:rPr>
      </w:pPr>
      <w:r>
        <w:rPr>
          <w:rFonts w:cs="宋体" w:asciiTheme="minorEastAsia" w:hAnsiTheme="minorEastAsia" w:eastAsiaTheme="minorEastAsia"/>
          <w:color w:val="auto"/>
          <w:sz w:val="21"/>
          <w:szCs w:val="21"/>
        </w:rPr>
        <w:t>4</w:t>
      </w:r>
      <w:r>
        <w:rPr>
          <w:rFonts w:asciiTheme="minorEastAsia" w:hAnsiTheme="minorEastAsia" w:eastAsiaTheme="minorEastAsia"/>
          <w:color w:val="auto"/>
          <w:sz w:val="21"/>
          <w:szCs w:val="21"/>
        </w:rPr>
        <w:t>.</w:t>
      </w:r>
      <w:r>
        <w:rPr>
          <w:rFonts w:hint="eastAsia"/>
          <w:color w:val="auto"/>
          <w:sz w:val="21"/>
          <w:szCs w:val="21"/>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九、质量保证与售后服务</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hint="eastAsia"/>
          <w:color w:val="auto"/>
          <w:sz w:val="21"/>
          <w:szCs w:val="21"/>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color w:val="auto"/>
          <w:sz w:val="21"/>
          <w:szCs w:val="21"/>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质量保证期内，乙方对本项目所含货物类产品免费提供维护、维修或更换，包括设备维修所需的零配件及不能解决的故障需要返回生产厂家维修时所发生的一切费用。</w:t>
      </w:r>
    </w:p>
    <w:p>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十、保密条款</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乙方对合同内容及履行合同过程中所获悉的属于甲方的且无法自公开渠道获得的文件及资料，应负保密义务，非经甲方书面同意，不得擅自利用或对外发表或披露。违反前述约定的，乙方应支付</w:t>
      </w:r>
      <w:r>
        <w:rPr>
          <w:color w:val="auto"/>
          <w:sz w:val="21"/>
          <w:szCs w:val="21"/>
        </w:rPr>
        <w:t>给甲方</w:t>
      </w:r>
      <w:r>
        <w:rPr>
          <w:rFonts w:hint="eastAsia"/>
          <w:color w:val="auto"/>
          <w:sz w:val="21"/>
          <w:szCs w:val="21"/>
        </w:rPr>
        <w:t>惩罚性</w:t>
      </w:r>
      <w:r>
        <w:rPr>
          <w:color w:val="auto"/>
          <w:sz w:val="21"/>
          <w:szCs w:val="21"/>
        </w:rPr>
        <w:t>违约金</w:t>
      </w:r>
      <w:r>
        <w:rPr>
          <w:rFonts w:hint="eastAsia"/>
          <w:color w:val="auto"/>
          <w:sz w:val="21"/>
          <w:szCs w:val="21"/>
        </w:rPr>
        <w:t>，并承担赔偿责任。保密期限自乙方接收或知悉甲方信息资料之日起至该信息资料公开之日或甲方书面解除乙方保密义务之日止。</w:t>
      </w:r>
    </w:p>
    <w:p>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十一、违约责任</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甲方逾期支付款项的，每逾期一日，应按逾期付款总额</w:t>
      </w:r>
      <w:r>
        <w:rPr>
          <w:rFonts w:hint="eastAsia"/>
          <w:color w:val="auto"/>
          <w:sz w:val="21"/>
          <w:szCs w:val="21"/>
          <w:u w:val="single"/>
          <w:lang w:val="en-US" w:eastAsia="zh-CN"/>
        </w:rPr>
        <w:t xml:space="preserve">  万分之叁  </w:t>
      </w:r>
      <w:r>
        <w:rPr>
          <w:rFonts w:hint="eastAsia"/>
          <w:color w:val="auto"/>
          <w:sz w:val="21"/>
          <w:szCs w:val="21"/>
        </w:rPr>
        <w:t>向乙方支付违约金。</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乙方逾期履行合同的，每逾期一日，应按合同总价</w:t>
      </w:r>
      <w:r>
        <w:rPr>
          <w:rFonts w:hint="eastAsia"/>
          <w:color w:val="auto"/>
          <w:sz w:val="21"/>
          <w:szCs w:val="21"/>
          <w:u w:val="single"/>
          <w:lang w:val="en-US" w:eastAsia="zh-CN"/>
        </w:rPr>
        <w:t xml:space="preserve">  万分之叁  </w:t>
      </w:r>
      <w:r>
        <w:rPr>
          <w:rFonts w:hint="eastAsia"/>
          <w:color w:val="auto"/>
          <w:sz w:val="21"/>
          <w:szCs w:val="21"/>
        </w:rPr>
        <w:t>向甲方支付违约金。累计逾期超过约定日期</w:t>
      </w:r>
      <w:r>
        <w:rPr>
          <w:color w:val="auto"/>
          <w:sz w:val="21"/>
          <w:szCs w:val="21"/>
          <w:u w:val="single"/>
        </w:rPr>
        <w:t xml:space="preserve"> 10 </w:t>
      </w:r>
      <w:r>
        <w:rPr>
          <w:rFonts w:hint="eastAsia"/>
          <w:color w:val="auto"/>
          <w:sz w:val="21"/>
          <w:szCs w:val="21"/>
        </w:rPr>
        <w:t>个工作日的，甲方有权解除本合同，乙方应向</w:t>
      </w:r>
      <w:r>
        <w:rPr>
          <w:rFonts w:hint="eastAsia"/>
          <w:color w:val="auto"/>
          <w:spacing w:val="-6"/>
          <w:sz w:val="21"/>
          <w:szCs w:val="21"/>
        </w:rPr>
        <w:t>甲方返还全部已支付价款，并按合同总价的</w:t>
      </w:r>
      <w:r>
        <w:rPr>
          <w:color w:val="auto"/>
          <w:sz w:val="21"/>
          <w:szCs w:val="21"/>
          <w:u w:val="single"/>
        </w:rPr>
        <w:t>5 %</w:t>
      </w:r>
      <w:r>
        <w:rPr>
          <w:rFonts w:hint="eastAsia"/>
          <w:color w:val="auto"/>
          <w:spacing w:val="-6"/>
          <w:sz w:val="21"/>
          <w:szCs w:val="21"/>
        </w:rPr>
        <w:t>向甲方支付违约金，</w:t>
      </w:r>
      <w:r>
        <w:rPr>
          <w:rFonts w:hint="eastAsia"/>
          <w:color w:val="auto"/>
          <w:sz w:val="21"/>
          <w:szCs w:val="21"/>
        </w:rPr>
        <w:t>违约金不足以弥补甲方损失的，乙方还应向</w:t>
      </w:r>
      <w:r>
        <w:rPr>
          <w:rFonts w:hint="eastAsia"/>
          <w:color w:val="auto"/>
          <w:spacing w:val="-6"/>
          <w:sz w:val="21"/>
          <w:szCs w:val="21"/>
        </w:rPr>
        <w:t>甲方赔偿遭受的全部损失。</w:t>
      </w:r>
      <w:r>
        <w:rPr>
          <w:color w:val="auto"/>
          <w:sz w:val="21"/>
          <w:szCs w:val="21"/>
        </w:rPr>
        <w:t xml:space="preserve"> </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若乙方未能按本合同要求全面提供服务或有其他违约行为，并经甲方书面通知后仍不改正的，甲方有权解除合同，</w:t>
      </w:r>
      <w:r>
        <w:rPr>
          <w:rFonts w:hint="eastAsia" w:cs="宋体"/>
          <w:color w:val="auto"/>
          <w:sz w:val="21"/>
          <w:szCs w:val="21"/>
        </w:rPr>
        <w:t>乙方应向</w:t>
      </w:r>
      <w:r>
        <w:rPr>
          <w:rFonts w:hint="eastAsia"/>
          <w:color w:val="auto"/>
          <w:sz w:val="21"/>
          <w:szCs w:val="21"/>
        </w:rPr>
        <w:t>甲方返还全部已支付价款，并按合同总价的</w:t>
      </w:r>
      <w:r>
        <w:rPr>
          <w:color w:val="auto"/>
          <w:sz w:val="21"/>
          <w:szCs w:val="21"/>
          <w:u w:val="single"/>
        </w:rPr>
        <w:t>5 %</w:t>
      </w:r>
      <w:r>
        <w:rPr>
          <w:rFonts w:hint="eastAsia"/>
          <w:color w:val="auto"/>
          <w:sz w:val="21"/>
          <w:szCs w:val="21"/>
        </w:rPr>
        <w:t>向甲方支付违约金，</w:t>
      </w:r>
      <w:r>
        <w:rPr>
          <w:rFonts w:hint="eastAsia" w:cs="宋体"/>
          <w:color w:val="auto"/>
          <w:sz w:val="21"/>
          <w:szCs w:val="21"/>
        </w:rPr>
        <w:t>违约金不足以弥补甲方损失的，乙方还应向</w:t>
      </w:r>
      <w:r>
        <w:rPr>
          <w:rFonts w:hint="eastAsia"/>
          <w:color w:val="auto"/>
          <w:sz w:val="21"/>
          <w:szCs w:val="21"/>
        </w:rPr>
        <w:t>甲方赔偿遭受的全部损失。</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asciiTheme="minorEastAsia" w:hAnsiTheme="minorEastAsia" w:eastAsiaTheme="minorEastAsia"/>
          <w:color w:val="auto"/>
          <w:sz w:val="21"/>
          <w:szCs w:val="21"/>
        </w:rPr>
        <w:t>4.</w:t>
      </w:r>
      <w:r>
        <w:rPr>
          <w:rFonts w:hint="eastAsia"/>
          <w:color w:val="auto"/>
          <w:spacing w:val="-6"/>
          <w:sz w:val="21"/>
          <w:szCs w:val="21"/>
        </w:rPr>
        <w:t>服务期内乙方未在约定时间内作出服务响应的，</w:t>
      </w:r>
      <w:r>
        <w:rPr>
          <w:rFonts w:hint="eastAsia"/>
          <w:color w:val="auto"/>
          <w:sz w:val="21"/>
          <w:szCs w:val="21"/>
        </w:rPr>
        <w:t>每发生一次应向甲方支付</w:t>
      </w:r>
      <w:r>
        <w:rPr>
          <w:b w:val="0"/>
          <w:bCs w:val="0"/>
          <w:color w:val="auto"/>
          <w:sz w:val="21"/>
          <w:szCs w:val="21"/>
          <w:u w:val="single"/>
        </w:rPr>
        <w:t xml:space="preserve"> </w:t>
      </w:r>
      <w:r>
        <w:rPr>
          <w:rFonts w:hint="eastAsia"/>
          <w:b w:val="0"/>
          <w:bCs w:val="0"/>
          <w:color w:val="auto"/>
          <w:sz w:val="21"/>
          <w:szCs w:val="21"/>
          <w:u w:val="single"/>
          <w:lang w:val="en-US" w:eastAsia="zh-CN"/>
        </w:rPr>
        <w:t>1000</w:t>
      </w:r>
      <w:r>
        <w:rPr>
          <w:rFonts w:hint="eastAsia"/>
          <w:b w:val="0"/>
          <w:bCs w:val="0"/>
          <w:color w:val="auto"/>
          <w:sz w:val="21"/>
          <w:szCs w:val="21"/>
          <w:u w:val="single"/>
        </w:rPr>
        <w:t xml:space="preserve"> </w:t>
      </w:r>
      <w:r>
        <w:rPr>
          <w:rFonts w:hint="eastAsia"/>
          <w:color w:val="auto"/>
          <w:sz w:val="21"/>
          <w:szCs w:val="21"/>
        </w:rPr>
        <w:t>元的违约金，</w:t>
      </w:r>
      <w:r>
        <w:rPr>
          <w:rFonts w:hint="eastAsia"/>
          <w:color w:val="auto"/>
          <w:spacing w:val="-6"/>
          <w:sz w:val="21"/>
          <w:szCs w:val="21"/>
        </w:rPr>
        <w:t>甲方有权委托第三方提供服务，</w:t>
      </w:r>
      <w:r>
        <w:rPr>
          <w:rFonts w:hint="eastAsia"/>
          <w:color w:val="auto"/>
          <w:sz w:val="21"/>
          <w:szCs w:val="21"/>
        </w:rPr>
        <w:t>所产生的费用由乙方承担。</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5.</w:t>
      </w:r>
      <w:r>
        <w:rPr>
          <w:rFonts w:hint="eastAsia"/>
          <w:color w:val="auto"/>
          <w:sz w:val="21"/>
          <w:szCs w:val="21"/>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十二、不可抗力</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在合同有效期内，任何一方因不可抗力事件导致不能履行合同，则合同履行期可延长，其延长期与不可抗力影响期相同。</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不可抗力事件发生后，受不可抗力事件影响的一方应在事件发生后</w:t>
      </w:r>
      <w:r>
        <w:rPr>
          <w:color w:val="auto"/>
          <w:sz w:val="21"/>
          <w:szCs w:val="21"/>
        </w:rPr>
        <w:t>3</w:t>
      </w:r>
      <w:r>
        <w:rPr>
          <w:rFonts w:hint="eastAsia"/>
          <w:color w:val="auto"/>
          <w:sz w:val="21"/>
          <w:szCs w:val="21"/>
        </w:rPr>
        <w:t>日内立即通知对方，并寄送有关权威机构出具的证明。同时应立即尽一切合理努力采取措施，消除影响，减少损失。</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不可抗力事件延续</w:t>
      </w:r>
      <w:r>
        <w:rPr>
          <w:color w:val="auto"/>
          <w:sz w:val="21"/>
          <w:szCs w:val="21"/>
        </w:rPr>
        <w:t>30</w:t>
      </w:r>
      <w:r>
        <w:rPr>
          <w:rFonts w:hint="eastAsia"/>
          <w:color w:val="auto"/>
          <w:sz w:val="21"/>
          <w:szCs w:val="21"/>
        </w:rPr>
        <w:t>天以上，双方应通过友好协商，确定是否继续履行合同。</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4.</w:t>
      </w:r>
      <w:r>
        <w:rPr>
          <w:rFonts w:hint="eastAsia"/>
          <w:color w:val="auto"/>
          <w:sz w:val="21"/>
          <w:szCs w:val="21"/>
        </w:rPr>
        <w:t>本条所述的“不可抗力”依法律规定。</w:t>
      </w:r>
    </w:p>
    <w:p>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十三、法律适用与争议解决</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本合同的订立、解释、履行及争议解决，均适用中华人民共和国法律。</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本合同履行过程中发生争议的，甲乙双方应友好协商；协商不成的，任何一方可向甲方所在地人民法院起诉。</w:t>
      </w:r>
    </w:p>
    <w:p>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十四、合同生效及其他</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本合同经甲、乙双方代表签字并加盖单位公章或合同专用章后生效，甲方的单位公章盖采购中心合同专用章。</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bookmarkStart w:id="465" w:name="_Hlk154756484"/>
      <w:r>
        <w:rPr>
          <w:rFonts w:hint="eastAsia"/>
          <w:color w:val="auto"/>
          <w:sz w:val="21"/>
          <w:szCs w:val="21"/>
        </w:rPr>
        <w:t>合同执行中涉及采购内容修改或补充的，按《杭州电子科技大学采购合同管理实施细则》（杭电采〔</w:t>
      </w:r>
      <w:r>
        <w:rPr>
          <w:color w:val="auto"/>
          <w:sz w:val="21"/>
          <w:szCs w:val="21"/>
        </w:rPr>
        <w:t>2023〕154号）</w:t>
      </w:r>
      <w:r>
        <w:rPr>
          <w:rFonts w:hint="eastAsia"/>
          <w:color w:val="auto"/>
          <w:sz w:val="21"/>
          <w:szCs w:val="21"/>
        </w:rPr>
        <w:t>执行。（政府采购项目：合同执行中涉及采购资金和采购内容修改或补充的，须经财政部门审批，并签书面补充协议报政府采购监督管理部门备案，方可作为主合同不可分割的一部分。）</w:t>
      </w:r>
    </w:p>
    <w:bookmarkEnd w:id="465"/>
    <w:p>
      <w:pPr>
        <w:keepNext w:val="0"/>
        <w:keepLines w:val="0"/>
        <w:pageBreakBefore w:val="0"/>
        <w:widowControl w:val="0"/>
        <w:kinsoku/>
        <w:wordWrap/>
        <w:overflowPunct/>
        <w:topLinePunct w:val="0"/>
        <w:bidi w:val="0"/>
        <w:snapToGrid/>
        <w:spacing w:line="288" w:lineRule="auto"/>
        <w:ind w:left="0" w:leftChars="0" w:firstLine="396" w:firstLineChars="200"/>
        <w:textAlignment w:val="auto"/>
        <w:outlineLvl w:val="0"/>
        <w:rPr>
          <w:color w:val="auto"/>
          <w:sz w:val="21"/>
          <w:szCs w:val="21"/>
          <w:lang w:val="zh-CN"/>
        </w:rPr>
      </w:pPr>
      <w:bookmarkStart w:id="466" w:name="_Hlk154756502"/>
      <w:r>
        <w:rPr>
          <w:rFonts w:cs="宋体" w:asciiTheme="minorEastAsia" w:hAnsiTheme="minorEastAsia" w:eastAsiaTheme="minorEastAsia"/>
          <w:color w:val="auto"/>
          <w:spacing w:val="-6"/>
          <w:sz w:val="21"/>
          <w:szCs w:val="21"/>
        </w:rPr>
        <w:t>3.</w:t>
      </w:r>
      <w:bookmarkEnd w:id="466"/>
      <w:r>
        <w:rPr>
          <w:rFonts w:hint="eastAsia"/>
          <w:color w:val="auto"/>
          <w:sz w:val="21"/>
          <w:szCs w:val="21"/>
        </w:rPr>
        <w:t>本次采购过程中形成的</w:t>
      </w:r>
      <w:r>
        <w:rPr>
          <w:rFonts w:hint="eastAsia" w:ascii="宋体" w:hAnsi="宋体" w:cs="宋体"/>
          <w:color w:val="auto"/>
          <w:sz w:val="21"/>
          <w:szCs w:val="21"/>
        </w:rPr>
        <w:t>招标（非招标）</w:t>
      </w:r>
      <w:r>
        <w:rPr>
          <w:rFonts w:hint="eastAsia" w:ascii="宋体" w:hAnsi="宋体" w:cs="宋体"/>
          <w:color w:val="auto"/>
          <w:sz w:val="21"/>
          <w:szCs w:val="21"/>
          <w:lang w:val="zh-CN"/>
        </w:rPr>
        <w:t>文件</w:t>
      </w:r>
      <w:r>
        <w:rPr>
          <w:rFonts w:hint="eastAsia"/>
          <w:color w:val="auto"/>
          <w:sz w:val="21"/>
          <w:szCs w:val="21"/>
        </w:rPr>
        <w:t>、投标（响应）文件、澄清承诺、补充协议、附件等</w:t>
      </w:r>
      <w:r>
        <w:rPr>
          <w:rFonts w:hint="eastAsia"/>
          <w:color w:val="auto"/>
          <w:sz w:val="21"/>
          <w:szCs w:val="21"/>
          <w:lang w:val="zh-CN"/>
        </w:rPr>
        <w:t>为本合同的组成部分，并构成一个整体，需综合解释、相互补充。如果</w:t>
      </w:r>
      <w:r>
        <w:rPr>
          <w:rFonts w:hint="eastAsia"/>
          <w:color w:val="auto"/>
          <w:sz w:val="21"/>
          <w:szCs w:val="21"/>
        </w:rPr>
        <w:t>上述</w:t>
      </w:r>
      <w:r>
        <w:rPr>
          <w:rFonts w:hint="eastAsia"/>
          <w:color w:val="auto"/>
          <w:sz w:val="21"/>
          <w:szCs w:val="21"/>
          <w:lang w:val="zh-CN"/>
        </w:rPr>
        <w:t>文件内容出现不一致的情形，那么在保证按照采购文件确定的事项的前提下，组成本合同的多个文件的优先适用顺序如下：</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lang w:val="zh-CN"/>
        </w:rPr>
        <w:t>（</w:t>
      </w:r>
      <w:r>
        <w:rPr>
          <w:rFonts w:asciiTheme="minorEastAsia" w:hAnsiTheme="minorEastAsia" w:eastAsiaTheme="minorEastAsia"/>
          <w:color w:val="auto"/>
          <w:sz w:val="21"/>
          <w:szCs w:val="21"/>
          <w:lang w:val="zh-CN"/>
        </w:rPr>
        <w:t>1</w:t>
      </w:r>
      <w:r>
        <w:rPr>
          <w:rFonts w:hint="eastAsia"/>
          <w:color w:val="auto"/>
          <w:sz w:val="21"/>
          <w:szCs w:val="21"/>
          <w:lang w:val="zh-CN"/>
        </w:rPr>
        <w:t>）本合同及其补充合同、变更协议；</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）中标（成交）</w:t>
      </w:r>
      <w:r>
        <w:rPr>
          <w:rFonts w:hint="eastAsia"/>
          <w:color w:val="auto"/>
          <w:sz w:val="21"/>
          <w:szCs w:val="21"/>
          <w:lang w:val="zh-CN"/>
        </w:rPr>
        <w:t>通知书；</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）投标（</w:t>
      </w:r>
      <w:r>
        <w:rPr>
          <w:rFonts w:hint="eastAsia"/>
          <w:color w:val="auto"/>
          <w:sz w:val="21"/>
          <w:szCs w:val="21"/>
          <w:lang w:val="zh-CN"/>
        </w:rPr>
        <w:t>响应）文件（含澄清或者说明文件）；</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）招标（非招标）</w:t>
      </w:r>
      <w:r>
        <w:rPr>
          <w:rFonts w:hint="eastAsia"/>
          <w:color w:val="auto"/>
          <w:sz w:val="21"/>
          <w:szCs w:val="21"/>
          <w:lang w:val="zh-CN"/>
        </w:rPr>
        <w:t>文件（含澄清或者修改文件）；</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5</w:t>
      </w:r>
      <w:r>
        <w:rPr>
          <w:rFonts w:hint="eastAsia"/>
          <w:color w:val="auto"/>
          <w:sz w:val="21"/>
          <w:szCs w:val="21"/>
        </w:rPr>
        <w:t>）</w:t>
      </w:r>
      <w:r>
        <w:rPr>
          <w:rFonts w:hint="eastAsia"/>
          <w:color w:val="auto"/>
          <w:sz w:val="21"/>
          <w:szCs w:val="21"/>
          <w:lang w:val="zh-CN"/>
        </w:rPr>
        <w:t>其他相关采购文件。</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67" w:name="_Hlk154756515"/>
      <w:r>
        <w:rPr>
          <w:rFonts w:asciiTheme="minorEastAsia" w:hAnsiTheme="minorEastAsia" w:eastAsiaTheme="minorEastAsia"/>
          <w:color w:val="auto"/>
          <w:sz w:val="21"/>
          <w:szCs w:val="21"/>
        </w:rPr>
        <w:t>4.</w:t>
      </w:r>
      <w:r>
        <w:rPr>
          <w:rFonts w:hint="eastAsia"/>
          <w:color w:val="auto"/>
          <w:sz w:val="21"/>
          <w:szCs w:val="21"/>
        </w:rPr>
        <w:t>本合同未尽事宜，遵照《中华人民共和国民法典》有关条文执行。</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5.</w:t>
      </w:r>
      <w:r>
        <w:rPr>
          <w:rFonts w:hint="eastAsia" w:asciiTheme="minorEastAsia" w:hAnsiTheme="minorEastAsia" w:eastAsiaTheme="minorEastAsia"/>
          <w:color w:val="auto"/>
          <w:sz w:val="21"/>
          <w:szCs w:val="21"/>
        </w:rPr>
        <w:t>本合同</w:t>
      </w:r>
      <w:r>
        <w:rPr>
          <w:rFonts w:hint="eastAsia" w:asciiTheme="minorEastAsia" w:hAnsiTheme="minorEastAsia" w:eastAsiaTheme="minorEastAsia"/>
          <w:color w:val="auto"/>
          <w:szCs w:val="22"/>
        </w:rPr>
        <w:t>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Cs w:val="22"/>
        </w:rPr>
        <w:t>份，甲方执</w:t>
      </w:r>
      <w:r>
        <w:rPr>
          <w:rFonts w:hint="eastAsia" w:asciiTheme="minorEastAsia" w:hAnsiTheme="minorEastAsia" w:eastAsiaTheme="minorEastAsia"/>
          <w:color w:val="auto"/>
          <w:szCs w:val="22"/>
          <w:lang w:val="en-US" w:eastAsia="zh-CN"/>
        </w:rPr>
        <w:t>叁</w:t>
      </w:r>
      <w:r>
        <w:rPr>
          <w:rFonts w:hint="eastAsia" w:asciiTheme="minorEastAsia" w:hAnsiTheme="minorEastAsia" w:eastAsiaTheme="minorEastAsia"/>
          <w:color w:val="auto"/>
          <w:szCs w:val="22"/>
        </w:rPr>
        <w:t>份，乙方执</w:t>
      </w:r>
      <w:r>
        <w:rPr>
          <w:rFonts w:hint="eastAsia" w:asciiTheme="minorEastAsia" w:hAnsiTheme="minorEastAsia" w:eastAsiaTheme="minorEastAsia"/>
          <w:color w:val="auto"/>
          <w:szCs w:val="22"/>
          <w:lang w:val="en-US" w:eastAsia="zh-CN"/>
        </w:rPr>
        <w:t>壹</w:t>
      </w:r>
      <w:r>
        <w:rPr>
          <w:rFonts w:hint="eastAsia" w:asciiTheme="minorEastAsia" w:hAnsiTheme="minorEastAsia" w:eastAsiaTheme="minorEastAsia"/>
          <w:color w:val="auto"/>
          <w:szCs w:val="22"/>
        </w:rPr>
        <w:t>份</w:t>
      </w:r>
      <w:r>
        <w:rPr>
          <w:rFonts w:hint="eastAsia" w:asciiTheme="minorEastAsia" w:hAnsiTheme="minorEastAsia" w:eastAsiaTheme="minorEastAsia"/>
          <w:color w:val="auto"/>
          <w:sz w:val="21"/>
          <w:szCs w:val="21"/>
        </w:rPr>
        <w:t>，具有同等法律效力。</w:t>
      </w:r>
    </w:p>
    <w:bookmarkEnd w:id="467"/>
    <w:p>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合同附件</w:t>
      </w:r>
      <w:r>
        <w:rPr>
          <w:rFonts w:hint="eastAsia"/>
          <w:color w:val="auto"/>
          <w:sz w:val="21"/>
          <w:szCs w:val="21"/>
        </w:rPr>
        <w:t>：（附件名称</w:t>
      </w:r>
      <w:r>
        <w:rPr>
          <w:rFonts w:hint="eastAsia"/>
          <w:color w:val="auto"/>
          <w:sz w:val="21"/>
          <w:szCs w:val="21"/>
          <w:u w:val="single"/>
          <w:lang w:val="en-US" w:eastAsia="zh-CN"/>
        </w:rPr>
        <w:t xml:space="preserve">                      </w:t>
      </w:r>
      <w:r>
        <w:rPr>
          <w:rFonts w:hint="eastAsia"/>
          <w:color w:val="auto"/>
          <w:sz w:val="21"/>
          <w:szCs w:val="21"/>
          <w:u w:val="none"/>
        </w:rPr>
        <w:t>）</w:t>
      </w:r>
      <w:r>
        <w:rPr>
          <w:rFonts w:hint="eastAsia"/>
          <w:color w:val="auto"/>
          <w:sz w:val="21"/>
          <w:szCs w:val="21"/>
        </w:rPr>
        <w:t>（如有）</w:t>
      </w:r>
    </w:p>
    <w:p>
      <w:pPr>
        <w:keepNext w:val="0"/>
        <w:keepLines w:val="0"/>
        <w:pageBreakBefore w:val="0"/>
        <w:widowControl w:val="0"/>
        <w:kinsoku/>
        <w:wordWrap/>
        <w:overflowPunct/>
        <w:topLinePunct w:val="0"/>
        <w:bidi w:val="0"/>
        <w:snapToGrid/>
        <w:spacing w:line="288" w:lineRule="auto"/>
        <w:ind w:firstLine="0" w:firstLineChars="0"/>
        <w:textAlignment w:val="auto"/>
        <w:outlineLvl w:val="0"/>
        <w:rPr>
          <w:color w:val="auto"/>
          <w:sz w:val="21"/>
          <w:szCs w:val="21"/>
        </w:rPr>
      </w:pPr>
    </w:p>
    <w:tbl>
      <w:tblPr>
        <w:tblStyle w:val="45"/>
        <w:tblW w:w="9249" w:type="dxa"/>
        <w:jc w:val="center"/>
        <w:tblInd w:w="0" w:type="dxa"/>
        <w:tblLayout w:type="fixed"/>
        <w:tblCellMar>
          <w:top w:w="0" w:type="dxa"/>
          <w:left w:w="108" w:type="dxa"/>
          <w:bottom w:w="0" w:type="dxa"/>
          <w:right w:w="108" w:type="dxa"/>
        </w:tblCellMar>
      </w:tblPr>
      <w:tblGrid>
        <w:gridCol w:w="5073"/>
        <w:gridCol w:w="4176"/>
      </w:tblGrid>
      <w:tr>
        <w:tblPrEx>
          <w:tblLayout w:type="fixed"/>
          <w:tblCellMar>
            <w:top w:w="0" w:type="dxa"/>
            <w:left w:w="108" w:type="dxa"/>
            <w:bottom w:w="0" w:type="dxa"/>
            <w:right w:w="108" w:type="dxa"/>
          </w:tblCellMar>
        </w:tblPrEx>
        <w:trPr>
          <w:trHeight w:val="782" w:hRule="atLeast"/>
          <w:jc w:val="center"/>
        </w:trPr>
        <w:tc>
          <w:tcPr>
            <w:tcW w:w="5073" w:type="dxa"/>
            <w:vAlign w:val="center"/>
          </w:tcPr>
          <w:p>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甲方：杭州电子科技大学（公章）</w:t>
            </w:r>
          </w:p>
        </w:tc>
        <w:tc>
          <w:tcPr>
            <w:tcW w:w="4176" w:type="dxa"/>
            <w:vAlign w:val="center"/>
          </w:tcPr>
          <w:p>
            <w:pPr>
              <w:keepNext w:val="0"/>
              <w:keepLines w:val="0"/>
              <w:pageBreakBefore w:val="0"/>
              <w:widowControl w:val="0"/>
              <w:kinsoku/>
              <w:wordWrap/>
              <w:overflowPunct/>
              <w:topLinePunct w:val="0"/>
              <w:bidi w:val="0"/>
              <w:snapToGrid/>
              <w:spacing w:line="288" w:lineRule="auto"/>
              <w:ind w:firstLine="0" w:firstLineChars="0"/>
              <w:jc w:val="both"/>
              <w:textAlignment w:val="auto"/>
              <w:outlineLvl w:val="0"/>
              <w:rPr>
                <w:color w:val="auto"/>
              </w:rPr>
            </w:pPr>
            <w:r>
              <w:rPr>
                <w:rFonts w:hint="eastAsia" w:ascii="宋体" w:hAnsi="宋体"/>
                <w:color w:val="auto"/>
                <w:spacing w:val="-6"/>
                <w:sz w:val="21"/>
                <w:szCs w:val="21"/>
              </w:rPr>
              <w:t>乙方</w:t>
            </w:r>
            <w:r>
              <w:rPr>
                <w:rFonts w:hint="eastAsia"/>
                <w:color w:val="auto"/>
              </w:rPr>
              <w:t>：（公章）</w:t>
            </w:r>
          </w:p>
        </w:tc>
      </w:tr>
      <w:tr>
        <w:tblPrEx>
          <w:tblLayout w:type="fixed"/>
          <w:tblCellMar>
            <w:top w:w="0" w:type="dxa"/>
            <w:left w:w="108" w:type="dxa"/>
            <w:bottom w:w="0" w:type="dxa"/>
            <w:right w:w="108" w:type="dxa"/>
          </w:tblCellMar>
        </w:tblPrEx>
        <w:trPr>
          <w:trHeight w:val="1547" w:hRule="atLeast"/>
          <w:jc w:val="center"/>
        </w:trPr>
        <w:tc>
          <w:tcPr>
            <w:tcW w:w="5073" w:type="dxa"/>
            <w:vAlign w:val="center"/>
          </w:tcPr>
          <w:p>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法定（授权）代表人：</w:t>
            </w:r>
          </w:p>
          <w:p>
            <w:pPr>
              <w:keepNext w:val="0"/>
              <w:keepLines w:val="0"/>
              <w:pageBreakBefore w:val="0"/>
              <w:widowControl w:val="0"/>
              <w:kinsoku/>
              <w:wordWrap/>
              <w:overflowPunct/>
              <w:topLinePunct w:val="0"/>
              <w:bidi w:val="0"/>
              <w:snapToGrid/>
              <w:spacing w:line="288" w:lineRule="auto"/>
              <w:ind w:firstLine="396"/>
              <w:jc w:val="both"/>
              <w:textAlignment w:val="auto"/>
              <w:outlineLvl w:val="0"/>
              <w:rPr>
                <w:color w:val="auto"/>
              </w:rPr>
            </w:pPr>
            <w:r>
              <w:rPr>
                <w:rFonts w:hint="eastAsia"/>
                <w:color w:val="auto"/>
              </w:rPr>
              <w:t>(签字）</w:t>
            </w:r>
          </w:p>
        </w:tc>
        <w:tc>
          <w:tcPr>
            <w:tcW w:w="4176" w:type="dxa"/>
            <w:vAlign w:val="center"/>
          </w:tcPr>
          <w:p>
            <w:pPr>
              <w:keepNext w:val="0"/>
              <w:keepLines w:val="0"/>
              <w:pageBreakBefore w:val="0"/>
              <w:widowControl w:val="0"/>
              <w:kinsoku/>
              <w:wordWrap/>
              <w:overflowPunct/>
              <w:topLinePunct w:val="0"/>
              <w:bidi w:val="0"/>
              <w:snapToGrid/>
              <w:spacing w:line="288" w:lineRule="auto"/>
              <w:jc w:val="both"/>
              <w:textAlignment w:val="auto"/>
              <w:outlineLvl w:val="0"/>
              <w:rPr>
                <w:color w:val="auto"/>
                <w:sz w:val="21"/>
                <w:szCs w:val="21"/>
              </w:rPr>
            </w:pPr>
            <w:r>
              <w:rPr>
                <w:rFonts w:hint="eastAsia"/>
                <w:color w:val="auto"/>
                <w:sz w:val="21"/>
                <w:szCs w:val="21"/>
              </w:rPr>
              <w:t>法定（授权）代表人：</w:t>
            </w:r>
          </w:p>
          <w:p>
            <w:pPr>
              <w:keepNext w:val="0"/>
              <w:keepLines w:val="0"/>
              <w:pageBreakBefore w:val="0"/>
              <w:widowControl w:val="0"/>
              <w:kinsoku/>
              <w:wordWrap/>
              <w:overflowPunct/>
              <w:topLinePunct w:val="0"/>
              <w:bidi w:val="0"/>
              <w:snapToGrid/>
              <w:spacing w:line="288" w:lineRule="auto"/>
              <w:ind w:firstLine="396"/>
              <w:jc w:val="both"/>
              <w:textAlignment w:val="auto"/>
              <w:outlineLvl w:val="0"/>
              <w:rPr>
                <w:rFonts w:ascii="宋体" w:hAnsi="宋体"/>
                <w:color w:val="auto"/>
                <w:spacing w:val="-6"/>
                <w:sz w:val="21"/>
                <w:szCs w:val="21"/>
              </w:rPr>
            </w:pPr>
            <w:r>
              <w:rPr>
                <w:rFonts w:hint="eastAsia" w:ascii="宋体" w:hAnsi="宋体"/>
                <w:color w:val="auto"/>
                <w:spacing w:val="-6"/>
                <w:sz w:val="21"/>
                <w:szCs w:val="21"/>
              </w:rPr>
              <w:t>（签字）</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地址：杭州下沙高教园区二号大街1158号</w:t>
            </w:r>
          </w:p>
        </w:tc>
        <w:tc>
          <w:tcPr>
            <w:tcW w:w="4176"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w:t>
            </w:r>
            <w:r>
              <w:rPr>
                <w:rFonts w:hint="eastAsia" w:ascii="宋体" w:hAnsi="宋体"/>
                <w:color w:val="auto"/>
                <w:spacing w:val="-6"/>
                <w:sz w:val="21"/>
                <w:szCs w:val="21"/>
              </w:rPr>
              <w:tab/>
            </w:r>
            <w:r>
              <w:rPr>
                <w:rFonts w:hint="eastAsia" w:ascii="宋体" w:hAnsi="宋体"/>
                <w:color w:val="auto"/>
                <w:spacing w:val="-6"/>
                <w:sz w:val="21"/>
                <w:szCs w:val="21"/>
              </w:rPr>
              <w:tab/>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电话： </w:t>
            </w:r>
          </w:p>
        </w:tc>
        <w:tc>
          <w:tcPr>
            <w:tcW w:w="4176"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电话：</w:t>
            </w:r>
            <w:r>
              <w:rPr>
                <w:rFonts w:hint="eastAsia" w:ascii="宋体" w:hAnsi="宋体"/>
                <w:color w:val="auto"/>
                <w:spacing w:val="-6"/>
                <w:sz w:val="21"/>
                <w:szCs w:val="21"/>
              </w:rPr>
              <w:tab/>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开户银行：工行高新支行 </w:t>
            </w:r>
          </w:p>
        </w:tc>
        <w:tc>
          <w:tcPr>
            <w:tcW w:w="4176"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开户银行：</w:t>
            </w:r>
            <w:r>
              <w:rPr>
                <w:rFonts w:hint="eastAsia" w:ascii="宋体" w:hAnsi="宋体"/>
                <w:color w:val="auto"/>
                <w:spacing w:val="-6"/>
                <w:sz w:val="21"/>
                <w:szCs w:val="21"/>
              </w:rPr>
              <w:tab/>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帐号：1202026209008806216</w:t>
            </w:r>
          </w:p>
        </w:tc>
        <w:tc>
          <w:tcPr>
            <w:tcW w:w="4176"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c>
          <w:tcPr>
            <w:tcW w:w="4176"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r>
    </w:tbl>
    <w:p>
      <w:pPr>
        <w:outlineLvl w:val="0"/>
        <w:rPr>
          <w:color w:val="auto"/>
        </w:rPr>
      </w:pPr>
    </w:p>
    <w:p>
      <w:pPr>
        <w:outlineLvl w:val="0"/>
        <w:rPr>
          <w:rStyle w:val="55"/>
          <w:rFonts w:hint="eastAsia"/>
          <w:color w:val="auto"/>
        </w:rPr>
      </w:pPr>
      <w:r>
        <w:rPr>
          <w:rStyle w:val="55"/>
          <w:rFonts w:hint="eastAsia"/>
          <w:color w:val="auto"/>
        </w:rPr>
        <w:br w:type="page"/>
      </w:r>
    </w:p>
    <w:p>
      <w:pPr>
        <w:snapToGrid w:val="0"/>
        <w:spacing w:before="240" w:beforeLines="100" w:after="240" w:afterLines="100"/>
        <w:jc w:val="center"/>
        <w:outlineLvl w:val="0"/>
        <w:rPr>
          <w:rStyle w:val="55"/>
          <w:color w:val="auto"/>
        </w:rPr>
      </w:pPr>
      <w:bookmarkStart w:id="468" w:name="_Toc13890_WPSOffice_Level1"/>
      <w:r>
        <w:rPr>
          <w:rStyle w:val="55"/>
          <w:rFonts w:hint="eastAsia"/>
          <w:color w:val="auto"/>
        </w:rPr>
        <w:t>第六部分</w:t>
      </w:r>
      <w:r>
        <w:rPr>
          <w:rStyle w:val="55"/>
          <w:color w:val="auto"/>
        </w:rPr>
        <w:t xml:space="preserve"> </w:t>
      </w:r>
      <w:r>
        <w:rPr>
          <w:rStyle w:val="55"/>
          <w:rFonts w:hint="eastAsia"/>
          <w:color w:val="auto"/>
        </w:rPr>
        <w:t>响应文件格式</w:t>
      </w:r>
      <w:bookmarkEnd w:id="468"/>
    </w:p>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Pr>
        <w:adjustRightInd w:val="0"/>
        <w:snapToGrid w:val="0"/>
        <w:spacing w:line="288" w:lineRule="auto"/>
        <w:jc w:val="center"/>
        <w:outlineLvl w:val="0"/>
        <w:rPr>
          <w:b/>
          <w:bCs/>
          <w:color w:val="auto"/>
          <w:sz w:val="24"/>
          <w:szCs w:val="24"/>
        </w:rPr>
      </w:pPr>
      <w:bookmarkStart w:id="469" w:name="_Toc24474_WPSOffice_Level1"/>
      <w:bookmarkStart w:id="470" w:name="_Toc2886"/>
      <w:bookmarkStart w:id="471" w:name="_Toc7409"/>
      <w:bookmarkStart w:id="472" w:name="_Toc3964"/>
      <w:bookmarkStart w:id="473" w:name="_Toc13819"/>
      <w:bookmarkStart w:id="474" w:name="_Toc26648"/>
      <w:bookmarkStart w:id="475" w:name="_Toc6868"/>
      <w:bookmarkStart w:id="476" w:name="_Toc14400"/>
      <w:bookmarkStart w:id="477" w:name="_Toc20766"/>
      <w:bookmarkStart w:id="478" w:name="_Toc20870"/>
      <w:bookmarkStart w:id="479" w:name="_Toc9502"/>
      <w:bookmarkStart w:id="480" w:name="_Toc23756"/>
      <w:bookmarkStart w:id="481" w:name="_Toc27063"/>
      <w:bookmarkStart w:id="482" w:name="_Toc19286"/>
      <w:bookmarkStart w:id="483" w:name="_Toc32522"/>
      <w:bookmarkStart w:id="484" w:name="_Toc7710"/>
      <w:bookmarkStart w:id="485" w:name="_Toc28159"/>
      <w:bookmarkStart w:id="486" w:name="_Toc27551"/>
      <w:bookmarkStart w:id="487" w:name="_Toc17119"/>
      <w:bookmarkStart w:id="488" w:name="_Toc8070"/>
      <w:bookmarkStart w:id="489" w:name="_Toc28613"/>
      <w:bookmarkStart w:id="490" w:name="_Toc4610"/>
      <w:bookmarkStart w:id="491" w:name="_Toc7013"/>
      <w:bookmarkStart w:id="492" w:name="_Toc32288"/>
      <w:bookmarkStart w:id="493" w:name="_Toc25819"/>
      <w:bookmarkStart w:id="494" w:name="_Toc2326"/>
      <w:bookmarkStart w:id="495" w:name="_Toc20738"/>
      <w:bookmarkStart w:id="496" w:name="_Toc19804"/>
      <w:bookmarkStart w:id="497" w:name="_Toc31085"/>
      <w:bookmarkStart w:id="498" w:name="_Toc9636"/>
      <w:bookmarkStart w:id="499" w:name="_Toc9623"/>
      <w:bookmarkStart w:id="500" w:name="_Toc32223"/>
      <w:bookmarkStart w:id="501" w:name="_Toc24168"/>
      <w:bookmarkStart w:id="502" w:name="_Toc14202"/>
      <w:bookmarkStart w:id="503" w:name="_Toc4274"/>
      <w:bookmarkStart w:id="504" w:name="_Toc32185"/>
      <w:bookmarkStart w:id="505" w:name="_Toc706"/>
      <w:bookmarkStart w:id="506" w:name="_Toc11204"/>
      <w:bookmarkStart w:id="507" w:name="_Toc22675"/>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469"/>
    </w:p>
    <w:p>
      <w:pPr>
        <w:adjustRightInd w:val="0"/>
        <w:snapToGrid w:val="0"/>
        <w:spacing w:line="288" w:lineRule="auto"/>
        <w:rPr>
          <w:color w:val="auto"/>
          <w:sz w:val="24"/>
          <w:szCs w:val="24"/>
        </w:rPr>
      </w:pPr>
    </w:p>
    <w:p>
      <w:pPr>
        <w:adjustRightInd w:val="0"/>
        <w:snapToGrid w:val="0"/>
        <w:spacing w:line="288" w:lineRule="auto"/>
        <w:ind w:firstLine="482" w:firstLineChars="200"/>
        <w:outlineLvl w:val="0"/>
        <w:rPr>
          <w:b/>
          <w:bCs/>
          <w:color w:val="auto"/>
          <w:sz w:val="24"/>
          <w:szCs w:val="24"/>
        </w:rPr>
      </w:pPr>
      <w:bookmarkStart w:id="508" w:name="_Toc797_WPSOffice_Level1"/>
      <w:bookmarkStart w:id="509" w:name="_Hlk71884160"/>
      <w:r>
        <w:rPr>
          <w:rFonts w:hint="eastAsia"/>
          <w:b/>
          <w:bCs/>
          <w:color w:val="auto"/>
          <w:sz w:val="24"/>
          <w:szCs w:val="24"/>
        </w:rPr>
        <w:t>1.资格文件</w:t>
      </w:r>
      <w:bookmarkEnd w:id="508"/>
    </w:p>
    <w:p>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09"/>
    <w:p>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pPr>
        <w:adjustRightInd w:val="0"/>
        <w:snapToGrid w:val="0"/>
        <w:spacing w:line="288" w:lineRule="auto"/>
        <w:ind w:firstLine="480" w:firstLineChars="200"/>
        <w:outlineLvl w:val="1"/>
        <w:rPr>
          <w:color w:val="auto"/>
          <w:sz w:val="24"/>
          <w:szCs w:val="24"/>
        </w:rPr>
      </w:pPr>
      <w:bookmarkStart w:id="510"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pPr>
        <w:adjustRightInd w:val="0"/>
        <w:snapToGrid w:val="0"/>
        <w:spacing w:line="288" w:lineRule="auto"/>
        <w:ind w:firstLine="480" w:firstLineChars="200"/>
        <w:rPr>
          <w:color w:val="auto"/>
        </w:rPr>
      </w:pPr>
      <w:r>
        <w:rPr>
          <w:rFonts w:hint="eastAsia"/>
          <w:color w:val="auto"/>
          <w:sz w:val="24"/>
          <w:szCs w:val="24"/>
        </w:rPr>
        <w:t>（</w:t>
      </w:r>
      <w:r>
        <w:rPr>
          <w:color w:val="auto"/>
          <w:sz w:val="24"/>
          <w:szCs w:val="24"/>
        </w:rPr>
        <w:t>3）</w:t>
      </w:r>
      <w:bookmarkStart w:id="511" w:name="OLE_LINK3"/>
      <w:r>
        <w:rPr>
          <w:rFonts w:hint="eastAsia"/>
          <w:b/>
          <w:bCs/>
          <w:color w:val="auto"/>
          <w:sz w:val="24"/>
          <w:szCs w:val="24"/>
        </w:rPr>
        <w:t>▲</w:t>
      </w:r>
      <w:bookmarkEnd w:id="511"/>
      <w:r>
        <w:rPr>
          <w:rFonts w:hint="eastAsia"/>
          <w:color w:val="auto"/>
          <w:sz w:val="24"/>
          <w:szCs w:val="24"/>
        </w:rPr>
        <w:t>中小企业声明函</w:t>
      </w:r>
      <w:r>
        <w:rPr>
          <w:rFonts w:hint="eastAsia"/>
          <w:color w:val="auto"/>
          <w:sz w:val="24"/>
          <w:szCs w:val="24"/>
          <w:lang w:eastAsia="zh-CN"/>
        </w:rPr>
        <w:t>，</w:t>
      </w:r>
      <w:r>
        <w:rPr>
          <w:rFonts w:hint="eastAsia"/>
          <w:color w:val="auto"/>
          <w:sz w:val="24"/>
          <w:szCs w:val="24"/>
        </w:rPr>
        <w:t>属于监狱企业的证明文件（若属于监狱企业）</w:t>
      </w:r>
      <w:r>
        <w:rPr>
          <w:rFonts w:hint="eastAsia"/>
          <w:color w:val="auto"/>
          <w:sz w:val="24"/>
          <w:szCs w:val="24"/>
          <w:lang w:eastAsia="zh-CN"/>
        </w:rPr>
        <w:t>，</w:t>
      </w:r>
      <w:r>
        <w:rPr>
          <w:rFonts w:hint="eastAsia"/>
          <w:color w:val="auto"/>
          <w:sz w:val="24"/>
          <w:szCs w:val="24"/>
        </w:rPr>
        <w:t>残疾人福利性单位声明函（若属于残疾人福利性单位）</w:t>
      </w:r>
      <w:r>
        <w:rPr>
          <w:rFonts w:hint="eastAsia"/>
          <w:color w:val="auto"/>
          <w:sz w:val="24"/>
          <w:szCs w:val="24"/>
          <w:lang w:eastAsia="zh-CN"/>
        </w:rPr>
        <w:t>。</w:t>
      </w:r>
    </w:p>
    <w:p>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3）</w:t>
      </w:r>
      <w:r>
        <w:rPr>
          <w:rFonts w:hint="eastAsia"/>
          <w:b/>
          <w:bCs/>
          <w:color w:val="auto"/>
          <w:sz w:val="24"/>
          <w:szCs w:val="24"/>
        </w:rPr>
        <w:t>▲</w:t>
      </w:r>
      <w:r>
        <w:rPr>
          <w:rFonts w:hint="eastAsia"/>
          <w:color w:val="auto"/>
          <w:sz w:val="24"/>
          <w:szCs w:val="24"/>
        </w:rPr>
        <w:t>合法有效的化粪池清掏资质、管道疏通清洗资质证明</w:t>
      </w:r>
      <w:r>
        <w:rPr>
          <w:rFonts w:hint="eastAsia"/>
          <w:color w:val="auto"/>
          <w:sz w:val="24"/>
          <w:szCs w:val="24"/>
          <w:lang w:val="en-US" w:eastAsia="zh-CN"/>
        </w:rPr>
        <w:t>。</w:t>
      </w:r>
    </w:p>
    <w:bookmarkEnd w:id="510"/>
    <w:p>
      <w:pPr>
        <w:adjustRightInd w:val="0"/>
        <w:snapToGrid w:val="0"/>
        <w:spacing w:line="288" w:lineRule="auto"/>
        <w:ind w:firstLine="482" w:firstLineChars="200"/>
        <w:outlineLvl w:val="0"/>
        <w:rPr>
          <w:b/>
          <w:bCs/>
          <w:color w:val="auto"/>
          <w:sz w:val="24"/>
          <w:szCs w:val="24"/>
        </w:rPr>
      </w:pPr>
      <w:bookmarkStart w:id="512" w:name="_Toc31779_WPSOffice_Level1"/>
      <w:r>
        <w:rPr>
          <w:rFonts w:hint="eastAsia"/>
          <w:b/>
          <w:bCs/>
          <w:color w:val="auto"/>
          <w:sz w:val="24"/>
          <w:szCs w:val="24"/>
        </w:rPr>
        <w:t>2.报价文件</w:t>
      </w:r>
      <w:bookmarkEnd w:id="512"/>
    </w:p>
    <w:p>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p>
    <w:p>
      <w:pPr>
        <w:adjustRightInd w:val="0"/>
        <w:snapToGrid w:val="0"/>
        <w:spacing w:line="288" w:lineRule="auto"/>
        <w:ind w:firstLine="482" w:firstLineChars="200"/>
        <w:outlineLvl w:val="0"/>
        <w:rPr>
          <w:b/>
          <w:bCs/>
          <w:color w:val="auto"/>
          <w:sz w:val="24"/>
          <w:szCs w:val="24"/>
        </w:rPr>
      </w:pPr>
      <w:bookmarkStart w:id="513" w:name="_Toc24529_WPSOffice_Level1"/>
      <w:r>
        <w:rPr>
          <w:rFonts w:hint="eastAsia"/>
          <w:b/>
          <w:bCs/>
          <w:color w:val="auto"/>
          <w:sz w:val="24"/>
          <w:szCs w:val="24"/>
        </w:rPr>
        <w:t>3.商务和技术文件</w:t>
      </w:r>
      <w:bookmarkEnd w:id="513"/>
    </w:p>
    <w:p>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5</w:t>
      </w:r>
      <w:r>
        <w:rPr>
          <w:rFonts w:hint="eastAsia"/>
          <w:color w:val="auto"/>
          <w:sz w:val="24"/>
          <w:szCs w:val="24"/>
        </w:rPr>
        <w:t>年</w:t>
      </w:r>
      <w:r>
        <w:rPr>
          <w:rFonts w:hint="eastAsia"/>
          <w:color w:val="auto"/>
          <w:sz w:val="24"/>
          <w:szCs w:val="24"/>
          <w:lang w:val="en-US" w:eastAsia="zh-CN"/>
        </w:rPr>
        <w:t>6</w:t>
      </w:r>
      <w:r>
        <w:rPr>
          <w:rFonts w:hint="eastAsia"/>
          <w:color w:val="auto"/>
          <w:sz w:val="24"/>
          <w:szCs w:val="24"/>
        </w:rPr>
        <w:t>月（含）以后任意一月供应商授权代表社保缴纳证明（非法定代表人参加时提供）</w:t>
      </w:r>
    </w:p>
    <w:p>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响应方基本情况表</w:t>
      </w:r>
    </w:p>
    <w:p>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color w:val="auto"/>
          <w:sz w:val="24"/>
          <w:szCs w:val="24"/>
        </w:rPr>
        <w:t>采购需求偏离表</w:t>
      </w:r>
    </w:p>
    <w:p>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14" w:name="_Hlk71884196"/>
      <w:r>
        <w:rPr>
          <w:rFonts w:hint="eastAsia"/>
          <w:color w:val="auto"/>
          <w:sz w:val="24"/>
          <w:szCs w:val="24"/>
        </w:rPr>
        <w:t>详细技术和服务方案</w:t>
      </w:r>
    </w:p>
    <w:p>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14"/>
    <w:p>
      <w:pPr>
        <w:adjustRightInd w:val="0"/>
        <w:snapToGrid w:val="0"/>
        <w:spacing w:line="288" w:lineRule="auto"/>
        <w:ind w:firstLine="482" w:firstLineChars="200"/>
        <w:outlineLvl w:val="0"/>
        <w:rPr>
          <w:b/>
          <w:bCs/>
          <w:color w:val="auto"/>
          <w:sz w:val="24"/>
          <w:szCs w:val="24"/>
        </w:rPr>
      </w:pPr>
      <w:bookmarkStart w:id="515" w:name="_Toc7221_WPSOffice_Level1"/>
      <w:r>
        <w:rPr>
          <w:rFonts w:hint="eastAsia"/>
          <w:b/>
          <w:bCs/>
          <w:color w:val="auto"/>
          <w:sz w:val="24"/>
          <w:szCs w:val="24"/>
        </w:rPr>
        <w:t>4.评分标准索引表</w:t>
      </w:r>
      <w:bookmarkEnd w:id="515"/>
      <w:r>
        <w:rPr>
          <w:rFonts w:hint="eastAsia"/>
          <w:b/>
          <w:bCs/>
          <w:color w:val="auto"/>
          <w:sz w:val="24"/>
          <w:szCs w:val="24"/>
        </w:rPr>
        <w:br w:type="page"/>
      </w:r>
    </w:p>
    <w:p>
      <w:pPr>
        <w:adjustRightInd w:val="0"/>
        <w:snapToGrid w:val="0"/>
        <w:spacing w:line="288" w:lineRule="auto"/>
        <w:jc w:val="center"/>
        <w:outlineLvl w:val="0"/>
        <w:rPr>
          <w:b/>
          <w:bCs/>
          <w:color w:val="auto"/>
          <w:sz w:val="84"/>
          <w:szCs w:val="84"/>
        </w:rPr>
      </w:pPr>
      <w:bookmarkStart w:id="516" w:name="_Toc30132_WPSOffice_Level1"/>
      <w:r>
        <w:rPr>
          <w:rFonts w:hint="eastAsia"/>
          <w:b/>
          <w:bCs/>
          <w:color w:val="auto"/>
          <w:sz w:val="84"/>
          <w:szCs w:val="84"/>
        </w:rPr>
        <w:t>资格文件</w:t>
      </w:r>
      <w:bookmarkEnd w:id="516"/>
    </w:p>
    <w:p>
      <w:pPr>
        <w:adjustRightInd w:val="0"/>
        <w:snapToGrid w:val="0"/>
        <w:spacing w:line="288" w:lineRule="auto"/>
        <w:jc w:val="center"/>
        <w:outlineLvl w:val="0"/>
        <w:rPr>
          <w:b/>
          <w:bCs/>
          <w:color w:val="auto"/>
          <w:sz w:val="24"/>
          <w:szCs w:val="24"/>
        </w:rPr>
      </w:pPr>
      <w:bookmarkStart w:id="517" w:name="_Toc11878_WPSOffice_Level1"/>
      <w:bookmarkStart w:id="518" w:name="_Toc4078_WPSOffice_Level1"/>
      <w:bookmarkStart w:id="519" w:name="_Hlk94097338"/>
      <w:r>
        <w:rPr>
          <w:rFonts w:hint="eastAsia"/>
          <w:b/>
          <w:bCs/>
          <w:color w:val="auto"/>
          <w:sz w:val="24"/>
          <w:szCs w:val="24"/>
        </w:rPr>
        <w:t>资格审查要求的资格证明材料(均需加盖公章)</w:t>
      </w:r>
      <w:bookmarkEnd w:id="517"/>
      <w:bookmarkEnd w:id="518"/>
      <w:bookmarkEnd w:id="519"/>
    </w:p>
    <w:p>
      <w:pPr>
        <w:pStyle w:val="22"/>
        <w:ind w:firstLine="480"/>
        <w:rPr>
          <w:color w:val="auto"/>
          <w:sz w:val="24"/>
        </w:rPr>
      </w:pPr>
    </w:p>
    <w:p>
      <w:pPr>
        <w:adjustRightInd w:val="0"/>
        <w:snapToGrid w:val="0"/>
        <w:spacing w:line="288" w:lineRule="auto"/>
        <w:jc w:val="left"/>
        <w:outlineLvl w:val="9"/>
        <w:rPr>
          <w:b/>
          <w:bCs/>
          <w:color w:val="auto"/>
          <w:sz w:val="24"/>
          <w:szCs w:val="24"/>
        </w:rPr>
      </w:pPr>
    </w:p>
    <w:p>
      <w:pPr>
        <w:adjustRightInd w:val="0"/>
        <w:snapToGrid w:val="0"/>
        <w:spacing w:line="288" w:lineRule="auto"/>
        <w:jc w:val="left"/>
        <w:outlineLvl w:val="9"/>
        <w:rPr>
          <w:b/>
          <w:bCs/>
          <w:color w:val="auto"/>
          <w:sz w:val="24"/>
          <w:szCs w:val="24"/>
        </w:rPr>
      </w:pPr>
    </w:p>
    <w:p>
      <w:pPr>
        <w:adjustRightInd w:val="0"/>
        <w:snapToGrid w:val="0"/>
        <w:spacing w:line="288" w:lineRule="auto"/>
        <w:jc w:val="left"/>
        <w:outlineLvl w:val="9"/>
        <w:rPr>
          <w:b/>
          <w:bCs/>
          <w:color w:val="auto"/>
          <w:sz w:val="24"/>
          <w:szCs w:val="24"/>
        </w:rPr>
      </w:pPr>
    </w:p>
    <w:p>
      <w:pPr>
        <w:adjustRightInd w:val="0"/>
        <w:snapToGrid w:val="0"/>
        <w:spacing w:line="288" w:lineRule="auto"/>
        <w:jc w:val="left"/>
        <w:outlineLvl w:val="9"/>
        <w:rPr>
          <w:b/>
          <w:bCs/>
          <w:color w:val="auto"/>
          <w:sz w:val="24"/>
          <w:szCs w:val="24"/>
        </w:rPr>
      </w:pPr>
    </w:p>
    <w:p>
      <w:pPr>
        <w:pStyle w:val="4"/>
        <w:ind w:left="0" w:firstLine="0"/>
        <w:outlineLvl w:val="0"/>
        <w:rPr>
          <w:color w:val="auto"/>
        </w:rPr>
      </w:pPr>
      <w:bookmarkStart w:id="520" w:name="_Toc8495_WPSOffice_Level1"/>
      <w:r>
        <w:rPr>
          <w:rFonts w:hint="eastAsia"/>
          <w:color w:val="auto"/>
        </w:rPr>
        <w:t>1）有效的法人或者其他组织的营业执照等证明文件，自然人的身份证明</w:t>
      </w:r>
      <w:bookmarkEnd w:id="520"/>
    </w:p>
    <w:p>
      <w:pPr>
        <w:adjustRightInd w:val="0"/>
        <w:snapToGrid w:val="0"/>
        <w:spacing w:line="288" w:lineRule="auto"/>
        <w:rPr>
          <w:b/>
          <w:bCs/>
          <w:color w:val="auto"/>
          <w:sz w:val="24"/>
          <w:szCs w:val="24"/>
        </w:rPr>
      </w:pPr>
      <w:r>
        <w:rPr>
          <w:rFonts w:hint="eastAsia"/>
          <w:b/>
          <w:bCs/>
          <w:color w:val="auto"/>
          <w:sz w:val="24"/>
          <w:szCs w:val="24"/>
        </w:rPr>
        <w:t>说明：</w:t>
      </w:r>
    </w:p>
    <w:p>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pPr>
        <w:adjustRightInd w:val="0"/>
        <w:snapToGrid w:val="0"/>
        <w:spacing w:line="288" w:lineRule="auto"/>
        <w:rPr>
          <w:color w:val="auto"/>
          <w:szCs w:val="21"/>
        </w:rPr>
      </w:pPr>
      <w:r>
        <w:rPr>
          <w:rFonts w:hint="eastAsia"/>
          <w:color w:val="auto"/>
          <w:szCs w:val="21"/>
        </w:rPr>
        <w:br w:type="page"/>
      </w:r>
    </w:p>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Pr>
        <w:jc w:val="center"/>
        <w:rPr>
          <w:b/>
          <w:bCs/>
          <w:color w:val="auto"/>
          <w:sz w:val="32"/>
          <w:szCs w:val="32"/>
        </w:rPr>
      </w:pPr>
    </w:p>
    <w:p>
      <w:pPr>
        <w:pStyle w:val="4"/>
        <w:ind w:left="0" w:firstLine="0"/>
        <w:outlineLvl w:val="0"/>
        <w:rPr>
          <w:color w:val="auto"/>
        </w:rPr>
      </w:pPr>
      <w:bookmarkStart w:id="521" w:name="_Toc27879_WPSOffice_Level1"/>
      <w:r>
        <w:rPr>
          <w:rFonts w:hint="eastAsia"/>
          <w:color w:val="auto"/>
        </w:rPr>
        <w:t>2）资格条件承诺函</w:t>
      </w:r>
      <w:bookmarkEnd w:id="521"/>
    </w:p>
    <w:p>
      <w:pPr>
        <w:jc w:val="center"/>
        <w:outlineLvl w:val="1"/>
        <w:rPr>
          <w:b/>
          <w:bCs/>
          <w:color w:val="auto"/>
          <w:sz w:val="32"/>
          <w:szCs w:val="32"/>
        </w:rPr>
      </w:pPr>
      <w:r>
        <w:rPr>
          <w:rFonts w:hint="eastAsia"/>
          <w:b/>
          <w:bCs/>
          <w:color w:val="auto"/>
          <w:sz w:val="32"/>
          <w:szCs w:val="32"/>
        </w:rPr>
        <w:t>资格条件承诺函</w:t>
      </w:r>
    </w:p>
    <w:p>
      <w:pPr>
        <w:snapToGrid w:val="0"/>
        <w:spacing w:line="360" w:lineRule="auto"/>
        <w:rPr>
          <w:color w:val="auto"/>
          <w:sz w:val="24"/>
        </w:rPr>
      </w:pPr>
    </w:p>
    <w:p>
      <w:pPr>
        <w:snapToGrid w:val="0"/>
        <w:spacing w:line="360" w:lineRule="auto"/>
        <w:rPr>
          <w:color w:val="auto"/>
          <w:sz w:val="24"/>
        </w:rPr>
      </w:pPr>
      <w:r>
        <w:rPr>
          <w:rFonts w:hint="eastAsia"/>
          <w:color w:val="auto"/>
          <w:sz w:val="24"/>
        </w:rPr>
        <w:t>杭州电子科技大学：</w:t>
      </w:r>
    </w:p>
    <w:p>
      <w:pPr>
        <w:snapToGrid w:val="0"/>
        <w:spacing w:line="360" w:lineRule="auto"/>
        <w:ind w:firstLine="480" w:firstLineChars="200"/>
        <w:rPr>
          <w:color w:val="auto"/>
          <w:sz w:val="24"/>
        </w:rPr>
      </w:pPr>
      <w:r>
        <w:rPr>
          <w:rFonts w:hint="eastAsia"/>
          <w:color w:val="auto"/>
          <w:sz w:val="24"/>
        </w:rPr>
        <w:t>我方（供应商）承诺：</w:t>
      </w:r>
    </w:p>
    <w:p>
      <w:pPr>
        <w:snapToGrid w:val="0"/>
        <w:spacing w:line="360" w:lineRule="auto"/>
        <w:ind w:firstLine="480" w:firstLineChars="200"/>
        <w:rPr>
          <w:color w:val="auto"/>
          <w:sz w:val="24"/>
        </w:rPr>
      </w:pPr>
      <w:r>
        <w:rPr>
          <w:rFonts w:hint="eastAsia"/>
          <w:color w:val="auto"/>
          <w:sz w:val="24"/>
        </w:rPr>
        <w:t>1、具有良好的商业信誉和健全的财务会计制度；</w:t>
      </w:r>
    </w:p>
    <w:p>
      <w:pPr>
        <w:snapToGrid w:val="0"/>
        <w:spacing w:line="360" w:lineRule="auto"/>
        <w:ind w:firstLine="480" w:firstLineChars="200"/>
        <w:rPr>
          <w:color w:val="auto"/>
          <w:sz w:val="24"/>
        </w:rPr>
      </w:pPr>
      <w:r>
        <w:rPr>
          <w:rFonts w:hint="eastAsia"/>
          <w:color w:val="auto"/>
          <w:sz w:val="24"/>
        </w:rPr>
        <w:t>2、具有履行合同所必需的设备和专业技术能力；</w:t>
      </w:r>
    </w:p>
    <w:p>
      <w:pPr>
        <w:snapToGrid w:val="0"/>
        <w:spacing w:line="360" w:lineRule="auto"/>
        <w:ind w:firstLine="480" w:firstLineChars="200"/>
        <w:rPr>
          <w:color w:val="auto"/>
          <w:sz w:val="24"/>
        </w:rPr>
      </w:pPr>
      <w:r>
        <w:rPr>
          <w:rFonts w:hint="eastAsia"/>
          <w:color w:val="auto"/>
          <w:sz w:val="24"/>
        </w:rPr>
        <w:t>3、严格依法缴纳税收和社会保障资金；</w:t>
      </w:r>
    </w:p>
    <w:p>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pPr>
        <w:snapToGrid w:val="0"/>
        <w:spacing w:line="360" w:lineRule="auto"/>
        <w:ind w:firstLine="480" w:firstLineChars="200"/>
        <w:rPr>
          <w:color w:val="auto"/>
          <w:sz w:val="24"/>
        </w:rPr>
      </w:pPr>
      <w:r>
        <w:rPr>
          <w:rFonts w:hint="eastAsia"/>
          <w:color w:val="auto"/>
          <w:sz w:val="24"/>
        </w:rPr>
        <w:t>6、不存在以下情况：</w:t>
      </w:r>
    </w:p>
    <w:p>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pPr>
        <w:snapToGrid w:val="0"/>
        <w:spacing w:line="360" w:lineRule="auto"/>
        <w:ind w:firstLine="480" w:firstLineChars="200"/>
        <w:rPr>
          <w:color w:val="auto"/>
          <w:sz w:val="24"/>
        </w:rPr>
      </w:pPr>
      <w:r>
        <w:rPr>
          <w:rFonts w:hint="eastAsia"/>
          <w:color w:val="auto"/>
          <w:sz w:val="24"/>
        </w:rPr>
        <w:t> </w:t>
      </w:r>
    </w:p>
    <w:p>
      <w:pPr>
        <w:snapToGrid w:val="0"/>
        <w:spacing w:line="360" w:lineRule="auto"/>
        <w:ind w:firstLine="480" w:firstLineChars="200"/>
        <w:rPr>
          <w:color w:val="auto"/>
          <w:sz w:val="24"/>
        </w:rPr>
      </w:pPr>
      <w:r>
        <w:rPr>
          <w:rFonts w:hint="eastAsia"/>
          <w:color w:val="auto"/>
          <w:sz w:val="24"/>
        </w:rPr>
        <w:t>特此承诺！</w:t>
      </w:r>
    </w:p>
    <w:p>
      <w:pPr>
        <w:pStyle w:val="6"/>
        <w:rPr>
          <w:color w:val="auto"/>
          <w:sz w:val="24"/>
        </w:rPr>
      </w:pPr>
    </w:p>
    <w:p>
      <w:pPr>
        <w:rPr>
          <w:color w:val="auto"/>
          <w:sz w:val="24"/>
        </w:rPr>
      </w:pPr>
    </w:p>
    <w:p>
      <w:pPr>
        <w:pStyle w:val="6"/>
        <w:rPr>
          <w:color w:val="auto"/>
        </w:rPr>
      </w:pPr>
    </w:p>
    <w:p>
      <w:pPr>
        <w:pStyle w:val="27"/>
        <w:spacing w:line="360" w:lineRule="auto"/>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pPr>
        <w:adjustRightInd w:val="0"/>
        <w:snapToGrid w:val="0"/>
        <w:spacing w:line="288" w:lineRule="auto"/>
        <w:ind w:firstLine="480" w:firstLineChars="200"/>
        <w:rPr>
          <w:color w:val="auto"/>
          <w:sz w:val="24"/>
          <w:szCs w:val="24"/>
        </w:rPr>
      </w:pPr>
    </w:p>
    <w:p>
      <w:pPr>
        <w:numPr>
          <w:ilvl w:val="0"/>
          <w:numId w:val="0"/>
        </w:numPr>
        <w:rPr>
          <w:color w:val="auto"/>
        </w:rPr>
      </w:pPr>
    </w:p>
    <w:p>
      <w:pPr>
        <w:pStyle w:val="4"/>
        <w:numPr>
          <w:ilvl w:val="0"/>
          <w:numId w:val="0"/>
        </w:numPr>
        <w:ind w:leftChars="0"/>
        <w:jc w:val="left"/>
        <w:outlineLvl w:val="9"/>
        <w:rPr>
          <w:rFonts w:hint="eastAsia"/>
          <w:color w:val="auto"/>
          <w:lang w:val="en-US" w:eastAsia="zh-CN"/>
        </w:rPr>
      </w:pPr>
    </w:p>
    <w:p>
      <w:pPr>
        <w:rPr>
          <w:rFonts w:hint="eastAsia"/>
          <w:color w:val="auto"/>
          <w:lang w:val="en-US" w:eastAsia="zh-CN"/>
        </w:rPr>
      </w:pPr>
      <w:r>
        <w:rPr>
          <w:rFonts w:hint="eastAsia"/>
          <w:color w:val="auto"/>
          <w:lang w:val="en-US" w:eastAsia="zh-CN"/>
        </w:rPr>
        <w:br w:type="page"/>
      </w:r>
    </w:p>
    <w:p>
      <w:pPr>
        <w:pStyle w:val="4"/>
        <w:ind w:left="0" w:firstLine="0"/>
        <w:outlineLvl w:val="0"/>
        <w:rPr>
          <w:rFonts w:hint="eastAsia" w:ascii="宋体" w:hAnsi="Times New Roman" w:eastAsia="宋体" w:cs="Times New Roman"/>
          <w:color w:val="auto"/>
          <w:szCs w:val="22"/>
        </w:rPr>
      </w:pPr>
      <w:bookmarkStart w:id="522" w:name="_Toc28021_WPSOffice_Level1"/>
      <w:r>
        <w:rPr>
          <w:rFonts w:hint="eastAsia" w:ascii="宋体" w:hAnsi="Times New Roman" w:eastAsia="宋体" w:cs="Times New Roman"/>
          <w:color w:val="auto"/>
          <w:szCs w:val="22"/>
          <w:lang w:val="en-US" w:eastAsia="zh-CN"/>
        </w:rPr>
        <w:t>3）</w:t>
      </w:r>
      <w:r>
        <w:rPr>
          <w:rFonts w:hint="eastAsia" w:ascii="宋体" w:hAnsi="Times New Roman" w:eastAsia="宋体" w:cs="Times New Roman"/>
          <w:color w:val="auto"/>
          <w:szCs w:val="22"/>
        </w:rPr>
        <w:t>落实政府采购政策需满足的资格要求：中小企业声明函（服务）</w:t>
      </w:r>
      <w:bookmarkEnd w:id="522"/>
    </w:p>
    <w:p>
      <w:pPr>
        <w:rPr>
          <w:rFonts w:hAnsi="宋体"/>
          <w:color w:val="auto"/>
          <w:sz w:val="24"/>
        </w:rPr>
      </w:pPr>
      <w:r>
        <w:rPr>
          <w:rFonts w:hint="eastAsia" w:hAnsi="宋体"/>
          <w:color w:val="auto"/>
          <w:sz w:val="24"/>
        </w:rPr>
        <w:t xml:space="preserve">   </w:t>
      </w:r>
    </w:p>
    <w:p>
      <w:pPr>
        <w:pStyle w:val="27"/>
        <w:spacing w:before="120" w:after="120" w:line="360" w:lineRule="auto"/>
        <w:ind w:left="-27" w:firstLine="424"/>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pPr>
        <w:pStyle w:val="18"/>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w:t>
      </w:r>
      <w:r>
        <w:rPr>
          <w:rFonts w:hint="eastAsia" w:ascii="宋体" w:hAnsi="宋体" w:cs="宋体"/>
          <w:i/>
          <w:color w:val="auto"/>
          <w:szCs w:val="21"/>
          <w:u w:val="single"/>
          <w:lang w:val="en-US" w:eastAsia="zh-CN"/>
        </w:rPr>
        <w:t>杭州电子科技大学</w:t>
      </w:r>
      <w:r>
        <w:rPr>
          <w:rFonts w:hint="eastAsia" w:ascii="宋体" w:hAnsi="宋体" w:cs="宋体"/>
          <w:i/>
          <w:color w:val="auto"/>
          <w:szCs w:val="21"/>
          <w:u w:val="single"/>
        </w:rPr>
        <w:t>）</w:t>
      </w:r>
      <w:r>
        <w:rPr>
          <w:rFonts w:hint="eastAsia" w:ascii="宋体" w:hAnsi="宋体" w:cs="宋体"/>
          <w:color w:val="auto"/>
          <w:szCs w:val="21"/>
        </w:rPr>
        <w:t>的</w:t>
      </w:r>
      <w:r>
        <w:rPr>
          <w:rFonts w:hint="eastAsia" w:ascii="宋体" w:hAnsi="宋体" w:cs="宋体"/>
          <w:i/>
          <w:color w:val="auto"/>
          <w:szCs w:val="21"/>
          <w:u w:val="single"/>
        </w:rPr>
        <w:t>（污水管道清理服务）</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（污水管道清理服务）</w:t>
      </w:r>
      <w:r>
        <w:rPr>
          <w:rFonts w:hint="eastAsia" w:ascii="宋体" w:hAnsi="宋体" w:cs="宋体"/>
          <w:color w:val="auto"/>
          <w:w w:val="99"/>
          <w:szCs w:val="21"/>
        </w:rPr>
        <w:t>，属于</w:t>
      </w:r>
      <w:r>
        <w:rPr>
          <w:rFonts w:hint="eastAsia" w:ascii="宋体" w:hAnsi="宋体" w:cs="宋体"/>
          <w:i/>
          <w:color w:val="auto"/>
          <w:w w:val="96"/>
          <w:szCs w:val="21"/>
          <w:u w:val="single"/>
        </w:rPr>
        <w:t>（其他未列明行业）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pPr>
        <w:pStyle w:val="18"/>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pPr>
        <w:pStyle w:val="18"/>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pPr>
        <w:pStyle w:val="18"/>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pPr>
        <w:pStyle w:val="18"/>
        <w:autoSpaceDE w:val="0"/>
        <w:autoSpaceDN w:val="0"/>
        <w:spacing w:after="0" w:line="360" w:lineRule="auto"/>
        <w:ind w:right="-54" w:firstLine="640"/>
        <w:rPr>
          <w:rFonts w:ascii="宋体" w:hAnsi="宋体" w:cs="宋体"/>
          <w:color w:val="auto"/>
          <w:szCs w:val="21"/>
        </w:rPr>
      </w:pPr>
    </w:p>
    <w:p>
      <w:pPr>
        <w:pStyle w:val="27"/>
        <w:spacing w:line="360" w:lineRule="auto"/>
        <w:ind w:left="-27" w:firstLine="4796" w:firstLineChars="2275"/>
        <w:rPr>
          <w:rFonts w:hAnsi="宋体" w:cs="宋体"/>
          <w:b/>
          <w:bCs/>
          <w:color w:val="auto"/>
          <w:sz w:val="21"/>
          <w:szCs w:val="21"/>
        </w:rPr>
      </w:pPr>
    </w:p>
    <w:p>
      <w:pPr>
        <w:pStyle w:val="27"/>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lang w:val="en-US" w:eastAsia="zh-CN"/>
        </w:rPr>
        <w:t>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pPr>
        <w:pStyle w:val="27"/>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pPr>
        <w:autoSpaceDE w:val="0"/>
        <w:autoSpaceDN w:val="0"/>
        <w:spacing w:line="360" w:lineRule="auto"/>
        <w:rPr>
          <w:color w:val="auto"/>
          <w:szCs w:val="21"/>
          <w:highlight w:val="green"/>
        </w:rPr>
      </w:pPr>
    </w:p>
    <w:p>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pPr>
        <w:pStyle w:val="18"/>
        <w:rPr>
          <w:b/>
          <w:bCs/>
          <w:color w:val="auto"/>
        </w:rPr>
      </w:pPr>
      <w:r>
        <w:rPr>
          <w:rFonts w:hint="eastAsia"/>
          <w:b/>
          <w:bCs/>
          <w:color w:val="auto"/>
        </w:rPr>
        <w:t>1.从业人员、营业收入、资产总额填报上一年度数据，无上一年度数据的新成立企业可不填报。</w:t>
      </w:r>
    </w:p>
    <w:p>
      <w:pPr>
        <w:pStyle w:val="18"/>
        <w:rPr>
          <w:b/>
          <w:bCs/>
          <w:color w:val="auto"/>
        </w:rPr>
      </w:pPr>
      <w:r>
        <w:rPr>
          <w:rFonts w:hint="eastAsia"/>
          <w:b/>
          <w:bCs/>
          <w:color w:val="auto"/>
        </w:rPr>
        <w:t>2.本项目所属行业见前附表。</w:t>
      </w:r>
    </w:p>
    <w:p>
      <w:pPr>
        <w:pStyle w:val="18"/>
        <w:rPr>
          <w:b/>
          <w:bCs/>
          <w:color w:val="auto"/>
        </w:rPr>
      </w:pPr>
      <w:r>
        <w:rPr>
          <w:rFonts w:hint="eastAsia"/>
          <w:b/>
          <w:bCs/>
          <w:color w:val="auto"/>
        </w:rPr>
        <w:t>3.中小企业划型标准规定（工信部联企业[2011]300号）附后。</w:t>
      </w:r>
    </w:p>
    <w:p>
      <w:pPr>
        <w:pStyle w:val="18"/>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pPr>
        <w:pStyle w:val="18"/>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pPr>
        <w:pStyle w:val="18"/>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pPr>
        <w:pStyle w:val="18"/>
        <w:rPr>
          <w:b/>
          <w:bCs/>
          <w:color w:val="auto"/>
        </w:rPr>
        <w:sectPr>
          <w:footerReference r:id="rId5"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pPr>
        <w:pStyle w:val="27"/>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8671560" cy="5244465"/>
                    </a:xfrm>
                    <a:prstGeom prst="rect">
                      <a:avLst/>
                    </a:prstGeom>
                    <a:noFill/>
                    <a:ln>
                      <a:noFill/>
                    </a:ln>
                  </pic:spPr>
                </pic:pic>
              </a:graphicData>
            </a:graphic>
          </wp:inline>
        </w:drawing>
      </w:r>
    </w:p>
    <w:p>
      <w:pPr>
        <w:pStyle w:val="27"/>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监狱企业声明函</w:t>
      </w:r>
    </w:p>
    <w:p>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Cs w:val="21"/>
        </w:rPr>
      </w:pPr>
    </w:p>
    <w:p>
      <w:pPr>
        <w:adjustRightInd w:val="0"/>
        <w:snapToGrid w:val="0"/>
        <w:spacing w:line="288" w:lineRule="auto"/>
        <w:rPr>
          <w:b/>
          <w:bCs/>
          <w:color w:val="auto"/>
          <w:szCs w:val="21"/>
        </w:rPr>
      </w:pPr>
      <w:r>
        <w:rPr>
          <w:rFonts w:hint="eastAsia"/>
          <w:b/>
          <w:bCs/>
          <w:color w:val="auto"/>
          <w:szCs w:val="21"/>
        </w:rPr>
        <w:t>说明：</w:t>
      </w:r>
    </w:p>
    <w:p>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Cs w:val="21"/>
        </w:rPr>
      </w:pPr>
      <w:r>
        <w:rPr>
          <w:b/>
          <w:color w:val="auto"/>
          <w:spacing w:val="-6"/>
          <w:szCs w:val="21"/>
        </w:rPr>
        <w:br w:type="page"/>
      </w:r>
    </w:p>
    <w:p>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pPr>
        <w:spacing w:line="360" w:lineRule="auto"/>
        <w:ind w:firstLine="504" w:firstLineChars="200"/>
        <w:rPr>
          <w:color w:val="auto"/>
          <w:spacing w:val="6"/>
          <w:sz w:val="24"/>
        </w:rPr>
      </w:pPr>
    </w:p>
    <w:p>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pPr>
        <w:pStyle w:val="53"/>
        <w:rPr>
          <w:color w:val="auto"/>
        </w:rPr>
      </w:pPr>
    </w:p>
    <w:p>
      <w:pPr>
        <w:pStyle w:val="27"/>
        <w:spacing w:line="360" w:lineRule="auto"/>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pPr>
        <w:adjustRightInd w:val="0"/>
        <w:snapToGrid w:val="0"/>
        <w:spacing w:line="288" w:lineRule="auto"/>
        <w:rPr>
          <w:rFonts w:ascii="宋体" w:hAnsi="宋体"/>
          <w:b/>
          <w:bCs/>
          <w:color w:val="auto"/>
          <w:szCs w:val="21"/>
        </w:rPr>
      </w:pPr>
    </w:p>
    <w:p>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pPr>
        <w:rPr>
          <w:rFonts w:hint="eastAsia"/>
          <w:color w:val="auto"/>
        </w:rPr>
      </w:pPr>
      <w:r>
        <w:rPr>
          <w:rFonts w:hint="eastAsia"/>
          <w:color w:val="auto"/>
        </w:rPr>
        <w:br w:type="page"/>
      </w:r>
    </w:p>
    <w:p>
      <w:pPr>
        <w:pStyle w:val="4"/>
        <w:ind w:left="0" w:firstLine="0"/>
        <w:outlineLvl w:val="0"/>
        <w:rPr>
          <w:rFonts w:hint="eastAsia" w:ascii="宋体" w:hAnsi="Times New Roman" w:eastAsia="宋体" w:cs="Times New Roman"/>
          <w:color w:val="auto"/>
          <w:szCs w:val="22"/>
          <w:lang w:val="en-US" w:eastAsia="zh-CN"/>
        </w:rPr>
      </w:pPr>
      <w:bookmarkStart w:id="523" w:name="_Toc4312_WPSOffice_Level1"/>
      <w:r>
        <w:rPr>
          <w:rFonts w:hint="eastAsia" w:ascii="宋体" w:hAnsi="Times New Roman" w:eastAsia="宋体" w:cs="Times New Roman"/>
          <w:color w:val="auto"/>
          <w:szCs w:val="22"/>
          <w:lang w:val="en-US" w:eastAsia="zh-CN"/>
        </w:rPr>
        <w:t>4）本项目的特定资格要求证明材料：合法有效的化粪池清掏资质、管道疏通清洗资质证明。</w:t>
      </w:r>
      <w:bookmarkEnd w:id="523"/>
    </w:p>
    <w:p>
      <w:pPr>
        <w:snapToGrid w:val="0"/>
        <w:spacing w:line="360" w:lineRule="auto"/>
        <w:jc w:val="center"/>
        <w:rPr>
          <w:rFonts w:hint="eastAsia"/>
          <w:b/>
          <w:bCs/>
          <w:color w:val="auto"/>
          <w:sz w:val="32"/>
          <w:szCs w:val="32"/>
        </w:rPr>
      </w:pPr>
    </w:p>
    <w:p>
      <w:pPr>
        <w:snapToGrid w:val="0"/>
        <w:spacing w:line="360" w:lineRule="auto"/>
        <w:jc w:val="center"/>
        <w:rPr>
          <w:rFonts w:hint="eastAsia"/>
          <w:b/>
          <w:bCs/>
          <w:color w:val="auto"/>
          <w:sz w:val="32"/>
          <w:szCs w:val="32"/>
          <w:lang w:val="en-US" w:eastAsia="zh-CN"/>
        </w:rPr>
      </w:pPr>
      <w:r>
        <w:rPr>
          <w:rFonts w:hint="eastAsia"/>
          <w:b/>
          <w:bCs/>
          <w:color w:val="auto"/>
          <w:sz w:val="32"/>
          <w:szCs w:val="32"/>
        </w:rPr>
        <w:t>化粪池清掏资质</w:t>
      </w:r>
      <w:r>
        <w:rPr>
          <w:rFonts w:hint="eastAsia"/>
          <w:b/>
          <w:bCs/>
          <w:color w:val="auto"/>
          <w:sz w:val="32"/>
          <w:szCs w:val="32"/>
          <w:lang w:val="en-US" w:eastAsia="zh-CN"/>
        </w:rPr>
        <w:t>证明</w:t>
      </w:r>
    </w:p>
    <w:p>
      <w:pPr>
        <w:snapToGrid w:val="0"/>
        <w:spacing w:line="360" w:lineRule="auto"/>
        <w:jc w:val="center"/>
        <w:rPr>
          <w:rFonts w:hint="eastAsia"/>
          <w:b/>
          <w:bCs/>
          <w:color w:val="auto"/>
          <w:sz w:val="32"/>
          <w:szCs w:val="32"/>
        </w:rPr>
      </w:pPr>
    </w:p>
    <w:p>
      <w:pPr>
        <w:snapToGrid w:val="0"/>
        <w:spacing w:line="360" w:lineRule="auto"/>
        <w:jc w:val="center"/>
        <w:rPr>
          <w:rFonts w:hint="eastAsia"/>
          <w:b/>
          <w:bCs/>
          <w:color w:val="auto"/>
          <w:sz w:val="32"/>
          <w:szCs w:val="32"/>
        </w:rPr>
      </w:pPr>
    </w:p>
    <w:p>
      <w:pPr>
        <w:rPr>
          <w:rFonts w:hint="eastAsia"/>
          <w:b/>
          <w:bCs/>
          <w:color w:val="auto"/>
          <w:sz w:val="32"/>
          <w:szCs w:val="32"/>
        </w:rPr>
      </w:pPr>
    </w:p>
    <w:p>
      <w:pPr>
        <w:pStyle w:val="2"/>
        <w:rPr>
          <w:rFonts w:hint="eastAsia"/>
          <w:color w:val="auto"/>
        </w:rPr>
      </w:pPr>
    </w:p>
    <w:p>
      <w:pPr>
        <w:pStyle w:val="2"/>
        <w:rPr>
          <w:rFonts w:hint="eastAsia"/>
          <w:color w:val="auto"/>
        </w:rPr>
      </w:pPr>
    </w:p>
    <w:p>
      <w:pPr>
        <w:snapToGrid w:val="0"/>
        <w:spacing w:line="360" w:lineRule="auto"/>
        <w:jc w:val="center"/>
        <w:rPr>
          <w:rFonts w:hint="eastAsia"/>
          <w:b/>
          <w:bCs/>
          <w:color w:val="auto"/>
          <w:sz w:val="32"/>
          <w:szCs w:val="32"/>
        </w:rPr>
      </w:pPr>
    </w:p>
    <w:p>
      <w:pPr>
        <w:snapToGrid w:val="0"/>
        <w:spacing w:line="360" w:lineRule="auto"/>
        <w:jc w:val="center"/>
        <w:rPr>
          <w:rFonts w:hint="eastAsia"/>
          <w:b/>
          <w:bCs/>
          <w:color w:val="auto"/>
          <w:sz w:val="32"/>
          <w:szCs w:val="32"/>
        </w:rPr>
      </w:pPr>
      <w:r>
        <w:rPr>
          <w:rFonts w:hint="eastAsia"/>
          <w:b/>
          <w:bCs/>
          <w:color w:val="auto"/>
          <w:sz w:val="32"/>
          <w:szCs w:val="32"/>
        </w:rPr>
        <w:t>管道疏通清洗资质证明</w:t>
      </w:r>
    </w:p>
    <w:p>
      <w:pPr>
        <w:rPr>
          <w:rFonts w:hint="eastAsia"/>
          <w:b/>
          <w:bCs/>
          <w:color w:val="auto"/>
          <w:sz w:val="32"/>
          <w:szCs w:val="32"/>
          <w:lang w:val="en-US" w:eastAsia="zh-CN"/>
        </w:rPr>
      </w:pPr>
    </w:p>
    <w:p>
      <w:pPr>
        <w:snapToGrid w:val="0"/>
        <w:spacing w:line="360" w:lineRule="auto"/>
        <w:jc w:val="center"/>
        <w:rPr>
          <w:rFonts w:hint="eastAsia"/>
          <w:b/>
          <w:bCs/>
          <w:color w:val="auto"/>
          <w:sz w:val="32"/>
          <w:szCs w:val="32"/>
        </w:rPr>
      </w:pPr>
    </w:p>
    <w:p>
      <w:pPr>
        <w:rPr>
          <w:rFonts w:hint="eastAsia"/>
          <w:b/>
          <w:bCs/>
          <w:color w:val="auto"/>
          <w:sz w:val="32"/>
          <w:szCs w:val="32"/>
        </w:rPr>
      </w:pPr>
      <w:r>
        <w:rPr>
          <w:rFonts w:hint="eastAsia"/>
          <w:b/>
          <w:bCs/>
          <w:color w:val="auto"/>
          <w:sz w:val="32"/>
          <w:szCs w:val="32"/>
        </w:rPr>
        <w:br w:type="page"/>
      </w:r>
    </w:p>
    <w:p>
      <w:pPr>
        <w:adjustRightInd w:val="0"/>
        <w:snapToGrid w:val="0"/>
        <w:spacing w:line="288" w:lineRule="auto"/>
        <w:jc w:val="center"/>
        <w:outlineLvl w:val="0"/>
        <w:rPr>
          <w:b/>
          <w:bCs/>
          <w:color w:val="auto"/>
          <w:sz w:val="84"/>
          <w:szCs w:val="84"/>
        </w:rPr>
      </w:pPr>
      <w:bookmarkStart w:id="524" w:name="_Toc1786_WPSOffice_Level1"/>
      <w:r>
        <w:rPr>
          <w:rFonts w:hint="eastAsia"/>
          <w:b/>
          <w:bCs/>
          <w:color w:val="auto"/>
          <w:sz w:val="84"/>
          <w:szCs w:val="84"/>
        </w:rPr>
        <w:t>报价文件</w:t>
      </w:r>
      <w:bookmarkEnd w:id="524"/>
    </w:p>
    <w:p>
      <w:pPr>
        <w:pStyle w:val="4"/>
        <w:ind w:left="0" w:firstLine="0"/>
        <w:outlineLvl w:val="0"/>
        <w:rPr>
          <w:color w:val="auto"/>
        </w:rPr>
      </w:pPr>
      <w:bookmarkStart w:id="525" w:name="_Toc21866_WPSOffice_Level1"/>
      <w:bookmarkStart w:id="526" w:name="_Toc19949"/>
      <w:bookmarkStart w:id="527" w:name="_Toc25971"/>
      <w:bookmarkStart w:id="528" w:name="_Toc25012"/>
      <w:bookmarkStart w:id="529" w:name="_Toc23089"/>
      <w:bookmarkStart w:id="530" w:name="_Toc18705"/>
      <w:bookmarkStart w:id="531" w:name="_Toc11579"/>
      <w:bookmarkStart w:id="532" w:name="_Toc14637"/>
      <w:bookmarkStart w:id="533" w:name="_Toc13470"/>
      <w:bookmarkStart w:id="534" w:name="_Toc10749"/>
      <w:bookmarkStart w:id="535" w:name="_Toc4455"/>
      <w:bookmarkStart w:id="536" w:name="_Toc22542"/>
      <w:bookmarkStart w:id="537" w:name="_Toc32416"/>
      <w:bookmarkStart w:id="538" w:name="_Toc14186"/>
      <w:bookmarkStart w:id="539" w:name="_Toc28695"/>
      <w:bookmarkStart w:id="540" w:name="_Toc16624"/>
      <w:bookmarkStart w:id="541" w:name="_Toc20907"/>
      <w:bookmarkStart w:id="542" w:name="_Toc6771"/>
      <w:bookmarkStart w:id="543" w:name="_Toc19897"/>
      <w:bookmarkStart w:id="544" w:name="_Toc23539"/>
      <w:bookmarkStart w:id="545" w:name="_Toc28619"/>
      <w:bookmarkStart w:id="546" w:name="_Toc3471"/>
      <w:bookmarkStart w:id="547" w:name="_Toc25418"/>
      <w:bookmarkStart w:id="548" w:name="_Toc15307"/>
      <w:bookmarkStart w:id="549" w:name="_Toc19268"/>
      <w:bookmarkStart w:id="550" w:name="_Toc24738"/>
      <w:bookmarkStart w:id="551" w:name="_Toc27484"/>
      <w:bookmarkStart w:id="552" w:name="_Toc24403"/>
      <w:bookmarkStart w:id="553" w:name="_Toc2198"/>
      <w:bookmarkStart w:id="554" w:name="_Toc12332"/>
      <w:bookmarkStart w:id="555" w:name="_Toc5206"/>
      <w:bookmarkStart w:id="556" w:name="_Toc24678"/>
      <w:bookmarkStart w:id="557" w:name="_Toc25718"/>
      <w:bookmarkStart w:id="558" w:name="_Toc16736"/>
      <w:bookmarkStart w:id="559" w:name="_Toc23410"/>
      <w:bookmarkStart w:id="560" w:name="_Toc13060"/>
      <w:r>
        <w:rPr>
          <w:rFonts w:hint="eastAsia"/>
          <w:color w:val="auto"/>
        </w:rPr>
        <w:t>（1）初次报价一览表</w:t>
      </w:r>
      <w:bookmarkEnd w:id="525"/>
    </w:p>
    <w:p>
      <w:pPr>
        <w:pStyle w:val="4"/>
        <w:tabs>
          <w:tab w:val="left" w:pos="0"/>
          <w:tab w:val="clear" w:pos="1275"/>
        </w:tabs>
        <w:ind w:left="15" w:hanging="15"/>
        <w:outlineLvl w:val="9"/>
        <w:rPr>
          <w:rFonts w:ascii="黑体" w:hAnsi="黑体" w:eastAsia="黑体" w:cs="黑体"/>
          <w:color w:val="auto"/>
          <w:szCs w:val="28"/>
        </w:rPr>
      </w:pPr>
    </w:p>
    <w:p>
      <w:pPr>
        <w:jc w:val="center"/>
        <w:outlineLvl w:val="1"/>
        <w:rPr>
          <w:b/>
          <w:bCs/>
          <w:color w:val="auto"/>
          <w:sz w:val="32"/>
          <w:szCs w:val="32"/>
        </w:rPr>
      </w:pPr>
      <w:r>
        <w:rPr>
          <w:rFonts w:hint="eastAsia"/>
          <w:b/>
          <w:bCs/>
          <w:color w:val="auto"/>
          <w:sz w:val="32"/>
          <w:szCs w:val="32"/>
        </w:rPr>
        <w:t>初次报价一览表</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pPr>
        <w:spacing w:line="460" w:lineRule="exact"/>
        <w:rPr>
          <w:color w:val="auto"/>
          <w:sz w:val="24"/>
        </w:rPr>
      </w:pPr>
      <w:r>
        <w:rPr>
          <w:rFonts w:hint="eastAsia"/>
          <w:color w:val="auto"/>
          <w:sz w:val="24"/>
        </w:rPr>
        <w:t>项目名称：</w:t>
      </w:r>
    </w:p>
    <w:p>
      <w:pPr>
        <w:spacing w:line="460" w:lineRule="exact"/>
        <w:rPr>
          <w:color w:val="auto"/>
          <w:sz w:val="24"/>
        </w:rPr>
      </w:pPr>
      <w:r>
        <w:rPr>
          <w:rFonts w:hint="eastAsia"/>
          <w:color w:val="auto"/>
          <w:sz w:val="24"/>
        </w:rPr>
        <w:t>项目编号：</w:t>
      </w:r>
    </w:p>
    <w:p>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olor w:val="auto"/>
                <w:spacing w:val="-6"/>
                <w:sz w:val="24"/>
                <w:u w:val="single"/>
                <w:lang w:eastAsia="zh-CN"/>
              </w:rPr>
            </w:pPr>
            <w:r>
              <w:rPr>
                <w:rFonts w:hint="eastAsia" w:ascii="宋体" w:hAnsi="宋体"/>
                <w:b/>
                <w:bCs/>
                <w:color w:val="auto"/>
                <w:spacing w:val="-6"/>
                <w:sz w:val="24"/>
              </w:rPr>
              <w:t>初次总报价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b/>
                <w:color w:val="auto"/>
                <w:spacing w:val="-6"/>
                <w:sz w:val="24"/>
              </w:rPr>
            </w:pPr>
          </w:p>
          <w:p>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pPr>
              <w:spacing w:line="360" w:lineRule="auto"/>
              <w:rPr>
                <w:rFonts w:hint="eastAsia" w:ascii="宋体" w:hAnsi="宋体"/>
                <w:b/>
                <w:bCs/>
                <w:color w:val="auto"/>
                <w:spacing w:val="-6"/>
                <w:sz w:val="24"/>
                <w:u w:val="none"/>
                <w:lang w:val="en-US" w:eastAsia="zh-CN"/>
              </w:rPr>
            </w:pPr>
          </w:p>
          <w:p>
            <w:pPr>
              <w:spacing w:line="360" w:lineRule="auto"/>
              <w:rPr>
                <w:rFonts w:hint="eastAsia" w:ascii="宋体" w:hAnsi="宋体" w:eastAsia="宋体"/>
                <w:b/>
                <w:color w:val="auto"/>
                <w:spacing w:val="-6"/>
                <w:sz w:val="24"/>
                <w:lang w:eastAsia="zh-CN"/>
              </w:rPr>
            </w:pPr>
            <w:r>
              <w:rPr>
                <w:rFonts w:hint="eastAsia" w:ascii="宋体" w:hAnsi="宋体"/>
                <w:b/>
                <w:bCs/>
                <w:color w:val="auto"/>
                <w:spacing w:val="-6"/>
                <w:sz w:val="24"/>
                <w:u w:val="none"/>
                <w:lang w:val="en-US" w:eastAsia="zh-CN"/>
              </w:rPr>
              <w:t>备注：期限三年</w:t>
            </w:r>
            <w:r>
              <w:rPr>
                <w:rFonts w:hint="eastAsia" w:ascii="宋体" w:hAnsi="宋体" w:eastAsia="宋体" w:cs="Times New Roman"/>
                <w:b/>
                <w:bCs/>
                <w:color w:val="auto"/>
                <w:spacing w:val="-6"/>
                <w:sz w:val="24"/>
                <w:szCs w:val="22"/>
                <w:u w:val="none"/>
                <w:lang w:val="en-US" w:eastAsia="zh-CN"/>
              </w:rPr>
              <w:t>（年包干制形式，连续承包叁年）</w:t>
            </w:r>
          </w:p>
        </w:tc>
      </w:tr>
    </w:tbl>
    <w:p>
      <w:pPr>
        <w:pStyle w:val="42"/>
        <w:snapToGrid w:val="0"/>
        <w:spacing w:line="400" w:lineRule="exact"/>
        <w:rPr>
          <w:color w:val="auto"/>
          <w:szCs w:val="24"/>
        </w:rPr>
      </w:pPr>
      <w:r>
        <w:rPr>
          <w:rFonts w:hint="eastAsia"/>
          <w:color w:val="auto"/>
          <w:szCs w:val="24"/>
        </w:rPr>
        <w:t>注：本报价中应包含乙方完成本项目所需的一切费用，包括但不限于下沙校区（含生活区，东校区）、研究生公寓及教学区、教师公寓室内小管道（具体以实际现场为准）、蹲坑（约2100个），小便池（约1300个），坐便器（约350个），地漏（约120个），上述区域室外污水管道（约1800米），雨污窨井（105个），边窨井，化粪池（约85组），隔油池（约8组）等进行疏通处置和无害化清理</w:t>
      </w:r>
      <w:r>
        <w:rPr>
          <w:rFonts w:hint="eastAsia"/>
          <w:color w:val="auto"/>
          <w:szCs w:val="24"/>
          <w:lang w:val="en-US" w:eastAsia="zh-CN"/>
        </w:rPr>
        <w:t>及</w:t>
      </w:r>
      <w:r>
        <w:rPr>
          <w:rFonts w:hint="eastAsia"/>
          <w:color w:val="auto"/>
          <w:szCs w:val="24"/>
        </w:rPr>
        <w:t>其他技术服务费、培训费、保修保换费、保险费、税费等。</w:t>
      </w:r>
    </w:p>
    <w:p>
      <w:pPr>
        <w:pStyle w:val="42"/>
        <w:snapToGrid w:val="0"/>
        <w:spacing w:line="400" w:lineRule="exact"/>
        <w:rPr>
          <w:color w:val="auto"/>
          <w:szCs w:val="24"/>
        </w:rPr>
      </w:pPr>
      <w:r>
        <w:rPr>
          <w:rFonts w:hint="eastAsia"/>
          <w:color w:val="auto"/>
          <w:szCs w:val="24"/>
        </w:rPr>
        <w:t>货币单位：元（人民币）</w:t>
      </w:r>
    </w:p>
    <w:p>
      <w:pPr>
        <w:spacing w:line="360" w:lineRule="auto"/>
        <w:ind w:right="-21" w:rightChars="-10"/>
        <w:rPr>
          <w:color w:val="auto"/>
          <w:sz w:val="24"/>
        </w:rPr>
      </w:pPr>
    </w:p>
    <w:p>
      <w:pPr>
        <w:pStyle w:val="27"/>
        <w:spacing w:line="360" w:lineRule="auto"/>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pPr>
        <w:spacing w:before="240" w:beforeLines="100" w:after="240" w:afterLines="100"/>
        <w:jc w:val="left"/>
        <w:rPr>
          <w:color w:val="auto"/>
          <w:sz w:val="24"/>
          <w:szCs w:val="24"/>
        </w:rPr>
      </w:pPr>
      <w:r>
        <w:rPr>
          <w:rFonts w:hint="eastAsia" w:ascii="宋体" w:hAnsi="宋体" w:cs="宋体"/>
          <w:color w:val="auto"/>
          <w:sz w:val="24"/>
        </w:rPr>
        <w:t>日期：      年   月   日</w:t>
      </w:r>
    </w:p>
    <w:p>
      <w:pPr>
        <w:spacing w:line="360" w:lineRule="auto"/>
        <w:ind w:right="-21" w:rightChars="-10"/>
        <w:rPr>
          <w:color w:val="auto"/>
          <w:sz w:val="24"/>
        </w:rPr>
      </w:pPr>
    </w:p>
    <w:p>
      <w:pPr>
        <w:tabs>
          <w:tab w:val="left" w:pos="1055"/>
        </w:tabs>
        <w:jc w:val="left"/>
        <w:rPr>
          <w:color w:val="auto"/>
        </w:rPr>
        <w:sectPr>
          <w:footerReference r:id="rId6" w:type="default"/>
          <w:pgSz w:w="11907" w:h="16840"/>
          <w:pgMar w:top="1134" w:right="1247" w:bottom="1247" w:left="1247" w:header="567" w:footer="794" w:gutter="0"/>
          <w:cols w:space="720" w:num="1"/>
        </w:sectPr>
      </w:pPr>
    </w:p>
    <w:bookmarkEnd w:id="553"/>
    <w:bookmarkEnd w:id="554"/>
    <w:bookmarkEnd w:id="555"/>
    <w:bookmarkEnd w:id="556"/>
    <w:bookmarkEnd w:id="557"/>
    <w:bookmarkEnd w:id="558"/>
    <w:bookmarkEnd w:id="559"/>
    <w:bookmarkEnd w:id="560"/>
    <w:p>
      <w:pPr>
        <w:adjustRightInd w:val="0"/>
        <w:snapToGrid w:val="0"/>
        <w:spacing w:line="288" w:lineRule="auto"/>
        <w:jc w:val="center"/>
        <w:outlineLvl w:val="0"/>
        <w:rPr>
          <w:b/>
          <w:bCs/>
          <w:color w:val="auto"/>
          <w:sz w:val="84"/>
          <w:szCs w:val="84"/>
        </w:rPr>
      </w:pPr>
      <w:bookmarkStart w:id="561" w:name="_Toc8839_WPSOffice_Level1"/>
      <w:bookmarkStart w:id="562" w:name="_Toc21599"/>
      <w:bookmarkStart w:id="563" w:name="_Toc19321"/>
      <w:bookmarkStart w:id="564" w:name="_Toc22262"/>
      <w:bookmarkStart w:id="565" w:name="_Toc8554"/>
      <w:bookmarkStart w:id="566" w:name="_Toc5305"/>
      <w:bookmarkStart w:id="567" w:name="_Toc20322"/>
      <w:bookmarkStart w:id="568" w:name="_Toc593"/>
      <w:bookmarkStart w:id="569" w:name="_Toc4011"/>
      <w:bookmarkStart w:id="570" w:name="_Toc4245"/>
      <w:bookmarkStart w:id="571" w:name="_Toc10583"/>
      <w:bookmarkStart w:id="572" w:name="_Toc2678"/>
      <w:bookmarkStart w:id="573" w:name="_Toc30975"/>
      <w:bookmarkStart w:id="574" w:name="_Toc32174"/>
      <w:bookmarkStart w:id="575" w:name="_Toc31197"/>
      <w:bookmarkStart w:id="576" w:name="_Toc13604"/>
      <w:bookmarkStart w:id="577" w:name="_Toc27848"/>
      <w:bookmarkStart w:id="578" w:name="_Toc9514"/>
      <w:bookmarkStart w:id="579" w:name="_Toc21390"/>
      <w:bookmarkStart w:id="580" w:name="_Toc23382"/>
      <w:bookmarkStart w:id="581" w:name="_Toc29034"/>
      <w:bookmarkStart w:id="582" w:name="_Toc2960"/>
      <w:bookmarkStart w:id="583" w:name="_Toc4954"/>
      <w:bookmarkStart w:id="584" w:name="_Toc432"/>
      <w:bookmarkStart w:id="585" w:name="_Toc28796"/>
      <w:bookmarkStart w:id="586" w:name="_Toc17483"/>
      <w:bookmarkStart w:id="587" w:name="_Toc25574"/>
      <w:bookmarkStart w:id="588" w:name="_Toc27765"/>
      <w:bookmarkStart w:id="589" w:name="_Toc11033"/>
      <w:bookmarkStart w:id="590" w:name="_Toc6658"/>
      <w:bookmarkStart w:id="591" w:name="_Toc1234"/>
      <w:bookmarkStart w:id="592" w:name="_Toc17061"/>
      <w:bookmarkStart w:id="593" w:name="_Toc13355"/>
      <w:bookmarkStart w:id="594" w:name="_Toc4882"/>
      <w:bookmarkStart w:id="595" w:name="_Toc3902"/>
      <w:bookmarkStart w:id="596" w:name="_Toc10465"/>
      <w:bookmarkStart w:id="597" w:name="_Toc118516210"/>
      <w:r>
        <w:rPr>
          <w:rFonts w:hint="eastAsia"/>
          <w:b/>
          <w:bCs/>
          <w:color w:val="auto"/>
          <w:sz w:val="84"/>
          <w:szCs w:val="84"/>
        </w:rPr>
        <w:t>商务和技术文件</w:t>
      </w:r>
      <w:bookmarkEnd w:id="561"/>
    </w:p>
    <w:p>
      <w:pPr>
        <w:pStyle w:val="4"/>
        <w:tabs>
          <w:tab w:val="left" w:pos="0"/>
          <w:tab w:val="clear" w:pos="1275"/>
        </w:tabs>
        <w:ind w:left="15" w:hanging="15"/>
        <w:outlineLvl w:val="9"/>
        <w:rPr>
          <w:color w:val="auto"/>
          <w:sz w:val="24"/>
          <w:szCs w:val="24"/>
        </w:rPr>
      </w:pPr>
    </w:p>
    <w:p>
      <w:pPr>
        <w:pStyle w:val="4"/>
        <w:ind w:left="0" w:firstLine="0"/>
        <w:outlineLvl w:val="0"/>
        <w:rPr>
          <w:color w:val="auto"/>
        </w:rPr>
      </w:pPr>
      <w:bookmarkStart w:id="598" w:name="_Toc28949_WPSOffice_Level1"/>
      <w:r>
        <w:rPr>
          <w:rFonts w:hint="eastAsia"/>
          <w:color w:val="auto"/>
        </w:rPr>
        <w:t>（1）磋商响应函</w:t>
      </w:r>
      <w:bookmarkEnd w:id="598"/>
      <w:r>
        <w:rPr>
          <w:rFonts w:hint="eastAsia"/>
          <w:color w:val="auto"/>
        </w:rPr>
        <w:t xml:space="preserve">   </w:t>
      </w:r>
    </w:p>
    <w:p>
      <w:pPr>
        <w:jc w:val="center"/>
        <w:outlineLvl w:val="1"/>
        <w:rPr>
          <w:b/>
          <w:color w:val="auto"/>
          <w:sz w:val="32"/>
          <w:szCs w:val="32"/>
        </w:rPr>
      </w:pPr>
      <w:r>
        <w:rPr>
          <w:rFonts w:hint="eastAsia"/>
          <w:b/>
          <w:color w:val="auto"/>
          <w:sz w:val="32"/>
          <w:szCs w:val="32"/>
        </w:rPr>
        <w:t>磋商响应函</w:t>
      </w:r>
    </w:p>
    <w:p>
      <w:pPr>
        <w:pStyle w:val="27"/>
        <w:ind w:left="-27" w:firstLine="530"/>
        <w:rPr>
          <w:rFonts w:ascii="Times New Roman" w:hAnsi="Times New Roman"/>
          <w:b/>
          <w:color w:val="auto"/>
          <w:sz w:val="30"/>
        </w:rPr>
      </w:pPr>
    </w:p>
    <w:p>
      <w:pPr>
        <w:pStyle w:val="27"/>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pPr>
        <w:pStyle w:val="27"/>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pPr>
        <w:pStyle w:val="27"/>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pPr>
        <w:pStyle w:val="27"/>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pPr>
        <w:pStyle w:val="27"/>
        <w:spacing w:line="312" w:lineRule="auto"/>
        <w:ind w:left="-27" w:firstLine="422"/>
        <w:rPr>
          <w:rFonts w:ascii="Times New Roman" w:hAnsi="Times New Roman"/>
          <w:color w:val="auto"/>
          <w:sz w:val="24"/>
        </w:rPr>
      </w:pPr>
    </w:p>
    <w:p>
      <w:pPr>
        <w:pStyle w:val="27"/>
        <w:spacing w:line="312" w:lineRule="auto"/>
        <w:ind w:left="-27" w:firstLine="480" w:firstLineChars="200"/>
        <w:rPr>
          <w:rFonts w:ascii="Times New Roman" w:hAnsi="Times New Roman"/>
          <w:color w:val="auto"/>
          <w:sz w:val="24"/>
        </w:rPr>
      </w:pPr>
    </w:p>
    <w:p>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pPr>
        <w:spacing w:before="240" w:beforeLines="100" w:after="240" w:afterLines="100"/>
        <w:jc w:val="left"/>
        <w:rPr>
          <w:color w:val="auto"/>
          <w:sz w:val="24"/>
          <w:szCs w:val="24"/>
        </w:rPr>
      </w:pPr>
      <w:r>
        <w:rPr>
          <w:rFonts w:hint="eastAsia" w:ascii="宋体" w:hAnsi="宋体" w:cs="宋体"/>
          <w:color w:val="auto"/>
          <w:sz w:val="24"/>
        </w:rPr>
        <w:t>日期：      年   月   日</w:t>
      </w:r>
    </w:p>
    <w:p>
      <w:pPr>
        <w:rPr>
          <w:color w:val="auto"/>
          <w:sz w:val="24"/>
          <w:szCs w:val="24"/>
        </w:rPr>
      </w:pPr>
    </w:p>
    <w:p>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pPr>
        <w:pStyle w:val="4"/>
        <w:ind w:left="0" w:firstLine="0"/>
        <w:outlineLvl w:val="0"/>
        <w:rPr>
          <w:color w:val="auto"/>
        </w:rPr>
      </w:pPr>
      <w:bookmarkStart w:id="599" w:name="_Toc1577_WPSOffice_Level1"/>
      <w:r>
        <w:rPr>
          <w:rFonts w:hint="eastAsia"/>
          <w:color w:val="auto"/>
        </w:rPr>
        <w:t>（2）法定代表人授权书（非法定代表人参加时提供）</w:t>
      </w:r>
      <w:bookmarkEnd w:id="599"/>
    </w:p>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Pr>
        <w:pStyle w:val="27"/>
        <w:tabs>
          <w:tab w:val="left" w:pos="450"/>
        </w:tabs>
        <w:spacing w:line="400" w:lineRule="atLeast"/>
        <w:ind w:left="-27" w:firstLine="422"/>
        <w:rPr>
          <w:rFonts w:ascii="Times New Roman" w:hAnsi="Times New Roman"/>
          <w:color w:val="auto"/>
          <w:sz w:val="24"/>
          <w:szCs w:val="24"/>
        </w:rPr>
      </w:pPr>
    </w:p>
    <w:p>
      <w:pPr>
        <w:pStyle w:val="27"/>
        <w:tabs>
          <w:tab w:val="left" w:pos="450"/>
        </w:tabs>
        <w:spacing w:line="400" w:lineRule="atLeast"/>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法定代表人授权书</w:t>
      </w:r>
    </w:p>
    <w:p>
      <w:pPr>
        <w:pStyle w:val="27"/>
        <w:spacing w:line="600" w:lineRule="atLeast"/>
        <w:ind w:left="-27" w:firstLine="493"/>
        <w:rPr>
          <w:rFonts w:ascii="Times New Roman" w:hAnsi="Times New Roman"/>
          <w:color w:val="auto"/>
          <w:sz w:val="28"/>
          <w:u w:val="single"/>
        </w:rPr>
      </w:pPr>
    </w:p>
    <w:p>
      <w:pPr>
        <w:pStyle w:val="27"/>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pPr>
        <w:pStyle w:val="27"/>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pPr>
        <w:pStyle w:val="27"/>
        <w:spacing w:line="600" w:lineRule="atLeast"/>
        <w:ind w:left="-27" w:firstLine="422"/>
        <w:rPr>
          <w:rFonts w:ascii="Times New Roman" w:hAnsi="Times New Roman"/>
          <w:color w:val="auto"/>
          <w:sz w:val="24"/>
          <w:szCs w:val="24"/>
        </w:rPr>
      </w:pPr>
    </w:p>
    <w:p>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5</w:t>
      </w:r>
      <w:r>
        <w:rPr>
          <w:rFonts w:hint="eastAsia" w:ascii="宋体" w:hAnsi="宋体"/>
          <w:b/>
          <w:bCs/>
          <w:color w:val="auto"/>
          <w:spacing w:val="-6"/>
          <w:sz w:val="24"/>
          <w:szCs w:val="24"/>
          <w:u w:val="single"/>
        </w:rPr>
        <w:t>年</w:t>
      </w:r>
      <w:r>
        <w:rPr>
          <w:rFonts w:hint="eastAsia" w:ascii="宋体" w:hAnsi="宋体"/>
          <w:b/>
          <w:bCs/>
          <w:color w:val="auto"/>
          <w:spacing w:val="-6"/>
          <w:sz w:val="24"/>
          <w:szCs w:val="24"/>
          <w:u w:val="single"/>
          <w:lang w:val="en-US" w:eastAsia="zh-CN"/>
        </w:rPr>
        <w:t>6</w:t>
      </w:r>
      <w:r>
        <w:rPr>
          <w:rFonts w:hint="eastAsia" w:ascii="宋体" w:hAnsi="宋体"/>
          <w:b/>
          <w:bCs/>
          <w:color w:val="auto"/>
          <w:spacing w:val="-6"/>
          <w:sz w:val="24"/>
          <w:szCs w:val="24"/>
          <w:u w:val="single"/>
        </w:rPr>
        <w:t>月（含）以后任意一月社保缴纳证明。</w:t>
      </w:r>
    </w:p>
    <w:p>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pPr>
        <w:pStyle w:val="27"/>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pPr>
        <w:pStyle w:val="27"/>
        <w:spacing w:line="400" w:lineRule="atLeast"/>
        <w:ind w:left="-27" w:firstLine="422"/>
        <w:rPr>
          <w:rFonts w:ascii="Times New Roman" w:hAnsi="Times New Roman"/>
          <w:color w:val="auto"/>
          <w:sz w:val="24"/>
          <w:szCs w:val="24"/>
        </w:rPr>
      </w:pPr>
    </w:p>
    <w:p>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pPr>
        <w:pStyle w:val="27"/>
        <w:spacing w:line="400" w:lineRule="atLeast"/>
        <w:ind w:left="-27" w:firstLine="422"/>
        <w:rPr>
          <w:rFonts w:ascii="Times New Roman" w:hAnsi="Times New Roman"/>
          <w:color w:val="auto"/>
          <w:sz w:val="24"/>
          <w:szCs w:val="24"/>
        </w:rPr>
      </w:pPr>
    </w:p>
    <w:p>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pPr>
        <w:pStyle w:val="27"/>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pPr>
        <w:pStyle w:val="27"/>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pPr>
        <w:widowControl/>
        <w:ind w:firstLine="723" w:firstLineChars="225"/>
        <w:jc w:val="left"/>
        <w:rPr>
          <w:b/>
          <w:color w:val="auto"/>
          <w:sz w:val="32"/>
          <w:szCs w:val="32"/>
        </w:rPr>
      </w:pPr>
    </w:p>
    <w:p>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pPr>
        <w:widowControl/>
        <w:ind w:firstLine="723" w:firstLineChars="225"/>
        <w:jc w:val="left"/>
        <w:rPr>
          <w:b/>
          <w:color w:val="auto"/>
          <w:sz w:val="32"/>
          <w:szCs w:val="32"/>
        </w:rPr>
      </w:pPr>
    </w:p>
    <w:p>
      <w:pPr>
        <w:rPr>
          <w:rFonts w:ascii="宋体" w:hAnsi="宋体" w:cs="宋体"/>
          <w:b/>
          <w:color w:val="auto"/>
          <w:spacing w:val="-6"/>
          <w:sz w:val="24"/>
          <w:szCs w:val="24"/>
        </w:rPr>
      </w:pPr>
      <w:r>
        <w:rPr>
          <w:rFonts w:hint="eastAsia" w:ascii="宋体" w:hAnsi="宋体" w:cs="宋体"/>
          <w:b/>
          <w:color w:val="auto"/>
          <w:spacing w:val="-6"/>
          <w:sz w:val="24"/>
          <w:szCs w:val="24"/>
        </w:rPr>
        <w:br w:type="page"/>
      </w:r>
    </w:p>
    <w:p>
      <w:pPr>
        <w:pStyle w:val="4"/>
        <w:ind w:left="0" w:firstLine="0"/>
        <w:outlineLvl w:val="0"/>
        <w:rPr>
          <w:color w:val="auto"/>
        </w:rPr>
      </w:pPr>
      <w:bookmarkStart w:id="600" w:name="_Toc7524_WPSOffice_Level1"/>
      <w:r>
        <w:rPr>
          <w:rFonts w:hint="eastAsia"/>
          <w:color w:val="auto"/>
        </w:rPr>
        <w:t>（3）授权代表社保缴纳证明</w:t>
      </w:r>
      <w:bookmarkEnd w:id="600"/>
    </w:p>
    <w:p>
      <w:pPr>
        <w:rPr>
          <w:rFonts w:ascii="宋体" w:hAnsi="宋体" w:cs="宋体"/>
          <w:b/>
          <w:color w:val="auto"/>
          <w:spacing w:val="-6"/>
          <w:sz w:val="32"/>
          <w:szCs w:val="32"/>
        </w:rPr>
      </w:pPr>
    </w:p>
    <w:p>
      <w:pPr>
        <w:jc w:val="center"/>
        <w:outlineLvl w:val="1"/>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5</w:t>
      </w:r>
      <w:r>
        <w:rPr>
          <w:rFonts w:hint="eastAsia" w:ascii="宋体" w:hAnsi="宋体" w:cs="宋体"/>
          <w:b/>
          <w:color w:val="auto"/>
          <w:spacing w:val="-6"/>
          <w:sz w:val="32"/>
          <w:szCs w:val="32"/>
        </w:rPr>
        <w:t>年</w:t>
      </w:r>
      <w:r>
        <w:rPr>
          <w:rFonts w:hint="eastAsia" w:ascii="宋体" w:hAnsi="宋体" w:cs="宋体"/>
          <w:b/>
          <w:color w:val="auto"/>
          <w:spacing w:val="-6"/>
          <w:sz w:val="32"/>
          <w:szCs w:val="32"/>
          <w:lang w:val="en-US" w:eastAsia="zh-CN"/>
        </w:rPr>
        <w:t>6</w:t>
      </w:r>
      <w:r>
        <w:rPr>
          <w:rFonts w:hint="eastAsia" w:ascii="宋体" w:hAnsi="宋体" w:cs="宋体"/>
          <w:b/>
          <w:color w:val="auto"/>
          <w:spacing w:val="-6"/>
          <w:sz w:val="32"/>
          <w:szCs w:val="32"/>
        </w:rPr>
        <w:t>月（含）以后任意一月授权代表社保缴纳证明</w:t>
      </w:r>
    </w:p>
    <w:p>
      <w:pPr>
        <w:spacing w:line="200" w:lineRule="atLeast"/>
        <w:ind w:firstLine="420"/>
        <w:jc w:val="center"/>
        <w:outlineLvl w:val="0"/>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pPr>
        <w:widowControl/>
        <w:ind w:firstLine="723" w:firstLineChars="225"/>
        <w:jc w:val="left"/>
        <w:rPr>
          <w:b/>
          <w:color w:val="auto"/>
          <w:sz w:val="32"/>
          <w:szCs w:val="32"/>
        </w:rPr>
      </w:pPr>
    </w:p>
    <w:p>
      <w:pPr>
        <w:widowControl/>
        <w:ind w:firstLine="723" w:firstLineChars="225"/>
        <w:jc w:val="left"/>
        <w:rPr>
          <w:b/>
          <w:color w:val="auto"/>
          <w:sz w:val="32"/>
          <w:szCs w:val="32"/>
        </w:rPr>
        <w:sectPr>
          <w:footerReference r:id="rId7" w:type="default"/>
          <w:pgSz w:w="11907" w:h="16840"/>
          <w:pgMar w:top="1134" w:right="1247" w:bottom="1247" w:left="1247" w:header="567" w:footer="794" w:gutter="0"/>
          <w:cols w:space="720" w:num="1"/>
        </w:sectPr>
      </w:pPr>
    </w:p>
    <w:p>
      <w:pPr>
        <w:pStyle w:val="4"/>
        <w:ind w:left="0" w:firstLine="0"/>
        <w:outlineLvl w:val="0"/>
        <w:rPr>
          <w:color w:val="auto"/>
        </w:rPr>
      </w:pPr>
      <w:bookmarkStart w:id="601" w:name="_Toc25749"/>
      <w:bookmarkStart w:id="602" w:name="_Toc14222"/>
      <w:bookmarkStart w:id="603" w:name="_Toc25890"/>
      <w:bookmarkStart w:id="604" w:name="_Toc30038"/>
      <w:bookmarkStart w:id="605" w:name="_Toc4883"/>
      <w:bookmarkStart w:id="606" w:name="_Toc26387"/>
      <w:bookmarkStart w:id="607" w:name="_Toc23121"/>
      <w:bookmarkStart w:id="608" w:name="_Toc2212"/>
      <w:bookmarkStart w:id="609" w:name="_Toc21021"/>
      <w:bookmarkStart w:id="610" w:name="_Toc19676"/>
      <w:bookmarkStart w:id="611" w:name="_Toc2628_WPSOffice_Level1"/>
      <w:bookmarkStart w:id="612" w:name="_Toc5481"/>
      <w:bookmarkStart w:id="613" w:name="_Toc14954"/>
      <w:bookmarkStart w:id="614" w:name="_Toc3968"/>
      <w:bookmarkStart w:id="615" w:name="_Toc31464"/>
      <w:bookmarkStart w:id="616" w:name="_Toc2570"/>
      <w:bookmarkStart w:id="617" w:name="_Toc4577"/>
      <w:bookmarkStart w:id="618" w:name="_Toc772"/>
      <w:bookmarkStart w:id="619" w:name="_Toc32360"/>
      <w:bookmarkStart w:id="620" w:name="_Toc24184"/>
      <w:bookmarkStart w:id="621" w:name="_Toc28598"/>
      <w:bookmarkStart w:id="622" w:name="_Toc31758"/>
      <w:bookmarkStart w:id="623" w:name="_Toc14931"/>
      <w:bookmarkStart w:id="624" w:name="_Toc11813"/>
      <w:bookmarkStart w:id="625" w:name="_Toc30387"/>
      <w:bookmarkStart w:id="626" w:name="_Toc14198"/>
      <w:bookmarkStart w:id="627" w:name="_Toc9338"/>
      <w:bookmarkStart w:id="628" w:name="_Toc20129"/>
      <w:bookmarkStart w:id="629" w:name="_Toc24848"/>
      <w:bookmarkStart w:id="630" w:name="_Toc350"/>
      <w:bookmarkStart w:id="631" w:name="_Toc2974"/>
      <w:bookmarkStart w:id="632" w:name="_Toc26242"/>
      <w:bookmarkStart w:id="633" w:name="_Toc12615"/>
      <w:bookmarkStart w:id="634" w:name="_Toc31568"/>
      <w:bookmarkStart w:id="635" w:name="_Toc18481"/>
      <w:bookmarkStart w:id="636" w:name="_Toc20443"/>
      <w:bookmarkStart w:id="637" w:name="_Toc22103"/>
      <w:bookmarkStart w:id="638" w:name="_Toc26592"/>
      <w:bookmarkStart w:id="639" w:name="_Toc11332"/>
      <w:r>
        <w:rPr>
          <w:rFonts w:hint="eastAsia"/>
          <w:color w:val="auto"/>
        </w:rPr>
        <w:t>（4）法定代表人资格证明书</w:t>
      </w:r>
      <w:bookmarkEnd w:id="601"/>
      <w:bookmarkEnd w:id="602"/>
      <w:bookmarkEnd w:id="603"/>
      <w:bookmarkEnd w:id="604"/>
      <w:bookmarkEnd w:id="605"/>
      <w:bookmarkEnd w:id="606"/>
      <w:bookmarkEnd w:id="607"/>
      <w:bookmarkEnd w:id="608"/>
      <w:bookmarkEnd w:id="609"/>
      <w:bookmarkEnd w:id="610"/>
      <w:r>
        <w:rPr>
          <w:rFonts w:hint="eastAsia"/>
          <w:color w:val="auto"/>
        </w:rPr>
        <w:t>（法定代表人参加时提供）</w:t>
      </w:r>
      <w:bookmarkEnd w:id="611"/>
    </w:p>
    <w:p>
      <w:pPr>
        <w:pStyle w:val="22"/>
        <w:ind w:left="0" w:leftChars="0" w:firstLine="0" w:firstLineChars="0"/>
        <w:rPr>
          <w:color w:val="auto"/>
        </w:rPr>
      </w:pPr>
    </w:p>
    <w:p>
      <w:pPr>
        <w:pStyle w:val="27"/>
        <w:tabs>
          <w:tab w:val="left" w:pos="450"/>
        </w:tabs>
        <w:spacing w:line="400" w:lineRule="atLeast"/>
        <w:ind w:left="-27" w:firstLine="565"/>
        <w:jc w:val="center"/>
        <w:outlineLvl w:val="1"/>
        <w:rPr>
          <w:rFonts w:ascii="Times New Roman" w:hAnsi="Times New Roman"/>
          <w:b/>
          <w:color w:val="auto"/>
          <w:sz w:val="32"/>
          <w:szCs w:val="32"/>
        </w:rPr>
      </w:pPr>
      <w:bookmarkStart w:id="640" w:name="_Toc10019"/>
      <w:r>
        <w:rPr>
          <w:rFonts w:hint="eastAsia" w:ascii="Times New Roman" w:hAnsi="Times New Roman"/>
          <w:b/>
          <w:color w:val="auto"/>
          <w:sz w:val="32"/>
          <w:szCs w:val="32"/>
        </w:rPr>
        <w:t>法定代表人资格证明书</w:t>
      </w:r>
      <w:bookmarkEnd w:id="640"/>
    </w:p>
    <w:p>
      <w:pPr>
        <w:spacing w:line="360" w:lineRule="auto"/>
        <w:jc w:val="center"/>
        <w:rPr>
          <w:b/>
          <w:color w:val="auto"/>
          <w:spacing w:val="-6"/>
          <w:sz w:val="24"/>
        </w:rPr>
      </w:pPr>
    </w:p>
    <w:p>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pPr>
        <w:spacing w:line="360" w:lineRule="auto"/>
        <w:ind w:firstLine="456" w:firstLineChars="200"/>
        <w:rPr>
          <w:bCs/>
          <w:color w:val="auto"/>
          <w:spacing w:val="-6"/>
          <w:sz w:val="24"/>
        </w:rPr>
      </w:pPr>
      <w:r>
        <w:rPr>
          <w:bCs/>
          <w:color w:val="auto"/>
          <w:spacing w:val="-6"/>
          <w:sz w:val="24"/>
        </w:rPr>
        <w:t>特此证明。</w:t>
      </w:r>
    </w:p>
    <w:p>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60" w:hRule="atLeast"/>
        </w:trPr>
        <w:tc>
          <w:tcPr>
            <w:tcW w:w="8528" w:type="dxa"/>
            <w:vAlign w:val="center"/>
          </w:tcPr>
          <w:p>
            <w:pPr>
              <w:jc w:val="center"/>
              <w:rPr>
                <w:color w:val="auto"/>
                <w:sz w:val="24"/>
              </w:rPr>
            </w:pPr>
            <w:r>
              <w:rPr>
                <w:color w:val="auto"/>
                <w:sz w:val="24"/>
              </w:rPr>
              <w:t>法定代表人身份证(正、反面)复印件粘贴处</w:t>
            </w:r>
          </w:p>
          <w:p>
            <w:pPr>
              <w:spacing w:line="360" w:lineRule="auto"/>
              <w:jc w:val="center"/>
              <w:rPr>
                <w:bCs/>
                <w:color w:val="auto"/>
                <w:spacing w:val="-6"/>
                <w:sz w:val="24"/>
              </w:rPr>
            </w:pPr>
          </w:p>
        </w:tc>
      </w:tr>
    </w:tbl>
    <w:p>
      <w:pPr>
        <w:spacing w:line="360" w:lineRule="auto"/>
        <w:rPr>
          <w:bCs/>
          <w:color w:val="auto"/>
          <w:spacing w:val="-6"/>
          <w:sz w:val="24"/>
        </w:rPr>
      </w:pPr>
    </w:p>
    <w:p>
      <w:pPr>
        <w:spacing w:line="360" w:lineRule="auto"/>
        <w:ind w:right="456"/>
        <w:rPr>
          <w:b/>
          <w:bCs/>
          <w:color w:val="auto"/>
          <w:spacing w:val="-6"/>
          <w:sz w:val="24"/>
        </w:rPr>
      </w:pPr>
    </w:p>
    <w:p>
      <w:pPr>
        <w:pStyle w:val="27"/>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pPr>
        <w:pStyle w:val="27"/>
        <w:spacing w:line="400" w:lineRule="atLeast"/>
        <w:ind w:left="-27" w:firstLine="2530" w:firstLineChars="1050"/>
        <w:rPr>
          <w:rFonts w:ascii="Times New Roman" w:hAnsi="Times New Roman"/>
          <w:b/>
          <w:bCs/>
          <w:color w:val="auto"/>
          <w:sz w:val="24"/>
          <w:szCs w:val="24"/>
        </w:rPr>
      </w:pPr>
    </w:p>
    <w:p>
      <w:pPr>
        <w:pStyle w:val="27"/>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pPr>
        <w:spacing w:line="360" w:lineRule="auto"/>
        <w:ind w:left="3578" w:leftChars="1704" w:right="456"/>
        <w:rPr>
          <w:b/>
          <w:bCs/>
          <w:color w:val="auto"/>
          <w:sz w:val="24"/>
          <w:szCs w:val="24"/>
        </w:rPr>
      </w:pPr>
      <w:r>
        <w:rPr>
          <w:rFonts w:hint="eastAsia"/>
          <w:b/>
          <w:bCs/>
          <w:color w:val="auto"/>
          <w:sz w:val="24"/>
          <w:szCs w:val="24"/>
        </w:rPr>
        <w:t xml:space="preserve"> </w:t>
      </w:r>
    </w:p>
    <w:p>
      <w:pPr>
        <w:spacing w:line="360" w:lineRule="auto"/>
        <w:ind w:left="3360" w:leftChars="1600" w:right="456"/>
        <w:rPr>
          <w:color w:val="auto"/>
          <w:sz w:val="24"/>
          <w:szCs w:val="24"/>
        </w:rPr>
      </w:pPr>
    </w:p>
    <w:p>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Pr>
        <w:pStyle w:val="4"/>
        <w:ind w:left="0" w:firstLine="0"/>
        <w:outlineLvl w:val="0"/>
        <w:rPr>
          <w:color w:val="auto"/>
        </w:rPr>
      </w:pPr>
      <w:bookmarkStart w:id="641" w:name="_Toc18973_WPSOffice_Level1"/>
      <w:bookmarkStart w:id="642" w:name="_Toc32465"/>
      <w:bookmarkStart w:id="643" w:name="_Toc1334"/>
      <w:bookmarkStart w:id="644" w:name="_Toc4163"/>
      <w:bookmarkStart w:id="645" w:name="_Toc26243"/>
      <w:bookmarkStart w:id="646" w:name="_Toc11492"/>
      <w:bookmarkStart w:id="647" w:name="_Toc24530"/>
      <w:bookmarkStart w:id="648" w:name="_Toc30921"/>
      <w:bookmarkStart w:id="649" w:name="_Toc20101"/>
      <w:bookmarkStart w:id="650" w:name="_Toc23078"/>
      <w:bookmarkStart w:id="651" w:name="_Toc30169"/>
      <w:bookmarkStart w:id="652" w:name="_Toc27347"/>
      <w:bookmarkStart w:id="653" w:name="_Toc15720"/>
      <w:bookmarkStart w:id="654" w:name="_Toc17219"/>
      <w:bookmarkStart w:id="655" w:name="_Toc16347"/>
      <w:bookmarkStart w:id="656" w:name="_Toc27945"/>
      <w:bookmarkStart w:id="657" w:name="_Toc21937"/>
      <w:bookmarkStart w:id="658" w:name="_Toc1553"/>
      <w:bookmarkStart w:id="659" w:name="_Toc17126"/>
      <w:bookmarkStart w:id="660" w:name="_Toc24989"/>
      <w:bookmarkStart w:id="661" w:name="_Toc3162"/>
      <w:bookmarkStart w:id="662" w:name="_Toc29343"/>
      <w:bookmarkStart w:id="663" w:name="_Toc25655"/>
      <w:bookmarkStart w:id="664" w:name="_Toc21741"/>
      <w:bookmarkStart w:id="665" w:name="_Toc32367"/>
      <w:bookmarkStart w:id="666" w:name="_Toc6625"/>
      <w:bookmarkStart w:id="667" w:name="_Toc30022"/>
      <w:bookmarkStart w:id="668" w:name="_Toc2218"/>
      <w:bookmarkStart w:id="669" w:name="_Toc22052"/>
      <w:bookmarkStart w:id="670" w:name="_Toc15510"/>
      <w:bookmarkStart w:id="671" w:name="_Toc27024"/>
      <w:bookmarkStart w:id="672" w:name="_Toc11889"/>
      <w:bookmarkStart w:id="673" w:name="_Toc20480"/>
      <w:bookmarkStart w:id="674" w:name="_Toc441"/>
      <w:bookmarkStart w:id="675" w:name="_Toc3893"/>
      <w:bookmarkStart w:id="676" w:name="_Toc5970"/>
      <w:r>
        <w:rPr>
          <w:rFonts w:hint="eastAsia"/>
          <w:color w:val="auto"/>
        </w:rPr>
        <w:t>（5）采购需求偏离表</w:t>
      </w:r>
      <w:bookmarkEnd w:id="641"/>
    </w:p>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Pr>
        <w:jc w:val="center"/>
        <w:outlineLvl w:val="1"/>
        <w:rPr>
          <w:b/>
          <w:bCs/>
          <w:color w:val="auto"/>
          <w:sz w:val="32"/>
        </w:rPr>
      </w:pPr>
      <w:r>
        <w:rPr>
          <w:rFonts w:hint="eastAsia"/>
          <w:b/>
          <w:bCs/>
          <w:color w:val="auto"/>
          <w:sz w:val="32"/>
        </w:rPr>
        <w:t>采购需求偏离表</w:t>
      </w:r>
    </w:p>
    <w:p>
      <w:pPr>
        <w:rPr>
          <w:b/>
          <w:bCs/>
          <w:color w:val="auto"/>
          <w:sz w:val="32"/>
        </w:rPr>
      </w:pPr>
    </w:p>
    <w:p>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pPr>
        <w:pStyle w:val="27"/>
        <w:spacing w:line="400" w:lineRule="atLeast"/>
        <w:ind w:left="-27" w:firstLine="422"/>
        <w:rPr>
          <w:rFonts w:ascii="Times New Roman" w:hAnsi="Times New Roman"/>
          <w:color w:val="auto"/>
          <w:sz w:val="24"/>
        </w:rPr>
      </w:pPr>
    </w:p>
    <w:tbl>
      <w:tblPr>
        <w:tblStyle w:val="45"/>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auto"/>
                <w:szCs w:val="21"/>
              </w:rPr>
            </w:pPr>
            <w:r>
              <w:rPr>
                <w:rFonts w:hint="eastAsia" w:ascii="宋体" w:hAnsi="宋体" w:cs="宋体"/>
                <w:b/>
                <w:bCs/>
                <w:color w:val="auto"/>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pPr>
              <w:rPr>
                <w:rFonts w:ascii="宋体" w:hAnsi="宋体" w:cs="宋体"/>
                <w:color w:val="auto"/>
                <w:szCs w:val="21"/>
              </w:rPr>
            </w:pPr>
          </w:p>
        </w:tc>
        <w:tc>
          <w:tcPr>
            <w:tcW w:w="2574" w:type="dxa"/>
            <w:vAlign w:val="center"/>
          </w:tcPr>
          <w:p>
            <w:pPr>
              <w:rPr>
                <w:rFonts w:ascii="宋体" w:hAnsi="宋体" w:cs="宋体"/>
                <w:color w:val="auto"/>
                <w:szCs w:val="21"/>
              </w:rPr>
            </w:pPr>
          </w:p>
        </w:tc>
        <w:tc>
          <w:tcPr>
            <w:tcW w:w="2124" w:type="dxa"/>
            <w:vAlign w:val="center"/>
          </w:tcPr>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pPr>
              <w:rPr>
                <w:rFonts w:ascii="宋体" w:hAnsi="宋体" w:cs="宋体"/>
                <w:color w:val="auto"/>
                <w:szCs w:val="21"/>
              </w:rPr>
            </w:pPr>
          </w:p>
        </w:tc>
        <w:tc>
          <w:tcPr>
            <w:tcW w:w="2574" w:type="dxa"/>
            <w:vAlign w:val="center"/>
          </w:tcPr>
          <w:p>
            <w:pPr>
              <w:rPr>
                <w:rFonts w:ascii="宋体" w:hAnsi="宋体" w:cs="宋体"/>
                <w:color w:val="auto"/>
                <w:szCs w:val="21"/>
              </w:rPr>
            </w:pPr>
          </w:p>
        </w:tc>
        <w:tc>
          <w:tcPr>
            <w:tcW w:w="2124" w:type="dxa"/>
            <w:vAlign w:val="center"/>
          </w:tcPr>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pPr>
              <w:rPr>
                <w:rFonts w:ascii="宋体" w:hAnsi="宋体" w:cs="宋体"/>
                <w:color w:val="auto"/>
                <w:szCs w:val="21"/>
              </w:rPr>
            </w:pPr>
          </w:p>
        </w:tc>
        <w:tc>
          <w:tcPr>
            <w:tcW w:w="2574" w:type="dxa"/>
            <w:vAlign w:val="center"/>
          </w:tcPr>
          <w:p>
            <w:pPr>
              <w:rPr>
                <w:rFonts w:ascii="宋体" w:hAnsi="宋体" w:cs="宋体"/>
                <w:color w:val="auto"/>
                <w:szCs w:val="21"/>
              </w:rPr>
            </w:pPr>
          </w:p>
        </w:tc>
        <w:tc>
          <w:tcPr>
            <w:tcW w:w="2124" w:type="dxa"/>
            <w:vAlign w:val="center"/>
          </w:tcPr>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color w:val="auto"/>
                <w:szCs w:val="21"/>
              </w:rPr>
            </w:pPr>
            <w:r>
              <w:rPr>
                <w:rFonts w:hint="eastAsia" w:ascii="宋体" w:hAnsi="宋体" w:cs="宋体"/>
                <w:b/>
                <w:bCs/>
                <w:color w:val="auto"/>
                <w:szCs w:val="21"/>
              </w:rPr>
              <w:t>技术参数、功能、服务等技术要求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pPr>
              <w:jc w:val="left"/>
              <w:rPr>
                <w:rFonts w:ascii="宋体" w:hAnsi="宋体" w:cs="宋体"/>
                <w:color w:val="auto"/>
                <w:szCs w:val="21"/>
              </w:rPr>
            </w:pPr>
          </w:p>
        </w:tc>
        <w:tc>
          <w:tcPr>
            <w:tcW w:w="2574" w:type="dxa"/>
            <w:vAlign w:val="center"/>
          </w:tcPr>
          <w:p>
            <w:pPr>
              <w:jc w:val="left"/>
              <w:rPr>
                <w:rFonts w:ascii="宋体" w:hAnsi="宋体" w:cs="宋体"/>
                <w:color w:val="auto"/>
                <w:szCs w:val="21"/>
              </w:rPr>
            </w:pPr>
          </w:p>
        </w:tc>
        <w:tc>
          <w:tcPr>
            <w:tcW w:w="2124" w:type="dxa"/>
            <w:vAlign w:val="center"/>
          </w:tcPr>
          <w:p>
            <w:pPr>
              <w:jc w:val="lef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pPr>
              <w:jc w:val="left"/>
              <w:rPr>
                <w:rFonts w:ascii="宋体" w:hAnsi="宋体" w:cs="宋体"/>
                <w:color w:val="auto"/>
                <w:szCs w:val="21"/>
              </w:rPr>
            </w:pPr>
          </w:p>
        </w:tc>
        <w:tc>
          <w:tcPr>
            <w:tcW w:w="2574" w:type="dxa"/>
            <w:vAlign w:val="center"/>
          </w:tcPr>
          <w:p>
            <w:pPr>
              <w:jc w:val="left"/>
              <w:rPr>
                <w:rFonts w:ascii="宋体" w:hAnsi="宋体" w:cs="宋体"/>
                <w:color w:val="auto"/>
                <w:szCs w:val="21"/>
              </w:rPr>
            </w:pPr>
          </w:p>
        </w:tc>
        <w:tc>
          <w:tcPr>
            <w:tcW w:w="2124" w:type="dxa"/>
            <w:vAlign w:val="center"/>
          </w:tcPr>
          <w:p>
            <w:pPr>
              <w:jc w:val="lef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pPr>
              <w:jc w:val="left"/>
              <w:rPr>
                <w:rFonts w:ascii="宋体" w:hAnsi="宋体" w:cs="宋体"/>
                <w:color w:val="auto"/>
                <w:szCs w:val="21"/>
              </w:rPr>
            </w:pPr>
          </w:p>
        </w:tc>
        <w:tc>
          <w:tcPr>
            <w:tcW w:w="2574" w:type="dxa"/>
            <w:vAlign w:val="center"/>
          </w:tcPr>
          <w:p>
            <w:pPr>
              <w:jc w:val="left"/>
              <w:rPr>
                <w:rFonts w:ascii="宋体" w:hAnsi="宋体" w:cs="宋体"/>
                <w:color w:val="auto"/>
                <w:szCs w:val="21"/>
              </w:rPr>
            </w:pPr>
          </w:p>
        </w:tc>
        <w:tc>
          <w:tcPr>
            <w:tcW w:w="2124" w:type="dxa"/>
            <w:vAlign w:val="center"/>
          </w:tcPr>
          <w:p>
            <w:pPr>
              <w:jc w:val="left"/>
              <w:rPr>
                <w:rFonts w:ascii="宋体" w:hAnsi="宋体" w:cs="宋体"/>
                <w:color w:val="auto"/>
                <w:szCs w:val="21"/>
              </w:rPr>
            </w:pPr>
          </w:p>
        </w:tc>
      </w:tr>
    </w:tbl>
    <w:p>
      <w:pPr>
        <w:spacing w:line="360" w:lineRule="auto"/>
        <w:rPr>
          <w:rFonts w:ascii="宋体" w:hAnsi="宋体"/>
          <w:b/>
          <w:bCs/>
          <w:color w:val="auto"/>
          <w:spacing w:val="-6"/>
          <w:szCs w:val="21"/>
        </w:rPr>
      </w:pPr>
    </w:p>
    <w:p>
      <w:pPr>
        <w:spacing w:line="360" w:lineRule="auto"/>
        <w:rPr>
          <w:rFonts w:ascii="宋体" w:hAnsi="宋体"/>
          <w:b/>
          <w:bCs/>
          <w:color w:val="auto"/>
          <w:spacing w:val="-6"/>
          <w:szCs w:val="21"/>
        </w:rPr>
      </w:pPr>
      <w:r>
        <w:rPr>
          <w:rFonts w:hint="eastAsia" w:ascii="宋体" w:hAnsi="宋体"/>
          <w:b/>
          <w:bCs/>
          <w:color w:val="auto"/>
          <w:spacing w:val="-6"/>
          <w:szCs w:val="21"/>
        </w:rPr>
        <w:t>说明：</w:t>
      </w:r>
    </w:p>
    <w:p>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pPr>
        <w:pStyle w:val="27"/>
        <w:spacing w:line="400" w:lineRule="atLeast"/>
        <w:ind w:left="-27" w:firstLine="422"/>
        <w:rPr>
          <w:rFonts w:ascii="Times New Roman" w:hAnsi="Times New Roman"/>
          <w:color w:val="auto"/>
          <w:sz w:val="24"/>
        </w:rPr>
      </w:pPr>
    </w:p>
    <w:p>
      <w:pPr>
        <w:pStyle w:val="27"/>
        <w:spacing w:line="400" w:lineRule="atLeast"/>
        <w:ind w:left="-27" w:firstLine="422"/>
        <w:rPr>
          <w:rFonts w:ascii="Times New Roman" w:hAnsi="Times New Roman"/>
          <w:color w:val="auto"/>
          <w:sz w:val="24"/>
        </w:rPr>
      </w:pPr>
    </w:p>
    <w:p>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pPr>
        <w:spacing w:before="240" w:beforeLines="100" w:after="240" w:afterLines="100"/>
        <w:jc w:val="left"/>
        <w:rPr>
          <w:color w:val="auto"/>
          <w:sz w:val="24"/>
          <w:szCs w:val="24"/>
        </w:rPr>
      </w:pPr>
      <w:r>
        <w:rPr>
          <w:rFonts w:hint="eastAsia" w:ascii="宋体" w:hAnsi="宋体" w:cs="宋体"/>
          <w:color w:val="auto"/>
          <w:sz w:val="24"/>
        </w:rPr>
        <w:t>日期：      年   月   日</w:t>
      </w:r>
    </w:p>
    <w:p>
      <w:pPr>
        <w:pStyle w:val="27"/>
        <w:spacing w:line="400" w:lineRule="atLeast"/>
        <w:ind w:left="-27" w:firstLine="528"/>
        <w:rPr>
          <w:rFonts w:ascii="Times New Roman" w:hAnsi="Times New Roman"/>
          <w:color w:val="auto"/>
          <w:sz w:val="30"/>
        </w:rPr>
      </w:pPr>
    </w:p>
    <w:p>
      <w:pPr>
        <w:pStyle w:val="4"/>
        <w:ind w:left="0" w:firstLine="0"/>
        <w:outlineLvl w:val="0"/>
        <w:rPr>
          <w:color w:val="auto"/>
        </w:rPr>
      </w:pPr>
      <w:r>
        <w:rPr>
          <w:bCs/>
          <w:color w:val="auto"/>
          <w:sz w:val="32"/>
        </w:rPr>
        <w:br w:type="page"/>
      </w:r>
      <w:bookmarkStart w:id="677" w:name="_Toc23700_WPSOffice_Level1"/>
      <w:bookmarkStart w:id="678" w:name="_Toc10611"/>
      <w:bookmarkStart w:id="679" w:name="_Toc19442"/>
      <w:bookmarkStart w:id="680" w:name="_Toc2658"/>
      <w:bookmarkStart w:id="681" w:name="_Toc4311"/>
      <w:bookmarkStart w:id="682" w:name="_Toc10664"/>
      <w:bookmarkStart w:id="683" w:name="_Toc24911"/>
      <w:bookmarkStart w:id="684" w:name="_Toc7973"/>
      <w:bookmarkStart w:id="685" w:name="_Toc18149"/>
      <w:bookmarkStart w:id="686" w:name="_Toc8117"/>
      <w:bookmarkStart w:id="687" w:name="_Toc28469"/>
      <w:bookmarkStart w:id="688" w:name="_Toc21423"/>
      <w:bookmarkStart w:id="689" w:name="_Toc21289"/>
      <w:bookmarkStart w:id="690" w:name="_Toc18959"/>
      <w:bookmarkStart w:id="691" w:name="_Toc29052"/>
      <w:bookmarkStart w:id="692" w:name="_Toc13471"/>
      <w:bookmarkStart w:id="693" w:name="_Toc5267"/>
      <w:bookmarkStart w:id="694" w:name="_Toc5417"/>
      <w:bookmarkStart w:id="695" w:name="_Toc13064"/>
      <w:bookmarkStart w:id="696" w:name="_Toc5561"/>
      <w:bookmarkStart w:id="697" w:name="_Toc23576"/>
      <w:bookmarkStart w:id="698" w:name="_Toc12636"/>
      <w:bookmarkStart w:id="699" w:name="_Toc12587"/>
      <w:bookmarkStart w:id="700" w:name="_Toc14028"/>
      <w:bookmarkStart w:id="701" w:name="_Toc27408"/>
      <w:bookmarkStart w:id="702" w:name="_Toc15291"/>
      <w:bookmarkStart w:id="703" w:name="_Toc31125"/>
      <w:bookmarkStart w:id="704" w:name="_Toc25833"/>
      <w:bookmarkStart w:id="705" w:name="_Toc24720"/>
      <w:bookmarkStart w:id="706" w:name="_Toc32055"/>
      <w:bookmarkStart w:id="707" w:name="_Toc27033"/>
      <w:bookmarkStart w:id="708" w:name="_Toc31984"/>
      <w:bookmarkStart w:id="709" w:name="_Toc21740"/>
      <w:bookmarkStart w:id="710" w:name="_Toc21842"/>
      <w:bookmarkStart w:id="711" w:name="_Toc16944"/>
      <w:bookmarkStart w:id="712" w:name="_Toc1162"/>
      <w:bookmarkStart w:id="713" w:name="_Toc20418"/>
      <w:bookmarkStart w:id="714" w:name="_Toc16502"/>
      <w:bookmarkStart w:id="715" w:name="_Toc25187"/>
      <w:bookmarkStart w:id="716" w:name="_Toc26665"/>
      <w:bookmarkStart w:id="717" w:name="_Toc9470"/>
      <w:bookmarkStart w:id="718" w:name="_Toc13985"/>
      <w:bookmarkStart w:id="719" w:name="_Toc27705"/>
      <w:bookmarkStart w:id="720" w:name="_Toc22794"/>
      <w:bookmarkStart w:id="721" w:name="_Toc15898"/>
      <w:bookmarkStart w:id="722" w:name="_Toc22720"/>
      <w:bookmarkStart w:id="723" w:name="_Toc18451"/>
      <w:bookmarkStart w:id="724" w:name="_Toc22688"/>
      <w:bookmarkStart w:id="725" w:name="_Toc19416"/>
      <w:bookmarkStart w:id="726" w:name="_Toc23122"/>
      <w:bookmarkStart w:id="727" w:name="_Toc16636"/>
      <w:bookmarkStart w:id="728" w:name="_Toc23923"/>
      <w:bookmarkStart w:id="729" w:name="_Toc1110"/>
      <w:bookmarkStart w:id="730" w:name="_Toc12787"/>
      <w:bookmarkStart w:id="731" w:name="_Toc17790"/>
      <w:bookmarkStart w:id="732" w:name="_Toc3703"/>
      <w:bookmarkStart w:id="733" w:name="_Toc32508"/>
      <w:bookmarkStart w:id="734" w:name="_Toc26450"/>
      <w:bookmarkStart w:id="735" w:name="_Toc16423"/>
      <w:bookmarkStart w:id="736" w:name="_Toc14653"/>
      <w:bookmarkStart w:id="737" w:name="_Toc3061"/>
      <w:r>
        <w:rPr>
          <w:rFonts w:hint="eastAsia"/>
          <w:color w:val="auto"/>
        </w:rPr>
        <w:t>（6）响应方基本情况表</w:t>
      </w:r>
      <w:bookmarkEnd w:id="677"/>
    </w:p>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Pr>
        <w:jc w:val="center"/>
        <w:outlineLvl w:val="1"/>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288" w:lineRule="auto"/>
              <w:jc w:val="center"/>
              <w:rPr>
                <w:rFonts w:hint="eastAsia" w:ascii="宋体" w:hAnsi="宋体" w:eastAsia="宋体" w:cs="宋体"/>
                <w:color w:val="auto"/>
                <w:sz w:val="24"/>
                <w:szCs w:val="24"/>
                <w:lang w:eastAsia="zh-CN"/>
              </w:rPr>
            </w:pPr>
            <w:r>
              <w:rPr>
                <w:rFonts w:hint="eastAsia" w:ascii="宋体" w:hAnsi="宋体" w:cs="宋体"/>
                <w:color w:val="auto"/>
                <w:spacing w:val="-6"/>
                <w:sz w:val="24"/>
                <w:szCs w:val="24"/>
                <w:lang w:val="en-US" w:eastAsia="zh-CN"/>
              </w:rPr>
              <w:t>8</w:t>
            </w:r>
          </w:p>
        </w:tc>
        <w:tc>
          <w:tcPr>
            <w:tcW w:w="2520" w:type="dxa"/>
            <w:vAlign w:val="center"/>
          </w:tcPr>
          <w:p>
            <w:pPr>
              <w:spacing w:line="288" w:lineRule="auto"/>
              <w:jc w:val="center"/>
              <w:rPr>
                <w:rFonts w:hint="default" w:ascii="宋体" w:hAnsi="宋体" w:eastAsia="宋体" w:cs="宋体"/>
                <w:color w:val="auto"/>
                <w:sz w:val="24"/>
                <w:szCs w:val="24"/>
                <w:lang w:val="en-US" w:eastAsia="zh-CN"/>
              </w:rPr>
            </w:pPr>
            <w:r>
              <w:rPr>
                <w:rFonts w:hint="eastAsia" w:ascii="宋体" w:hAnsi="宋体" w:cs="宋体"/>
                <w:color w:val="auto"/>
                <w:spacing w:val="-6"/>
                <w:sz w:val="24"/>
                <w:szCs w:val="24"/>
                <w:lang w:val="en-US" w:eastAsia="zh-CN"/>
              </w:rPr>
              <w:t>企业规模</w:t>
            </w:r>
          </w:p>
        </w:tc>
        <w:tc>
          <w:tcPr>
            <w:tcW w:w="6348" w:type="dxa"/>
            <w:gridSpan w:val="2"/>
            <w:vAlign w:val="center"/>
          </w:tcPr>
          <w:p>
            <w:pPr>
              <w:spacing w:line="360" w:lineRule="auto"/>
              <w:rPr>
                <w:rFonts w:hint="default" w:ascii="宋体" w:hAnsi="宋体" w:eastAsia="宋体" w:cs="宋体"/>
                <w:color w:val="auto"/>
                <w:sz w:val="24"/>
                <w:szCs w:val="24"/>
                <w:lang w:val="en-US"/>
              </w:rPr>
            </w:pP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其他未列明行</w:t>
            </w:r>
            <w:r>
              <w:rPr>
                <w:rFonts w:hint="eastAsia" w:ascii="宋体" w:hAnsi="宋体" w:eastAsia="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业：</w:t>
            </w:r>
            <w:r>
              <w:rPr>
                <w:rFonts w:hint="eastAsia" w:ascii="宋体" w:hAnsi="宋体" w:eastAsia="宋体" w:cs="宋体"/>
                <w:color w:val="auto"/>
                <w:spacing w:val="-6"/>
                <w:sz w:val="24"/>
                <w:szCs w:val="24"/>
                <w:lang w:val="en-US" w:eastAsia="zh-CN"/>
              </w:rPr>
              <w:t>承建（承接）</w:t>
            </w:r>
            <w:r>
              <w:rPr>
                <w:rFonts w:hint="eastAsia" w:ascii="宋体" w:hAnsi="宋体" w:cs="宋体"/>
                <w:color w:val="auto"/>
                <w:spacing w:val="-6"/>
                <w:sz w:val="24"/>
                <w:szCs w:val="24"/>
                <w:lang w:val="en-US" w:eastAsia="zh-CN"/>
              </w:rPr>
              <w:t>企业</w:t>
            </w:r>
            <w:r>
              <w:rPr>
                <w:rFonts w:hint="eastAsia" w:ascii="宋体" w:hAnsi="宋体" w:eastAsia="宋体" w:cs="宋体"/>
                <w:color w:val="auto"/>
                <w:spacing w:val="-6"/>
                <w:sz w:val="24"/>
                <w:szCs w:val="24"/>
              </w:rPr>
              <w:t>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公司），从业人员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rPr>
              <w:t>万元，属于（</w:t>
            </w:r>
            <w:r>
              <w:rPr>
                <w:rFonts w:hint="eastAsia" w:ascii="宋体" w:hAnsi="宋体" w:eastAsia="宋体" w:cs="宋体"/>
                <w:i/>
                <w:iCs/>
                <w:color w:val="auto"/>
                <w:spacing w:val="-6"/>
                <w:sz w:val="24"/>
                <w:szCs w:val="24"/>
                <w:u w:val="single"/>
                <w:lang w:val="en-US" w:eastAsia="zh-CN"/>
              </w:rPr>
              <w:t>大型企业、</w:t>
            </w:r>
            <w:r>
              <w:rPr>
                <w:rFonts w:hint="eastAsia" w:ascii="宋体" w:hAnsi="宋体" w:eastAsia="宋体" w:cs="宋体"/>
                <w:i/>
                <w:iCs/>
                <w:color w:val="auto"/>
                <w:spacing w:val="-6"/>
                <w:sz w:val="24"/>
                <w:szCs w:val="24"/>
                <w:u w:val="single"/>
              </w:rPr>
              <w:t>中型企业、小型企业、微型企业</w:t>
            </w:r>
            <w:r>
              <w:rPr>
                <w:rFonts w:hint="eastAsia" w:ascii="宋体" w:hAnsi="宋体" w:eastAsia="宋体" w:cs="宋体"/>
                <w:color w:val="auto"/>
                <w:spacing w:val="-6"/>
                <w:sz w:val="24"/>
                <w:szCs w:val="24"/>
              </w:rPr>
              <w:t>，选一种）</w:t>
            </w:r>
            <w:r>
              <w:rPr>
                <w:rFonts w:hint="eastAsia" w:ascii="宋体" w:hAnsi="宋体" w:eastAsia="宋体" w:cs="宋体"/>
                <w:color w:val="auto"/>
                <w:spacing w:val="-6"/>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p>
        </w:tc>
        <w:tc>
          <w:tcPr>
            <w:tcW w:w="2520" w:type="dxa"/>
            <w:vAlign w:val="center"/>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pPr>
              <w:spacing w:line="360" w:lineRule="auto"/>
              <w:rPr>
                <w:rFonts w:hint="eastAsia" w:ascii="宋体" w:hAnsi="宋体" w:eastAsia="宋体" w:cs="宋体"/>
                <w:color w:val="auto"/>
                <w:sz w:val="24"/>
                <w:szCs w:val="24"/>
              </w:rPr>
            </w:pPr>
          </w:p>
        </w:tc>
      </w:tr>
    </w:tbl>
    <w:p>
      <w:pPr>
        <w:spacing w:line="360" w:lineRule="auto"/>
        <w:ind w:firstLine="240" w:firstLineChars="100"/>
        <w:rPr>
          <w:color w:val="auto"/>
          <w:sz w:val="24"/>
          <w:szCs w:val="24"/>
        </w:rPr>
      </w:pPr>
      <w:r>
        <w:rPr>
          <w:rFonts w:hint="eastAsia"/>
          <w:color w:val="auto"/>
          <w:sz w:val="24"/>
          <w:szCs w:val="24"/>
        </w:rPr>
        <w:t>说明：</w:t>
      </w:r>
    </w:p>
    <w:p>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pPr>
        <w:spacing w:line="360" w:lineRule="auto"/>
        <w:ind w:firstLine="360" w:firstLineChars="150"/>
        <w:jc w:val="left"/>
        <w:rPr>
          <w:color w:val="auto"/>
          <w:sz w:val="24"/>
          <w:szCs w:val="24"/>
        </w:rPr>
      </w:pPr>
    </w:p>
    <w:p>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pPr>
        <w:spacing w:before="240" w:beforeLines="100" w:after="240" w:afterLines="100"/>
        <w:jc w:val="left"/>
        <w:rPr>
          <w:color w:val="auto"/>
          <w:sz w:val="24"/>
          <w:szCs w:val="24"/>
        </w:rPr>
      </w:pPr>
      <w:r>
        <w:rPr>
          <w:rFonts w:hint="eastAsia" w:ascii="宋体" w:hAnsi="宋体" w:cs="宋体"/>
          <w:color w:val="auto"/>
          <w:sz w:val="24"/>
        </w:rPr>
        <w:t>日期：      年   月   日</w:t>
      </w:r>
    </w:p>
    <w:p>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pPr>
        <w:pStyle w:val="4"/>
        <w:ind w:left="0" w:firstLine="0"/>
        <w:outlineLvl w:val="0"/>
        <w:rPr>
          <w:color w:val="auto"/>
        </w:rPr>
      </w:pPr>
      <w:bookmarkStart w:id="738" w:name="_Toc16094_WPSOffice_Level1"/>
      <w:bookmarkStart w:id="739" w:name="_Toc21110"/>
      <w:bookmarkStart w:id="740" w:name="_Toc5024"/>
      <w:bookmarkStart w:id="741" w:name="_Toc3841"/>
      <w:bookmarkStart w:id="742" w:name="_Toc24426"/>
      <w:bookmarkStart w:id="743" w:name="_Toc3327"/>
      <w:bookmarkStart w:id="744" w:name="_Toc18777"/>
      <w:bookmarkStart w:id="745" w:name="_Toc17265"/>
      <w:bookmarkStart w:id="746" w:name="_Toc20174"/>
      <w:bookmarkStart w:id="747" w:name="_Toc21767"/>
      <w:bookmarkStart w:id="748" w:name="_Toc16592"/>
      <w:r>
        <w:rPr>
          <w:rFonts w:hint="eastAsia"/>
          <w:color w:val="auto"/>
        </w:rPr>
        <w:t>（7）供应商同类合同一览表</w:t>
      </w:r>
      <w:bookmarkEnd w:id="738"/>
    </w:p>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9"/>
    <w:bookmarkEnd w:id="740"/>
    <w:bookmarkEnd w:id="741"/>
    <w:bookmarkEnd w:id="742"/>
    <w:bookmarkEnd w:id="743"/>
    <w:bookmarkEnd w:id="744"/>
    <w:bookmarkEnd w:id="745"/>
    <w:bookmarkEnd w:id="746"/>
    <w:bookmarkEnd w:id="747"/>
    <w:bookmarkEnd w:id="748"/>
    <w:p>
      <w:pPr>
        <w:adjustRightInd w:val="0"/>
        <w:snapToGrid w:val="0"/>
        <w:spacing w:line="288" w:lineRule="auto"/>
        <w:jc w:val="center"/>
        <w:outlineLvl w:val="1"/>
        <w:rPr>
          <w:rFonts w:hint="eastAsia"/>
          <w:color w:val="auto"/>
          <w:sz w:val="24"/>
          <w:szCs w:val="24"/>
        </w:rPr>
      </w:pPr>
      <w:bookmarkStart w:id="749" w:name="_Toc18264"/>
      <w:r>
        <w:rPr>
          <w:rFonts w:hint="eastAsia"/>
          <w:color w:val="auto"/>
          <w:sz w:val="24"/>
          <w:szCs w:val="24"/>
        </w:rPr>
        <w:t>同类合同一览表</w:t>
      </w:r>
    </w:p>
    <w:tbl>
      <w:tblPr>
        <w:tblStyle w:val="46"/>
        <w:tblW w:w="82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pPr>
              <w:adjustRightInd w:val="0"/>
              <w:snapToGrid w:val="0"/>
              <w:spacing w:line="288" w:lineRule="auto"/>
              <w:jc w:val="center"/>
              <w:rPr>
                <w:color w:val="auto"/>
                <w:sz w:val="24"/>
                <w:szCs w:val="24"/>
              </w:rPr>
            </w:pPr>
            <w:r>
              <w:rPr>
                <w:rFonts w:hint="eastAsia"/>
                <w:color w:val="auto"/>
                <w:sz w:val="24"/>
                <w:szCs w:val="24"/>
              </w:rPr>
              <w:t>合同金额</w:t>
            </w:r>
          </w:p>
          <w:p>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pPr>
              <w:adjustRightInd w:val="0"/>
              <w:snapToGrid w:val="0"/>
              <w:spacing w:line="288" w:lineRule="auto"/>
              <w:jc w:val="center"/>
              <w:rPr>
                <w:color w:val="auto"/>
                <w:sz w:val="24"/>
                <w:szCs w:val="24"/>
              </w:rPr>
            </w:pPr>
            <w:r>
              <w:rPr>
                <w:rFonts w:hint="eastAsia"/>
                <w:color w:val="auto"/>
                <w:sz w:val="24"/>
                <w:szCs w:val="24"/>
              </w:rPr>
              <w:t>采购单位</w:t>
            </w:r>
          </w:p>
          <w:p>
            <w:pPr>
              <w:adjustRightInd w:val="0"/>
              <w:snapToGrid w:val="0"/>
              <w:spacing w:line="288" w:lineRule="auto"/>
              <w:jc w:val="center"/>
              <w:rPr>
                <w:color w:val="auto"/>
                <w:sz w:val="24"/>
                <w:szCs w:val="24"/>
              </w:rPr>
            </w:pPr>
            <w:r>
              <w:rPr>
                <w:rFonts w:hint="eastAsia"/>
                <w:color w:val="auto"/>
                <w:sz w:val="24"/>
                <w:szCs w:val="24"/>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color w:val="auto"/>
                <w:sz w:val="24"/>
                <w:szCs w:val="24"/>
              </w:rPr>
            </w:pPr>
          </w:p>
        </w:tc>
        <w:tc>
          <w:tcPr>
            <w:tcW w:w="1380" w:type="dxa"/>
            <w:vAlign w:val="center"/>
          </w:tcPr>
          <w:p>
            <w:pPr>
              <w:adjustRightInd w:val="0"/>
              <w:snapToGrid w:val="0"/>
              <w:spacing w:line="288" w:lineRule="auto"/>
              <w:jc w:val="center"/>
              <w:rPr>
                <w:color w:val="auto"/>
                <w:sz w:val="24"/>
                <w:szCs w:val="24"/>
              </w:rPr>
            </w:pPr>
          </w:p>
        </w:tc>
        <w:tc>
          <w:tcPr>
            <w:tcW w:w="1510" w:type="dxa"/>
            <w:vAlign w:val="center"/>
          </w:tcPr>
          <w:p>
            <w:pPr>
              <w:adjustRightInd w:val="0"/>
              <w:snapToGrid w:val="0"/>
              <w:spacing w:line="288" w:lineRule="auto"/>
              <w:jc w:val="center"/>
              <w:rPr>
                <w:color w:val="auto"/>
                <w:sz w:val="24"/>
                <w:szCs w:val="24"/>
              </w:rPr>
            </w:pPr>
          </w:p>
        </w:tc>
        <w:tc>
          <w:tcPr>
            <w:tcW w:w="1256" w:type="dxa"/>
            <w:vAlign w:val="center"/>
          </w:tcPr>
          <w:p>
            <w:pPr>
              <w:adjustRightInd w:val="0"/>
              <w:snapToGrid w:val="0"/>
              <w:spacing w:line="288" w:lineRule="auto"/>
              <w:jc w:val="center"/>
              <w:rPr>
                <w:color w:val="auto"/>
                <w:sz w:val="24"/>
                <w:szCs w:val="24"/>
              </w:rPr>
            </w:pPr>
          </w:p>
        </w:tc>
        <w:tc>
          <w:tcPr>
            <w:tcW w:w="732" w:type="dxa"/>
            <w:vAlign w:val="center"/>
          </w:tcPr>
          <w:p>
            <w:pPr>
              <w:adjustRightInd w:val="0"/>
              <w:snapToGrid w:val="0"/>
              <w:spacing w:line="288" w:lineRule="auto"/>
              <w:jc w:val="center"/>
              <w:rPr>
                <w:color w:val="auto"/>
                <w:sz w:val="24"/>
                <w:szCs w:val="24"/>
              </w:rPr>
            </w:pPr>
          </w:p>
        </w:tc>
        <w:tc>
          <w:tcPr>
            <w:tcW w:w="1005" w:type="dxa"/>
            <w:vAlign w:val="center"/>
          </w:tcPr>
          <w:p>
            <w:pPr>
              <w:adjustRightInd w:val="0"/>
              <w:snapToGrid w:val="0"/>
              <w:spacing w:line="288" w:lineRule="auto"/>
              <w:jc w:val="center"/>
              <w:rPr>
                <w:color w:val="auto"/>
                <w:sz w:val="24"/>
                <w:szCs w:val="24"/>
              </w:rPr>
            </w:pPr>
          </w:p>
        </w:tc>
        <w:tc>
          <w:tcPr>
            <w:tcW w:w="1675" w:type="dxa"/>
            <w:vAlign w:val="center"/>
          </w:tcPr>
          <w:p>
            <w:pPr>
              <w:adjustRightInd w:val="0"/>
              <w:snapToGrid w:val="0"/>
              <w:spacing w:line="288" w:lineRule="auto"/>
              <w:jc w:val="center"/>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color w:val="auto"/>
                <w:sz w:val="24"/>
                <w:szCs w:val="24"/>
              </w:rPr>
            </w:pPr>
          </w:p>
        </w:tc>
        <w:tc>
          <w:tcPr>
            <w:tcW w:w="1380" w:type="dxa"/>
            <w:vAlign w:val="center"/>
          </w:tcPr>
          <w:p>
            <w:pPr>
              <w:adjustRightInd w:val="0"/>
              <w:snapToGrid w:val="0"/>
              <w:spacing w:line="288" w:lineRule="auto"/>
              <w:jc w:val="center"/>
              <w:rPr>
                <w:color w:val="auto"/>
                <w:sz w:val="24"/>
                <w:szCs w:val="24"/>
              </w:rPr>
            </w:pPr>
          </w:p>
        </w:tc>
        <w:tc>
          <w:tcPr>
            <w:tcW w:w="1510" w:type="dxa"/>
            <w:vAlign w:val="center"/>
          </w:tcPr>
          <w:p>
            <w:pPr>
              <w:adjustRightInd w:val="0"/>
              <w:snapToGrid w:val="0"/>
              <w:spacing w:line="288" w:lineRule="auto"/>
              <w:jc w:val="center"/>
              <w:rPr>
                <w:color w:val="auto"/>
                <w:sz w:val="24"/>
                <w:szCs w:val="24"/>
              </w:rPr>
            </w:pPr>
          </w:p>
        </w:tc>
        <w:tc>
          <w:tcPr>
            <w:tcW w:w="1256" w:type="dxa"/>
            <w:vAlign w:val="center"/>
          </w:tcPr>
          <w:p>
            <w:pPr>
              <w:adjustRightInd w:val="0"/>
              <w:snapToGrid w:val="0"/>
              <w:spacing w:line="288" w:lineRule="auto"/>
              <w:jc w:val="center"/>
              <w:rPr>
                <w:color w:val="auto"/>
                <w:sz w:val="24"/>
                <w:szCs w:val="24"/>
              </w:rPr>
            </w:pPr>
          </w:p>
        </w:tc>
        <w:tc>
          <w:tcPr>
            <w:tcW w:w="732" w:type="dxa"/>
            <w:vAlign w:val="center"/>
          </w:tcPr>
          <w:p>
            <w:pPr>
              <w:adjustRightInd w:val="0"/>
              <w:snapToGrid w:val="0"/>
              <w:spacing w:line="288" w:lineRule="auto"/>
              <w:jc w:val="center"/>
              <w:rPr>
                <w:color w:val="auto"/>
                <w:sz w:val="24"/>
                <w:szCs w:val="24"/>
              </w:rPr>
            </w:pPr>
          </w:p>
        </w:tc>
        <w:tc>
          <w:tcPr>
            <w:tcW w:w="1005" w:type="dxa"/>
            <w:vAlign w:val="center"/>
          </w:tcPr>
          <w:p>
            <w:pPr>
              <w:adjustRightInd w:val="0"/>
              <w:snapToGrid w:val="0"/>
              <w:spacing w:line="288" w:lineRule="auto"/>
              <w:jc w:val="center"/>
              <w:rPr>
                <w:color w:val="auto"/>
                <w:sz w:val="24"/>
                <w:szCs w:val="24"/>
              </w:rPr>
            </w:pPr>
          </w:p>
        </w:tc>
        <w:tc>
          <w:tcPr>
            <w:tcW w:w="1675" w:type="dxa"/>
            <w:vAlign w:val="center"/>
          </w:tcPr>
          <w:p>
            <w:pPr>
              <w:adjustRightInd w:val="0"/>
              <w:snapToGrid w:val="0"/>
              <w:spacing w:line="288" w:lineRule="auto"/>
              <w:jc w:val="center"/>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color w:val="auto"/>
                <w:sz w:val="24"/>
                <w:szCs w:val="24"/>
              </w:rPr>
            </w:pPr>
          </w:p>
        </w:tc>
        <w:tc>
          <w:tcPr>
            <w:tcW w:w="1380" w:type="dxa"/>
            <w:vAlign w:val="center"/>
          </w:tcPr>
          <w:p>
            <w:pPr>
              <w:adjustRightInd w:val="0"/>
              <w:snapToGrid w:val="0"/>
              <w:spacing w:line="288" w:lineRule="auto"/>
              <w:jc w:val="center"/>
              <w:rPr>
                <w:color w:val="auto"/>
                <w:sz w:val="24"/>
                <w:szCs w:val="24"/>
              </w:rPr>
            </w:pPr>
          </w:p>
        </w:tc>
        <w:tc>
          <w:tcPr>
            <w:tcW w:w="1510" w:type="dxa"/>
            <w:vAlign w:val="center"/>
          </w:tcPr>
          <w:p>
            <w:pPr>
              <w:adjustRightInd w:val="0"/>
              <w:snapToGrid w:val="0"/>
              <w:spacing w:line="288" w:lineRule="auto"/>
              <w:jc w:val="center"/>
              <w:rPr>
                <w:color w:val="auto"/>
                <w:sz w:val="24"/>
                <w:szCs w:val="24"/>
              </w:rPr>
            </w:pPr>
          </w:p>
        </w:tc>
        <w:tc>
          <w:tcPr>
            <w:tcW w:w="1256" w:type="dxa"/>
            <w:vAlign w:val="center"/>
          </w:tcPr>
          <w:p>
            <w:pPr>
              <w:adjustRightInd w:val="0"/>
              <w:snapToGrid w:val="0"/>
              <w:spacing w:line="288" w:lineRule="auto"/>
              <w:jc w:val="center"/>
              <w:rPr>
                <w:color w:val="auto"/>
                <w:sz w:val="24"/>
                <w:szCs w:val="24"/>
              </w:rPr>
            </w:pPr>
          </w:p>
        </w:tc>
        <w:tc>
          <w:tcPr>
            <w:tcW w:w="732" w:type="dxa"/>
            <w:vAlign w:val="center"/>
          </w:tcPr>
          <w:p>
            <w:pPr>
              <w:adjustRightInd w:val="0"/>
              <w:snapToGrid w:val="0"/>
              <w:spacing w:line="288" w:lineRule="auto"/>
              <w:jc w:val="center"/>
              <w:rPr>
                <w:color w:val="auto"/>
                <w:sz w:val="24"/>
                <w:szCs w:val="24"/>
              </w:rPr>
            </w:pPr>
          </w:p>
        </w:tc>
        <w:tc>
          <w:tcPr>
            <w:tcW w:w="1005" w:type="dxa"/>
            <w:vAlign w:val="center"/>
          </w:tcPr>
          <w:p>
            <w:pPr>
              <w:adjustRightInd w:val="0"/>
              <w:snapToGrid w:val="0"/>
              <w:spacing w:line="288" w:lineRule="auto"/>
              <w:jc w:val="center"/>
              <w:rPr>
                <w:color w:val="auto"/>
                <w:sz w:val="24"/>
                <w:szCs w:val="24"/>
              </w:rPr>
            </w:pPr>
          </w:p>
        </w:tc>
        <w:tc>
          <w:tcPr>
            <w:tcW w:w="1675" w:type="dxa"/>
            <w:vAlign w:val="center"/>
          </w:tcPr>
          <w:p>
            <w:pPr>
              <w:adjustRightInd w:val="0"/>
              <w:snapToGrid w:val="0"/>
              <w:spacing w:line="288" w:lineRule="auto"/>
              <w:jc w:val="center"/>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color w:val="auto"/>
                <w:sz w:val="24"/>
                <w:szCs w:val="24"/>
              </w:rPr>
            </w:pPr>
          </w:p>
        </w:tc>
        <w:tc>
          <w:tcPr>
            <w:tcW w:w="1380" w:type="dxa"/>
            <w:vAlign w:val="center"/>
          </w:tcPr>
          <w:p>
            <w:pPr>
              <w:adjustRightInd w:val="0"/>
              <w:snapToGrid w:val="0"/>
              <w:spacing w:line="288" w:lineRule="auto"/>
              <w:jc w:val="center"/>
              <w:rPr>
                <w:color w:val="auto"/>
                <w:sz w:val="24"/>
                <w:szCs w:val="24"/>
              </w:rPr>
            </w:pPr>
          </w:p>
        </w:tc>
        <w:tc>
          <w:tcPr>
            <w:tcW w:w="1510" w:type="dxa"/>
            <w:vAlign w:val="center"/>
          </w:tcPr>
          <w:p>
            <w:pPr>
              <w:adjustRightInd w:val="0"/>
              <w:snapToGrid w:val="0"/>
              <w:spacing w:line="288" w:lineRule="auto"/>
              <w:jc w:val="center"/>
              <w:rPr>
                <w:color w:val="auto"/>
                <w:sz w:val="24"/>
                <w:szCs w:val="24"/>
              </w:rPr>
            </w:pPr>
          </w:p>
        </w:tc>
        <w:tc>
          <w:tcPr>
            <w:tcW w:w="1256" w:type="dxa"/>
            <w:vAlign w:val="center"/>
          </w:tcPr>
          <w:p>
            <w:pPr>
              <w:adjustRightInd w:val="0"/>
              <w:snapToGrid w:val="0"/>
              <w:spacing w:line="288" w:lineRule="auto"/>
              <w:jc w:val="center"/>
              <w:rPr>
                <w:color w:val="auto"/>
                <w:sz w:val="24"/>
                <w:szCs w:val="24"/>
              </w:rPr>
            </w:pPr>
          </w:p>
        </w:tc>
        <w:tc>
          <w:tcPr>
            <w:tcW w:w="732" w:type="dxa"/>
            <w:vAlign w:val="center"/>
          </w:tcPr>
          <w:p>
            <w:pPr>
              <w:adjustRightInd w:val="0"/>
              <w:snapToGrid w:val="0"/>
              <w:spacing w:line="288" w:lineRule="auto"/>
              <w:jc w:val="center"/>
              <w:rPr>
                <w:color w:val="auto"/>
                <w:sz w:val="24"/>
                <w:szCs w:val="24"/>
              </w:rPr>
            </w:pPr>
          </w:p>
        </w:tc>
        <w:tc>
          <w:tcPr>
            <w:tcW w:w="1005" w:type="dxa"/>
            <w:vAlign w:val="center"/>
          </w:tcPr>
          <w:p>
            <w:pPr>
              <w:adjustRightInd w:val="0"/>
              <w:snapToGrid w:val="0"/>
              <w:spacing w:line="288" w:lineRule="auto"/>
              <w:jc w:val="center"/>
              <w:rPr>
                <w:color w:val="auto"/>
                <w:sz w:val="24"/>
                <w:szCs w:val="24"/>
              </w:rPr>
            </w:pPr>
          </w:p>
        </w:tc>
        <w:tc>
          <w:tcPr>
            <w:tcW w:w="1675" w:type="dxa"/>
            <w:vAlign w:val="center"/>
          </w:tcPr>
          <w:p>
            <w:pPr>
              <w:adjustRightInd w:val="0"/>
              <w:snapToGrid w:val="0"/>
              <w:spacing w:line="288" w:lineRule="auto"/>
              <w:jc w:val="center"/>
              <w:rPr>
                <w:color w:val="auto"/>
                <w:sz w:val="24"/>
                <w:szCs w:val="24"/>
              </w:rPr>
            </w:pPr>
          </w:p>
        </w:tc>
      </w:tr>
    </w:tbl>
    <w:p>
      <w:pPr>
        <w:adjustRightInd w:val="0"/>
        <w:snapToGrid w:val="0"/>
        <w:spacing w:line="288" w:lineRule="auto"/>
        <w:rPr>
          <w:color w:val="auto"/>
          <w:sz w:val="24"/>
          <w:szCs w:val="24"/>
        </w:rPr>
      </w:pPr>
    </w:p>
    <w:p>
      <w:pPr>
        <w:adjustRightInd w:val="0"/>
        <w:snapToGrid w:val="0"/>
        <w:spacing w:line="288" w:lineRule="auto"/>
        <w:rPr>
          <w:color w:val="auto"/>
          <w:sz w:val="24"/>
          <w:szCs w:val="24"/>
        </w:rPr>
      </w:pPr>
      <w:r>
        <w:rPr>
          <w:rFonts w:hint="eastAsia"/>
          <w:color w:val="auto"/>
          <w:sz w:val="24"/>
          <w:szCs w:val="24"/>
        </w:rPr>
        <w:t>说明：</w:t>
      </w:r>
    </w:p>
    <w:p>
      <w:pPr>
        <w:adjustRightInd w:val="0"/>
        <w:snapToGrid w:val="0"/>
        <w:spacing w:line="288" w:lineRule="auto"/>
        <w:rPr>
          <w:color w:val="auto"/>
          <w:sz w:val="24"/>
          <w:szCs w:val="24"/>
        </w:rPr>
      </w:pPr>
      <w:r>
        <w:rPr>
          <w:rFonts w:hint="eastAsia"/>
          <w:color w:val="auto"/>
          <w:sz w:val="24"/>
          <w:szCs w:val="24"/>
        </w:rPr>
        <w:t>1.供应商须提供上述业绩合同扫描件；</w:t>
      </w:r>
    </w:p>
    <w:p>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pPr>
        <w:pStyle w:val="27"/>
        <w:spacing w:line="360" w:lineRule="auto"/>
        <w:ind w:left="-27" w:firstLine="424"/>
        <w:rPr>
          <w:rFonts w:ascii="Times New Roman" w:hAnsi="Times New Roman"/>
          <w:b/>
          <w:bCs/>
          <w:color w:val="auto"/>
          <w:sz w:val="24"/>
          <w:szCs w:val="24"/>
        </w:rPr>
      </w:pPr>
    </w:p>
    <w:p>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pPr>
        <w:spacing w:line="360" w:lineRule="auto"/>
        <w:rPr>
          <w:color w:val="auto"/>
          <w:sz w:val="24"/>
          <w:szCs w:val="24"/>
        </w:rPr>
      </w:pPr>
      <w:r>
        <w:rPr>
          <w:rFonts w:hint="eastAsia" w:ascii="宋体" w:hAnsi="宋体" w:cs="宋体"/>
          <w:color w:val="auto"/>
          <w:sz w:val="24"/>
        </w:rPr>
        <w:t>日期：      年   月   日</w:t>
      </w:r>
    </w:p>
    <w:p>
      <w:pPr>
        <w:rPr>
          <w:rFonts w:ascii="黑体" w:hAnsi="黑体" w:eastAsia="黑体" w:cs="黑体"/>
          <w:color w:val="auto"/>
          <w:sz w:val="28"/>
          <w:szCs w:val="28"/>
        </w:rPr>
      </w:pPr>
      <w:bookmarkStart w:id="750" w:name="_Toc9100"/>
      <w:bookmarkStart w:id="751" w:name="_Toc12743"/>
      <w:bookmarkStart w:id="752" w:name="_Toc27754"/>
      <w:bookmarkStart w:id="753" w:name="_Toc28010"/>
      <w:bookmarkStart w:id="754" w:name="_Toc27736"/>
      <w:bookmarkStart w:id="755" w:name="_Toc21474"/>
      <w:bookmarkStart w:id="756" w:name="_Toc9428"/>
      <w:bookmarkStart w:id="757" w:name="_Toc25395"/>
      <w:bookmarkStart w:id="758" w:name="_Toc20235"/>
      <w:bookmarkStart w:id="759" w:name="_Toc16499"/>
      <w:bookmarkStart w:id="760" w:name="_Toc23972"/>
      <w:bookmarkStart w:id="761" w:name="_Toc24884"/>
      <w:bookmarkStart w:id="762" w:name="_Toc3809"/>
      <w:bookmarkStart w:id="763" w:name="_Toc8383"/>
      <w:bookmarkStart w:id="764" w:name="_Toc29300"/>
      <w:bookmarkStart w:id="765" w:name="_Toc5640"/>
      <w:bookmarkStart w:id="766" w:name="_Toc6410"/>
      <w:bookmarkStart w:id="767" w:name="_Toc11435"/>
      <w:bookmarkStart w:id="768" w:name="_Toc26175"/>
      <w:bookmarkStart w:id="769" w:name="_Toc20421"/>
      <w:bookmarkStart w:id="770" w:name="_Toc31965"/>
      <w:bookmarkStart w:id="771" w:name="_Toc9650"/>
      <w:bookmarkStart w:id="772" w:name="_Toc18122"/>
      <w:bookmarkStart w:id="773" w:name="_Toc29974"/>
      <w:bookmarkStart w:id="774" w:name="_Toc22005"/>
      <w:bookmarkStart w:id="775" w:name="_Toc30618"/>
      <w:bookmarkStart w:id="776" w:name="_Toc27924"/>
      <w:bookmarkStart w:id="777" w:name="_Toc32660"/>
      <w:bookmarkStart w:id="778" w:name="_Toc1352"/>
      <w:bookmarkStart w:id="779" w:name="_Toc25847"/>
      <w:bookmarkStart w:id="780" w:name="_Toc21901"/>
      <w:r>
        <w:rPr>
          <w:rFonts w:hint="eastAsia" w:ascii="黑体" w:hAnsi="黑体" w:eastAsia="黑体" w:cs="黑体"/>
          <w:color w:val="auto"/>
          <w:sz w:val="28"/>
          <w:szCs w:val="28"/>
        </w:rPr>
        <w:br w:type="page"/>
      </w:r>
    </w:p>
    <w:p>
      <w:pPr>
        <w:pStyle w:val="4"/>
        <w:ind w:left="0" w:firstLine="0"/>
        <w:outlineLvl w:val="0"/>
        <w:rPr>
          <w:color w:val="auto"/>
        </w:rPr>
      </w:pPr>
      <w:bookmarkStart w:id="781" w:name="_Toc23522_WPSOffice_Level1"/>
      <w:r>
        <w:rPr>
          <w:rFonts w:hint="eastAsia"/>
          <w:color w:val="auto"/>
        </w:rPr>
        <w:t>（8）</w:t>
      </w:r>
      <w:bookmarkEnd w:id="750"/>
      <w:bookmarkEnd w:id="751"/>
      <w:bookmarkEnd w:id="752"/>
      <w:r>
        <w:rPr>
          <w:rFonts w:hint="eastAsia"/>
          <w:color w:val="auto"/>
        </w:rPr>
        <w:t>详细技术和服务方案</w:t>
      </w:r>
      <w:bookmarkEnd w:id="753"/>
      <w:bookmarkEnd w:id="754"/>
      <w:bookmarkEnd w:id="755"/>
      <w:bookmarkEnd w:id="756"/>
      <w:bookmarkEnd w:id="757"/>
      <w:bookmarkEnd w:id="758"/>
      <w:bookmarkEnd w:id="759"/>
      <w:bookmarkEnd w:id="781"/>
    </w:p>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Pr>
        <w:spacing w:line="420" w:lineRule="exact"/>
        <w:rPr>
          <w:color w:val="auto"/>
          <w:sz w:val="24"/>
        </w:rPr>
      </w:pPr>
      <w:r>
        <w:rPr>
          <w:rFonts w:hint="eastAsia"/>
          <w:color w:val="auto"/>
          <w:sz w:val="24"/>
        </w:rPr>
        <w:t>（根据采购需求及评分标准要求编制</w:t>
      </w:r>
      <w:r>
        <w:rPr>
          <w:rFonts w:hint="eastAsia"/>
          <w:color w:val="auto"/>
          <w:sz w:val="24"/>
          <w:lang w:eastAsia="zh-CN"/>
        </w:rPr>
        <w:t>，</w:t>
      </w:r>
      <w:r>
        <w:rPr>
          <w:rFonts w:hint="eastAsia"/>
          <w:color w:val="auto"/>
          <w:sz w:val="24"/>
          <w:lang w:val="en-US" w:eastAsia="zh-CN"/>
        </w:rPr>
        <w:t>含拟投入车辆情况、项目实施方案、工作重点难点及其解决措施、验收方案、应急保障方案等</w:t>
      </w:r>
      <w:r>
        <w:rPr>
          <w:rFonts w:hint="eastAsia"/>
          <w:color w:val="auto"/>
          <w:sz w:val="24"/>
        </w:rPr>
        <w:t>）</w:t>
      </w:r>
    </w:p>
    <w:p>
      <w:pPr>
        <w:pStyle w:val="27"/>
        <w:snapToGrid w:val="0"/>
        <w:spacing w:line="440" w:lineRule="exact"/>
        <w:ind w:left="-27" w:firstLine="422"/>
        <w:rPr>
          <w:rFonts w:asciiTheme="majorEastAsia" w:hAnsiTheme="majorEastAsia" w:eastAsiaTheme="majorEastAsia" w:cstheme="majorEastAsia"/>
          <w:color w:val="auto"/>
          <w:sz w:val="24"/>
          <w:szCs w:val="24"/>
        </w:rPr>
      </w:pPr>
    </w:p>
    <w:p>
      <w:pPr>
        <w:spacing w:before="312" w:beforeLines="100" w:after="312" w:afterLines="100"/>
        <w:jc w:val="left"/>
        <w:rPr>
          <w:rFonts w:hint="default"/>
          <w:b/>
          <w:bCs/>
          <w:color w:val="auto"/>
          <w:sz w:val="24"/>
          <w:szCs w:val="24"/>
          <w:lang w:val="en-US"/>
        </w:rPr>
      </w:pPr>
      <w:r>
        <w:rPr>
          <w:rFonts w:hint="eastAsia"/>
          <w:b/>
          <w:bCs/>
          <w:color w:val="auto"/>
          <w:sz w:val="24"/>
          <w:lang w:val="en-US" w:eastAsia="zh-CN"/>
        </w:rPr>
        <w:t>拟投入车辆情况（附和公司关联的驾驶证等证明材料）</w:t>
      </w:r>
    </w:p>
    <w:p>
      <w:pPr>
        <w:rPr>
          <w:color w:val="auto"/>
        </w:rPr>
      </w:pPr>
    </w:p>
    <w:p>
      <w:pPr>
        <w:pStyle w:val="4"/>
        <w:ind w:left="0" w:firstLine="0"/>
        <w:outlineLvl w:val="0"/>
        <w:rPr>
          <w:color w:val="auto"/>
        </w:rPr>
      </w:pPr>
      <w:bookmarkStart w:id="782" w:name="_Toc23685"/>
      <w:bookmarkStart w:id="783" w:name="_Toc18015_WPSOffice_Level1"/>
      <w:bookmarkStart w:id="784" w:name="_Toc21572"/>
      <w:bookmarkStart w:id="785" w:name="_Toc13211"/>
      <w:bookmarkStart w:id="786" w:name="_Toc14897"/>
      <w:bookmarkStart w:id="787" w:name="_Toc21017"/>
      <w:bookmarkStart w:id="788" w:name="_Toc19068"/>
      <w:bookmarkStart w:id="789" w:name="_Toc3089"/>
      <w:bookmarkStart w:id="790" w:name="_Toc10148"/>
      <w:bookmarkStart w:id="791" w:name="_Toc1378"/>
      <w:bookmarkStart w:id="792" w:name="_Toc1664"/>
      <w:r>
        <w:rPr>
          <w:rFonts w:hint="eastAsia"/>
          <w:color w:val="auto"/>
        </w:rPr>
        <w:t>（9）</w:t>
      </w:r>
      <w:bookmarkEnd w:id="782"/>
      <w:r>
        <w:rPr>
          <w:rFonts w:hint="eastAsia"/>
          <w:color w:val="auto"/>
        </w:rPr>
        <w:t>项目组成员一览表</w:t>
      </w:r>
      <w:bookmarkEnd w:id="783"/>
      <w:bookmarkEnd w:id="784"/>
      <w:bookmarkEnd w:id="785"/>
      <w:bookmarkEnd w:id="786"/>
      <w:bookmarkEnd w:id="787"/>
      <w:bookmarkEnd w:id="788"/>
      <w:bookmarkEnd w:id="789"/>
      <w:bookmarkEnd w:id="790"/>
    </w:p>
    <w:bookmarkEnd w:id="791"/>
    <w:bookmarkEnd w:id="792"/>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26" w:type="dxa"/>
            <w:vAlign w:val="top"/>
          </w:tcPr>
          <w:p>
            <w:pPr>
              <w:pStyle w:val="27"/>
              <w:snapToGrid w:val="0"/>
              <w:spacing w:line="440" w:lineRule="exact"/>
              <w:jc w:val="center"/>
              <w:rPr>
                <w:color w:val="auto"/>
                <w:sz w:val="21"/>
                <w:szCs w:val="21"/>
              </w:rPr>
            </w:pPr>
            <w:r>
              <w:rPr>
                <w:rFonts w:hint="eastAsia"/>
                <w:color w:val="auto"/>
                <w:sz w:val="21"/>
                <w:szCs w:val="21"/>
              </w:rPr>
              <w:t>姓名</w:t>
            </w:r>
          </w:p>
        </w:tc>
        <w:tc>
          <w:tcPr>
            <w:tcW w:w="1326" w:type="dxa"/>
            <w:vAlign w:val="top"/>
          </w:tcPr>
          <w:p>
            <w:pPr>
              <w:pStyle w:val="27"/>
              <w:snapToGrid w:val="0"/>
              <w:spacing w:line="440" w:lineRule="exact"/>
              <w:jc w:val="center"/>
              <w:rPr>
                <w:color w:val="auto"/>
                <w:sz w:val="21"/>
                <w:szCs w:val="21"/>
              </w:rPr>
            </w:pPr>
            <w:r>
              <w:rPr>
                <w:rFonts w:hint="eastAsia"/>
                <w:color w:val="auto"/>
                <w:sz w:val="21"/>
                <w:szCs w:val="21"/>
              </w:rPr>
              <w:t>学历</w:t>
            </w:r>
          </w:p>
        </w:tc>
        <w:tc>
          <w:tcPr>
            <w:tcW w:w="1327" w:type="dxa"/>
            <w:vAlign w:val="top"/>
          </w:tcPr>
          <w:p>
            <w:pPr>
              <w:pStyle w:val="27"/>
              <w:snapToGrid w:val="0"/>
              <w:spacing w:line="440" w:lineRule="exact"/>
              <w:jc w:val="center"/>
              <w:rPr>
                <w:rFonts w:hint="default" w:eastAsia="宋体"/>
                <w:color w:val="auto"/>
                <w:sz w:val="21"/>
                <w:szCs w:val="21"/>
                <w:lang w:val="en-US" w:eastAsia="zh-CN"/>
              </w:rPr>
            </w:pPr>
            <w:r>
              <w:rPr>
                <w:rFonts w:hint="eastAsia"/>
                <w:color w:val="auto"/>
                <w:sz w:val="21"/>
                <w:szCs w:val="21"/>
              </w:rPr>
              <w:t>职称</w:t>
            </w:r>
            <w:r>
              <w:rPr>
                <w:rFonts w:hint="eastAsia"/>
                <w:color w:val="auto"/>
                <w:sz w:val="21"/>
                <w:szCs w:val="21"/>
                <w:lang w:val="en-US" w:eastAsia="zh-CN"/>
              </w:rPr>
              <w:t>或证书名称</w:t>
            </w:r>
          </w:p>
        </w:tc>
        <w:tc>
          <w:tcPr>
            <w:tcW w:w="1327" w:type="dxa"/>
            <w:vAlign w:val="top"/>
          </w:tcPr>
          <w:p>
            <w:pPr>
              <w:pStyle w:val="27"/>
              <w:snapToGrid w:val="0"/>
              <w:spacing w:line="440" w:lineRule="exact"/>
              <w:jc w:val="center"/>
              <w:rPr>
                <w:color w:val="auto"/>
                <w:sz w:val="21"/>
                <w:szCs w:val="21"/>
              </w:rPr>
            </w:pPr>
            <w:r>
              <w:rPr>
                <w:rFonts w:hint="eastAsia"/>
                <w:color w:val="auto"/>
                <w:sz w:val="21"/>
                <w:szCs w:val="21"/>
              </w:rPr>
              <w:t>证书编号</w:t>
            </w:r>
          </w:p>
        </w:tc>
        <w:tc>
          <w:tcPr>
            <w:tcW w:w="1327" w:type="dxa"/>
            <w:vAlign w:val="top"/>
          </w:tcPr>
          <w:p>
            <w:pPr>
              <w:pStyle w:val="27"/>
              <w:snapToGrid w:val="0"/>
              <w:spacing w:line="440" w:lineRule="exact"/>
              <w:jc w:val="center"/>
              <w:rPr>
                <w:color w:val="auto"/>
                <w:sz w:val="21"/>
                <w:szCs w:val="21"/>
              </w:rPr>
            </w:pPr>
            <w:r>
              <w:rPr>
                <w:rFonts w:hint="eastAsia"/>
                <w:color w:val="auto"/>
                <w:sz w:val="21"/>
                <w:szCs w:val="21"/>
              </w:rPr>
              <w:t>发证部门</w:t>
            </w:r>
          </w:p>
        </w:tc>
        <w:tc>
          <w:tcPr>
            <w:tcW w:w="1648" w:type="dxa"/>
            <w:vAlign w:val="top"/>
          </w:tcPr>
          <w:p>
            <w:pPr>
              <w:pStyle w:val="27"/>
              <w:snapToGrid w:val="0"/>
              <w:spacing w:line="440" w:lineRule="exact"/>
              <w:jc w:val="center"/>
              <w:rPr>
                <w:color w:val="auto"/>
                <w:sz w:val="21"/>
                <w:szCs w:val="21"/>
              </w:rPr>
            </w:pPr>
            <w:r>
              <w:rPr>
                <w:rFonts w:hint="eastAsia"/>
                <w:color w:val="auto"/>
                <w:sz w:val="21"/>
                <w:szCs w:val="21"/>
              </w:rPr>
              <w:t>持证有效期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26" w:type="dxa"/>
          </w:tcPr>
          <w:p>
            <w:pPr>
              <w:pStyle w:val="27"/>
              <w:snapToGrid w:val="0"/>
              <w:spacing w:line="440" w:lineRule="exact"/>
              <w:ind w:left="-27" w:firstLine="370"/>
              <w:rPr>
                <w:color w:val="auto"/>
                <w:sz w:val="21"/>
                <w:szCs w:val="21"/>
              </w:rPr>
            </w:pPr>
          </w:p>
        </w:tc>
        <w:tc>
          <w:tcPr>
            <w:tcW w:w="1326"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648" w:type="dxa"/>
          </w:tcPr>
          <w:p>
            <w:pPr>
              <w:pStyle w:val="27"/>
              <w:snapToGrid w:val="0"/>
              <w:spacing w:line="440" w:lineRule="exact"/>
              <w:ind w:left="-27" w:firstLine="370"/>
              <w:rPr>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26" w:type="dxa"/>
          </w:tcPr>
          <w:p>
            <w:pPr>
              <w:pStyle w:val="27"/>
              <w:snapToGrid w:val="0"/>
              <w:spacing w:line="440" w:lineRule="exact"/>
              <w:ind w:left="-27" w:firstLine="370"/>
              <w:rPr>
                <w:color w:val="auto"/>
                <w:sz w:val="21"/>
                <w:szCs w:val="21"/>
              </w:rPr>
            </w:pPr>
          </w:p>
        </w:tc>
        <w:tc>
          <w:tcPr>
            <w:tcW w:w="1326"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648" w:type="dxa"/>
          </w:tcPr>
          <w:p>
            <w:pPr>
              <w:pStyle w:val="27"/>
              <w:snapToGrid w:val="0"/>
              <w:spacing w:line="440" w:lineRule="exact"/>
              <w:ind w:left="-27" w:firstLine="370"/>
              <w:rPr>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26" w:type="dxa"/>
          </w:tcPr>
          <w:p>
            <w:pPr>
              <w:pStyle w:val="27"/>
              <w:snapToGrid w:val="0"/>
              <w:spacing w:line="440" w:lineRule="exact"/>
              <w:ind w:left="-27" w:firstLine="370"/>
              <w:rPr>
                <w:color w:val="auto"/>
                <w:sz w:val="21"/>
                <w:szCs w:val="21"/>
              </w:rPr>
            </w:pPr>
          </w:p>
        </w:tc>
        <w:tc>
          <w:tcPr>
            <w:tcW w:w="1326"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648" w:type="dxa"/>
          </w:tcPr>
          <w:p>
            <w:pPr>
              <w:pStyle w:val="27"/>
              <w:snapToGrid w:val="0"/>
              <w:spacing w:line="440" w:lineRule="exact"/>
              <w:ind w:left="-27" w:firstLine="370"/>
              <w:rPr>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26" w:type="dxa"/>
          </w:tcPr>
          <w:p>
            <w:pPr>
              <w:pStyle w:val="27"/>
              <w:snapToGrid w:val="0"/>
              <w:spacing w:line="440" w:lineRule="exact"/>
              <w:ind w:left="-27" w:firstLine="370"/>
              <w:rPr>
                <w:color w:val="auto"/>
                <w:sz w:val="21"/>
                <w:szCs w:val="21"/>
              </w:rPr>
            </w:pPr>
          </w:p>
        </w:tc>
        <w:tc>
          <w:tcPr>
            <w:tcW w:w="1326"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648" w:type="dxa"/>
          </w:tcPr>
          <w:p>
            <w:pPr>
              <w:pStyle w:val="27"/>
              <w:snapToGrid w:val="0"/>
              <w:spacing w:line="440" w:lineRule="exact"/>
              <w:ind w:left="-27" w:firstLine="370"/>
              <w:rPr>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26" w:type="dxa"/>
          </w:tcPr>
          <w:p>
            <w:pPr>
              <w:pStyle w:val="27"/>
              <w:snapToGrid w:val="0"/>
              <w:spacing w:line="440" w:lineRule="exact"/>
              <w:ind w:left="-27" w:firstLine="370"/>
              <w:rPr>
                <w:color w:val="auto"/>
                <w:sz w:val="21"/>
                <w:szCs w:val="21"/>
              </w:rPr>
            </w:pPr>
          </w:p>
        </w:tc>
        <w:tc>
          <w:tcPr>
            <w:tcW w:w="1326"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648" w:type="dxa"/>
          </w:tcPr>
          <w:p>
            <w:pPr>
              <w:pStyle w:val="27"/>
              <w:snapToGrid w:val="0"/>
              <w:spacing w:line="440" w:lineRule="exact"/>
              <w:ind w:left="-27" w:firstLine="370"/>
              <w:rPr>
                <w:color w:val="auto"/>
                <w:sz w:val="21"/>
                <w:szCs w:val="21"/>
              </w:rPr>
            </w:pPr>
          </w:p>
        </w:tc>
      </w:tr>
    </w:tbl>
    <w:p>
      <w:pPr>
        <w:pStyle w:val="27"/>
        <w:snapToGrid w:val="0"/>
        <w:spacing w:line="440" w:lineRule="exact"/>
        <w:ind w:left="-27" w:firstLine="370"/>
        <w:rPr>
          <w:rFonts w:hint="default" w:eastAsia="宋体"/>
          <w:color w:val="auto"/>
          <w:sz w:val="21"/>
          <w:szCs w:val="21"/>
          <w:lang w:val="en-US" w:eastAsia="zh-CN"/>
        </w:rPr>
      </w:pPr>
      <w:r>
        <w:rPr>
          <w:rFonts w:hint="eastAsia"/>
          <w:color w:val="auto"/>
          <w:sz w:val="21"/>
          <w:szCs w:val="21"/>
        </w:rPr>
        <w:t>注：附</w:t>
      </w:r>
      <w:r>
        <w:rPr>
          <w:rFonts w:hint="eastAsia"/>
          <w:color w:val="auto"/>
          <w:sz w:val="21"/>
          <w:szCs w:val="21"/>
          <w:lang w:val="en-US" w:eastAsia="zh-CN"/>
        </w:rPr>
        <w:t>项目负责人工作经验、履历、职称证书，项目组成员</w:t>
      </w:r>
      <w:r>
        <w:rPr>
          <w:rFonts w:hint="eastAsia"/>
          <w:color w:val="auto"/>
          <w:sz w:val="21"/>
          <w:szCs w:val="21"/>
        </w:rPr>
        <w:t>学历</w:t>
      </w:r>
      <w:r>
        <w:rPr>
          <w:rFonts w:hint="eastAsia"/>
          <w:color w:val="auto"/>
          <w:sz w:val="21"/>
          <w:szCs w:val="21"/>
          <w:lang w:val="en-US" w:eastAsia="zh-CN"/>
        </w:rPr>
        <w:t>职称</w:t>
      </w:r>
      <w:r>
        <w:rPr>
          <w:rFonts w:hint="eastAsia"/>
          <w:color w:val="auto"/>
          <w:sz w:val="21"/>
          <w:szCs w:val="21"/>
        </w:rPr>
        <w:t>证书复印件</w:t>
      </w:r>
      <w:r>
        <w:rPr>
          <w:rFonts w:hint="eastAsia"/>
          <w:color w:val="auto"/>
          <w:sz w:val="21"/>
          <w:szCs w:val="21"/>
          <w:lang w:eastAsia="zh-CN"/>
        </w:rPr>
        <w:t>，</w:t>
      </w:r>
      <w:r>
        <w:rPr>
          <w:rFonts w:hint="eastAsia"/>
          <w:color w:val="auto"/>
          <w:sz w:val="21"/>
          <w:szCs w:val="21"/>
        </w:rPr>
        <w:t>与用人单位签订的劳动合同复印件（含个人基本资料、批准项目内容）</w:t>
      </w:r>
      <w:r>
        <w:rPr>
          <w:rFonts w:hint="eastAsia"/>
          <w:color w:val="auto"/>
          <w:sz w:val="21"/>
          <w:szCs w:val="21"/>
          <w:lang w:val="en-US" w:eastAsia="zh-CN"/>
        </w:rPr>
        <w:t>或社保证明材料</w:t>
      </w:r>
      <w:r>
        <w:rPr>
          <w:rFonts w:hint="eastAsia"/>
          <w:color w:val="auto"/>
          <w:sz w:val="21"/>
          <w:szCs w:val="21"/>
        </w:rPr>
        <w:t>。</w:t>
      </w:r>
      <w:r>
        <w:rPr>
          <w:rFonts w:hint="eastAsia"/>
          <w:color w:val="auto"/>
          <w:sz w:val="21"/>
          <w:szCs w:val="21"/>
          <w:lang w:val="en-US" w:eastAsia="zh-CN"/>
        </w:rPr>
        <w:t>按评分标准</w:t>
      </w:r>
      <w:r>
        <w:rPr>
          <w:rFonts w:hint="eastAsia"/>
          <w:b/>
          <w:bCs/>
          <w:color w:val="auto"/>
          <w:sz w:val="21"/>
          <w:szCs w:val="21"/>
          <w:lang w:val="en-US" w:eastAsia="zh-CN"/>
        </w:rPr>
        <w:t>拟派项目组成员情况</w:t>
      </w:r>
      <w:r>
        <w:rPr>
          <w:rFonts w:hint="eastAsia"/>
          <w:color w:val="auto"/>
          <w:sz w:val="21"/>
          <w:szCs w:val="21"/>
          <w:lang w:val="en-US" w:eastAsia="zh-CN"/>
        </w:rPr>
        <w:t>要求编制。</w:t>
      </w:r>
    </w:p>
    <w:p>
      <w:pPr>
        <w:pStyle w:val="27"/>
        <w:spacing w:line="360" w:lineRule="auto"/>
        <w:ind w:left="-27" w:firstLine="422"/>
        <w:rPr>
          <w:rFonts w:ascii="Times New Roman" w:hAnsi="Times New Roman"/>
          <w:color w:val="auto"/>
          <w:sz w:val="24"/>
          <w:szCs w:val="24"/>
        </w:rPr>
      </w:pPr>
    </w:p>
    <w:p>
      <w:pPr>
        <w:rPr>
          <w:color w:val="auto"/>
        </w:rPr>
      </w:pPr>
    </w:p>
    <w:p>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pPr>
        <w:pStyle w:val="4"/>
        <w:ind w:left="0" w:firstLine="0"/>
        <w:jc w:val="left"/>
        <w:outlineLvl w:val="9"/>
        <w:rPr>
          <w:rFonts w:ascii="黑体" w:hAnsi="黑体" w:eastAsia="黑体" w:cs="黑体"/>
          <w:color w:val="auto"/>
          <w:sz w:val="24"/>
          <w:szCs w:val="24"/>
        </w:rPr>
      </w:pPr>
    </w:p>
    <w:p>
      <w:pPr>
        <w:pStyle w:val="4"/>
        <w:ind w:left="0" w:firstLine="0"/>
        <w:outlineLvl w:val="0"/>
        <w:rPr>
          <w:color w:val="auto"/>
        </w:rPr>
      </w:pPr>
      <w:bookmarkStart w:id="793" w:name="_Toc15835"/>
      <w:bookmarkStart w:id="794" w:name="_Toc2271"/>
      <w:bookmarkStart w:id="795" w:name="_Toc13735"/>
      <w:bookmarkStart w:id="796" w:name="_Toc29121"/>
      <w:bookmarkStart w:id="797" w:name="_Toc23223_WPSOffice_Level1"/>
      <w:bookmarkStart w:id="798" w:name="_Toc30223"/>
      <w:bookmarkStart w:id="799" w:name="_Toc10021"/>
      <w:bookmarkStart w:id="800" w:name="_Toc14194"/>
      <w:bookmarkStart w:id="801" w:name="_Toc3296"/>
      <w:bookmarkStart w:id="802" w:name="_Toc31661"/>
      <w:bookmarkStart w:id="803" w:name="_Toc20288"/>
      <w:r>
        <w:rPr>
          <w:rFonts w:hint="eastAsia"/>
          <w:color w:val="auto"/>
        </w:rPr>
        <w:t>（10）关于对磋商文件中有关条款的拒绝声明</w:t>
      </w:r>
      <w:bookmarkEnd w:id="749"/>
      <w:r>
        <w:rPr>
          <w:rFonts w:hint="eastAsia"/>
          <w:color w:val="auto"/>
        </w:rPr>
        <w:t>(如有)</w:t>
      </w:r>
      <w:bookmarkEnd w:id="793"/>
      <w:bookmarkEnd w:id="794"/>
      <w:bookmarkEnd w:id="795"/>
      <w:bookmarkEnd w:id="796"/>
      <w:bookmarkEnd w:id="797"/>
      <w:bookmarkEnd w:id="798"/>
      <w:bookmarkEnd w:id="799"/>
      <w:bookmarkEnd w:id="800"/>
      <w:bookmarkEnd w:id="801"/>
      <w:bookmarkEnd w:id="802"/>
      <w:bookmarkEnd w:id="803"/>
      <w:r>
        <w:rPr>
          <w:rFonts w:hint="eastAsia"/>
          <w:color w:val="auto"/>
        </w:rPr>
        <w:t xml:space="preserve"> </w:t>
      </w:r>
    </w:p>
    <w:bookmarkEnd w:id="277"/>
    <w:bookmarkEnd w:id="597"/>
    <w:p>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pPr>
        <w:spacing w:line="480" w:lineRule="auto"/>
        <w:rPr>
          <w:rFonts w:hint="eastAsia"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pPr>
        <w:spacing w:line="480" w:lineRule="auto"/>
        <w:rPr>
          <w:color w:val="auto"/>
          <w:sz w:val="24"/>
        </w:rPr>
      </w:pPr>
      <w:r>
        <w:rPr>
          <w:rFonts w:hint="eastAsia" w:ascii="宋体" w:hAnsi="宋体" w:cs="宋体"/>
          <w:color w:val="auto"/>
          <w:sz w:val="24"/>
        </w:rPr>
        <w:t>日期：      年   月   日</w:t>
      </w:r>
    </w:p>
    <w:p>
      <w:pPr>
        <w:pStyle w:val="4"/>
        <w:ind w:left="0" w:firstLine="0"/>
        <w:jc w:val="left"/>
        <w:outlineLvl w:val="0"/>
        <w:rPr>
          <w:color w:val="auto"/>
        </w:rPr>
      </w:pPr>
      <w:bookmarkStart w:id="804" w:name="_Toc6391_WPSOffice_Level1"/>
      <w:r>
        <w:rPr>
          <w:rFonts w:hint="eastAsia"/>
          <w:color w:val="auto"/>
        </w:rPr>
        <w:t>评分标准索引表</w:t>
      </w:r>
      <w:bookmarkEnd w:id="804"/>
    </w:p>
    <w:p>
      <w:pPr>
        <w:jc w:val="center"/>
        <w:outlineLvl w:val="0"/>
        <w:rPr>
          <w:color w:val="auto"/>
          <w:sz w:val="36"/>
          <w:szCs w:val="36"/>
        </w:rPr>
      </w:pPr>
      <w:bookmarkStart w:id="805" w:name="_Toc28552_WPSOffice_Level1"/>
      <w:bookmarkStart w:id="806" w:name="_Toc18515_WPSOffice_Level1"/>
      <w:bookmarkStart w:id="807" w:name="_Toc10270_WPSOffice_Level1"/>
      <w:r>
        <w:rPr>
          <w:rFonts w:hint="eastAsia"/>
          <w:color w:val="auto"/>
          <w:sz w:val="36"/>
          <w:szCs w:val="36"/>
        </w:rPr>
        <w:t>评分标准索引表</w:t>
      </w:r>
      <w:bookmarkEnd w:id="805"/>
      <w:bookmarkEnd w:id="806"/>
      <w:bookmarkEnd w:id="807"/>
    </w:p>
    <w:tbl>
      <w:tblPr>
        <w:tblStyle w:val="45"/>
        <w:tblW w:w="8593"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r>
              <w:rPr>
                <w:rFonts w:hint="eastAsia" w:ascii="仿宋_GB2312" w:eastAsia="仿宋_GB2312"/>
                <w:color w:val="auto"/>
                <w:sz w:val="24"/>
                <w:szCs w:val="24"/>
              </w:rPr>
              <w:t>第XX-XX页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pPr>
              <w:rPr>
                <w:color w:val="auto"/>
                <w:sz w:val="24"/>
                <w:szCs w:val="24"/>
              </w:rPr>
            </w:pPr>
          </w:p>
          <w:p>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r>
    </w:tbl>
    <w:p>
      <w:pPr>
        <w:pStyle w:val="6"/>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8" w:type="default"/>
      <w:footerReference r:id="rId9"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MS Mincho">
    <w:altName w:val="Yu Gothic UI"/>
    <w:panose1 w:val="02020609040205080304"/>
    <w:charset w:val="80"/>
    <w:family w:val="modern"/>
    <w:pitch w:val="default"/>
    <w:sig w:usb0="00000000" w:usb1="00000000" w:usb2="08000012" w:usb3="00000000" w:csb0="0002009F" w:csb1="00000000"/>
  </w:font>
  <w:font w:name="仿宋">
    <w:panose1 w:val="02010609060101010101"/>
    <w:charset w:val="86"/>
    <w:family w:val="modern"/>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83482270"/>
    </w:sdtPr>
    <w:sdtContent>
      <w:p>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7636820"/>
    </w:sdtPr>
    <w:sdtContent>
      <w:p>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232F2B"/>
    <w:multiLevelType w:val="singleLevel"/>
    <w:tmpl w:val="58232F2B"/>
    <w:lvl w:ilvl="0" w:tentative="0">
      <w:start w:val="1"/>
      <w:numFmt w:val="decimal"/>
      <w:suff w:val="nothing"/>
      <w:lvlText w:val="%1、"/>
      <w:lvlJc w:val="left"/>
      <w:rPr>
        <w:rFonts w:cs="Times New Roman"/>
      </w:rPr>
    </w:lvl>
  </w:abstractNum>
  <w:abstractNum w:abstractNumId="1">
    <w:nsid w:val="58233165"/>
    <w:multiLevelType w:val="singleLevel"/>
    <w:tmpl w:val="58233165"/>
    <w:lvl w:ilvl="0" w:tentative="0">
      <w:start w:val="1"/>
      <w:numFmt w:val="decimal"/>
      <w:suff w:val="nothing"/>
      <w:lvlText w:val="%1、"/>
      <w:lvlJc w:val="left"/>
      <w:rPr>
        <w:rFonts w:cs="Times New Roman"/>
      </w:rPr>
    </w:lvl>
  </w:abstractNum>
  <w:abstractNum w:abstractNumId="2">
    <w:nsid w:val="58302A53"/>
    <w:multiLevelType w:val="singleLevel"/>
    <w:tmpl w:val="58302A53"/>
    <w:lvl w:ilvl="0" w:tentative="0">
      <w:start w:val="1"/>
      <w:numFmt w:val="decimal"/>
      <w:suff w:val="nothing"/>
      <w:lvlText w:val="%1、"/>
      <w:lvlJc w:val="left"/>
      <w:rPr>
        <w:rFonts w:cs="Times New Roman"/>
      </w:rPr>
    </w:lvl>
  </w:abstractNum>
  <w:abstractNum w:abstractNumId="3">
    <w:nsid w:val="58303257"/>
    <w:multiLevelType w:val="singleLevel"/>
    <w:tmpl w:val="58303257"/>
    <w:lvl w:ilvl="0" w:tentative="0">
      <w:start w:val="4"/>
      <w:numFmt w:val="decimal"/>
      <w:suff w:val="nothing"/>
      <w:lvlText w:val="%1、"/>
      <w:lvlJc w:val="left"/>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val="1"/>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964D1B"/>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B868E1"/>
    <w:rsid w:val="09DE593C"/>
    <w:rsid w:val="09E7063B"/>
    <w:rsid w:val="09ED5D8A"/>
    <w:rsid w:val="0A4A4B6E"/>
    <w:rsid w:val="0A6C4B0D"/>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BA18AE"/>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374A8"/>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75337"/>
    <w:rsid w:val="289F1376"/>
    <w:rsid w:val="28A45687"/>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20785E"/>
    <w:rsid w:val="2D3A3B2C"/>
    <w:rsid w:val="2D3F44B8"/>
    <w:rsid w:val="2D5759CC"/>
    <w:rsid w:val="2D583FD1"/>
    <w:rsid w:val="2DC2506A"/>
    <w:rsid w:val="2DC9042A"/>
    <w:rsid w:val="2DD17E36"/>
    <w:rsid w:val="2DF24891"/>
    <w:rsid w:val="2E1065CE"/>
    <w:rsid w:val="2E292EFC"/>
    <w:rsid w:val="2E69591B"/>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8D80705"/>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0279"/>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1D424DE"/>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644756"/>
    <w:rsid w:val="55A27C5F"/>
    <w:rsid w:val="55E03E57"/>
    <w:rsid w:val="562F16E6"/>
    <w:rsid w:val="563474CA"/>
    <w:rsid w:val="56C50BAB"/>
    <w:rsid w:val="56D62A5C"/>
    <w:rsid w:val="56FC0F2C"/>
    <w:rsid w:val="573E3DB0"/>
    <w:rsid w:val="577416AB"/>
    <w:rsid w:val="578909FF"/>
    <w:rsid w:val="57B60CD6"/>
    <w:rsid w:val="580C0DD4"/>
    <w:rsid w:val="58406AD2"/>
    <w:rsid w:val="5863030F"/>
    <w:rsid w:val="587347A5"/>
    <w:rsid w:val="58A42191"/>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DD1D32"/>
    <w:rsid w:val="5DE979FF"/>
    <w:rsid w:val="5DF04B2E"/>
    <w:rsid w:val="5E313E73"/>
    <w:rsid w:val="5E357545"/>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1CD4208"/>
    <w:rsid w:val="620879CF"/>
    <w:rsid w:val="625369BB"/>
    <w:rsid w:val="627F3A77"/>
    <w:rsid w:val="630E1CFC"/>
    <w:rsid w:val="63302D32"/>
    <w:rsid w:val="63396263"/>
    <w:rsid w:val="63497C01"/>
    <w:rsid w:val="635151C8"/>
    <w:rsid w:val="63564E2D"/>
    <w:rsid w:val="6377241E"/>
    <w:rsid w:val="63CE1327"/>
    <w:rsid w:val="63E17D6C"/>
    <w:rsid w:val="63FA54D4"/>
    <w:rsid w:val="640C0830"/>
    <w:rsid w:val="64346ED9"/>
    <w:rsid w:val="64477A45"/>
    <w:rsid w:val="644E4B1D"/>
    <w:rsid w:val="64644126"/>
    <w:rsid w:val="64860D8D"/>
    <w:rsid w:val="64B2642C"/>
    <w:rsid w:val="64EE128C"/>
    <w:rsid w:val="65302B18"/>
    <w:rsid w:val="65387BCC"/>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7D28B6"/>
    <w:rsid w:val="698E1729"/>
    <w:rsid w:val="69B0599A"/>
    <w:rsid w:val="6A120191"/>
    <w:rsid w:val="6A1E7BCA"/>
    <w:rsid w:val="6A2E0E5B"/>
    <w:rsid w:val="6A355C33"/>
    <w:rsid w:val="6A3802AD"/>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325D50"/>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D2263A"/>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95764F"/>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3">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4">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5">
    <w:name w:val="heading 4"/>
    <w:basedOn w:val="1"/>
    <w:next w:val="6"/>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7">
    <w:name w:val="heading 5"/>
    <w:basedOn w:val="1"/>
    <w:next w:val="1"/>
    <w:link w:val="59"/>
    <w:qFormat/>
    <w:uiPriority w:val="99"/>
    <w:pPr>
      <w:keepNext/>
      <w:keepLines/>
      <w:spacing w:before="280" w:after="290" w:line="376" w:lineRule="auto"/>
      <w:outlineLvl w:val="4"/>
    </w:pPr>
    <w:rPr>
      <w:b/>
      <w:bCs/>
      <w:sz w:val="28"/>
      <w:szCs w:val="28"/>
    </w:rPr>
  </w:style>
  <w:style w:type="paragraph" w:styleId="8">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9">
    <w:name w:val="heading 7"/>
    <w:basedOn w:val="1"/>
    <w:next w:val="6"/>
    <w:link w:val="61"/>
    <w:qFormat/>
    <w:uiPriority w:val="99"/>
    <w:pPr>
      <w:keepNext/>
      <w:keepLines/>
      <w:spacing w:before="240" w:after="64" w:line="320" w:lineRule="auto"/>
      <w:outlineLvl w:val="6"/>
    </w:pPr>
    <w:rPr>
      <w:rFonts w:ascii="Arial" w:hAnsi="Arial"/>
      <w:b/>
      <w:kern w:val="2"/>
      <w:sz w:val="24"/>
    </w:rPr>
  </w:style>
  <w:style w:type="paragraph" w:styleId="10">
    <w:name w:val="heading 8"/>
    <w:basedOn w:val="1"/>
    <w:next w:val="6"/>
    <w:link w:val="62"/>
    <w:qFormat/>
    <w:uiPriority w:val="99"/>
    <w:pPr>
      <w:keepNext/>
      <w:keepLines/>
      <w:spacing w:before="240" w:after="64" w:line="320" w:lineRule="auto"/>
      <w:outlineLvl w:val="7"/>
    </w:pPr>
    <w:rPr>
      <w:rFonts w:ascii="黑体" w:hAnsi="黑体" w:eastAsia="楷体"/>
      <w:kern w:val="2"/>
      <w:sz w:val="24"/>
    </w:rPr>
  </w:style>
  <w:style w:type="paragraph" w:styleId="11">
    <w:name w:val="heading 9"/>
    <w:basedOn w:val="1"/>
    <w:next w:val="6"/>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Layout w:type="fixed"/>
      <w:tblCellMar>
        <w:top w:w="0" w:type="dxa"/>
        <w:left w:w="108" w:type="dxa"/>
        <w:bottom w:w="0" w:type="dxa"/>
        <w:right w:w="108" w:type="dxa"/>
      </w:tblCellMar>
    </w:tblPr>
  </w:style>
  <w:style w:type="paragraph" w:styleId="6">
    <w:name w:val="Normal Indent"/>
    <w:basedOn w:val="1"/>
    <w:next w:val="1"/>
    <w:link w:val="94"/>
    <w:qFormat/>
    <w:uiPriority w:val="99"/>
    <w:pPr>
      <w:ind w:firstLine="420"/>
    </w:pPr>
    <w:rPr>
      <w:kern w:val="2"/>
    </w:rPr>
  </w:style>
  <w:style w:type="paragraph" w:styleId="12">
    <w:name w:val="toc 7"/>
    <w:basedOn w:val="1"/>
    <w:next w:val="1"/>
    <w:qFormat/>
    <w:uiPriority w:val="99"/>
    <w:pPr>
      <w:ind w:left="1260"/>
      <w:jc w:val="left"/>
    </w:pPr>
    <w:rPr>
      <w:rFonts w:ascii="Arial" w:hAnsi="Arial" w:cs="Arial"/>
      <w:kern w:val="2"/>
      <w:sz w:val="18"/>
      <w:szCs w:val="18"/>
    </w:rPr>
  </w:style>
  <w:style w:type="paragraph" w:styleId="13">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4">
    <w:name w:val="caption"/>
    <w:basedOn w:val="1"/>
    <w:next w:val="1"/>
    <w:qFormat/>
    <w:uiPriority w:val="99"/>
    <w:rPr>
      <w:rFonts w:ascii="黑体" w:hAnsi="黑体" w:eastAsia="楷体" w:cs="黑体"/>
      <w:kern w:val="2"/>
      <w:sz w:val="20"/>
    </w:rPr>
  </w:style>
  <w:style w:type="paragraph" w:styleId="15">
    <w:name w:val="Document Map"/>
    <w:basedOn w:val="1"/>
    <w:link w:val="68"/>
    <w:qFormat/>
    <w:uiPriority w:val="99"/>
    <w:pPr>
      <w:shd w:val="clear" w:color="auto" w:fill="000080"/>
    </w:pPr>
  </w:style>
  <w:style w:type="paragraph" w:styleId="16">
    <w:name w:val="annotation text"/>
    <w:basedOn w:val="1"/>
    <w:link w:val="64"/>
    <w:qFormat/>
    <w:uiPriority w:val="99"/>
    <w:pPr>
      <w:jc w:val="left"/>
    </w:pPr>
    <w:rPr>
      <w:kern w:val="2"/>
    </w:rPr>
  </w:style>
  <w:style w:type="paragraph" w:styleId="17">
    <w:name w:val="Body Text 3"/>
    <w:basedOn w:val="1"/>
    <w:link w:val="69"/>
    <w:qFormat/>
    <w:uiPriority w:val="99"/>
    <w:pPr>
      <w:spacing w:after="120" w:line="480" w:lineRule="exact"/>
    </w:pPr>
    <w:rPr>
      <w:kern w:val="2"/>
      <w:sz w:val="16"/>
    </w:rPr>
  </w:style>
  <w:style w:type="paragraph" w:styleId="18">
    <w:name w:val="Body Text"/>
    <w:basedOn w:val="1"/>
    <w:next w:val="19"/>
    <w:link w:val="66"/>
    <w:qFormat/>
    <w:uiPriority w:val="99"/>
    <w:pPr>
      <w:spacing w:after="120"/>
    </w:pPr>
  </w:style>
  <w:style w:type="paragraph" w:styleId="19">
    <w:name w:val="Body Text First Indent"/>
    <w:basedOn w:val="18"/>
    <w:next w:val="20"/>
    <w:link w:val="67"/>
    <w:qFormat/>
    <w:uiPriority w:val="99"/>
    <w:pPr>
      <w:ind w:firstLine="420" w:firstLineChars="100"/>
    </w:pPr>
  </w:style>
  <w:style w:type="paragraph" w:styleId="20">
    <w:name w:val="toc 6"/>
    <w:basedOn w:val="1"/>
    <w:next w:val="1"/>
    <w:qFormat/>
    <w:uiPriority w:val="99"/>
    <w:pPr>
      <w:ind w:left="1050"/>
      <w:jc w:val="left"/>
    </w:pPr>
    <w:rPr>
      <w:rFonts w:ascii="Arial" w:hAnsi="Arial" w:cs="Arial"/>
      <w:kern w:val="2"/>
      <w:sz w:val="18"/>
      <w:szCs w:val="18"/>
    </w:rPr>
  </w:style>
  <w:style w:type="paragraph" w:styleId="21">
    <w:name w:val="Body Text Indent"/>
    <w:basedOn w:val="1"/>
    <w:next w:val="22"/>
    <w:link w:val="70"/>
    <w:qFormat/>
    <w:uiPriority w:val="99"/>
    <w:pPr>
      <w:adjustRightInd w:val="0"/>
      <w:spacing w:line="360" w:lineRule="auto"/>
      <w:ind w:firstLine="490"/>
      <w:jc w:val="left"/>
    </w:pPr>
    <w:rPr>
      <w:rFonts w:ascii="宋体" w:hAnsi="宋体"/>
      <w:sz w:val="24"/>
    </w:rPr>
  </w:style>
  <w:style w:type="paragraph" w:styleId="22">
    <w:name w:val="Body Text First Indent 2"/>
    <w:basedOn w:val="21"/>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next w:val="28"/>
    <w:link w:val="71"/>
    <w:qFormat/>
    <w:uiPriority w:val="99"/>
    <w:rPr>
      <w:rFonts w:ascii="宋体" w:hAnsi="Courier New"/>
      <w:sz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Body Text Indent 2"/>
    <w:basedOn w:val="1"/>
    <w:link w:val="73"/>
    <w:qFormat/>
    <w:uiPriority w:val="99"/>
    <w:pPr>
      <w:spacing w:after="120" w:line="480" w:lineRule="auto"/>
      <w:ind w:left="420" w:leftChars="200"/>
    </w:pPr>
    <w:rPr>
      <w:kern w:val="2"/>
    </w:rPr>
  </w:style>
  <w:style w:type="paragraph" w:styleId="31">
    <w:name w:val="Balloon Text"/>
    <w:basedOn w:val="1"/>
    <w:link w:val="74"/>
    <w:qFormat/>
    <w:uiPriority w:val="99"/>
    <w:rPr>
      <w:sz w:val="18"/>
    </w:rPr>
  </w:style>
  <w:style w:type="paragraph" w:styleId="32">
    <w:name w:val="footer"/>
    <w:basedOn w:val="1"/>
    <w:link w:val="75"/>
    <w:qFormat/>
    <w:uiPriority w:val="99"/>
    <w:pPr>
      <w:tabs>
        <w:tab w:val="center" w:pos="4153"/>
        <w:tab w:val="right" w:pos="8306"/>
      </w:tabs>
      <w:snapToGrid w:val="0"/>
      <w:jc w:val="left"/>
    </w:pPr>
    <w:rPr>
      <w:sz w:val="18"/>
    </w:rPr>
  </w:style>
  <w:style w:type="paragraph" w:styleId="33">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6"/>
    <w:next w:val="16"/>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2"/>
    <w:qFormat/>
    <w:locked/>
    <w:uiPriority w:val="99"/>
    <w:rPr>
      <w:rFonts w:eastAsia="黑体" w:cs="Times New Roman"/>
      <w:b/>
      <w:kern w:val="44"/>
      <w:sz w:val="36"/>
    </w:rPr>
  </w:style>
  <w:style w:type="character" w:customStyle="1" w:styleId="56">
    <w:name w:val="标题 2 字符"/>
    <w:basedOn w:val="47"/>
    <w:link w:val="3"/>
    <w:qFormat/>
    <w:locked/>
    <w:uiPriority w:val="99"/>
    <w:rPr>
      <w:rFonts w:ascii="Arial" w:hAnsi="Arial" w:eastAsia="黑体" w:cs="Times New Roman"/>
      <w:b/>
      <w:snapToGrid w:val="0"/>
      <w:kern w:val="44"/>
      <w:sz w:val="28"/>
    </w:rPr>
  </w:style>
  <w:style w:type="character" w:customStyle="1" w:styleId="57">
    <w:name w:val="标题 3 字符"/>
    <w:basedOn w:val="47"/>
    <w:link w:val="4"/>
    <w:qFormat/>
    <w:locked/>
    <w:uiPriority w:val="99"/>
    <w:rPr>
      <w:rFonts w:ascii="宋体" w:cs="Times New Roman"/>
      <w:b/>
      <w:kern w:val="2"/>
      <w:sz w:val="28"/>
    </w:rPr>
  </w:style>
  <w:style w:type="character" w:customStyle="1" w:styleId="58">
    <w:name w:val="标题 4 字符"/>
    <w:basedOn w:val="47"/>
    <w:link w:val="5"/>
    <w:qFormat/>
    <w:locked/>
    <w:uiPriority w:val="99"/>
    <w:rPr>
      <w:rFonts w:ascii="黑体" w:eastAsia="黑体" w:cs="Times New Roman"/>
      <w:b/>
      <w:kern w:val="2"/>
      <w:sz w:val="24"/>
    </w:rPr>
  </w:style>
  <w:style w:type="character" w:customStyle="1" w:styleId="59">
    <w:name w:val="标题 5 字符"/>
    <w:basedOn w:val="47"/>
    <w:link w:val="7"/>
    <w:qFormat/>
    <w:locked/>
    <w:uiPriority w:val="99"/>
    <w:rPr>
      <w:rFonts w:cs="Times New Roman"/>
      <w:b/>
      <w:snapToGrid w:val="0"/>
      <w:sz w:val="28"/>
    </w:rPr>
  </w:style>
  <w:style w:type="character" w:customStyle="1" w:styleId="60">
    <w:name w:val="标题 6 字符"/>
    <w:basedOn w:val="47"/>
    <w:link w:val="8"/>
    <w:qFormat/>
    <w:locked/>
    <w:uiPriority w:val="99"/>
    <w:rPr>
      <w:rFonts w:ascii="黑体" w:hAnsi="黑体" w:eastAsia="楷体" w:cs="Times New Roman"/>
      <w:b/>
      <w:kern w:val="2"/>
      <w:sz w:val="24"/>
    </w:rPr>
  </w:style>
  <w:style w:type="character" w:customStyle="1" w:styleId="61">
    <w:name w:val="标题 7 字符"/>
    <w:basedOn w:val="47"/>
    <w:link w:val="9"/>
    <w:qFormat/>
    <w:locked/>
    <w:uiPriority w:val="99"/>
    <w:rPr>
      <w:rFonts w:ascii="Arial" w:hAnsi="Arial" w:cs="Times New Roman"/>
      <w:b/>
      <w:kern w:val="2"/>
      <w:sz w:val="24"/>
    </w:rPr>
  </w:style>
  <w:style w:type="character" w:customStyle="1" w:styleId="62">
    <w:name w:val="标题 8 字符"/>
    <w:basedOn w:val="47"/>
    <w:link w:val="10"/>
    <w:qFormat/>
    <w:locked/>
    <w:uiPriority w:val="99"/>
    <w:rPr>
      <w:rFonts w:ascii="黑体" w:hAnsi="黑体" w:eastAsia="楷体" w:cs="Times New Roman"/>
      <w:kern w:val="2"/>
      <w:sz w:val="24"/>
    </w:rPr>
  </w:style>
  <w:style w:type="character" w:customStyle="1" w:styleId="63">
    <w:name w:val="标题 9 字符"/>
    <w:basedOn w:val="47"/>
    <w:link w:val="11"/>
    <w:qFormat/>
    <w:locked/>
    <w:uiPriority w:val="99"/>
    <w:rPr>
      <w:rFonts w:ascii="黑体" w:hAnsi="黑体" w:eastAsia="楷体" w:cs="Times New Roman"/>
      <w:kern w:val="2"/>
      <w:sz w:val="21"/>
    </w:rPr>
  </w:style>
  <w:style w:type="character" w:customStyle="1" w:styleId="64">
    <w:name w:val="批注文字 字符"/>
    <w:basedOn w:val="47"/>
    <w:link w:val="16"/>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18"/>
    <w:qFormat/>
    <w:locked/>
    <w:uiPriority w:val="99"/>
    <w:rPr>
      <w:rFonts w:cs="Times New Roman"/>
      <w:snapToGrid w:val="0"/>
      <w:sz w:val="21"/>
    </w:rPr>
  </w:style>
  <w:style w:type="character" w:customStyle="1" w:styleId="67">
    <w:name w:val="正文文本首行缩进 字符"/>
    <w:basedOn w:val="66"/>
    <w:link w:val="19"/>
    <w:qFormat/>
    <w:locked/>
    <w:uiPriority w:val="99"/>
    <w:rPr>
      <w:rFonts w:cs="Times New Roman"/>
      <w:snapToGrid w:val="0"/>
      <w:sz w:val="21"/>
    </w:rPr>
  </w:style>
  <w:style w:type="character" w:customStyle="1" w:styleId="68">
    <w:name w:val="文档结构图 字符"/>
    <w:basedOn w:val="47"/>
    <w:link w:val="15"/>
    <w:qFormat/>
    <w:locked/>
    <w:uiPriority w:val="99"/>
    <w:rPr>
      <w:rFonts w:cs="Times New Roman"/>
      <w:snapToGrid w:val="0"/>
      <w:sz w:val="21"/>
      <w:shd w:val="clear" w:color="auto" w:fill="000080"/>
    </w:rPr>
  </w:style>
  <w:style w:type="character" w:customStyle="1" w:styleId="69">
    <w:name w:val="正文文本 3 字符"/>
    <w:basedOn w:val="47"/>
    <w:link w:val="17"/>
    <w:semiHidden/>
    <w:qFormat/>
    <w:locked/>
    <w:uiPriority w:val="99"/>
    <w:rPr>
      <w:rFonts w:cs="Times New Roman"/>
      <w:kern w:val="0"/>
      <w:sz w:val="16"/>
      <w:szCs w:val="16"/>
    </w:rPr>
  </w:style>
  <w:style w:type="character" w:customStyle="1" w:styleId="70">
    <w:name w:val="正文文本缩进 字符"/>
    <w:basedOn w:val="47"/>
    <w:link w:val="21"/>
    <w:qFormat/>
    <w:locked/>
    <w:uiPriority w:val="99"/>
    <w:rPr>
      <w:rFonts w:ascii="宋体" w:eastAsia="宋体" w:cs="Times New Roman"/>
      <w:snapToGrid w:val="0"/>
      <w:sz w:val="24"/>
    </w:rPr>
  </w:style>
  <w:style w:type="character" w:customStyle="1" w:styleId="71">
    <w:name w:val="纯文本 字符"/>
    <w:basedOn w:val="47"/>
    <w:link w:val="27"/>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30"/>
    <w:qFormat/>
    <w:locked/>
    <w:uiPriority w:val="99"/>
    <w:rPr>
      <w:rFonts w:cs="Times New Roman"/>
      <w:kern w:val="2"/>
      <w:sz w:val="21"/>
    </w:rPr>
  </w:style>
  <w:style w:type="character" w:customStyle="1" w:styleId="74">
    <w:name w:val="批注框文本 字符"/>
    <w:basedOn w:val="47"/>
    <w:link w:val="31"/>
    <w:qFormat/>
    <w:locked/>
    <w:uiPriority w:val="99"/>
    <w:rPr>
      <w:rFonts w:cs="Times New Roman"/>
      <w:snapToGrid w:val="0"/>
      <w:sz w:val="18"/>
    </w:rPr>
  </w:style>
  <w:style w:type="character" w:customStyle="1" w:styleId="75">
    <w:name w:val="页脚 字符"/>
    <w:basedOn w:val="47"/>
    <w:link w:val="32"/>
    <w:qFormat/>
    <w:locked/>
    <w:uiPriority w:val="99"/>
    <w:rPr>
      <w:rFonts w:eastAsia="宋体" w:cs="Times New Roman"/>
      <w:snapToGrid w:val="0"/>
      <w:sz w:val="18"/>
      <w:lang w:val="en-US" w:eastAsia="zh-CN"/>
    </w:rPr>
  </w:style>
  <w:style w:type="character" w:customStyle="1" w:styleId="76">
    <w:name w:val="正文文本首行缩进 2 字符"/>
    <w:basedOn w:val="70"/>
    <w:link w:val="22"/>
    <w:qFormat/>
    <w:locked/>
    <w:uiPriority w:val="99"/>
    <w:rPr>
      <w:rFonts w:ascii="宋体" w:eastAsia="宋体" w:cs="Times New Roman"/>
      <w:snapToGrid w:val="0"/>
      <w:kern w:val="2"/>
      <w:sz w:val="24"/>
    </w:rPr>
  </w:style>
  <w:style w:type="character" w:customStyle="1" w:styleId="77">
    <w:name w:val="页眉 字符"/>
    <w:basedOn w:val="47"/>
    <w:link w:val="33"/>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6"/>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6"/>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5"/>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3"/>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5"/>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4"/>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3"/>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6"/>
    <w:qFormat/>
    <w:uiPriority w:val="99"/>
    <w:pPr>
      <w:spacing w:line="460" w:lineRule="exact"/>
      <w:ind w:firstLine="536" w:firstLineChars="200"/>
    </w:pPr>
    <w:rPr>
      <w:rFonts w:cs="宋体"/>
      <w:spacing w:val="6"/>
      <w:kern w:val="24"/>
      <w:sz w:val="24"/>
      <w:szCs w:val="24"/>
    </w:rPr>
  </w:style>
  <w:style w:type="paragraph" w:customStyle="1" w:styleId="190">
    <w:name w:val="小节"/>
    <w:basedOn w:val="4"/>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WPSOffice手动目录 1"/>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7f19542-2e2e-45f0-a2e5-dee73b3af31a}"/>
        <w:style w:val=""/>
        <w:category>
          <w:name w:val="常规"/>
          <w:gallery w:val="placeholder"/>
        </w:category>
        <w:types>
          <w:type w:val="bbPlcHdr"/>
        </w:types>
        <w:behaviors>
          <w:behavior w:val="content"/>
        </w:behaviors>
        <w:description w:val=""/>
        <w:guid w:val="{07f19542-2e2e-45f0-a2e5-dee73b3af31a}"/>
      </w:docPartPr>
      <w:docPartBody>
        <w:p>
          <w:r>
            <w:rPr>
              <w:color w:val="808080"/>
            </w:rPr>
            <w:t>单击此处输入文字。</w:t>
          </w:r>
        </w:p>
      </w:docPartBody>
    </w:docPart>
    <w:docPart>
      <w:docPartPr>
        <w:name w:val="{f0fc2fac-6f5d-471a-bd70-99bd99d29f62}"/>
        <w:style w:val=""/>
        <w:category>
          <w:name w:val="常规"/>
          <w:gallery w:val="placeholder"/>
        </w:category>
        <w:types>
          <w:type w:val="bbPlcHdr"/>
        </w:types>
        <w:behaviors>
          <w:behavior w:val="content"/>
        </w:behaviors>
        <w:description w:val=""/>
        <w:guid w:val="{f0fc2fac-6f5d-471a-bd70-99bd99d29f62}"/>
      </w:docPartPr>
      <w:docPartBody>
        <w:p>
          <w:r>
            <w:rPr>
              <w:color w:val="808080"/>
            </w:rPr>
            <w:t>单击此处输入文字。</w:t>
          </w:r>
        </w:p>
      </w:docPartBody>
    </w:docPart>
    <w:docPart>
      <w:docPartPr>
        <w:name w:val="{92539d57-b515-4ce0-9dbd-86ee3bc926e8}"/>
        <w:style w:val=""/>
        <w:category>
          <w:name w:val="常规"/>
          <w:gallery w:val="placeholder"/>
        </w:category>
        <w:types>
          <w:type w:val="bbPlcHdr"/>
        </w:types>
        <w:behaviors>
          <w:behavior w:val="content"/>
        </w:behaviors>
        <w:description w:val=""/>
        <w:guid w:val="{92539d57-b515-4ce0-9dbd-86ee3bc926e8}"/>
      </w:docPartPr>
      <w:docPartBody>
        <w:p>
          <w:r>
            <w:rPr>
              <w:color w:val="808080"/>
            </w:rPr>
            <w:t>单击此处输入文字。</w:t>
          </w:r>
        </w:p>
      </w:docPartBody>
    </w:docPart>
    <w:docPart>
      <w:docPartPr>
        <w:name w:val="{4aaff741-74b0-464a-873c-f3b8c63d9628}"/>
        <w:style w:val=""/>
        <w:category>
          <w:name w:val="常规"/>
          <w:gallery w:val="placeholder"/>
        </w:category>
        <w:types>
          <w:type w:val="bbPlcHdr"/>
        </w:types>
        <w:behaviors>
          <w:behavior w:val="content"/>
        </w:behaviors>
        <w:description w:val=""/>
        <w:guid w:val="{4aaff741-74b0-464a-873c-f3b8c63d9628}"/>
      </w:docPartPr>
      <w:docPartBody>
        <w:p>
          <w:r>
            <w:rPr>
              <w:color w:val="808080"/>
            </w:rPr>
            <w:t>单击此处输入文字。</w:t>
          </w:r>
        </w:p>
      </w:docPartBody>
    </w:docPart>
    <w:docPart>
      <w:docPartPr>
        <w:name w:val="{11b3c449-8093-40de-82c0-9bb687c31a59}"/>
        <w:style w:val=""/>
        <w:category>
          <w:name w:val="常规"/>
          <w:gallery w:val="placeholder"/>
        </w:category>
        <w:types>
          <w:type w:val="bbPlcHdr"/>
        </w:types>
        <w:behaviors>
          <w:behavior w:val="content"/>
        </w:behaviors>
        <w:description w:val=""/>
        <w:guid w:val="{11b3c449-8093-40de-82c0-9bb687c31a59}"/>
      </w:docPartPr>
      <w:docPartBody>
        <w:p>
          <w:r>
            <w:rPr>
              <w:color w:val="808080"/>
            </w:rPr>
            <w:t>单击此处输入文字。</w:t>
          </w:r>
        </w:p>
      </w:docPartBody>
    </w:docPart>
    <w:docPart>
      <w:docPartPr>
        <w:name w:val="{0f75c166-722e-4140-bac2-9e7f5387e192}"/>
        <w:style w:val=""/>
        <w:category>
          <w:name w:val="常规"/>
          <w:gallery w:val="placeholder"/>
        </w:category>
        <w:types>
          <w:type w:val="bbPlcHdr"/>
        </w:types>
        <w:behaviors>
          <w:behavior w:val="content"/>
        </w:behaviors>
        <w:description w:val=""/>
        <w:guid w:val="{0f75c166-722e-4140-bac2-9e7f5387e192}"/>
      </w:docPartPr>
      <w:docPartBody>
        <w:p>
          <w:r>
            <w:rPr>
              <w:color w:val="808080"/>
            </w:rPr>
            <w:t>单击此处输入文字。</w:t>
          </w:r>
        </w:p>
      </w:docPartBody>
    </w:docPart>
    <w:docPart>
      <w:docPartPr>
        <w:name w:val="{6949278f-0e81-46bb-afa0-8b42a2e34c74}"/>
        <w:style w:val=""/>
        <w:category>
          <w:name w:val="常规"/>
          <w:gallery w:val="placeholder"/>
        </w:category>
        <w:types>
          <w:type w:val="bbPlcHdr"/>
        </w:types>
        <w:behaviors>
          <w:behavior w:val="content"/>
        </w:behaviors>
        <w:description w:val=""/>
        <w:guid w:val="{6949278f-0e81-46bb-afa0-8b42a2e34c74}"/>
      </w:docPartPr>
      <w:docPartBody>
        <w:p>
          <w:r>
            <w:rPr>
              <w:color w:val="808080"/>
            </w:rPr>
            <w:t>单击此处输入文字。</w:t>
          </w:r>
        </w:p>
      </w:docPartBody>
    </w:docPart>
    <w:docPart>
      <w:docPartPr>
        <w:name w:val="{c0c0cfab-1b11-453c-8aaa-d60164de3850}"/>
        <w:style w:val=""/>
        <w:category>
          <w:name w:val="常规"/>
          <w:gallery w:val="placeholder"/>
        </w:category>
        <w:types>
          <w:type w:val="bbPlcHdr"/>
        </w:types>
        <w:behaviors>
          <w:behavior w:val="content"/>
        </w:behaviors>
        <w:description w:val=""/>
        <w:guid w:val="{c0c0cfab-1b11-453c-8aaa-d60164de3850}"/>
      </w:docPartPr>
      <w:docPartBody>
        <w:p>
          <w:r>
            <w:rPr>
              <w:color w:val="808080"/>
            </w:rPr>
            <w:t>单击此处输入文字。</w:t>
          </w:r>
        </w:p>
      </w:docPartBody>
    </w:docPart>
    <w:docPart>
      <w:docPartPr>
        <w:name w:val="{1a72fa1b-cc0a-47a3-9bc4-24b5dd4cec2a}"/>
        <w:style w:val=""/>
        <w:category>
          <w:name w:val="常规"/>
          <w:gallery w:val="placeholder"/>
        </w:category>
        <w:types>
          <w:type w:val="bbPlcHdr"/>
        </w:types>
        <w:behaviors>
          <w:behavior w:val="content"/>
        </w:behaviors>
        <w:description w:val=""/>
        <w:guid w:val="{1a72fa1b-cc0a-47a3-9bc4-24b5dd4cec2a}"/>
      </w:docPartPr>
      <w:docPartBody>
        <w:p>
          <w:r>
            <w:rPr>
              <w:color w:val="808080"/>
            </w:rPr>
            <w:t>单击此处输入文字。</w:t>
          </w:r>
        </w:p>
      </w:docPartBody>
    </w:docPart>
    <w:docPart>
      <w:docPartPr>
        <w:name w:val="{a35e6794-e42e-4f18-a93a-36f76f257bf1}"/>
        <w:style w:val=""/>
        <w:category>
          <w:name w:val="常规"/>
          <w:gallery w:val="placeholder"/>
        </w:category>
        <w:types>
          <w:type w:val="bbPlcHdr"/>
        </w:types>
        <w:behaviors>
          <w:behavior w:val="content"/>
        </w:behaviors>
        <w:description w:val=""/>
        <w:guid w:val="{a35e6794-e42e-4f18-a93a-36f76f257bf1}"/>
      </w:docPartPr>
      <w:docPartBody>
        <w:p>
          <w:r>
            <w:rPr>
              <w:color w:val="808080"/>
            </w:rPr>
            <w:t>单击此处输入文字。</w:t>
          </w:r>
        </w:p>
      </w:docPartBody>
    </w:docPart>
    <w:docPart>
      <w:docPartPr>
        <w:name w:val="{5a36f07a-70f5-4683-b038-287335a6bc92}"/>
        <w:style w:val=""/>
        <w:category>
          <w:name w:val="常规"/>
          <w:gallery w:val="placeholder"/>
        </w:category>
        <w:types>
          <w:type w:val="bbPlcHdr"/>
        </w:types>
        <w:behaviors>
          <w:behavior w:val="content"/>
        </w:behaviors>
        <w:description w:val=""/>
        <w:guid w:val="{5a36f07a-70f5-4683-b038-287335a6bc92}"/>
      </w:docPartPr>
      <w:docPartBody>
        <w:p>
          <w:r>
            <w:rPr>
              <w:color w:val="808080"/>
            </w:rPr>
            <w:t>单击此处输入文字。</w:t>
          </w:r>
        </w:p>
      </w:docPartBody>
    </w:docPart>
    <w:docPart>
      <w:docPartPr>
        <w:name w:val="{d48a50b7-2b19-45f3-bbe4-ff9b87af04bf}"/>
        <w:style w:val=""/>
        <w:category>
          <w:name w:val="常规"/>
          <w:gallery w:val="placeholder"/>
        </w:category>
        <w:types>
          <w:type w:val="bbPlcHdr"/>
        </w:types>
        <w:behaviors>
          <w:behavior w:val="content"/>
        </w:behaviors>
        <w:description w:val=""/>
        <w:guid w:val="{d48a50b7-2b19-45f3-bbe4-ff9b87af04bf}"/>
      </w:docPartPr>
      <w:docPartBody>
        <w:p>
          <w:r>
            <w:rPr>
              <w:color w:val="808080"/>
            </w:rPr>
            <w:t>单击此处输入文字。</w:t>
          </w:r>
        </w:p>
      </w:docPartBody>
    </w:docPart>
    <w:docPart>
      <w:docPartPr>
        <w:name w:val="{150cf3eb-29ca-491c-ba2f-89f0ec397a61}"/>
        <w:style w:val=""/>
        <w:category>
          <w:name w:val="常规"/>
          <w:gallery w:val="placeholder"/>
        </w:category>
        <w:types>
          <w:type w:val="bbPlcHdr"/>
        </w:types>
        <w:behaviors>
          <w:behavior w:val="content"/>
        </w:behaviors>
        <w:description w:val=""/>
        <w:guid w:val="{150cf3eb-29ca-491c-ba2f-89f0ec397a61}"/>
      </w:docPartPr>
      <w:docPartBody>
        <w:p>
          <w:r>
            <w:rPr>
              <w:color w:val="808080"/>
            </w:rPr>
            <w:t>单击此处输入文字。</w:t>
          </w:r>
        </w:p>
      </w:docPartBody>
    </w:docPart>
    <w:docPart>
      <w:docPartPr>
        <w:name w:val="{82da95fc-0f15-43f0-8040-21c0fde6825e}"/>
        <w:style w:val=""/>
        <w:category>
          <w:name w:val="常规"/>
          <w:gallery w:val="placeholder"/>
        </w:category>
        <w:types>
          <w:type w:val="bbPlcHdr"/>
        </w:types>
        <w:behaviors>
          <w:behavior w:val="content"/>
        </w:behaviors>
        <w:description w:val=""/>
        <w:guid w:val="{82da95fc-0f15-43f0-8040-21c0fde6825e}"/>
      </w:docPartPr>
      <w:docPartBody>
        <w:p>
          <w:r>
            <w:rPr>
              <w:color w:val="808080"/>
            </w:rPr>
            <w:t>单击此处输入文字。</w:t>
          </w:r>
        </w:p>
      </w:docPartBody>
    </w:docPart>
    <w:docPart>
      <w:docPartPr>
        <w:name w:val="{a4ccd27a-b83c-4833-92bf-c87270f64ef9}"/>
        <w:style w:val=""/>
        <w:category>
          <w:name w:val="常规"/>
          <w:gallery w:val="placeholder"/>
        </w:category>
        <w:types>
          <w:type w:val="bbPlcHdr"/>
        </w:types>
        <w:behaviors>
          <w:behavior w:val="content"/>
        </w:behaviors>
        <w:description w:val=""/>
        <w:guid w:val="{a4ccd27a-b83c-4833-92bf-c87270f64ef9}"/>
      </w:docPartPr>
      <w:docPartBody>
        <w:p>
          <w:r>
            <w:rPr>
              <w:color w:val="808080"/>
            </w:rPr>
            <w:t>单击此处输入文字。</w:t>
          </w:r>
        </w:p>
      </w:docPartBody>
    </w:docPart>
    <w:docPart>
      <w:docPartPr>
        <w:name w:val="{3bdfab19-89c3-4080-a39a-06787fb374ec}"/>
        <w:style w:val=""/>
        <w:category>
          <w:name w:val="常规"/>
          <w:gallery w:val="placeholder"/>
        </w:category>
        <w:types>
          <w:type w:val="bbPlcHdr"/>
        </w:types>
        <w:behaviors>
          <w:behavior w:val="content"/>
        </w:behaviors>
        <w:description w:val=""/>
        <w:guid w:val="{3bdfab19-89c3-4080-a39a-06787fb374ec}"/>
      </w:docPartPr>
      <w:docPartBody>
        <w:p>
          <w:r>
            <w:rPr>
              <w:color w:val="808080"/>
            </w:rPr>
            <w:t>单击此处输入文字。</w:t>
          </w:r>
        </w:p>
      </w:docPartBody>
    </w:docPart>
    <w:docPart>
      <w:docPartPr>
        <w:name w:val="{54172291-9f50-49d1-8dc3-86aed69b1e01}"/>
        <w:style w:val=""/>
        <w:category>
          <w:name w:val="常规"/>
          <w:gallery w:val="placeholder"/>
        </w:category>
        <w:types>
          <w:type w:val="bbPlcHdr"/>
        </w:types>
        <w:behaviors>
          <w:behavior w:val="content"/>
        </w:behaviors>
        <w:description w:val=""/>
        <w:guid w:val="{54172291-9f50-49d1-8dc3-86aed69b1e01}"/>
      </w:docPartPr>
      <w:docPartBody>
        <w:p>
          <w:r>
            <w:rPr>
              <w:color w:val="808080"/>
            </w:rPr>
            <w:t>单击此处输入文字。</w:t>
          </w:r>
        </w:p>
      </w:docPartBody>
    </w:docPart>
    <w:docPart>
      <w:docPartPr>
        <w:name w:val="{bb7aadb6-394e-47d1-912b-4556cea87385}"/>
        <w:style w:val=""/>
        <w:category>
          <w:name w:val="常规"/>
          <w:gallery w:val="placeholder"/>
        </w:category>
        <w:types>
          <w:type w:val="bbPlcHdr"/>
        </w:types>
        <w:behaviors>
          <w:behavior w:val="content"/>
        </w:behaviors>
        <w:description w:val=""/>
        <w:guid w:val="{bb7aadb6-394e-47d1-912b-4556cea87385}"/>
      </w:docPartPr>
      <w:docPartBody>
        <w:p>
          <w:r>
            <w:rPr>
              <w:color w:val="808080"/>
            </w:rPr>
            <w:t>单击此处输入文字。</w:t>
          </w:r>
        </w:p>
      </w:docPartBody>
    </w:docPart>
    <w:docPart>
      <w:docPartPr>
        <w:name w:val="{c1ee6414-477e-4852-bf06-a4b9f05b57d9}"/>
        <w:style w:val=""/>
        <w:category>
          <w:name w:val="常规"/>
          <w:gallery w:val="placeholder"/>
        </w:category>
        <w:types>
          <w:type w:val="bbPlcHdr"/>
        </w:types>
        <w:behaviors>
          <w:behavior w:val="content"/>
        </w:behaviors>
        <w:description w:val=""/>
        <w:guid w:val="{c1ee6414-477e-4852-bf06-a4b9f05b57d9}"/>
      </w:docPartPr>
      <w:docPartBody>
        <w:p>
          <w:r>
            <w:rPr>
              <w:color w:val="808080"/>
            </w:rPr>
            <w:t>单击此处输入文字。</w:t>
          </w:r>
        </w:p>
      </w:docPartBody>
    </w:docPart>
    <w:docPart>
      <w:docPartPr>
        <w:name w:val="{fa6967f3-ca6a-4d3a-b21b-d731de434181}"/>
        <w:style w:val=""/>
        <w:category>
          <w:name w:val="常规"/>
          <w:gallery w:val="placeholder"/>
        </w:category>
        <w:types>
          <w:type w:val="bbPlcHdr"/>
        </w:types>
        <w:behaviors>
          <w:behavior w:val="content"/>
        </w:behaviors>
        <w:description w:val=""/>
        <w:guid w:val="{fa6967f3-ca6a-4d3a-b21b-d731de434181}"/>
      </w:docPartPr>
      <w:docPartBody>
        <w:p>
          <w:r>
            <w:rPr>
              <w:color w:val="808080"/>
            </w:rPr>
            <w:t>单击此处输入文字。</w:t>
          </w:r>
        </w:p>
      </w:docPartBody>
    </w:docPart>
    <w:docPart>
      <w:docPartPr>
        <w:name w:val="{ef404d32-4e2a-4703-8a68-9bcf03fcde19}"/>
        <w:style w:val=""/>
        <w:category>
          <w:name w:val="常规"/>
          <w:gallery w:val="placeholder"/>
        </w:category>
        <w:types>
          <w:type w:val="bbPlcHdr"/>
        </w:types>
        <w:behaviors>
          <w:behavior w:val="content"/>
        </w:behaviors>
        <w:description w:val=""/>
        <w:guid w:val="{ef404d32-4e2a-4703-8a68-9bcf03fcde19}"/>
      </w:docPartPr>
      <w:docPartBody>
        <w:p>
          <w:r>
            <w:rPr>
              <w:color w:val="808080"/>
            </w:rPr>
            <w:t>单击此处输入文字。</w:t>
          </w:r>
        </w:p>
      </w:docPartBody>
    </w:docPart>
    <w:docPart>
      <w:docPartPr>
        <w:name w:val="{2ef7e425-7dea-4c75-8ddc-8f79d1c89a75}"/>
        <w:style w:val=""/>
        <w:category>
          <w:name w:val="常规"/>
          <w:gallery w:val="placeholder"/>
        </w:category>
        <w:types>
          <w:type w:val="bbPlcHdr"/>
        </w:types>
        <w:behaviors>
          <w:behavior w:val="content"/>
        </w:behaviors>
        <w:description w:val=""/>
        <w:guid w:val="{2ef7e425-7dea-4c75-8ddc-8f79d1c89a75}"/>
      </w:docPartPr>
      <w:docPartBody>
        <w:p>
          <w:r>
            <w:rPr>
              <w:color w:val="808080"/>
            </w:rPr>
            <w:t>单击此处输入文字。</w:t>
          </w:r>
        </w:p>
      </w:docPartBody>
    </w:docPart>
    <w:docPart>
      <w:docPartPr>
        <w:name w:val="{13b6ffdd-38f5-4755-b39a-82a55a4b5f8b}"/>
        <w:style w:val=""/>
        <w:category>
          <w:name w:val="常规"/>
          <w:gallery w:val="placeholder"/>
        </w:category>
        <w:types>
          <w:type w:val="bbPlcHdr"/>
        </w:types>
        <w:behaviors>
          <w:behavior w:val="content"/>
        </w:behaviors>
        <w:description w:val=""/>
        <w:guid w:val="{13b6ffdd-38f5-4755-b39a-82a55a4b5f8b}"/>
      </w:docPartPr>
      <w:docPartBody>
        <w:p>
          <w:r>
            <w:rPr>
              <w:color w:val="808080"/>
            </w:rPr>
            <w:t>单击此处输入文字。</w:t>
          </w:r>
        </w:p>
      </w:docPartBody>
    </w:docPart>
    <w:docPart>
      <w:docPartPr>
        <w:name w:val="{6e9b40b3-4630-408c-be15-9e9f2889d04d}"/>
        <w:style w:val=""/>
        <w:category>
          <w:name w:val="常规"/>
          <w:gallery w:val="placeholder"/>
        </w:category>
        <w:types>
          <w:type w:val="bbPlcHdr"/>
        </w:types>
        <w:behaviors>
          <w:behavior w:val="content"/>
        </w:behaviors>
        <w:description w:val=""/>
        <w:guid w:val="{6e9b40b3-4630-408c-be15-9e9f2889d04d}"/>
      </w:docPartPr>
      <w:docPartBody>
        <w:p>
          <w:r>
            <w:rPr>
              <w:color w:val="808080"/>
            </w:rPr>
            <w:t>单击此处输入文字。</w:t>
          </w:r>
        </w:p>
      </w:docPartBody>
    </w:docPart>
    <w:docPart>
      <w:docPartPr>
        <w:name w:val="{6472d4bb-4e41-4226-901f-11133787a0e7}"/>
        <w:style w:val=""/>
        <w:category>
          <w:name w:val="常规"/>
          <w:gallery w:val="placeholder"/>
        </w:category>
        <w:types>
          <w:type w:val="bbPlcHdr"/>
        </w:types>
        <w:behaviors>
          <w:behavior w:val="content"/>
        </w:behaviors>
        <w:description w:val=""/>
        <w:guid w:val="{6472d4bb-4e41-4226-901f-11133787a0e7}"/>
      </w:docPartPr>
      <w:docPartBody>
        <w:p>
          <w:r>
            <w:rPr>
              <w:color w:val="808080"/>
            </w:rPr>
            <w:t>单击此处输入文字。</w:t>
          </w:r>
        </w:p>
      </w:docPartBody>
    </w:docPart>
    <w:docPart>
      <w:docPartPr>
        <w:name w:val="{5b4996e1-8f57-4c1e-a292-350d4b5c838d}"/>
        <w:style w:val=""/>
        <w:category>
          <w:name w:val="常规"/>
          <w:gallery w:val="placeholder"/>
        </w:category>
        <w:types>
          <w:type w:val="bbPlcHdr"/>
        </w:types>
        <w:behaviors>
          <w:behavior w:val="content"/>
        </w:behaviors>
        <w:description w:val=""/>
        <w:guid w:val="{5b4996e1-8f57-4c1e-a292-350d4b5c838d}"/>
      </w:docPartPr>
      <w:docPartBody>
        <w:p>
          <w:r>
            <w:rPr>
              <w:color w:val="808080"/>
            </w:rPr>
            <w:t>单击此处输入文字。</w:t>
          </w:r>
        </w:p>
      </w:docPartBody>
    </w:docPart>
    <w:docPart>
      <w:docPartPr>
        <w:name w:val="{4ba3f7fa-5011-4af5-87b9-1a19a0163afc}"/>
        <w:style w:val=""/>
        <w:category>
          <w:name w:val="常规"/>
          <w:gallery w:val="placeholder"/>
        </w:category>
        <w:types>
          <w:type w:val="bbPlcHdr"/>
        </w:types>
        <w:behaviors>
          <w:behavior w:val="content"/>
        </w:behaviors>
        <w:description w:val=""/>
        <w:guid w:val="{4ba3f7fa-5011-4af5-87b9-1a19a0163afc}"/>
      </w:docPartPr>
      <w:docPartBody>
        <w:p>
          <w:r>
            <w:rPr>
              <w:color w:val="808080"/>
            </w:rPr>
            <w:t>单击此处输入文字。</w:t>
          </w:r>
        </w:p>
      </w:docPartBody>
    </w:docPart>
    <w:docPart>
      <w:docPartPr>
        <w:name w:val="{905ecc54-bb3b-41e4-93d3-75d24bec9938}"/>
        <w:style w:val=""/>
        <w:category>
          <w:name w:val="常规"/>
          <w:gallery w:val="placeholder"/>
        </w:category>
        <w:types>
          <w:type w:val="bbPlcHdr"/>
        </w:types>
        <w:behaviors>
          <w:behavior w:val="content"/>
        </w:behaviors>
        <w:description w:val=""/>
        <w:guid w:val="{905ecc54-bb3b-41e4-93d3-75d24bec9938}"/>
      </w:docPartPr>
      <w:docPartBody>
        <w:p>
          <w:r>
            <w:rPr>
              <w:color w:val="808080"/>
            </w:rPr>
            <w:t>单击此处输入文字。</w:t>
          </w:r>
        </w:p>
      </w:docPartBody>
    </w:docPart>
    <w:docPart>
      <w:docPartPr>
        <w:name w:val="{c98a5919-7942-4fc1-beac-e76918ae7252}"/>
        <w:style w:val=""/>
        <w:category>
          <w:name w:val="常规"/>
          <w:gallery w:val="placeholder"/>
        </w:category>
        <w:types>
          <w:type w:val="bbPlcHdr"/>
        </w:types>
        <w:behaviors>
          <w:behavior w:val="content"/>
        </w:behaviors>
        <w:description w:val=""/>
        <w:guid w:val="{c98a5919-7942-4fc1-beac-e76918ae7252}"/>
      </w:docPartPr>
      <w:docPartBody>
        <w:p>
          <w:r>
            <w:rPr>
              <w:color w:val="808080"/>
            </w:rPr>
            <w:t>单击此处输入文字。</w:t>
          </w:r>
        </w:p>
      </w:docPartBody>
    </w:docPart>
    <w:docPart>
      <w:docPartPr>
        <w:name w:val="{0ef11914-198e-4229-bb45-021728d7eb81}"/>
        <w:style w:val=""/>
        <w:category>
          <w:name w:val="常规"/>
          <w:gallery w:val="placeholder"/>
        </w:category>
        <w:types>
          <w:type w:val="bbPlcHdr"/>
        </w:types>
        <w:behaviors>
          <w:behavior w:val="content"/>
        </w:behaviors>
        <w:description w:val=""/>
        <w:guid w:val="{0ef11914-198e-4229-bb45-021728d7eb81}"/>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oNotDisplayPageBoundaries w:val="1"/>
  <w:compat>
    <w:useFELayout/>
    <w:splitPgBreakAndParaMark/>
    <w:compatSetting w:name="compatibilityMode" w:uri="http://schemas.microsoft.com/office/word" w:val="12"/>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49</Pages>
  <Words>24745</Words>
  <Characters>25731</Characters>
  <Lines>257</Lines>
  <Paragraphs>72</Paragraphs>
  <TotalTime>1</TotalTime>
  <ScaleCrop>false</ScaleCrop>
  <LinksUpToDate>false</LinksUpToDate>
  <CharactersWithSpaces>26756</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2018-07-16T07:39:00Z</dcterms:created>
  <dc:creator>小周</dc:creator>
  <cp:lastModifiedBy>hdu</cp:lastModifiedBy>
  <cp:lastPrinted>2021-06-24T02:10:00Z</cp:lastPrinted>
  <dcterms:modified xsi:type="dcterms:W3CDTF">2026-03-27T07:42:26Z</dcterms:modified>
  <dc:title>aaa</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