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超快瞬态吸收显微成像系统</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项目名称：超快瞬态吸收显微成像系统</w:t>
      </w:r>
    </w:p>
    <w:p w14:paraId="74032A0C">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项目编号：QSZBB250292ZHGK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rPr>
        <w:t>[2025]65865号、[2025]65866号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超快瞬态吸收显微成像系统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11月5日</w:t>
      </w:r>
      <w:r>
        <w:rPr>
          <w:rFonts w:hint="eastAsia" w:ascii="宋体" w:hAnsi="宋体" w:eastAsia="宋体" w:cs="Times New Roman"/>
          <w:b/>
          <w:szCs w:val="21"/>
          <w:u w:val="single"/>
        </w:rPr>
        <w:t>9:00:00（北京时间）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35393621"/>
      <w:bookmarkStart w:id="1" w:name="_Toc28359002"/>
      <w:bookmarkStart w:id="2" w:name="_Toc35393790"/>
      <w:bookmarkStart w:id="3" w:name="_Toc28359079"/>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1.项目编号：QSZBB250292ZHGK</w:t>
      </w:r>
    </w:p>
    <w:p w14:paraId="34C987C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.项目名称：超快瞬态吸收显微成像系统</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.预算金额：2280000元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.最高限价：2280000元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.合同履约期限：自合同签订之日起120个工作日内交付。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超快瞬态吸收显微成像系统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35393791"/>
      <w:bookmarkStart w:id="6" w:name="_Toc28359080"/>
      <w:bookmarkStart w:id="7" w:name="_Toc28359003"/>
      <w:bookmarkStart w:id="8" w:name="_Toc35393622"/>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时间：2025年10月1</w:t>
      </w:r>
      <w:r>
        <w:rPr>
          <w:rFonts w:hint="eastAsia" w:ascii="宋体" w:hAnsi="宋体" w:eastAsia="宋体" w:cs="Times New Roman"/>
          <w:szCs w:val="21"/>
          <w:lang w:val="en-US" w:eastAsia="zh-CN"/>
        </w:rPr>
        <w:t>4</w:t>
      </w:r>
      <w:r>
        <w:rPr>
          <w:rFonts w:hint="eastAsia" w:ascii="宋体" w:hAnsi="宋体" w:eastAsia="宋体" w:cs="Times New Roman"/>
          <w:szCs w:val="21"/>
        </w:rPr>
        <w:t>日至2025年</w:t>
      </w:r>
      <w:r>
        <w:rPr>
          <w:rFonts w:hint="eastAsia" w:ascii="宋体" w:hAnsi="宋体" w:eastAsia="宋体" w:cs="Times New Roman"/>
          <w:szCs w:val="21"/>
          <w:lang w:eastAsia="zh-CN"/>
        </w:rPr>
        <w:t>11月5日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11月5日</w:t>
      </w:r>
      <w:r>
        <w:rPr>
          <w:rFonts w:hint="eastAsia" w:ascii="宋体" w:hAnsi="宋体" w:eastAsia="宋体" w:cs="Times New Roman"/>
          <w:bCs/>
          <w:szCs w:val="21"/>
        </w:rPr>
        <w:t>9:00:00（北京时间）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11月5日</w:t>
      </w:r>
      <w:r>
        <w:rPr>
          <w:rFonts w:hint="eastAsia" w:ascii="宋体" w:hAnsi="宋体" w:eastAsia="宋体" w:cs="Times New Roman"/>
          <w:bCs/>
          <w:szCs w:val="21"/>
        </w:rPr>
        <w:t>9:00:00（北京时间）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/杭州市西湖区玉古路173号中田大厦21楼（求是招标会议室1）</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84"/>
      <w:bookmarkStart w:id="20" w:name="_Toc35393625"/>
      <w:bookmarkStart w:id="21" w:name="_Toc35393794"/>
      <w:bookmarkStart w:id="22" w:name="_Toc28359007"/>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35393796"/>
      <w:bookmarkStart w:id="31" w:name="_Toc35393627"/>
      <w:bookmarkStart w:id="32" w:name="_Toc28359008"/>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0DD2A55A">
      <w:pPr>
        <w:adjustRightInd w:val="0"/>
        <w:snapToGrid w:val="0"/>
        <w:spacing w:line="288" w:lineRule="auto"/>
        <w:ind w:firstLine="424" w:firstLineChars="202"/>
        <w:rPr>
          <w:rFonts w:hint="eastAsia" w:ascii="宋体" w:hAnsi="宋体" w:eastAsia="宋体" w:cs="Times New Roman"/>
          <w:szCs w:val="21"/>
          <w:lang w:eastAsia="zh-CN"/>
        </w:rPr>
      </w:pPr>
      <w:r>
        <w:rPr>
          <w:rFonts w:hint="eastAsia" w:ascii="宋体" w:hAnsi="宋体" w:eastAsia="宋体" w:cs="Times New Roman"/>
          <w:szCs w:val="21"/>
        </w:rPr>
        <w:t>项目联系人（询问）：苏</w:t>
      </w:r>
      <w:r>
        <w:rPr>
          <w:rFonts w:hint="eastAsia" w:ascii="宋体" w:hAnsi="宋体" w:eastAsia="宋体" w:cs="Times New Roman"/>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项目联系方式（询问）：0571-86919032</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6B0C6D75">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联系人：匡老师</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监督投诉电话：0571-87807798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AC9518A">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A61382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3A5A8805">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138609F3">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3D1CFFF">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05130369">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0CACFF7">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70A510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134B41BF">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自合同签订之日起120个工作日内交付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57DFE24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spacing w:line="288" w:lineRule="auto"/>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72小时内派遣相关人员赶赴现场，48小时内维修完毕；发生紧急抢修事故的，供应商应在接到采购人通知后24小时内到达现场抢修，并于到达现场24小时之内排除故障。供应商未在约定时间内修复的或同一货物经5次维修后仍不能稳定、可靠运行的，采购人有权要求供应商免费更换</w:t>
            </w:r>
            <w:r>
              <w:rPr>
                <w:rFonts w:hint="eastAsia" w:ascii="宋体" w:hAnsi="宋体" w:eastAsia="宋体" w:cs="宋体"/>
                <w:szCs w:val="21"/>
                <w:u w:val="single"/>
              </w:rPr>
              <w:t>；</w:t>
            </w:r>
          </w:p>
          <w:p w14:paraId="453E65BA">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70071A3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0C0F95CF">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5734B2A8">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4.技术支持：</w:t>
            </w:r>
          </w:p>
          <w:p w14:paraId="4560E74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w:t>
            </w:r>
            <w:bookmarkStart w:id="76" w:name="_GoBack"/>
            <w:bookmarkEnd w:id="76"/>
            <w:r>
              <w:rPr>
                <w:rFonts w:hint="eastAsia" w:ascii="宋体" w:hAnsi="宋体" w:eastAsia="宋体" w:cs="宋体"/>
                <w:szCs w:val="21"/>
              </w:rPr>
              <w:t>培训内容包括设备的使用操作、维修、保养等，参加人数不限。</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1.验收由采购人负责实施；</w:t>
            </w:r>
          </w:p>
          <w:p w14:paraId="190978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2.验收依据：</w:t>
            </w:r>
          </w:p>
          <w:p w14:paraId="119E3AE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2.1合同、招标文件、投标文件；</w:t>
            </w:r>
          </w:p>
          <w:p w14:paraId="2A04049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EBC289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4.验收合格的条件：</w:t>
            </w:r>
          </w:p>
          <w:p w14:paraId="46C6C05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4.1所供货物符合产品标准和合同的要求；</w:t>
            </w:r>
          </w:p>
          <w:p w14:paraId="3C659B5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1DFD823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4.3合同中规定的所有货物和材料均已交付；</w:t>
            </w:r>
          </w:p>
          <w:p w14:paraId="32DEFB5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4.4所供货物已通过使用单位组织的验收；</w:t>
            </w:r>
          </w:p>
          <w:p w14:paraId="5103A4F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.需实现的功能或者目标：满足超快瞬态吸收显微成像系统的使用需求。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szCs w:val="21"/>
              </w:rPr>
            </w:pPr>
            <w:r>
              <w:rPr>
                <w:rFonts w:hint="eastAsia" w:ascii="宋体" w:hAnsi="宋体" w:eastAsia="宋体" w:cs="Times New Roman"/>
                <w:b/>
                <w:bCs/>
                <w:szCs w:val="21"/>
              </w:rPr>
              <w:t>超快瞬态吸收显微成像系统</w:t>
            </w:r>
          </w:p>
        </w:tc>
        <w:tc>
          <w:tcPr>
            <w:tcW w:w="661" w:type="dxa"/>
            <w:vAlign w:val="center"/>
          </w:tcPr>
          <w:p w14:paraId="77DC8DC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11C9F17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1、检测模式：透射/反射模式可切换；</w:t>
            </w:r>
          </w:p>
          <w:p w14:paraId="681EDB7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▲2、高速可见线阵光谱仪：线阵芯片，一体化集成；波长响应范围≥200-1000nm；探测器最大采集速度≥8 KHz；像素个数≥1024 pixels；像素尺寸≥25x500μm；动态范围：≥3000；全息凹面光栅；像素深度≥16 bit；TCPIP通信；</w:t>
            </w:r>
          </w:p>
          <w:p w14:paraId="7085D55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3、探测白光光谱范围：程控电动切换探测波段；380-650nm；480-950nm（基于1030nm飞秒激光器）；</w:t>
            </w:r>
          </w:p>
          <w:p w14:paraId="0ED8BD6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▲4、光谱采集：在探测白光光谱范围内系统可一次性采集全谱，无需转动光栅扫描光谱；</w:t>
            </w:r>
          </w:p>
          <w:p w14:paraId="7FAF7DA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▲5、光学延迟线：最快速度≥400mm/s，最小步进≤0.1um，配套延迟线光路自动校准模块；调节范围≥±5°，灵敏度≤0.7 μrad，可免去延迟线的复杂光路调节，维持光路稳定性；</w:t>
            </w:r>
          </w:p>
          <w:p w14:paraId="339BD7D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6、检测时间窗口：≥8 ns；</w:t>
            </w:r>
          </w:p>
          <w:p w14:paraId="252FFB0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7、仪器时间响应函数 IRF：≤1.4倍激光脉宽；</w:t>
            </w:r>
          </w:p>
          <w:p w14:paraId="1C87160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8、最高零点前信噪比：≤0.1mOD；</w:t>
            </w:r>
          </w:p>
          <w:p w14:paraId="617CF79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9、二维电控样品架：行程25mm；薄膜样品架。可程控循环运动，可防止激光对样品损伤。内置XY轴往复运动、蛇形运动、椭圆运动、布朗运动和Lissajous运动五种运动模式；</w:t>
            </w:r>
          </w:p>
          <w:p w14:paraId="2142FEF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▲10、激光光斑分析模块：可显示光斑形貌；对光斑进行横向、纵向高斯拟合；可测得光斑半径，并可据此计算出光斑面积；可测得光斑中心横向、纵向的波动状态；</w:t>
            </w:r>
          </w:p>
          <w:p w14:paraId="5C4EC0C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全局电源控制：通过一个总控开关实现对系统内所有电源及线路的全局通断控制。确保所有电路依赖同一开关进行统一启停，便于快速切断或恢复整体供电，提高系统便捷性和稳定性。可通过软件控制仪器上电；</w:t>
            </w:r>
          </w:p>
          <w:p w14:paraId="02B44EC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12、工控机：预装数据采集/分析软件；</w:t>
            </w:r>
          </w:p>
          <w:p w14:paraId="2EDFD87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13、数据采集软件：</w:t>
            </w:r>
          </w:p>
          <w:p w14:paraId="5A84015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13.1 2D/3D 数据采集模式，可实时观测采集数据及光谱动态变化；</w:t>
            </w:r>
          </w:p>
          <w:p w14:paraId="1883371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13.2 等距、指数、等距+指数、多段等距和CSV自定义等多种延迟时间扫描模式，且可随机移动；</w:t>
            </w:r>
          </w:p>
          <w:p w14:paraId="07411B6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13.3 ΔA &amp; ΔT/T&amp;ΔR/R三种TA信号任意切换；</w:t>
            </w:r>
          </w:p>
          <w:p w14:paraId="5F57EFB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▲13.4 测试过程中实时观察系统信噪比及探测白光光谱状态；</w:t>
            </w:r>
          </w:p>
          <w:p w14:paraId="15030CC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13.5 时间零点查找、单斩波和双斩波测试模式可切换，根据测试需求程控调节；</w:t>
            </w:r>
          </w:p>
          <w:p w14:paraId="2CC3453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▲13.6 激发光波长切换：瞬态吸收软件可反控激光器OPA系统，实现对OPA系统的波长控制；</w:t>
            </w:r>
          </w:p>
          <w:p w14:paraId="6057E13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13.7 变温连续测试：瞬态吸收软件可控制低温系统，实现全自动连续变温测试；</w:t>
            </w:r>
          </w:p>
          <w:p w14:paraId="5769DB5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14、数据分析软件：</w:t>
            </w:r>
          </w:p>
          <w:p w14:paraId="28DAA9E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14.1 具备2D/3D 数据分析模式，支持数据点平均、多曲线动力学比较、分析并移除异常测试数据；</w:t>
            </w:r>
          </w:p>
          <w:p w14:paraId="2A5562C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14.2 支持啁啾矫正、零点时间矫正、数据裁剪、噪音数据扣除、ΔA &amp; ΔT/T转换；</w:t>
            </w:r>
          </w:p>
          <w:p w14:paraId="5FCF057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14.3 支持单指数、多指数拟合、全局拟合、SVD奇异值分解；</w:t>
            </w:r>
          </w:p>
          <w:p w14:paraId="55D0583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14.4 支持光谱数据归一化、动力学数据归一化、数据报告输出；</w:t>
            </w:r>
          </w:p>
          <w:p w14:paraId="4C154FF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15、近红外拓展模块：</w:t>
            </w:r>
          </w:p>
          <w:p w14:paraId="5E1A949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▲15.1 高速近红外线阵光谱仪：线阵芯片，一体化集成；波长响应范围≥500-1700nm；探测器最大采集速度≥8 KHz；像素个数≥256 pixels；像素尺寸≥50x500μm；动态范围：≥6750；全息凹面光栅；AD位数≥16 bit；网线接口；</w:t>
            </w:r>
          </w:p>
          <w:p w14:paraId="62F76CA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15.2 近红外光路组件：包括近红外白光晶体和滤光片；</w:t>
            </w:r>
          </w:p>
          <w:p w14:paraId="4968DD7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15.3 探测白光光谱范围：1100-1650nm（1030nm飞秒激光器）；</w:t>
            </w:r>
          </w:p>
          <w:p w14:paraId="2BD8E51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16、显微镜微区模块：</w:t>
            </w:r>
          </w:p>
          <w:p w14:paraId="5B0091B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 该系统设计可与显微镜系统集成；</w:t>
            </w:r>
          </w:p>
          <w:p w14:paraId="6AF25E8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 显微镜镜体：支持拓展多层光路，中空载物台。载物台上下均有物镜接口；</w:t>
            </w:r>
          </w:p>
          <w:p w14:paraId="77B84C6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16.3 物镜一套：100x（2个），50x（2个），10x（1个）；</w:t>
            </w:r>
          </w:p>
          <w:p w14:paraId="7D7777E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16.4 微区光谱采集模式：透射/反射模式，可采集瞬态吸收光谱和超快动力学；</w:t>
            </w:r>
          </w:p>
          <w:p w14:paraId="1ED552C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▲16.5 成像采集模式：透/反射式检测模式全自动切换，可采集宽场瞬态吸收成像、载流子迁移成像；</w:t>
            </w:r>
          </w:p>
          <w:p w14:paraId="1FB828D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16.6 最高空间分辨率：≤ 1μm；</w:t>
            </w:r>
          </w:p>
          <w:p w14:paraId="406AA5D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16.7 零点前信噪比：≤ 0.2mOD（微区光谱采集模式下）；</w:t>
            </w:r>
          </w:p>
          <w:p w14:paraId="6BA799A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16.8 微区检测波长范围：400-1500nm；</w:t>
            </w:r>
          </w:p>
          <w:p w14:paraId="2DFF851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▲16.9 成像波长范围：400-800nm；</w:t>
            </w:r>
          </w:p>
          <w:p w14:paraId="159C302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16.10、面阵成像相机（2台），TA成像相机像素大小：≥6.9μm*6.9μm；成像像素点个数：≥720x540 像素点；</w:t>
            </w:r>
          </w:p>
          <w:p w14:paraId="5FFF29B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▲16.11 载流子迁移分辨精度：≤100nm；</w:t>
            </w:r>
          </w:p>
          <w:p w14:paraId="2831350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16.12</w:t>
            </w:r>
            <w:r>
              <w:rPr>
                <w:rFonts w:hint="eastAsia" w:ascii="宋体" w:hAnsi="宋体" w:eastAsia="宋体" w:cs="宋体"/>
                <w:szCs w:val="21"/>
                <w:lang w:val="en-US" w:eastAsia="zh-CN"/>
              </w:rPr>
              <w:t xml:space="preserve"> </w:t>
            </w:r>
            <w:r>
              <w:rPr>
                <w:rFonts w:hint="eastAsia" w:ascii="宋体" w:hAnsi="宋体" w:eastAsia="宋体" w:cs="宋体"/>
                <w:szCs w:val="21"/>
              </w:rPr>
              <w:t>滤光片一套：≤40nm窄带通，共≥10片；</w:t>
            </w:r>
          </w:p>
          <w:p w14:paraId="19C627C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16.13</w:t>
            </w:r>
            <w:r>
              <w:rPr>
                <w:rFonts w:hint="eastAsia" w:ascii="宋体" w:hAnsi="宋体" w:eastAsia="宋体" w:cs="宋体"/>
                <w:szCs w:val="21"/>
                <w:lang w:val="en-US" w:eastAsia="zh-CN"/>
              </w:rPr>
              <w:t xml:space="preserve"> </w:t>
            </w:r>
            <w:r>
              <w:rPr>
                <w:rFonts w:hint="eastAsia" w:ascii="宋体" w:hAnsi="宋体" w:eastAsia="宋体" w:cs="宋体"/>
                <w:szCs w:val="21"/>
              </w:rPr>
              <w:t>样品观测相机：黑白，≥2000万像素，USB3.0；</w:t>
            </w:r>
          </w:p>
          <w:p w14:paraId="0D3E015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▲16.14</w:t>
            </w:r>
            <w:r>
              <w:rPr>
                <w:rFonts w:hint="eastAsia" w:ascii="宋体" w:hAnsi="宋体" w:eastAsia="宋体" w:cs="宋体"/>
                <w:szCs w:val="21"/>
                <w:lang w:val="en-US" w:eastAsia="zh-CN"/>
              </w:rPr>
              <w:t xml:space="preserve"> </w:t>
            </w:r>
            <w:r>
              <w:rPr>
                <w:rFonts w:hint="eastAsia" w:ascii="宋体" w:hAnsi="宋体" w:eastAsia="宋体" w:cs="宋体"/>
                <w:szCs w:val="21"/>
              </w:rPr>
              <w:t>可拓展近红外飞秒瞬态吸收成像；</w:t>
            </w:r>
          </w:p>
          <w:p w14:paraId="6FE3A28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16.15</w:t>
            </w:r>
            <w:r>
              <w:rPr>
                <w:rFonts w:hint="eastAsia" w:ascii="宋体" w:hAnsi="宋体" w:eastAsia="宋体" w:cs="宋体"/>
                <w:szCs w:val="21"/>
                <w:lang w:val="en-US" w:eastAsia="zh-CN"/>
              </w:rPr>
              <w:t xml:space="preserve"> </w:t>
            </w:r>
            <w:r>
              <w:rPr>
                <w:rFonts w:hint="eastAsia" w:ascii="宋体" w:hAnsi="宋体" w:eastAsia="宋体" w:cs="宋体"/>
                <w:szCs w:val="21"/>
              </w:rPr>
              <w:t>TA成像数据采集软件：</w:t>
            </w:r>
          </w:p>
          <w:p w14:paraId="5D5EB4E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16.16 支持二维成像强度图、动力学曲线及强度曲线同步显示；</w:t>
            </w:r>
          </w:p>
          <w:p w14:paraId="41EECF3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16.17 支持分段、指数、线性、自定义延迟时间点和按文件等扫描模式；</w:t>
            </w:r>
          </w:p>
          <w:p w14:paraId="0636247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16.18 支持时间零点查找功能；</w:t>
            </w:r>
          </w:p>
          <w:p w14:paraId="0E3C793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16.19 支持明场成像；</w:t>
            </w:r>
          </w:p>
          <w:p w14:paraId="0FF450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16.20 支持测试参数保存与导入；</w:t>
            </w:r>
          </w:p>
          <w:p w14:paraId="4E33ACD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16.21 支持激发光强度矫正；</w:t>
            </w:r>
          </w:p>
          <w:p w14:paraId="4F92CD6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16.22 支持自动计算不同物镜下，实际成像尺寸；</w:t>
            </w:r>
          </w:p>
          <w:p w14:paraId="77711BC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16.23</w:t>
            </w:r>
            <w:r>
              <w:rPr>
                <w:rFonts w:hint="eastAsia" w:ascii="宋体" w:hAnsi="宋体" w:eastAsia="宋体" w:cs="宋体"/>
                <w:szCs w:val="21"/>
                <w:lang w:val="en-US" w:eastAsia="zh-CN"/>
              </w:rPr>
              <w:t xml:space="preserve"> </w:t>
            </w:r>
            <w:r>
              <w:rPr>
                <w:rFonts w:hint="eastAsia" w:ascii="宋体" w:hAnsi="宋体" w:eastAsia="宋体" w:cs="宋体"/>
                <w:szCs w:val="21"/>
              </w:rPr>
              <w:t>TA成像数据分析软件：</w:t>
            </w:r>
          </w:p>
          <w:p w14:paraId="32B0069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16.24 支持多次测试数据自动平均后导入，并自动保存平均后的数据；</w:t>
            </w:r>
          </w:p>
          <w:p w14:paraId="6453437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16.25 支持任意延迟时间下的成像显示；</w:t>
            </w:r>
          </w:p>
          <w:p w14:paraId="14EA864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16.26 支持任意像素点下的动力学曲线显示；</w:t>
            </w:r>
          </w:p>
          <w:p w14:paraId="1F27C6A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16.27 可从任意成像中提取横向或纵向Mapping强度；</w:t>
            </w:r>
          </w:p>
          <w:p w14:paraId="0E5B5B3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16.28 支持背景数据扣除（可选择任意延迟时间下的数据）；</w:t>
            </w:r>
          </w:p>
          <w:p w14:paraId="535CB4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16.29 可单独对动力学曲线在时间尺度上进行平滑处理；</w:t>
            </w:r>
          </w:p>
          <w:p w14:paraId="1C5781C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16.30 批量保存处理完成的数据；</w:t>
            </w:r>
          </w:p>
          <w:p w14:paraId="7761173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17、飞秒激光器：</w:t>
            </w:r>
          </w:p>
          <w:p w14:paraId="4AF84B2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 全光纤结构，放大器和种子源为全熔融光纤，不接受空间耦合型光纤；</w:t>
            </w:r>
          </w:p>
          <w:p w14:paraId="69CC428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▲17.2 中心波长：1030 nm±5 nm；</w:t>
            </w:r>
          </w:p>
          <w:p w14:paraId="2BCD5A5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17.3 单脉冲能量：≥100 μJ @ 100 kHz；</w:t>
            </w:r>
          </w:p>
          <w:p w14:paraId="1671958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17.4 重复频率可调范围：单脉冲-100 kHz；</w:t>
            </w:r>
          </w:p>
          <w:p w14:paraId="20893BF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▲17.5 脉冲宽度：≤290 fs；</w:t>
            </w:r>
          </w:p>
          <w:p w14:paraId="205DA11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17.6 功率稳定性：≤1% Rms over 24 h；</w:t>
            </w:r>
          </w:p>
          <w:p w14:paraId="391B50F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17.7 光斑发散角：≤1 mRad；</w:t>
            </w:r>
          </w:p>
          <w:p w14:paraId="5F40B4D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17.8 光束质量：M2≤1.3；</w:t>
            </w:r>
          </w:p>
          <w:p w14:paraId="0DB3BF5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17.9 光束指向性：≤20 μrad/℃；</w:t>
            </w:r>
          </w:p>
          <w:p w14:paraId="347D5A5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▲17.10 OPA调谐范围：315-2600 nm（搭配2倍频模块）；</w:t>
            </w:r>
          </w:p>
          <w:p w14:paraId="675FF26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17.11 OPA功率稳定性：≤1% Rms over 8 h；</w:t>
            </w:r>
          </w:p>
          <w:p w14:paraId="469C9FB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▲17.12 OPA脉冲宽度：≤200 fs（最窄脉宽≤100 fs）；</w:t>
            </w:r>
          </w:p>
          <w:p w14:paraId="1603167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▲17.13 OPA波长调节方式：全自动可调谐系统，软件可控；</w:t>
            </w:r>
          </w:p>
          <w:p w14:paraId="27FD9C6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17.14 冷却方式：水冷，22±0.1℃；</w:t>
            </w:r>
          </w:p>
          <w:p w14:paraId="2541F34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17.15 供电方式：220V；</w:t>
            </w:r>
          </w:p>
          <w:p w14:paraId="29DFEB2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▲17.16 一体化波长可调谐飞秒激光器系统架构为：飞秒驱动源、光参量放大模块为一体化整机，避免了分体式波长可调谐飞秒激光器的不稳定性；</w:t>
            </w:r>
          </w:p>
          <w:p w14:paraId="08E2893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▲17.17 一体化整机尺寸：≤</w:t>
            </w:r>
            <w:r>
              <w:rPr>
                <w:rFonts w:hint="eastAsia" w:ascii="宋体" w:hAnsi="宋体" w:eastAsia="宋体" w:cs="宋体"/>
                <w:szCs w:val="21"/>
                <w:lang w:val="en-US" w:eastAsia="zh-CN"/>
              </w:rPr>
              <w:t>900</w:t>
            </w:r>
            <w:r>
              <w:rPr>
                <w:rFonts w:hint="eastAsia" w:ascii="宋体" w:hAnsi="宋体" w:eastAsia="宋体" w:cs="宋体"/>
                <w:szCs w:val="21"/>
              </w:rPr>
              <w:t>*</w:t>
            </w:r>
            <w:r>
              <w:rPr>
                <w:rFonts w:hint="eastAsia" w:ascii="宋体" w:hAnsi="宋体" w:eastAsia="宋体" w:cs="宋体"/>
                <w:szCs w:val="21"/>
                <w:lang w:val="en-US" w:eastAsia="zh-CN"/>
              </w:rPr>
              <w:t>500</w:t>
            </w:r>
            <w:r>
              <w:rPr>
                <w:rFonts w:hint="eastAsia" w:ascii="宋体" w:hAnsi="宋体" w:eastAsia="宋体" w:cs="宋体"/>
                <w:szCs w:val="21"/>
              </w:rPr>
              <w:t>*</w:t>
            </w:r>
            <w:r>
              <w:rPr>
                <w:rFonts w:hint="eastAsia" w:ascii="宋体" w:hAnsi="宋体" w:eastAsia="宋体" w:cs="宋体"/>
                <w:szCs w:val="21"/>
                <w:lang w:val="en-US" w:eastAsia="zh-CN"/>
              </w:rPr>
              <w:t>200</w:t>
            </w:r>
            <w:r>
              <w:rPr>
                <w:rFonts w:hint="eastAsia" w:ascii="宋体" w:hAnsi="宋体" w:eastAsia="宋体" w:cs="宋体"/>
                <w:szCs w:val="21"/>
              </w:rPr>
              <w:t>mm。</w:t>
            </w:r>
          </w:p>
        </w:tc>
      </w:tr>
    </w:tbl>
    <w:p w14:paraId="2C639540">
      <w:pPr>
        <w:adjustRightInd w:val="0"/>
        <w:snapToGrid w:val="0"/>
        <w:spacing w:line="288" w:lineRule="auto"/>
        <w:rPr>
          <w:rFonts w:hint="eastAsia" w:ascii="宋体" w:hAnsi="宋体" w:eastAsia="宋体" w:cs="Times New Roman"/>
          <w:b/>
          <w:bCs/>
          <w:szCs w:val="21"/>
        </w:rPr>
      </w:pPr>
    </w:p>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adjustRightInd w:val="0"/>
              <w:snapToGrid w:val="0"/>
              <w:spacing w:line="288" w:lineRule="auto"/>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adjustRightInd w:val="0"/>
              <w:snapToGrid w:val="0"/>
              <w:spacing w:line="288" w:lineRule="auto"/>
              <w:rPr>
                <w:rFonts w:hint="eastAsia" w:ascii="宋体" w:hAnsi="宋体" w:eastAsia="宋体"/>
                <w:szCs w:val="21"/>
              </w:rPr>
            </w:pPr>
            <w:r>
              <w:rPr>
                <w:rFonts w:hint="eastAsia" w:ascii="宋体" w:hAnsi="宋体" w:eastAsia="宋体"/>
                <w:szCs w:val="21"/>
              </w:rPr>
              <w:t>本招标文件适用于杭州电子科技大学超快瞬态吸收显微成像系统的招标、评标、定标、验收、合同履约、付款等（法律、法规另有规定的，从其规定）。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adjustRightInd w:val="0"/>
              <w:snapToGrid w:val="0"/>
              <w:spacing w:line="288" w:lineRule="auto"/>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adjustRightInd w:val="0"/>
              <w:snapToGrid w:val="0"/>
              <w:spacing w:line="288" w:lineRule="auto"/>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19BCFB3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adjustRightInd w:val="0"/>
              <w:snapToGrid w:val="0"/>
              <w:spacing w:line="288" w:lineRule="auto"/>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1073C959">
            <w:pPr>
              <w:adjustRightInd w:val="0"/>
              <w:snapToGrid w:val="0"/>
              <w:spacing w:line="288" w:lineRule="auto"/>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adjustRightInd w:val="0"/>
              <w:snapToGrid w:val="0"/>
              <w:spacing w:line="288" w:lineRule="auto"/>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adjustRightInd w:val="0"/>
              <w:snapToGrid w:val="0"/>
              <w:spacing w:line="288" w:lineRule="auto"/>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adjustRightInd w:val="0"/>
              <w:snapToGrid w:val="0"/>
              <w:spacing w:line="288" w:lineRule="auto"/>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2BD3C9D6">
            <w:pPr>
              <w:adjustRightInd w:val="0"/>
              <w:snapToGrid w:val="0"/>
              <w:spacing w:line="288" w:lineRule="auto"/>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63817493">
            <w:pPr>
              <w:adjustRightInd w:val="0"/>
              <w:snapToGrid w:val="0"/>
              <w:spacing w:line="288" w:lineRule="auto"/>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adjustRightInd w:val="0"/>
              <w:snapToGrid w:val="0"/>
              <w:spacing w:line="288" w:lineRule="auto"/>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adjustRightInd w:val="0"/>
              <w:snapToGrid w:val="0"/>
              <w:spacing w:line="288" w:lineRule="auto"/>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242F485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adjustRightInd w:val="0"/>
              <w:snapToGrid w:val="0"/>
              <w:spacing w:line="288" w:lineRule="auto"/>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adjustRightInd w:val="0"/>
              <w:snapToGrid w:val="0"/>
              <w:spacing w:line="288" w:lineRule="auto"/>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3F923D64">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adjustRightInd w:val="0"/>
              <w:snapToGrid w:val="0"/>
              <w:spacing w:line="288" w:lineRule="auto"/>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hint="eastAsia" w:ascii="宋体" w:hAnsi="宋体" w:eastAsia="宋体"/>
                <w:szCs w:val="21"/>
              </w:rPr>
            </w:pPr>
            <w:r>
              <w:rPr>
                <w:rFonts w:hint="eastAsia" w:ascii="宋体" w:hAnsi="宋体" w:eastAsia="宋体"/>
                <w:szCs w:val="21"/>
              </w:rPr>
              <w:t>2.以人民币报价；</w:t>
            </w:r>
          </w:p>
          <w:p w14:paraId="5FB1C9B5">
            <w:pPr>
              <w:adjustRightInd w:val="0"/>
              <w:snapToGrid w:val="0"/>
              <w:spacing w:line="288" w:lineRule="auto"/>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adjustRightInd w:val="0"/>
              <w:snapToGrid w:val="0"/>
              <w:spacing w:line="288" w:lineRule="auto"/>
              <w:rPr>
                <w:rFonts w:hint="eastAsia"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5D18B75">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adjustRightInd w:val="0"/>
              <w:snapToGrid w:val="0"/>
              <w:spacing w:line="288" w:lineRule="auto"/>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adjustRightInd w:val="0"/>
              <w:snapToGrid w:val="0"/>
              <w:spacing w:line="288" w:lineRule="auto"/>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adjustRightInd w:val="0"/>
              <w:snapToGrid w:val="0"/>
              <w:spacing w:line="288" w:lineRule="auto"/>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本招标文件适用于杭州电子科技大学超快瞬态吸收显微成像系统的招标、评标、定标、验收、合同履约、付款等（法律、法规另有规定的，从其规定）。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adjustRightInd w:val="0"/>
              <w:snapToGrid w:val="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adjustRightInd w:val="0"/>
              <w:snapToGrid w:val="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adjustRightInd w:val="0"/>
              <w:snapToGrid w:val="0"/>
              <w:rPr>
                <w:rFonts w:hint="eastAsia" w:ascii="宋体" w:hAnsi="宋体" w:eastAsia="宋体" w:cs="宋体"/>
                <w:szCs w:val="21"/>
              </w:rPr>
            </w:pPr>
            <w:r>
              <w:rPr>
                <w:rFonts w:hint="eastAsia" w:ascii="宋体" w:hAnsi="宋体" w:eastAsia="宋体" w:cs="宋体"/>
                <w:szCs w:val="21"/>
              </w:rPr>
              <w:t>【客观分】</w:t>
            </w:r>
          </w:p>
          <w:p w14:paraId="3EA8419A">
            <w:pPr>
              <w:adjustRightInd w:val="0"/>
              <w:snapToGrid w:val="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adjustRightInd w:val="0"/>
              <w:snapToGrid w:val="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adjustRightInd w:val="0"/>
              <w:snapToGrid w:val="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6F1D37CE">
            <w:pPr>
              <w:adjustRightInd w:val="0"/>
              <w:snapToGrid w:val="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rPr>
        <w:t>超快瞬态吸收显微成像系统</w:t>
      </w:r>
      <w:r>
        <w:rPr>
          <w:rFonts w:hint="eastAsia" w:ascii="宋体" w:hAnsi="宋体" w:eastAsia="宋体" w:cs="宋体"/>
          <w:kern w:val="0"/>
          <w:szCs w:val="21"/>
        </w:rPr>
        <w:t>（项目编号</w:t>
      </w:r>
      <w:r>
        <w:rPr>
          <w:rFonts w:hint="eastAsia" w:ascii="宋体" w:hAnsi="宋体" w:eastAsia="宋体" w:cs="宋体"/>
          <w:kern w:val="0"/>
          <w:szCs w:val="21"/>
          <w:u w:val="single"/>
        </w:rPr>
        <w:t>QSZBB250292ZHGK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8"/>
      <w:bookmarkStart w:id="56" w:name="OLE_LINK7"/>
      <w:bookmarkStart w:id="57" w:name="OLE_LINK10"/>
      <w:bookmarkStart w:id="58" w:name="OLE_LINK9"/>
      <w:r>
        <w:rPr>
          <w:rFonts w:hint="eastAsia" w:ascii="宋体" w:hAnsi="宋体" w:eastAsia="宋体" w:cs="宋体"/>
          <w:szCs w:val="21"/>
        </w:rPr>
        <w:t>根据</w:t>
      </w:r>
      <w:bookmarkStart w:id="59" w:name="OLE_LINK5"/>
      <w:bookmarkStart w:id="60" w:name="OLE_LINK6"/>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0C568A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0B6DC5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7F3C727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2000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spacing w:line="288" w:lineRule="auto"/>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4"/>
      <w:bookmarkStart w:id="72" w:name="OLE_LINK13"/>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szCs w:val="21"/>
              </w:rPr>
            </w:pPr>
          </w:p>
        </w:tc>
        <w:tc>
          <w:tcPr>
            <w:tcW w:w="882" w:type="dxa"/>
          </w:tcPr>
          <w:p w14:paraId="6FF943A5">
            <w:pPr>
              <w:adjustRightInd w:val="0"/>
              <w:snapToGrid w:val="0"/>
              <w:spacing w:line="288" w:lineRule="auto"/>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杭州电子科技大学超快瞬态吸收显微成像系统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：QSZBB250292ZHGK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adjustRightInd w:val="0"/>
              <w:snapToGrid w:val="0"/>
              <w:spacing w:line="288" w:lineRule="auto"/>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adjustRightInd w:val="0"/>
              <w:snapToGrid w:val="0"/>
              <w:spacing w:line="288" w:lineRule="auto"/>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adjustRightInd w:val="0"/>
              <w:snapToGrid w:val="0"/>
              <w:spacing w:line="288" w:lineRule="auto"/>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杭州电子科技大学超快瞬态吸收显微成像系统项目（项目编号：QSZBB250292ZHGK）</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项目名称：超快瞬态吸收显微成像系统</w:t>
      </w:r>
    </w:p>
    <w:p w14:paraId="1F7E0C6C">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项目编号：QSZBB250292ZHGK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adjustRightInd w:val="0"/>
              <w:snapToGrid w:val="0"/>
              <w:spacing w:line="288" w:lineRule="auto"/>
              <w:rPr>
                <w:rFonts w:hint="eastAsia" w:ascii="宋体" w:hAnsi="宋体" w:eastAsia="宋体" w:cs="宋体"/>
                <w:szCs w:val="21"/>
              </w:rPr>
            </w:pPr>
          </w:p>
        </w:tc>
        <w:tc>
          <w:tcPr>
            <w:tcW w:w="2574" w:type="dxa"/>
            <w:vAlign w:val="center"/>
          </w:tcPr>
          <w:p w14:paraId="702CD0E8">
            <w:pPr>
              <w:adjustRightInd w:val="0"/>
              <w:snapToGrid w:val="0"/>
              <w:spacing w:line="288" w:lineRule="auto"/>
              <w:rPr>
                <w:rFonts w:hint="eastAsia" w:ascii="宋体" w:hAnsi="宋体" w:eastAsia="宋体" w:cs="宋体"/>
                <w:szCs w:val="21"/>
              </w:rPr>
            </w:pPr>
          </w:p>
        </w:tc>
        <w:tc>
          <w:tcPr>
            <w:tcW w:w="2124" w:type="dxa"/>
            <w:vAlign w:val="center"/>
          </w:tcPr>
          <w:p w14:paraId="602EFA5A">
            <w:pPr>
              <w:adjustRightInd w:val="0"/>
              <w:snapToGrid w:val="0"/>
              <w:spacing w:line="288" w:lineRule="auto"/>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adjustRightInd w:val="0"/>
              <w:snapToGrid w:val="0"/>
              <w:spacing w:line="288" w:lineRule="auto"/>
              <w:rPr>
                <w:rFonts w:hint="eastAsia" w:ascii="宋体" w:hAnsi="宋体" w:eastAsia="宋体" w:cs="宋体"/>
                <w:szCs w:val="21"/>
              </w:rPr>
            </w:pPr>
          </w:p>
        </w:tc>
        <w:tc>
          <w:tcPr>
            <w:tcW w:w="2574" w:type="dxa"/>
            <w:vAlign w:val="center"/>
          </w:tcPr>
          <w:p w14:paraId="3887E5E7">
            <w:pPr>
              <w:adjustRightInd w:val="0"/>
              <w:snapToGrid w:val="0"/>
              <w:spacing w:line="288" w:lineRule="auto"/>
              <w:rPr>
                <w:rFonts w:hint="eastAsia" w:ascii="宋体" w:hAnsi="宋体" w:eastAsia="宋体" w:cs="宋体"/>
                <w:szCs w:val="21"/>
              </w:rPr>
            </w:pPr>
          </w:p>
        </w:tc>
        <w:tc>
          <w:tcPr>
            <w:tcW w:w="2124" w:type="dxa"/>
            <w:vAlign w:val="center"/>
          </w:tcPr>
          <w:p w14:paraId="376258A4">
            <w:pPr>
              <w:adjustRightInd w:val="0"/>
              <w:snapToGrid w:val="0"/>
              <w:spacing w:line="288" w:lineRule="auto"/>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adjustRightInd w:val="0"/>
              <w:snapToGrid w:val="0"/>
              <w:spacing w:line="288" w:lineRule="auto"/>
              <w:rPr>
                <w:rFonts w:hint="eastAsia" w:ascii="宋体" w:hAnsi="宋体" w:eastAsia="宋体" w:cs="宋体"/>
                <w:szCs w:val="21"/>
              </w:rPr>
            </w:pPr>
          </w:p>
        </w:tc>
        <w:tc>
          <w:tcPr>
            <w:tcW w:w="2574" w:type="dxa"/>
            <w:vAlign w:val="center"/>
          </w:tcPr>
          <w:p w14:paraId="2E789987">
            <w:pPr>
              <w:adjustRightInd w:val="0"/>
              <w:snapToGrid w:val="0"/>
              <w:spacing w:line="288" w:lineRule="auto"/>
              <w:rPr>
                <w:rFonts w:hint="eastAsia" w:ascii="宋体" w:hAnsi="宋体" w:eastAsia="宋体" w:cs="宋体"/>
                <w:szCs w:val="21"/>
              </w:rPr>
            </w:pPr>
          </w:p>
        </w:tc>
        <w:tc>
          <w:tcPr>
            <w:tcW w:w="2124" w:type="dxa"/>
            <w:vAlign w:val="center"/>
          </w:tcPr>
          <w:p w14:paraId="2374EA9A">
            <w:pPr>
              <w:adjustRightInd w:val="0"/>
              <w:snapToGrid w:val="0"/>
              <w:spacing w:line="288" w:lineRule="auto"/>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szCs w:val="21"/>
              </w:rPr>
            </w:pPr>
          </w:p>
        </w:tc>
        <w:tc>
          <w:tcPr>
            <w:tcW w:w="2574" w:type="dxa"/>
            <w:vAlign w:val="center"/>
          </w:tcPr>
          <w:p w14:paraId="4AB6CD2B">
            <w:pPr>
              <w:adjustRightInd w:val="0"/>
              <w:snapToGrid w:val="0"/>
              <w:spacing w:line="288" w:lineRule="auto"/>
              <w:jc w:val="left"/>
              <w:rPr>
                <w:rFonts w:hint="eastAsia" w:ascii="宋体" w:hAnsi="宋体" w:eastAsia="宋体" w:cs="宋体"/>
                <w:szCs w:val="21"/>
              </w:rPr>
            </w:pPr>
          </w:p>
        </w:tc>
        <w:tc>
          <w:tcPr>
            <w:tcW w:w="2124" w:type="dxa"/>
            <w:vAlign w:val="center"/>
          </w:tcPr>
          <w:p w14:paraId="69A44C64">
            <w:pPr>
              <w:adjustRightInd w:val="0"/>
              <w:snapToGrid w:val="0"/>
              <w:spacing w:line="288" w:lineRule="auto"/>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szCs w:val="21"/>
              </w:rPr>
            </w:pPr>
          </w:p>
        </w:tc>
        <w:tc>
          <w:tcPr>
            <w:tcW w:w="2574" w:type="dxa"/>
            <w:vAlign w:val="center"/>
          </w:tcPr>
          <w:p w14:paraId="5AC095DC">
            <w:pPr>
              <w:adjustRightInd w:val="0"/>
              <w:snapToGrid w:val="0"/>
              <w:spacing w:line="288" w:lineRule="auto"/>
              <w:jc w:val="left"/>
              <w:rPr>
                <w:rFonts w:hint="eastAsia" w:ascii="宋体" w:hAnsi="宋体" w:eastAsia="宋体" w:cs="宋体"/>
                <w:szCs w:val="21"/>
              </w:rPr>
            </w:pPr>
          </w:p>
        </w:tc>
        <w:tc>
          <w:tcPr>
            <w:tcW w:w="2124" w:type="dxa"/>
            <w:vAlign w:val="center"/>
          </w:tcPr>
          <w:p w14:paraId="49819366">
            <w:pPr>
              <w:adjustRightInd w:val="0"/>
              <w:snapToGrid w:val="0"/>
              <w:spacing w:line="288" w:lineRule="auto"/>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szCs w:val="21"/>
              </w:rPr>
            </w:pPr>
          </w:p>
        </w:tc>
        <w:tc>
          <w:tcPr>
            <w:tcW w:w="2574" w:type="dxa"/>
            <w:vAlign w:val="center"/>
          </w:tcPr>
          <w:p w14:paraId="1BB8933B">
            <w:pPr>
              <w:adjustRightInd w:val="0"/>
              <w:snapToGrid w:val="0"/>
              <w:spacing w:line="288" w:lineRule="auto"/>
              <w:jc w:val="left"/>
              <w:rPr>
                <w:rFonts w:hint="eastAsia" w:ascii="宋体" w:hAnsi="宋体" w:eastAsia="宋体" w:cs="宋体"/>
                <w:szCs w:val="21"/>
              </w:rPr>
            </w:pPr>
          </w:p>
        </w:tc>
        <w:tc>
          <w:tcPr>
            <w:tcW w:w="2124" w:type="dxa"/>
            <w:vAlign w:val="center"/>
          </w:tcPr>
          <w:p w14:paraId="4EFFEE27">
            <w:pPr>
              <w:adjustRightInd w:val="0"/>
              <w:snapToGrid w:val="0"/>
              <w:spacing w:line="288" w:lineRule="auto"/>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adjustRightInd w:val="0"/>
              <w:snapToGrid w:val="0"/>
              <w:spacing w:line="288" w:lineRule="auto"/>
              <w:rPr>
                <w:rFonts w:hint="eastAsia" w:ascii="宋体" w:hAnsi="宋体" w:eastAsia="宋体" w:cs="宋体"/>
                <w:szCs w:val="21"/>
              </w:rPr>
            </w:pPr>
          </w:p>
        </w:tc>
        <w:tc>
          <w:tcPr>
            <w:tcW w:w="2574" w:type="dxa"/>
            <w:vAlign w:val="center"/>
          </w:tcPr>
          <w:p w14:paraId="58B8E02A">
            <w:pPr>
              <w:adjustRightInd w:val="0"/>
              <w:snapToGrid w:val="0"/>
              <w:spacing w:line="288" w:lineRule="auto"/>
              <w:rPr>
                <w:rFonts w:hint="eastAsia" w:ascii="宋体" w:hAnsi="宋体" w:eastAsia="宋体" w:cs="宋体"/>
                <w:szCs w:val="21"/>
              </w:rPr>
            </w:pPr>
          </w:p>
        </w:tc>
        <w:tc>
          <w:tcPr>
            <w:tcW w:w="2124" w:type="dxa"/>
            <w:vAlign w:val="center"/>
          </w:tcPr>
          <w:p w14:paraId="4091EEC4">
            <w:pPr>
              <w:adjustRightInd w:val="0"/>
              <w:snapToGrid w:val="0"/>
              <w:spacing w:line="288" w:lineRule="auto"/>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adjustRightInd w:val="0"/>
              <w:snapToGrid w:val="0"/>
              <w:spacing w:line="288" w:lineRule="auto"/>
              <w:rPr>
                <w:rFonts w:hint="eastAsia" w:ascii="宋体" w:hAnsi="宋体" w:eastAsia="宋体" w:cs="宋体"/>
                <w:szCs w:val="21"/>
              </w:rPr>
            </w:pPr>
          </w:p>
        </w:tc>
        <w:tc>
          <w:tcPr>
            <w:tcW w:w="2574" w:type="dxa"/>
            <w:vAlign w:val="center"/>
          </w:tcPr>
          <w:p w14:paraId="486C04ED">
            <w:pPr>
              <w:adjustRightInd w:val="0"/>
              <w:snapToGrid w:val="0"/>
              <w:spacing w:line="288" w:lineRule="auto"/>
              <w:rPr>
                <w:rFonts w:hint="eastAsia" w:ascii="宋体" w:hAnsi="宋体" w:eastAsia="宋体" w:cs="宋体"/>
                <w:szCs w:val="21"/>
              </w:rPr>
            </w:pPr>
          </w:p>
        </w:tc>
        <w:tc>
          <w:tcPr>
            <w:tcW w:w="2124" w:type="dxa"/>
            <w:vAlign w:val="center"/>
          </w:tcPr>
          <w:p w14:paraId="558791D1">
            <w:pPr>
              <w:adjustRightInd w:val="0"/>
              <w:snapToGrid w:val="0"/>
              <w:spacing w:line="288" w:lineRule="auto"/>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adjustRightInd w:val="0"/>
              <w:snapToGrid w:val="0"/>
              <w:spacing w:line="288" w:lineRule="auto"/>
              <w:rPr>
                <w:rFonts w:hint="eastAsia" w:ascii="宋体" w:hAnsi="宋体" w:eastAsia="宋体" w:cs="宋体"/>
                <w:szCs w:val="21"/>
              </w:rPr>
            </w:pPr>
          </w:p>
        </w:tc>
        <w:tc>
          <w:tcPr>
            <w:tcW w:w="2574" w:type="dxa"/>
            <w:vAlign w:val="center"/>
          </w:tcPr>
          <w:p w14:paraId="1C372D07">
            <w:pPr>
              <w:adjustRightInd w:val="0"/>
              <w:snapToGrid w:val="0"/>
              <w:spacing w:line="288" w:lineRule="auto"/>
              <w:rPr>
                <w:rFonts w:hint="eastAsia" w:ascii="宋体" w:hAnsi="宋体" w:eastAsia="宋体" w:cs="宋体"/>
                <w:szCs w:val="21"/>
              </w:rPr>
            </w:pPr>
          </w:p>
        </w:tc>
        <w:tc>
          <w:tcPr>
            <w:tcW w:w="2124" w:type="dxa"/>
            <w:vAlign w:val="center"/>
          </w:tcPr>
          <w:p w14:paraId="0680D771">
            <w:pPr>
              <w:adjustRightInd w:val="0"/>
              <w:snapToGrid w:val="0"/>
              <w:spacing w:line="288" w:lineRule="auto"/>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备注</w:t>
            </w:r>
          </w:p>
          <w:p w14:paraId="6D12CBC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项目名称：超快瞬态吸收显微成像系统</w:t>
      </w:r>
    </w:p>
    <w:p w14:paraId="4ADB52C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项目编号：QSZBB250292ZHGK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单价</w:t>
            </w:r>
          </w:p>
          <w:p w14:paraId="33843E8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合计</w:t>
            </w:r>
          </w:p>
          <w:p w14:paraId="7330551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adjustRightInd w:val="0"/>
              <w:snapToGrid w:val="0"/>
              <w:spacing w:line="288" w:lineRule="auto"/>
              <w:rPr>
                <w:rFonts w:hint="eastAsia" w:ascii="宋体" w:hAnsi="宋体" w:eastAsia="宋体" w:cs="宋体"/>
                <w:b/>
                <w:bCs/>
                <w:szCs w:val="21"/>
              </w:rPr>
            </w:pPr>
          </w:p>
          <w:p w14:paraId="0C631DF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adjustRightInd w:val="0"/>
              <w:snapToGrid w:val="0"/>
              <w:spacing w:line="288" w:lineRule="auto"/>
              <w:rPr>
                <w:rFonts w:hint="eastAsia" w:ascii="宋体" w:hAnsi="宋体" w:eastAsia="宋体" w:cs="宋体"/>
                <w:b/>
                <w:bCs/>
                <w:szCs w:val="21"/>
              </w:rPr>
            </w:pPr>
          </w:p>
          <w:p w14:paraId="5FEFE13F">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adjustRightInd w:val="0"/>
              <w:snapToGrid w:val="0"/>
              <w:spacing w:line="288" w:lineRule="auto"/>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szCs w:val="21"/>
              </w:rPr>
            </w:pPr>
          </w:p>
        </w:tc>
        <w:tc>
          <w:tcPr>
            <w:tcW w:w="4814" w:type="dxa"/>
          </w:tcPr>
          <w:p w14:paraId="6E2B4F3D">
            <w:pPr>
              <w:snapToGrid w:val="0"/>
              <w:spacing w:line="288" w:lineRule="auto"/>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030D"/>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69B1"/>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434"/>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1815"/>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BD3"/>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8FD"/>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3769"/>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8B5A99"/>
    <w:rsid w:val="01F81427"/>
    <w:rsid w:val="03295346"/>
    <w:rsid w:val="03825CD7"/>
    <w:rsid w:val="03D76B09"/>
    <w:rsid w:val="03F93561"/>
    <w:rsid w:val="05D34727"/>
    <w:rsid w:val="05D9297D"/>
    <w:rsid w:val="07650D44"/>
    <w:rsid w:val="07DB5C37"/>
    <w:rsid w:val="08931933"/>
    <w:rsid w:val="0A081641"/>
    <w:rsid w:val="0A8F0E99"/>
    <w:rsid w:val="0B4A1776"/>
    <w:rsid w:val="0BD50265"/>
    <w:rsid w:val="0BEC010D"/>
    <w:rsid w:val="0C786503"/>
    <w:rsid w:val="0CF47C50"/>
    <w:rsid w:val="0D1A04C9"/>
    <w:rsid w:val="0DA43FD6"/>
    <w:rsid w:val="0DCB77B4"/>
    <w:rsid w:val="0FF539C8"/>
    <w:rsid w:val="10757130"/>
    <w:rsid w:val="112B34AD"/>
    <w:rsid w:val="11317878"/>
    <w:rsid w:val="11FF5827"/>
    <w:rsid w:val="18090C43"/>
    <w:rsid w:val="18FB5F15"/>
    <w:rsid w:val="198D5F10"/>
    <w:rsid w:val="1B321622"/>
    <w:rsid w:val="1BA27EE5"/>
    <w:rsid w:val="1E452027"/>
    <w:rsid w:val="1EEB1A56"/>
    <w:rsid w:val="1F3E18B7"/>
    <w:rsid w:val="1F9C38D3"/>
    <w:rsid w:val="20767551"/>
    <w:rsid w:val="212705BE"/>
    <w:rsid w:val="21AC2FA2"/>
    <w:rsid w:val="21DB64E2"/>
    <w:rsid w:val="221C4C30"/>
    <w:rsid w:val="22A70B6C"/>
    <w:rsid w:val="22AD65CC"/>
    <w:rsid w:val="23C14303"/>
    <w:rsid w:val="23FF4622"/>
    <w:rsid w:val="2522299D"/>
    <w:rsid w:val="25A217AC"/>
    <w:rsid w:val="25C002EC"/>
    <w:rsid w:val="27432BC1"/>
    <w:rsid w:val="27F0275A"/>
    <w:rsid w:val="28580092"/>
    <w:rsid w:val="28BC23D4"/>
    <w:rsid w:val="2AA10ED5"/>
    <w:rsid w:val="2ADA0518"/>
    <w:rsid w:val="2C921974"/>
    <w:rsid w:val="2DBE14C9"/>
    <w:rsid w:val="2E2B31E3"/>
    <w:rsid w:val="2EAE2349"/>
    <w:rsid w:val="2ED77388"/>
    <w:rsid w:val="2F380CDF"/>
    <w:rsid w:val="2F6A64D8"/>
    <w:rsid w:val="30616EA9"/>
    <w:rsid w:val="31A44D82"/>
    <w:rsid w:val="320C1026"/>
    <w:rsid w:val="32BE120D"/>
    <w:rsid w:val="330C0EF9"/>
    <w:rsid w:val="33506DE6"/>
    <w:rsid w:val="33B73EB0"/>
    <w:rsid w:val="34004E73"/>
    <w:rsid w:val="342274BB"/>
    <w:rsid w:val="349B054D"/>
    <w:rsid w:val="35194EAC"/>
    <w:rsid w:val="35A54CED"/>
    <w:rsid w:val="37534CA7"/>
    <w:rsid w:val="37C157A9"/>
    <w:rsid w:val="37D824F1"/>
    <w:rsid w:val="39B918B5"/>
    <w:rsid w:val="3B0C4DFA"/>
    <w:rsid w:val="3C4D26C6"/>
    <w:rsid w:val="3D044EFC"/>
    <w:rsid w:val="3E6946AD"/>
    <w:rsid w:val="3EB60CB3"/>
    <w:rsid w:val="3EC436F9"/>
    <w:rsid w:val="3F740895"/>
    <w:rsid w:val="3FB93DC6"/>
    <w:rsid w:val="402A691C"/>
    <w:rsid w:val="422E66F3"/>
    <w:rsid w:val="4275164D"/>
    <w:rsid w:val="43065D72"/>
    <w:rsid w:val="430A3262"/>
    <w:rsid w:val="43481AD9"/>
    <w:rsid w:val="43762B27"/>
    <w:rsid w:val="44265D88"/>
    <w:rsid w:val="46A824B9"/>
    <w:rsid w:val="46BB170B"/>
    <w:rsid w:val="47510906"/>
    <w:rsid w:val="47D634B5"/>
    <w:rsid w:val="495D70F7"/>
    <w:rsid w:val="497349FC"/>
    <w:rsid w:val="498C1364"/>
    <w:rsid w:val="4B7D5F80"/>
    <w:rsid w:val="4BF40741"/>
    <w:rsid w:val="4C5E019B"/>
    <w:rsid w:val="4F64249F"/>
    <w:rsid w:val="4F6E1200"/>
    <w:rsid w:val="4FAD7E60"/>
    <w:rsid w:val="4FEE189E"/>
    <w:rsid w:val="500B7C38"/>
    <w:rsid w:val="52826DF3"/>
    <w:rsid w:val="5345653C"/>
    <w:rsid w:val="53F038EA"/>
    <w:rsid w:val="549F2962"/>
    <w:rsid w:val="54E01333"/>
    <w:rsid w:val="554779BB"/>
    <w:rsid w:val="5668599A"/>
    <w:rsid w:val="59BA69E3"/>
    <w:rsid w:val="5A661DF4"/>
    <w:rsid w:val="5ACF0178"/>
    <w:rsid w:val="5ACF55AA"/>
    <w:rsid w:val="5B9E3DE4"/>
    <w:rsid w:val="5BE42A48"/>
    <w:rsid w:val="5C3E17F9"/>
    <w:rsid w:val="5C483ABC"/>
    <w:rsid w:val="5D052980"/>
    <w:rsid w:val="5D3A6920"/>
    <w:rsid w:val="5D8135CC"/>
    <w:rsid w:val="5DF10A2F"/>
    <w:rsid w:val="5EB10270"/>
    <w:rsid w:val="5ED57F57"/>
    <w:rsid w:val="5EF534F9"/>
    <w:rsid w:val="600446EC"/>
    <w:rsid w:val="600D2EE6"/>
    <w:rsid w:val="61D4087B"/>
    <w:rsid w:val="621760F6"/>
    <w:rsid w:val="62246B60"/>
    <w:rsid w:val="628A2B7E"/>
    <w:rsid w:val="644F1ACD"/>
    <w:rsid w:val="64751744"/>
    <w:rsid w:val="67060D39"/>
    <w:rsid w:val="67FF1998"/>
    <w:rsid w:val="680D1D99"/>
    <w:rsid w:val="69431270"/>
    <w:rsid w:val="6A147DD2"/>
    <w:rsid w:val="6A7F4F75"/>
    <w:rsid w:val="6ACA16F9"/>
    <w:rsid w:val="6B16774A"/>
    <w:rsid w:val="6C467142"/>
    <w:rsid w:val="6CB03B45"/>
    <w:rsid w:val="6ECE2681"/>
    <w:rsid w:val="6ED12033"/>
    <w:rsid w:val="72340F9C"/>
    <w:rsid w:val="75470C13"/>
    <w:rsid w:val="763243C9"/>
    <w:rsid w:val="774152C9"/>
    <w:rsid w:val="793070F8"/>
    <w:rsid w:val="79D825C1"/>
    <w:rsid w:val="7B5D131E"/>
    <w:rsid w:val="7B815D54"/>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54</Pages>
  <Words>31680</Words>
  <Characters>33866</Characters>
  <Lines>903</Lines>
  <Paragraphs>1255</Paragraphs>
  <TotalTime>4</TotalTime>
  <ScaleCrop>false</ScaleCrop>
  <LinksUpToDate>false</LinksUpToDate>
  <CharactersWithSpaces>34445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2025-10-13T07:30:00Z</dcterms:created>
  <dc:creator>hj j</dc:creator>
  <cp:lastModifiedBy>yubin</cp:lastModifiedBy>
  <cp:lastPrinted>2022-10-31T00:58:00Z</cp:lastPrinted>
  <dcterms:modified xsi:type="dcterms:W3CDTF">2025-10-13T09:26:43Z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