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78F770">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23076CB2">
      <w:pPr>
        <w:pStyle w:val="145"/>
        <w:widowControl w:val="0"/>
        <w:snapToGrid w:val="0"/>
        <w:spacing w:line="470" w:lineRule="atLeast"/>
        <w:ind w:firstLine="0"/>
        <w:jc w:val="center"/>
        <w:rPr>
          <w:rFonts w:ascii="黑体" w:hAnsi="宋体" w:eastAsia="黑体"/>
          <w:b w:val="0"/>
          <w:color w:val="auto"/>
          <w:sz w:val="32"/>
        </w:rPr>
      </w:pPr>
    </w:p>
    <w:p w14:paraId="6D7FD9E0">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8FEC618">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智能考试综合服务平台采购项目</w:t>
      </w:r>
    </w:p>
    <w:p w14:paraId="03EEDC7B">
      <w:pPr>
        <w:pStyle w:val="145"/>
        <w:widowControl w:val="0"/>
        <w:snapToGrid w:val="0"/>
        <w:spacing w:line="470" w:lineRule="atLeast"/>
        <w:ind w:firstLine="0"/>
        <w:jc w:val="center"/>
        <w:rPr>
          <w:rFonts w:ascii="黑体" w:eastAsia="黑体"/>
          <w:b w:val="0"/>
          <w:color w:val="auto"/>
          <w:sz w:val="36"/>
          <w:szCs w:val="36"/>
        </w:rPr>
      </w:pPr>
    </w:p>
    <w:p w14:paraId="6419B400">
      <w:pPr>
        <w:pStyle w:val="145"/>
        <w:widowControl w:val="0"/>
        <w:snapToGrid w:val="0"/>
        <w:spacing w:line="470" w:lineRule="atLeast"/>
        <w:ind w:firstLine="0"/>
        <w:jc w:val="center"/>
        <w:rPr>
          <w:rFonts w:ascii="黑体" w:eastAsia="黑体"/>
          <w:b w:val="0"/>
          <w:color w:val="auto"/>
          <w:sz w:val="36"/>
        </w:rPr>
      </w:pPr>
    </w:p>
    <w:p w14:paraId="0186D2AB">
      <w:pPr>
        <w:pStyle w:val="145"/>
        <w:widowControl w:val="0"/>
        <w:snapToGrid w:val="0"/>
        <w:spacing w:line="470" w:lineRule="atLeast"/>
        <w:ind w:firstLine="0"/>
        <w:jc w:val="center"/>
        <w:rPr>
          <w:rFonts w:ascii="黑体" w:eastAsia="黑体"/>
          <w:b w:val="0"/>
          <w:color w:val="auto"/>
          <w:sz w:val="36"/>
        </w:rPr>
      </w:pPr>
    </w:p>
    <w:p w14:paraId="7DC6A487">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7741761">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39729F12">
      <w:pPr>
        <w:pStyle w:val="145"/>
        <w:widowControl w:val="0"/>
        <w:snapToGrid w:val="0"/>
        <w:spacing w:line="360" w:lineRule="auto"/>
        <w:ind w:firstLine="2400" w:firstLineChars="750"/>
        <w:rPr>
          <w:rFonts w:ascii="黑体" w:hAnsi="宋体" w:eastAsia="黑体"/>
          <w:b w:val="0"/>
          <w:color w:val="auto"/>
          <w:sz w:val="32"/>
        </w:rPr>
      </w:pPr>
    </w:p>
    <w:p w14:paraId="0676EC4B">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w:t>
      </w:r>
      <w:r>
        <w:rPr>
          <w:rFonts w:hint="eastAsia" w:ascii="黑体" w:hAnsi="宋体" w:eastAsia="黑体"/>
          <w:b w:val="0"/>
          <w:color w:val="00B050"/>
          <w:sz w:val="32"/>
        </w:rPr>
        <w:t>202</w:t>
      </w:r>
      <w:r>
        <w:rPr>
          <w:rFonts w:hint="eastAsia" w:ascii="黑体" w:hAnsi="宋体" w:eastAsia="黑体"/>
          <w:b w:val="0"/>
          <w:color w:val="00B050"/>
          <w:sz w:val="32"/>
          <w:lang w:val="en-US" w:eastAsia="zh-CN"/>
        </w:rPr>
        <w:t>6</w:t>
      </w:r>
      <w:r>
        <w:rPr>
          <w:rFonts w:hint="eastAsia" w:ascii="黑体" w:hAnsi="宋体" w:eastAsia="黑体"/>
          <w:b w:val="0"/>
          <w:color w:val="00B050"/>
          <w:sz w:val="32"/>
        </w:rPr>
        <w:t>-JH-CS</w:t>
      </w:r>
      <w:r>
        <w:rPr>
          <w:rFonts w:hint="eastAsia" w:ascii="黑体" w:hAnsi="宋体" w:eastAsia="黑体"/>
          <w:b w:val="0"/>
          <w:color w:val="00B050"/>
          <w:sz w:val="32"/>
          <w:lang w:val="en-US" w:eastAsia="zh-CN"/>
        </w:rPr>
        <w:t>17</w:t>
      </w:r>
    </w:p>
    <w:p w14:paraId="7D3DBBE8">
      <w:pPr>
        <w:pStyle w:val="145"/>
        <w:widowControl w:val="0"/>
        <w:snapToGrid w:val="0"/>
        <w:spacing w:line="470" w:lineRule="atLeast"/>
        <w:ind w:firstLine="0"/>
        <w:jc w:val="center"/>
        <w:rPr>
          <w:color w:val="auto"/>
        </w:rPr>
      </w:pPr>
    </w:p>
    <w:p w14:paraId="1F34612B">
      <w:pPr>
        <w:pStyle w:val="145"/>
        <w:widowControl w:val="0"/>
        <w:snapToGrid w:val="0"/>
        <w:spacing w:line="470" w:lineRule="atLeast"/>
        <w:ind w:firstLine="0"/>
        <w:jc w:val="center"/>
        <w:rPr>
          <w:color w:val="auto"/>
        </w:rPr>
      </w:pPr>
    </w:p>
    <w:p w14:paraId="6034891E">
      <w:pPr>
        <w:pStyle w:val="145"/>
        <w:widowControl w:val="0"/>
        <w:snapToGrid w:val="0"/>
        <w:spacing w:line="470" w:lineRule="atLeast"/>
        <w:ind w:firstLine="0"/>
        <w:jc w:val="center"/>
        <w:rPr>
          <w:color w:val="auto"/>
        </w:rPr>
      </w:pPr>
    </w:p>
    <w:p w14:paraId="25D50CF5">
      <w:pPr>
        <w:pStyle w:val="145"/>
        <w:widowControl w:val="0"/>
        <w:snapToGrid w:val="0"/>
        <w:spacing w:line="470" w:lineRule="atLeast"/>
        <w:ind w:firstLine="0"/>
        <w:jc w:val="center"/>
        <w:rPr>
          <w:color w:val="auto"/>
        </w:rPr>
      </w:pPr>
    </w:p>
    <w:p w14:paraId="3C7C2584">
      <w:pPr>
        <w:pStyle w:val="145"/>
        <w:widowControl w:val="0"/>
        <w:snapToGrid w:val="0"/>
        <w:spacing w:line="470" w:lineRule="atLeast"/>
        <w:ind w:firstLine="0"/>
        <w:jc w:val="center"/>
        <w:rPr>
          <w:color w:val="auto"/>
        </w:rPr>
      </w:pPr>
    </w:p>
    <w:p w14:paraId="21ADA8A5">
      <w:pPr>
        <w:pStyle w:val="145"/>
        <w:widowControl w:val="0"/>
        <w:snapToGrid w:val="0"/>
        <w:spacing w:line="470" w:lineRule="atLeast"/>
        <w:ind w:firstLine="0"/>
        <w:jc w:val="center"/>
        <w:rPr>
          <w:color w:val="auto"/>
        </w:rPr>
      </w:pPr>
    </w:p>
    <w:p w14:paraId="44BC4B61">
      <w:pPr>
        <w:pStyle w:val="145"/>
        <w:widowControl w:val="0"/>
        <w:snapToGrid w:val="0"/>
        <w:spacing w:line="470" w:lineRule="atLeast"/>
        <w:ind w:firstLine="0"/>
        <w:jc w:val="center"/>
        <w:rPr>
          <w:color w:val="auto"/>
        </w:rPr>
      </w:pPr>
    </w:p>
    <w:p w14:paraId="6FCD9DC1">
      <w:pPr>
        <w:pStyle w:val="145"/>
        <w:widowControl w:val="0"/>
        <w:snapToGrid w:val="0"/>
        <w:spacing w:line="470" w:lineRule="atLeast"/>
        <w:ind w:firstLine="0"/>
        <w:jc w:val="center"/>
        <w:rPr>
          <w:color w:val="auto"/>
        </w:rPr>
      </w:pPr>
    </w:p>
    <w:p w14:paraId="03916CCB">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54E12F33">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00B050"/>
          <w:sz w:val="32"/>
          <w:szCs w:val="32"/>
        </w:rPr>
        <w:t>202</w:t>
      </w:r>
      <w:r>
        <w:rPr>
          <w:rFonts w:hint="eastAsia" w:ascii="黑体" w:eastAsia="黑体"/>
          <w:b w:val="0"/>
          <w:color w:val="00B050"/>
          <w:sz w:val="32"/>
          <w:szCs w:val="32"/>
          <w:lang w:val="en-US" w:eastAsia="zh-CN"/>
        </w:rPr>
        <w:t>6</w:t>
      </w:r>
      <w:r>
        <w:rPr>
          <w:rFonts w:hint="eastAsia" w:ascii="黑体" w:eastAsia="黑体"/>
          <w:b w:val="0"/>
          <w:color w:val="00B050"/>
          <w:sz w:val="32"/>
          <w:szCs w:val="32"/>
        </w:rPr>
        <w:t>年</w:t>
      </w:r>
      <w:r>
        <w:rPr>
          <w:rFonts w:hint="default" w:ascii="黑体" w:eastAsia="黑体"/>
          <w:b w:val="0"/>
          <w:color w:val="00B050"/>
          <w:sz w:val="32"/>
          <w:szCs w:val="32"/>
          <w:woUserID w:val="1"/>
        </w:rPr>
        <w:t>10</w:t>
      </w:r>
      <w:r>
        <w:rPr>
          <w:rFonts w:hint="eastAsia" w:ascii="黑体" w:eastAsia="黑体"/>
          <w:b w:val="0"/>
          <w:color w:val="00B050"/>
          <w:sz w:val="32"/>
          <w:szCs w:val="32"/>
        </w:rPr>
        <w:t>月</w:t>
      </w:r>
      <w:r>
        <w:rPr>
          <w:rFonts w:hint="default" w:ascii="黑体" w:eastAsia="黑体"/>
          <w:b w:val="0"/>
          <w:color w:val="00B050"/>
          <w:sz w:val="32"/>
          <w:szCs w:val="32"/>
          <w:woUserID w:val="1"/>
        </w:rPr>
        <w:t>23</w:t>
      </w:r>
      <w:r>
        <w:rPr>
          <w:rFonts w:hint="eastAsia" w:ascii="黑体" w:eastAsia="黑体"/>
          <w:b w:val="0"/>
          <w:color w:val="00B050"/>
          <w:sz w:val="32"/>
          <w:szCs w:val="32"/>
        </w:rPr>
        <w:t>日</w:t>
      </w:r>
    </w:p>
    <w:p w14:paraId="2FB67B80">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00B666EA">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00EF9056">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w:instrText>
      </w:r>
      <w:r>
        <w:rPr>
          <w:rFonts w:hint="eastAsia" w:ascii="宋体" w:hAnsi="宋体" w:eastAsia="宋体" w:cs="宋体"/>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_Toc20703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第一部分 竞争性磋商公告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_Toc20703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17EF2717">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_Toc14540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bidi="ar-SA"/>
        </w:rPr>
        <w:t>第二部分 响应方须知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_Toc14540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FF34F92">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_Toc1935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_Toc1935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34EE8AE">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_Toc7512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一、磋商说明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_Toc7512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0299476">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_Toc21682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二、磋商文件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_Toc21682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6C1B080">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_Toc1968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三、响应文件的编制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_Toc1968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F7C75CF">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_Toc23046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四、响应无效的情形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_Toc23046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599A272">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_Toc32198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五、开启响应文件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_Toc32198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6FCD53F">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_Toc27697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六、评审和磋商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_Toc27697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0612388">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_Toc22047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七、合同授予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_Toc22047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067B9A9">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_Toc29236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lang w:val="en-US" w:eastAsia="zh-CN"/>
        </w:rPr>
        <w:t>八</w:t>
      </w:r>
      <w:r>
        <w:rPr>
          <w:rFonts w:hint="eastAsia" w:ascii="宋体" w:hAnsi="宋体" w:eastAsia="宋体" w:cs="宋体"/>
          <w:snapToGrid w:val="0"/>
          <w:kern w:val="44"/>
          <w:sz w:val="24"/>
          <w:szCs w:val="24"/>
        </w:rPr>
        <w:t>、可中止电子交易活动的情形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_Toc29236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4F0C4CE">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_Toc25602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rPr>
        <w:t>第三</w:t>
      </w:r>
      <w:r>
        <w:rPr>
          <w:rFonts w:hint="eastAsia" w:ascii="宋体" w:hAnsi="宋体" w:eastAsia="宋体" w:cs="宋体"/>
          <w:b/>
          <w:bCs/>
          <w:kern w:val="44"/>
          <w:sz w:val="24"/>
          <w:szCs w:val="24"/>
          <w:lang w:val="en-US" w:eastAsia="zh-CN" w:bidi="ar-SA"/>
        </w:rPr>
        <w:t>部分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_Toc25602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C7B4A71">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_Toc354 </w:instrText>
      </w:r>
      <w:r>
        <w:rPr>
          <w:rFonts w:hint="eastAsia" w:ascii="宋体" w:hAnsi="宋体" w:eastAsia="宋体" w:cs="宋体"/>
          <w:sz w:val="24"/>
          <w:szCs w:val="24"/>
        </w:rPr>
        <w:fldChar w:fldCharType="separate"/>
      </w:r>
      <w:r>
        <w:rPr>
          <w:rFonts w:hint="eastAsia" w:ascii="宋体" w:hAnsi="宋体" w:eastAsia="宋体" w:cs="宋体"/>
          <w:sz w:val="24"/>
          <w:szCs w:val="24"/>
        </w:rPr>
        <w:t>一、</w:t>
      </w:r>
      <w:r>
        <w:rPr>
          <w:rFonts w:hint="eastAsia" w:ascii="宋体" w:hAnsi="宋体" w:eastAsia="宋体" w:cs="宋体"/>
          <w:sz w:val="24"/>
          <w:szCs w:val="24"/>
          <w:lang w:val="en-US" w:eastAsia="zh-CN"/>
        </w:rPr>
        <w:t>项目概况</w:t>
      </w:r>
      <w:r>
        <w:rPr>
          <w:rFonts w:hint="eastAsia" w:ascii="宋体" w:hAnsi="宋体" w:cs="宋体"/>
          <w:sz w:val="24"/>
          <w:szCs w:val="24"/>
          <w:lang w:val="en-US" w:eastAsia="zh-CN"/>
        </w:rPr>
        <w:t>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_Toc354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7AF7BA0">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_Toc16915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二、货物</w:t>
      </w:r>
      <w:r>
        <w:rPr>
          <w:rFonts w:hint="eastAsia" w:ascii="宋体" w:hAnsi="宋体" w:eastAsia="宋体" w:cs="宋体"/>
          <w:sz w:val="24"/>
          <w:szCs w:val="24"/>
        </w:rPr>
        <w:t>清单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_Toc16915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ACC8202">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_Toc8704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三</w:t>
      </w:r>
      <w:r>
        <w:rPr>
          <w:rFonts w:hint="eastAsia" w:ascii="宋体" w:hAnsi="宋体" w:eastAsia="宋体" w:cs="宋体"/>
          <w:sz w:val="24"/>
          <w:szCs w:val="24"/>
        </w:rPr>
        <w:t>、商务要求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_Toc8704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121E7BB">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_Toc5869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第四部分 评审办法与评分标准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_Toc5869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7739FAC">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_Toc18940 </w:instrText>
      </w:r>
      <w:r>
        <w:rPr>
          <w:rFonts w:hint="eastAsia" w:ascii="宋体" w:hAnsi="宋体" w:eastAsia="宋体" w:cs="宋体"/>
          <w:sz w:val="24"/>
          <w:szCs w:val="24"/>
        </w:rPr>
        <w:fldChar w:fldCharType="separate"/>
      </w:r>
      <w:r>
        <w:rPr>
          <w:rFonts w:hint="eastAsia" w:ascii="宋体" w:hAnsi="宋体" w:eastAsia="宋体" w:cs="宋体"/>
          <w:sz w:val="24"/>
          <w:szCs w:val="24"/>
        </w:rPr>
        <w:t>一、评审方法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_Toc18940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F5CF01E">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_Toc19324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_Toc19324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35AA45D">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_Toc18022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第五部分 合同基本条款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_Toc18022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DE469D5">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_Toc10525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第六部分 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_Toc10525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49F3F53">
      <w:pPr>
        <w:pStyle w:val="38"/>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_Toc20868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rPr>
        <w:t>资格文件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_Toc20868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1EA395D">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_Toc17878 </w:instrText>
      </w:r>
      <w:r>
        <w:rPr>
          <w:rFonts w:hint="eastAsia" w:ascii="宋体" w:hAnsi="宋体" w:eastAsia="宋体" w:cs="宋体"/>
          <w:sz w:val="24"/>
          <w:szCs w:val="24"/>
        </w:rPr>
        <w:fldChar w:fldCharType="separate"/>
      </w:r>
      <w:r>
        <w:rPr>
          <w:rFonts w:hint="eastAsia" w:ascii="宋体" w:hAnsi="宋体" w:eastAsia="宋体" w:cs="宋体"/>
          <w:sz w:val="24"/>
          <w:szCs w:val="24"/>
        </w:rPr>
        <w:t>1）有效的法人或者其他组织的营业执照等证明文件，自然人的身份证明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_Toc17878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4FE3682">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_Toc17086 </w:instrText>
      </w:r>
      <w:r>
        <w:rPr>
          <w:rFonts w:hint="eastAsia" w:ascii="宋体" w:hAnsi="宋体" w:eastAsia="宋体" w:cs="宋体"/>
          <w:sz w:val="24"/>
          <w:szCs w:val="24"/>
        </w:rPr>
        <w:fldChar w:fldCharType="separate"/>
      </w:r>
      <w:r>
        <w:rPr>
          <w:rFonts w:hint="eastAsia" w:ascii="宋体" w:hAnsi="宋体" w:eastAsia="宋体" w:cs="宋体"/>
          <w:sz w:val="24"/>
          <w:szCs w:val="24"/>
        </w:rPr>
        <w:t>2）资格条件承诺函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_Toc17086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FDCD1A">
      <w:pPr>
        <w:pStyle w:val="38"/>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_Toc5915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rPr>
        <w:t>报价文件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_Toc5915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5D0F1C0">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_Toc28342 </w:instrText>
      </w:r>
      <w:r>
        <w:rPr>
          <w:rFonts w:hint="eastAsia" w:ascii="宋体" w:hAnsi="宋体" w:eastAsia="宋体" w:cs="宋体"/>
          <w:sz w:val="24"/>
          <w:szCs w:val="24"/>
        </w:rPr>
        <w:fldChar w:fldCharType="separate"/>
      </w:r>
      <w:r>
        <w:rPr>
          <w:rFonts w:hint="eastAsia" w:ascii="宋体" w:hAnsi="宋体" w:eastAsia="宋体" w:cs="宋体"/>
          <w:sz w:val="24"/>
          <w:szCs w:val="24"/>
        </w:rPr>
        <w:t>（1）初次报价一览表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_Toc28342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2363565">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_Toc2048 </w:instrText>
      </w:r>
      <w:r>
        <w:rPr>
          <w:rFonts w:hint="eastAsia" w:ascii="宋体" w:hAnsi="宋体" w:eastAsia="宋体" w:cs="宋体"/>
          <w:sz w:val="24"/>
          <w:szCs w:val="24"/>
        </w:rPr>
        <w:fldChar w:fldCharType="separate"/>
      </w:r>
      <w:r>
        <w:rPr>
          <w:rFonts w:hint="eastAsia" w:ascii="宋体" w:hAnsi="宋体" w:eastAsia="宋体" w:cs="宋体"/>
          <w:sz w:val="24"/>
          <w:szCs w:val="24"/>
        </w:rPr>
        <w:t>（2）中小企业声明函（若属于中小企业）</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_Toc2048 </w:instrText>
      </w:r>
      <w:r>
        <w:rPr>
          <w:rFonts w:hint="eastAsia" w:ascii="宋体" w:hAnsi="宋体" w:eastAsia="宋体" w:cs="宋体"/>
          <w:sz w:val="24"/>
          <w:szCs w:val="24"/>
        </w:rPr>
        <w:fldChar w:fldCharType="separate"/>
      </w:r>
      <w:r>
        <w:rPr>
          <w:rFonts w:hint="eastAsia" w:ascii="宋体" w:hAnsi="宋体" w:eastAsia="宋体" w:cs="宋体"/>
          <w:sz w:val="24"/>
          <w:szCs w:val="24"/>
        </w:rPr>
        <w:t>34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621D15E">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_Toc16705 </w:instrText>
      </w:r>
      <w:r>
        <w:rPr>
          <w:rFonts w:hint="eastAsia" w:ascii="宋体" w:hAnsi="宋体" w:eastAsia="宋体" w:cs="宋体"/>
          <w:sz w:val="24"/>
          <w:szCs w:val="24"/>
        </w:rPr>
        <w:fldChar w:fldCharType="separate"/>
      </w:r>
      <w:r>
        <w:rPr>
          <w:rFonts w:hint="eastAsia" w:ascii="宋体" w:hAnsi="宋体" w:eastAsia="宋体" w:cs="宋体"/>
          <w:sz w:val="24"/>
          <w:szCs w:val="24"/>
        </w:rPr>
        <w:t>（3）属于监狱企业的证明文件（若属于监狱企业）</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_Toc16705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B81B818">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_Toc5583 </w:instrText>
      </w:r>
      <w:r>
        <w:rPr>
          <w:rFonts w:hint="eastAsia" w:ascii="宋体" w:hAnsi="宋体" w:eastAsia="宋体" w:cs="宋体"/>
          <w:sz w:val="24"/>
          <w:szCs w:val="24"/>
        </w:rPr>
        <w:fldChar w:fldCharType="separate"/>
      </w:r>
      <w:r>
        <w:rPr>
          <w:rFonts w:hint="eastAsia" w:ascii="宋体" w:hAnsi="宋体" w:eastAsia="宋体" w:cs="宋体"/>
          <w:sz w:val="24"/>
          <w:szCs w:val="24"/>
        </w:rPr>
        <w:t>（4）残疾人福利性单位声明函（若属于残疾人福利性单位）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_Toc5583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B706EE0">
      <w:pPr>
        <w:pStyle w:val="38"/>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_Toc10278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rPr>
        <w:t>商务和技术文件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_Toc10278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BB17A79">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_Toc20044 </w:instrText>
      </w:r>
      <w:r>
        <w:rPr>
          <w:rFonts w:hint="eastAsia" w:ascii="宋体" w:hAnsi="宋体" w:eastAsia="宋体" w:cs="宋体"/>
          <w:sz w:val="24"/>
          <w:szCs w:val="24"/>
        </w:rPr>
        <w:fldChar w:fldCharType="separate"/>
      </w:r>
      <w:r>
        <w:rPr>
          <w:rFonts w:hint="eastAsia" w:ascii="宋体" w:hAnsi="宋体" w:eastAsia="宋体" w:cs="宋体"/>
          <w:sz w:val="24"/>
          <w:szCs w:val="24"/>
        </w:rPr>
        <w:t>（1）磋商响应函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_Toc20044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483AD2A">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_Toc23753 </w:instrText>
      </w:r>
      <w:r>
        <w:rPr>
          <w:rFonts w:hint="eastAsia" w:ascii="宋体" w:hAnsi="宋体" w:eastAsia="宋体" w:cs="宋体"/>
          <w:sz w:val="24"/>
          <w:szCs w:val="24"/>
        </w:rPr>
        <w:fldChar w:fldCharType="separate"/>
      </w:r>
      <w:r>
        <w:rPr>
          <w:rFonts w:hint="eastAsia" w:ascii="宋体" w:hAnsi="宋体" w:eastAsia="宋体" w:cs="宋体"/>
          <w:sz w:val="24"/>
          <w:szCs w:val="24"/>
        </w:rPr>
        <w:t>（2）法定代表人授权书（非法定代表人参加时提供）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_Toc23753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B5C4186">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_Toc9528 </w:instrText>
      </w:r>
      <w:r>
        <w:rPr>
          <w:rFonts w:hint="eastAsia" w:ascii="宋体" w:hAnsi="宋体" w:eastAsia="宋体" w:cs="宋体"/>
          <w:sz w:val="24"/>
          <w:szCs w:val="24"/>
        </w:rPr>
        <w:fldChar w:fldCharType="separate"/>
      </w:r>
      <w:r>
        <w:rPr>
          <w:rFonts w:hint="eastAsia" w:ascii="宋体" w:hAnsi="宋体" w:eastAsia="宋体" w:cs="宋体"/>
          <w:sz w:val="24"/>
          <w:szCs w:val="24"/>
        </w:rPr>
        <w:t>（3）授权代表社保缴纳证明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_Toc9528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D8A987D">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_Toc19495 </w:instrText>
      </w:r>
      <w:r>
        <w:rPr>
          <w:rFonts w:hint="eastAsia" w:ascii="宋体" w:hAnsi="宋体" w:eastAsia="宋体" w:cs="宋体"/>
          <w:sz w:val="24"/>
          <w:szCs w:val="24"/>
        </w:rPr>
        <w:fldChar w:fldCharType="separate"/>
      </w:r>
      <w:r>
        <w:rPr>
          <w:rFonts w:hint="eastAsia" w:ascii="宋体" w:hAnsi="宋体" w:eastAsia="宋体" w:cs="宋体"/>
          <w:sz w:val="24"/>
          <w:szCs w:val="24"/>
        </w:rPr>
        <w:t>（4）法定代表人资格证明书（法定代表人参加时提供）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_Toc19495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134EF66">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_Toc723 </w:instrText>
      </w:r>
      <w:r>
        <w:rPr>
          <w:rFonts w:hint="eastAsia" w:ascii="宋体" w:hAnsi="宋体" w:eastAsia="宋体" w:cs="宋体"/>
          <w:sz w:val="24"/>
          <w:szCs w:val="24"/>
        </w:rPr>
        <w:fldChar w:fldCharType="separate"/>
      </w:r>
      <w:r>
        <w:rPr>
          <w:rFonts w:hint="eastAsia" w:ascii="宋体" w:hAnsi="宋体" w:eastAsia="宋体" w:cs="宋体"/>
          <w:sz w:val="24"/>
          <w:szCs w:val="24"/>
        </w:rPr>
        <w:t>（5）采购需求偏离表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_Toc723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D358CB1">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_Toc6104 </w:instrText>
      </w:r>
      <w:r>
        <w:rPr>
          <w:rFonts w:hint="eastAsia" w:ascii="宋体" w:hAnsi="宋体" w:eastAsia="宋体" w:cs="宋体"/>
          <w:sz w:val="24"/>
          <w:szCs w:val="24"/>
        </w:rPr>
        <w:fldChar w:fldCharType="separate"/>
      </w:r>
      <w:r>
        <w:rPr>
          <w:rFonts w:hint="eastAsia" w:ascii="宋体" w:hAnsi="宋体" w:eastAsia="宋体" w:cs="宋体"/>
          <w:sz w:val="24"/>
          <w:szCs w:val="24"/>
        </w:rPr>
        <w:t>（6）响应方基本情况表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_Toc6104 </w:instrText>
      </w:r>
      <w:r>
        <w:rPr>
          <w:rFonts w:hint="eastAsia" w:ascii="宋体" w:hAnsi="宋体" w:eastAsia="宋体" w:cs="宋体"/>
          <w:sz w:val="24"/>
          <w:szCs w:val="24"/>
        </w:rPr>
        <w:fldChar w:fldCharType="separate"/>
      </w:r>
      <w:r>
        <w:rPr>
          <w:rFonts w:hint="eastAsia" w:ascii="宋体" w:hAnsi="宋体" w:eastAsia="宋体" w:cs="宋体"/>
          <w:sz w:val="24"/>
          <w:szCs w:val="24"/>
        </w:rPr>
        <w:t>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890BA86">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_Toc15201 </w:instrText>
      </w:r>
      <w:r>
        <w:rPr>
          <w:rFonts w:hint="eastAsia" w:ascii="宋体" w:hAnsi="宋体" w:eastAsia="宋体" w:cs="宋体"/>
          <w:sz w:val="24"/>
          <w:szCs w:val="24"/>
        </w:rPr>
        <w:fldChar w:fldCharType="separate"/>
      </w:r>
      <w:r>
        <w:rPr>
          <w:rFonts w:hint="eastAsia" w:ascii="宋体" w:hAnsi="宋体" w:eastAsia="宋体" w:cs="宋体"/>
          <w:sz w:val="24"/>
          <w:szCs w:val="24"/>
        </w:rPr>
        <w:t>（7）供应商同类合同一览表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_Toc15201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45F4F35">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_Toc16364 </w:instrText>
      </w:r>
      <w:r>
        <w:rPr>
          <w:rFonts w:hint="eastAsia" w:ascii="宋体" w:hAnsi="宋体" w:eastAsia="宋体" w:cs="宋体"/>
          <w:sz w:val="24"/>
          <w:szCs w:val="24"/>
        </w:rPr>
        <w:fldChar w:fldCharType="separate"/>
      </w:r>
      <w:r>
        <w:rPr>
          <w:rFonts w:hint="eastAsia" w:ascii="宋体" w:hAnsi="宋体" w:eastAsia="宋体" w:cs="宋体"/>
          <w:sz w:val="24"/>
          <w:szCs w:val="24"/>
        </w:rPr>
        <w:t>（8）详细技术和服务方案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_Toc16364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A20E30C">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_Toc24587 </w:instrText>
      </w:r>
      <w:r>
        <w:rPr>
          <w:rFonts w:hint="eastAsia" w:ascii="宋体" w:hAnsi="宋体" w:eastAsia="宋体" w:cs="宋体"/>
          <w:sz w:val="24"/>
          <w:szCs w:val="24"/>
        </w:rPr>
        <w:fldChar w:fldCharType="separate"/>
      </w:r>
      <w:r>
        <w:rPr>
          <w:rFonts w:hint="eastAsia" w:ascii="宋体" w:hAnsi="宋体" w:eastAsia="宋体" w:cs="宋体"/>
          <w:sz w:val="24"/>
          <w:szCs w:val="24"/>
        </w:rPr>
        <w:t>（9）项目组成员一览表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_Toc24587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AB18BED">
      <w:pPr>
        <w:pStyle w:val="24"/>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_Toc17628 </w:instrText>
      </w:r>
      <w:r>
        <w:rPr>
          <w:rFonts w:hint="eastAsia" w:ascii="宋体" w:hAnsi="宋体" w:eastAsia="宋体" w:cs="宋体"/>
          <w:sz w:val="24"/>
          <w:szCs w:val="24"/>
        </w:rPr>
        <w:fldChar w:fldCharType="separate"/>
      </w:r>
      <w:r>
        <w:rPr>
          <w:rFonts w:hint="eastAsia" w:ascii="宋体" w:hAnsi="宋体" w:eastAsia="宋体" w:cs="宋体"/>
          <w:sz w:val="24"/>
          <w:szCs w:val="24"/>
        </w:rPr>
        <w:t>（10）关于对磋商文件中有关条款的拒绝声明(如有)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_Toc17628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FDA18B9">
      <w:pPr>
        <w:pStyle w:val="32"/>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_Toc7056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评分标准索引表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_Toc7056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321D233">
      <w:pPr>
        <w:pStyle w:val="3"/>
        <w:tabs>
          <w:tab w:val="right" w:leader="dot" w:pos="9000"/>
        </w:tabs>
        <w:snapToGrid w:val="0"/>
        <w:spacing w:before="0" w:after="0"/>
        <w:outlineLvl w:val="0"/>
        <w:rPr>
          <w:rStyle w:val="55"/>
          <w:b/>
        </w:rPr>
      </w:pPr>
      <w:r>
        <w:rPr>
          <w:sz w:val="24"/>
        </w:rPr>
        <w:br w:type="page"/>
      </w:r>
      <w:bookmarkStart w:id="1" w:name="_Toc118516209"/>
      <w:bookmarkStart w:id="2" w:name="_Toc171394907"/>
      <w:bookmarkStart w:id="3" w:name="_Toc7090"/>
      <w:bookmarkStart w:id="4" w:name="_Toc6441"/>
      <w:bookmarkStart w:id="5" w:name="_Toc9280"/>
      <w:bookmarkStart w:id="6" w:name="_Toc20259"/>
      <w:bookmarkStart w:id="7" w:name="_Toc9372"/>
      <w:bookmarkStart w:id="8" w:name="_Toc29438"/>
      <w:bookmarkStart w:id="9" w:name="_Toc20703"/>
      <w:bookmarkStart w:id="10" w:name="_Toc24330"/>
      <w:bookmarkStart w:id="11" w:name="_Toc12840"/>
      <w:bookmarkStart w:id="12" w:name="_Toc10026"/>
      <w:bookmarkStart w:id="13" w:name="_Toc433537961"/>
      <w:bookmarkStart w:id="14" w:name="_Toc3154"/>
      <w:bookmarkStart w:id="15" w:name="_Toc14546"/>
      <w:bookmarkStart w:id="16" w:name="_Toc27478"/>
      <w:bookmarkStart w:id="17" w:name="_Toc25841"/>
      <w:bookmarkStart w:id="18" w:name="_Toc29876"/>
      <w:bookmarkStart w:id="19" w:name="_Toc4488"/>
      <w:bookmarkStart w:id="20" w:name="_Toc440"/>
      <w:bookmarkStart w:id="21" w:name="_Toc32496"/>
      <w:bookmarkStart w:id="22" w:name="_Toc23298"/>
      <w:bookmarkStart w:id="23" w:name="_Toc17969"/>
      <w:bookmarkStart w:id="24" w:name="_Toc7321"/>
      <w:bookmarkStart w:id="25" w:name="_Toc9769"/>
      <w:bookmarkStart w:id="26" w:name="_Toc10391"/>
      <w:bookmarkStart w:id="27" w:name="_Toc938"/>
      <w:bookmarkStart w:id="28" w:name="_Toc16674"/>
      <w:bookmarkStart w:id="29" w:name="_Toc12052"/>
      <w:bookmarkStart w:id="30" w:name="_Toc15311"/>
      <w:bookmarkStart w:id="31" w:name="_Toc14280"/>
      <w:bookmarkStart w:id="32" w:name="_Toc4547"/>
      <w:bookmarkStart w:id="33" w:name="_Toc25143"/>
      <w:bookmarkStart w:id="34" w:name="_Toc3034"/>
      <w:bookmarkStart w:id="35" w:name="_Toc13062"/>
      <w:bookmarkStart w:id="36" w:name="_Toc32381"/>
      <w:r>
        <w:rPr>
          <w:rStyle w:val="55"/>
          <w:rFonts w:hint="eastAsia"/>
          <w:b/>
        </w:rPr>
        <w:t>第一部分</w:t>
      </w:r>
      <w:bookmarkEnd w:id="1"/>
      <w:r>
        <w:rPr>
          <w:rStyle w:val="55"/>
          <w:b/>
        </w:rPr>
        <w:t xml:space="preserve"> </w:t>
      </w:r>
      <w:r>
        <w:rPr>
          <w:rStyle w:val="55"/>
          <w:rFonts w:hint="eastAsia"/>
          <w:b/>
        </w:rPr>
        <w:t>竞争性磋商</w:t>
      </w:r>
      <w:bookmarkEnd w:id="2"/>
      <w:r>
        <w:rPr>
          <w:rStyle w:val="55"/>
          <w:rFonts w:hint="eastAsia"/>
          <w:b/>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3A30AF8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sz w:val="24"/>
          <w:szCs w:val="24"/>
        </w:rPr>
        <w:t>根据杭州电子科技大学采购管理办法，参照《中华人民共和国政府采购法》、《中华人民共和国政</w:t>
      </w:r>
      <w:r>
        <w:rPr>
          <w:rFonts w:hint="eastAsia" w:asciiTheme="minorEastAsia" w:hAnsiTheme="minorEastAsia" w:eastAsiaTheme="minorEastAsia" w:cstheme="minorEastAsia"/>
          <w:color w:val="auto"/>
          <w:sz w:val="24"/>
          <w:szCs w:val="24"/>
        </w:rPr>
        <w:t>府采购法实施条例》、《政府采购竞争性磋商采购方式管理暂行办法》、《浙江省政府采购活动现场组织管理办法》等法律法规部分相关条款，现就杭州电子科技大学智能考试综合服务平台采购项目进行竞争性磋商(简称磋商)采购，欢迎国内合格的供应商前来参加。</w:t>
      </w:r>
    </w:p>
    <w:p w14:paraId="2A4B1A3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40" w:name="_Toc21083"/>
      <w:bookmarkStart w:id="41" w:name="_Toc25225"/>
      <w:bookmarkStart w:id="42" w:name="_Toc10031"/>
      <w:bookmarkStart w:id="43" w:name="_Toc12969"/>
      <w:bookmarkStart w:id="44" w:name="_Toc6517"/>
      <w:bookmarkStart w:id="45" w:name="_Toc19591"/>
      <w:bookmarkStart w:id="46" w:name="_Toc28017"/>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17</w:t>
      </w:r>
    </w:p>
    <w:p w14:paraId="0CDE592F">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5473EF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3135"/>
        <w:gridCol w:w="3540"/>
        <w:gridCol w:w="675"/>
        <w:gridCol w:w="1275"/>
      </w:tblGrid>
      <w:tr w14:paraId="3AC9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69" w:type="dxa"/>
            <w:vAlign w:val="center"/>
          </w:tcPr>
          <w:p w14:paraId="22DF20C0">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3135" w:type="dxa"/>
            <w:tcBorders>
              <w:right w:val="single" w:color="000000" w:sz="4" w:space="0"/>
            </w:tcBorders>
            <w:vAlign w:val="center"/>
          </w:tcPr>
          <w:p w14:paraId="1ECE1F6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3540" w:type="dxa"/>
            <w:tcBorders>
              <w:right w:val="single" w:color="000000" w:sz="4" w:space="0"/>
            </w:tcBorders>
            <w:vAlign w:val="center"/>
          </w:tcPr>
          <w:p w14:paraId="47CE81D8">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675" w:type="dxa"/>
            <w:tcBorders>
              <w:left w:val="single" w:color="000000" w:sz="4" w:space="0"/>
            </w:tcBorders>
            <w:vAlign w:val="center"/>
          </w:tcPr>
          <w:p w14:paraId="32CB73D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1275" w:type="dxa"/>
            <w:vAlign w:val="center"/>
          </w:tcPr>
          <w:p w14:paraId="309FCCBD">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3EE50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769" w:type="dxa"/>
            <w:vAlign w:val="center"/>
          </w:tcPr>
          <w:p w14:paraId="72C6B1DB">
            <w:pPr>
              <w:spacing w:line="420" w:lineRule="exact"/>
              <w:jc w:val="center"/>
              <w:rPr>
                <w:rFonts w:ascii="宋体" w:hAnsi="宋体"/>
                <w:color w:val="auto"/>
                <w:sz w:val="24"/>
                <w:szCs w:val="24"/>
              </w:rPr>
            </w:pPr>
            <w:r>
              <w:rPr>
                <w:rFonts w:hint="eastAsia" w:ascii="宋体" w:hAnsi="宋体"/>
                <w:color w:val="auto"/>
                <w:sz w:val="24"/>
                <w:szCs w:val="24"/>
              </w:rPr>
              <w:t>1</w:t>
            </w:r>
          </w:p>
        </w:tc>
        <w:tc>
          <w:tcPr>
            <w:tcW w:w="3135" w:type="dxa"/>
            <w:tcBorders>
              <w:right w:val="single" w:color="000000" w:sz="4" w:space="0"/>
            </w:tcBorders>
            <w:vAlign w:val="center"/>
          </w:tcPr>
          <w:p w14:paraId="11011415">
            <w:pPr>
              <w:spacing w:line="420" w:lineRule="exact"/>
              <w:jc w:val="center"/>
              <w:rPr>
                <w:rFonts w:ascii="宋体" w:hAnsi="宋体"/>
                <w:color w:val="auto"/>
                <w:sz w:val="24"/>
                <w:szCs w:val="24"/>
              </w:rPr>
            </w:pPr>
            <w:r>
              <w:rPr>
                <w:rFonts w:hint="eastAsia" w:ascii="宋体" w:hAnsi="宋体"/>
                <w:color w:val="auto"/>
                <w:sz w:val="24"/>
                <w:szCs w:val="24"/>
              </w:rPr>
              <w:t>杭州电子科技大学智能考试综合服务平台采购</w:t>
            </w:r>
          </w:p>
        </w:tc>
        <w:tc>
          <w:tcPr>
            <w:tcW w:w="3540" w:type="dxa"/>
            <w:tcBorders>
              <w:right w:val="single" w:color="000000" w:sz="4" w:space="0"/>
            </w:tcBorders>
            <w:vAlign w:val="center"/>
          </w:tcPr>
          <w:p w14:paraId="30564FE4">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rPr>
              <w:t>数据对接、考试管理、智能阅卷、学情分析</w:t>
            </w:r>
            <w:r>
              <w:rPr>
                <w:rFonts w:hint="eastAsia" w:ascii="宋体" w:hAnsi="宋体" w:cs="宋体"/>
                <w:color w:val="auto"/>
                <w:sz w:val="24"/>
                <w:lang w:val="en-US" w:eastAsia="zh-CN"/>
              </w:rPr>
              <w:t>等，详见采购需求</w:t>
            </w:r>
          </w:p>
        </w:tc>
        <w:tc>
          <w:tcPr>
            <w:tcW w:w="675" w:type="dxa"/>
            <w:tcBorders>
              <w:left w:val="single" w:color="000000" w:sz="4" w:space="0"/>
            </w:tcBorders>
            <w:vAlign w:val="center"/>
          </w:tcPr>
          <w:p w14:paraId="09C89ABF">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1套</w:t>
            </w:r>
          </w:p>
        </w:tc>
        <w:tc>
          <w:tcPr>
            <w:tcW w:w="1275" w:type="dxa"/>
            <w:vAlign w:val="center"/>
          </w:tcPr>
          <w:p w14:paraId="50F30F22">
            <w:pPr>
              <w:spacing w:line="420" w:lineRule="exact"/>
              <w:jc w:val="center"/>
              <w:rPr>
                <w:rFonts w:hint="eastAsia" w:ascii="宋体" w:hAnsi="宋体" w:eastAsia="宋体"/>
                <w:color w:val="auto"/>
                <w:sz w:val="24"/>
                <w:szCs w:val="24"/>
                <w:lang w:val="en-US" w:eastAsia="zh-CN"/>
              </w:rPr>
            </w:pPr>
            <w:r>
              <w:rPr>
                <w:rFonts w:hint="eastAsia" w:ascii="宋体" w:hAnsi="宋体" w:cs="宋体"/>
                <w:color w:val="auto"/>
                <w:sz w:val="24"/>
              </w:rPr>
              <w:t>200000</w:t>
            </w:r>
            <w:r>
              <w:rPr>
                <w:rFonts w:hint="eastAsia" w:ascii="宋体" w:hAnsi="宋体" w:cs="宋体"/>
                <w:color w:val="auto"/>
                <w:sz w:val="24"/>
                <w:lang w:val="en-US" w:eastAsia="zh-CN"/>
              </w:rPr>
              <w:t>元</w:t>
            </w:r>
          </w:p>
        </w:tc>
      </w:tr>
    </w:tbl>
    <w:p w14:paraId="2166A41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273E977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6B6FA06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296A7E5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3364467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518F48A0">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23</w:t>
      </w:r>
      <w:r>
        <w:rPr>
          <w:rFonts w:hint="eastAsia" w:ascii="宋体" w:hAnsi="宋体"/>
          <w:color w:val="00B050"/>
          <w:sz w:val="24"/>
          <w:szCs w:val="24"/>
        </w:rPr>
        <w:t>日至202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3</w:t>
      </w:r>
      <w:r>
        <w:rPr>
          <w:rFonts w:hint="eastAsia" w:ascii="宋体" w:hAnsi="宋体"/>
          <w:color w:val="00B050"/>
          <w:sz w:val="24"/>
          <w:szCs w:val="24"/>
        </w:rPr>
        <w:t>日</w:t>
      </w:r>
      <w:r>
        <w:rPr>
          <w:rFonts w:hint="eastAsia" w:ascii="宋体" w:hAnsi="宋体"/>
          <w:sz w:val="24"/>
          <w:szCs w:val="24"/>
        </w:rPr>
        <w:t>，上午00:00至12:00，下午12:00至23:59（北京时间，线上获取法定节假日均可，线下获取双休日及法定节假日除外）。</w:t>
      </w:r>
    </w:p>
    <w:p w14:paraId="6DFC60EA">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14:paraId="3454A41C">
      <w:pPr>
        <w:spacing w:line="288" w:lineRule="auto"/>
        <w:ind w:left="29" w:leftChars="14" w:firstLine="444" w:firstLineChars="185"/>
        <w:rPr>
          <w:rFonts w:ascii="宋体" w:hAnsi="宋体"/>
          <w:color w:val="auto"/>
          <w:sz w:val="24"/>
          <w:szCs w:val="24"/>
        </w:rPr>
      </w:pPr>
      <w:r>
        <w:rPr>
          <w:rFonts w:hint="eastAsia" w:ascii="宋体" w:hAnsi="宋体"/>
          <w:sz w:val="24"/>
          <w:szCs w:val="24"/>
        </w:rPr>
        <w:t>3.方式：供应商登录政采云平台（https://www.zcygov.cn）在线申请获取采购文件（进入“项目采购”应用</w:t>
      </w:r>
      <w:r>
        <w:rPr>
          <w:rFonts w:hint="eastAsia" w:ascii="宋体" w:hAnsi="宋体"/>
          <w:color w:val="auto"/>
          <w:sz w:val="24"/>
          <w:szCs w:val="24"/>
        </w:rPr>
        <w:t>，在获取采购文件菜单中选择项目，申请获取采购文件。</w:t>
      </w:r>
    </w:p>
    <w:p w14:paraId="24FCC08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41E7BF14">
      <w:pPr>
        <w:spacing w:line="288" w:lineRule="auto"/>
        <w:ind w:left="29" w:leftChars="14" w:firstLine="444" w:firstLineChars="185"/>
        <w:rPr>
          <w:rFonts w:ascii="宋体" w:hAnsi="宋体"/>
          <w:sz w:val="24"/>
          <w:szCs w:val="24"/>
        </w:rPr>
      </w:pPr>
      <w:r>
        <w:rPr>
          <w:rFonts w:hint="eastAsia" w:ascii="宋体" w:hAnsi="宋体"/>
          <w:sz w:val="24"/>
          <w:szCs w:val="24"/>
        </w:rPr>
        <w:t>5.</w:t>
      </w:r>
      <w:r>
        <w:rPr>
          <w:rFonts w:hint="eastAsia" w:ascii="宋体" w:hAnsi="宋体"/>
          <w:sz w:val="24"/>
          <w:szCs w:val="24"/>
          <w:lang w:val="en-US" w:eastAsia="zh-CN"/>
        </w:rPr>
        <w:t>响应方</w:t>
      </w:r>
      <w:r>
        <w:rPr>
          <w:rFonts w:hint="eastAsia" w:ascii="宋体" w:hAnsi="宋体"/>
          <w:sz w:val="24"/>
          <w:szCs w:val="24"/>
        </w:rPr>
        <w:t>未按照本公告规定的方式获取文件的，</w:t>
      </w:r>
      <w:r>
        <w:rPr>
          <w:rFonts w:hint="eastAsia" w:ascii="宋体" w:hAnsi="宋体"/>
          <w:sz w:val="24"/>
          <w:szCs w:val="24"/>
          <w:lang w:val="en-US" w:eastAsia="zh-CN"/>
        </w:rPr>
        <w:t>响应</w:t>
      </w:r>
      <w:r>
        <w:rPr>
          <w:rFonts w:hint="eastAsia" w:ascii="宋体" w:hAnsi="宋体"/>
          <w:sz w:val="24"/>
          <w:szCs w:val="24"/>
        </w:rPr>
        <w:t>文件将被拒绝。</w:t>
      </w:r>
    </w:p>
    <w:p w14:paraId="06E0AAD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五、磋商保证金(人民币)：</w:t>
      </w:r>
      <w:r>
        <w:rPr>
          <w:rFonts w:hint="eastAsia" w:asciiTheme="minorEastAsia" w:hAnsiTheme="minorEastAsia" w:eastAsiaTheme="minorEastAsia" w:cstheme="minorEastAsia"/>
          <w:b w:val="0"/>
          <w:bCs w:val="0"/>
          <w:sz w:val="24"/>
          <w:szCs w:val="24"/>
        </w:rPr>
        <w:t>0元。</w:t>
      </w:r>
    </w:p>
    <w:p w14:paraId="5968B76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14:paraId="29D4BA5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0070C0"/>
          <w:sz w:val="24"/>
          <w:szCs w:val="24"/>
        </w:rPr>
      </w:pPr>
      <w:r>
        <w:rPr>
          <w:rFonts w:hint="eastAsia" w:ascii="宋体" w:hAnsi="宋体"/>
          <w:sz w:val="24"/>
          <w:szCs w:val="24"/>
        </w:rPr>
        <w:t>截止时间：</w:t>
      </w:r>
      <w:r>
        <w:rPr>
          <w:rFonts w:hint="eastAsia" w:ascii="宋体" w:hAnsi="宋体"/>
          <w:b/>
          <w:bCs/>
          <w:color w:val="00B050"/>
          <w:sz w:val="24"/>
          <w:szCs w:val="24"/>
        </w:rPr>
        <w:t>202</w:t>
      </w:r>
      <w:r>
        <w:rPr>
          <w:rFonts w:hint="eastAsia" w:ascii="宋体" w:hAnsi="宋体"/>
          <w:b/>
          <w:bCs/>
          <w:color w:val="00B050"/>
          <w:sz w:val="24"/>
          <w:szCs w:val="24"/>
          <w:lang w:val="en-US" w:eastAsia="zh-CN"/>
        </w:rPr>
        <w:t>6</w:t>
      </w:r>
      <w:r>
        <w:rPr>
          <w:rFonts w:hint="eastAsia" w:ascii="宋体" w:hAnsi="宋体"/>
          <w:b/>
          <w:bCs/>
          <w:color w:val="00B050"/>
          <w:sz w:val="24"/>
          <w:szCs w:val="24"/>
        </w:rPr>
        <w:t>年</w:t>
      </w:r>
      <w:r>
        <w:rPr>
          <w:rFonts w:hint="default" w:ascii="宋体" w:hAnsi="宋体"/>
          <w:b/>
          <w:bCs/>
          <w:color w:val="00B050"/>
          <w:sz w:val="24"/>
          <w:szCs w:val="24"/>
          <w:woUserID w:val="1"/>
        </w:rPr>
        <w:t>11</w:t>
      </w:r>
      <w:r>
        <w:rPr>
          <w:rFonts w:hint="eastAsia" w:ascii="宋体" w:hAnsi="宋体"/>
          <w:b/>
          <w:bCs/>
          <w:color w:val="00B050"/>
          <w:sz w:val="24"/>
          <w:szCs w:val="24"/>
        </w:rPr>
        <w:t>月</w:t>
      </w:r>
      <w:r>
        <w:rPr>
          <w:rFonts w:hint="default" w:ascii="宋体" w:hAnsi="宋体"/>
          <w:b/>
          <w:bCs/>
          <w:color w:val="00B050"/>
          <w:sz w:val="24"/>
          <w:szCs w:val="24"/>
          <w:woUserID w:val="1"/>
        </w:rPr>
        <w:t>3</w:t>
      </w:r>
      <w:r>
        <w:rPr>
          <w:rFonts w:hint="eastAsia" w:ascii="宋体" w:hAnsi="宋体"/>
          <w:b/>
          <w:bCs/>
          <w:color w:val="00B050"/>
          <w:sz w:val="24"/>
          <w:szCs w:val="24"/>
        </w:rPr>
        <w:t>日</w:t>
      </w:r>
      <w:r>
        <w:rPr>
          <w:rFonts w:hint="eastAsia" w:ascii="宋体" w:hAnsi="宋体"/>
          <w:b/>
          <w:bCs/>
          <w:color w:val="0070C0"/>
          <w:sz w:val="24"/>
          <w:szCs w:val="24"/>
        </w:rPr>
        <w:t xml:space="preserve"> </w:t>
      </w:r>
      <w:r>
        <w:rPr>
          <w:rFonts w:hint="default" w:ascii="宋体" w:hAnsi="宋体"/>
          <w:b/>
          <w:bCs/>
          <w:color w:val="0070C0"/>
          <w:sz w:val="24"/>
          <w:szCs w:val="24"/>
          <w:woUserID w:val="1"/>
        </w:rPr>
        <w:t>上午9</w:t>
      </w:r>
      <w:r>
        <w:rPr>
          <w:rFonts w:hint="eastAsia" w:ascii="宋体" w:hAnsi="宋体"/>
          <w:b/>
          <w:bCs/>
          <w:color w:val="0070C0"/>
          <w:sz w:val="24"/>
          <w:szCs w:val="24"/>
        </w:rPr>
        <w:t>时</w:t>
      </w:r>
    </w:p>
    <w:p w14:paraId="217F434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地点（网址）：政府采购云平台（https://login.zcygov.cn）</w:t>
      </w:r>
    </w:p>
    <w:p w14:paraId="0DB9DFB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14:paraId="198D1D5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开启时间：</w:t>
      </w:r>
      <w:r>
        <w:rPr>
          <w:rFonts w:hint="eastAsia" w:ascii="宋体" w:hAnsi="宋体"/>
          <w:b/>
          <w:bCs/>
          <w:color w:val="00B050"/>
          <w:sz w:val="24"/>
          <w:szCs w:val="24"/>
          <w:woUserID w:val="1"/>
        </w:rPr>
        <w:t>202</w:t>
      </w:r>
      <w:r>
        <w:rPr>
          <w:rFonts w:hint="eastAsia" w:ascii="宋体" w:hAnsi="宋体"/>
          <w:b/>
          <w:bCs/>
          <w:color w:val="00B050"/>
          <w:sz w:val="24"/>
          <w:szCs w:val="24"/>
          <w:lang w:val="en-US" w:eastAsia="zh-CN"/>
          <w:woUserID w:val="1"/>
        </w:rPr>
        <w:t>6</w:t>
      </w:r>
      <w:r>
        <w:rPr>
          <w:rFonts w:hint="eastAsia" w:ascii="宋体" w:hAnsi="宋体"/>
          <w:b/>
          <w:bCs/>
          <w:color w:val="00B050"/>
          <w:sz w:val="24"/>
          <w:szCs w:val="24"/>
          <w:woUserID w:val="1"/>
        </w:rPr>
        <w:t>年</w:t>
      </w:r>
      <w:r>
        <w:rPr>
          <w:rFonts w:hint="default" w:ascii="宋体" w:hAnsi="宋体"/>
          <w:b/>
          <w:bCs/>
          <w:color w:val="00B050"/>
          <w:sz w:val="24"/>
          <w:szCs w:val="24"/>
          <w:woUserID w:val="1"/>
        </w:rPr>
        <w:t>11</w:t>
      </w:r>
      <w:r>
        <w:rPr>
          <w:rFonts w:hint="eastAsia" w:ascii="宋体" w:hAnsi="宋体"/>
          <w:b/>
          <w:bCs/>
          <w:color w:val="00B050"/>
          <w:sz w:val="24"/>
          <w:szCs w:val="24"/>
          <w:woUserID w:val="1"/>
        </w:rPr>
        <w:t>月</w:t>
      </w:r>
      <w:r>
        <w:rPr>
          <w:rFonts w:hint="default" w:ascii="宋体" w:hAnsi="宋体"/>
          <w:b/>
          <w:bCs/>
          <w:color w:val="00B050"/>
          <w:sz w:val="24"/>
          <w:szCs w:val="24"/>
          <w:woUserID w:val="1"/>
        </w:rPr>
        <w:t>3</w:t>
      </w:r>
      <w:r>
        <w:rPr>
          <w:rFonts w:hint="eastAsia" w:ascii="宋体" w:hAnsi="宋体"/>
          <w:b/>
          <w:bCs/>
          <w:color w:val="00B050"/>
          <w:sz w:val="24"/>
          <w:szCs w:val="24"/>
          <w:woUserID w:val="1"/>
        </w:rPr>
        <w:t>日</w:t>
      </w:r>
      <w:r>
        <w:rPr>
          <w:rFonts w:hint="eastAsia" w:ascii="宋体" w:hAnsi="宋体"/>
          <w:b/>
          <w:bCs/>
          <w:color w:val="0070C0"/>
          <w:sz w:val="24"/>
          <w:szCs w:val="24"/>
          <w:woUserID w:val="1"/>
        </w:rPr>
        <w:t xml:space="preserve"> </w:t>
      </w:r>
      <w:r>
        <w:rPr>
          <w:rFonts w:hint="default" w:ascii="宋体" w:hAnsi="宋体"/>
          <w:b/>
          <w:bCs/>
          <w:color w:val="0070C0"/>
          <w:sz w:val="24"/>
          <w:szCs w:val="24"/>
          <w:woUserID w:val="1"/>
        </w:rPr>
        <w:t>上午9</w:t>
      </w:r>
      <w:r>
        <w:rPr>
          <w:rFonts w:hint="eastAsia" w:ascii="宋体" w:hAnsi="宋体"/>
          <w:b/>
          <w:bCs/>
          <w:color w:val="0070C0"/>
          <w:sz w:val="24"/>
          <w:szCs w:val="24"/>
          <w:woUserID w:val="1"/>
        </w:rPr>
        <w:t>时</w:t>
      </w:r>
    </w:p>
    <w:p w14:paraId="4741BB1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地点（网址）：</w:t>
      </w:r>
      <w:r>
        <w:rPr>
          <w:rFonts w:hint="eastAsia" w:asciiTheme="minorEastAsia" w:hAnsiTheme="minorEastAsia" w:eastAsiaTheme="minorEastAsia" w:cstheme="minorEastAsia"/>
          <w:sz w:val="24"/>
          <w:szCs w:val="24"/>
        </w:rPr>
        <w:t>政府采购云平台（https://login.zcygov.cn）/杭州电子科技大学下沙校区行政楼 805开标室（杭州下沙高教园区二号大街1158号，2号路和3号路交界）</w:t>
      </w:r>
    </w:p>
    <w:p w14:paraId="3918C8A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rPr>
        <w:t>、</w:t>
      </w:r>
      <w:bookmarkStart w:id="50" w:name="OLE_LINK5"/>
      <w:r>
        <w:rPr>
          <w:rFonts w:hint="eastAsia" w:asciiTheme="minorEastAsia" w:hAnsiTheme="minorEastAsia" w:eastAsiaTheme="minorEastAsia" w:cstheme="minorEastAsia"/>
          <w:b/>
          <w:bCs/>
          <w:sz w:val="24"/>
          <w:szCs w:val="24"/>
        </w:rPr>
        <w:t>公告期限</w:t>
      </w:r>
      <w:bookmarkEnd w:id="50"/>
    </w:p>
    <w:p w14:paraId="190D0674">
      <w:pPr>
        <w:widowControl/>
        <w:spacing w:line="288" w:lineRule="auto"/>
        <w:ind w:firstLine="480" w:firstLineChars="200"/>
        <w:jc w:val="left"/>
        <w:rPr>
          <w:rFonts w:hint="eastAsia" w:ascii="宋体" w:hAnsi="宋体"/>
          <w:sz w:val="24"/>
          <w:szCs w:val="24"/>
        </w:rPr>
      </w:pPr>
      <w:r>
        <w:rPr>
          <w:rFonts w:hint="eastAsia" w:ascii="宋体" w:hAnsi="宋体"/>
          <w:sz w:val="24"/>
          <w:szCs w:val="24"/>
        </w:rPr>
        <w:t>自本公告发布之日起3个工作日。</w:t>
      </w:r>
    </w:p>
    <w:p w14:paraId="673CC79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、联系方式</w:t>
      </w:r>
    </w:p>
    <w:p w14:paraId="3DEAAA5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采购人用户部门：杭州电子科技大学教务处</w:t>
      </w:r>
    </w:p>
    <w:p w14:paraId="449A3C4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郭</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0571-86915011</w:t>
      </w:r>
    </w:p>
    <w:p w14:paraId="3E4C441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0BBDB784">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27B3F395">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0BE8DB46">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1D729C44">
      <w:pPr>
        <w:pStyle w:val="53"/>
        <w:rPr>
          <w:color w:val="auto"/>
        </w:rPr>
      </w:pPr>
    </w:p>
    <w:p w14:paraId="0F2953C7">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07EF4B4B">
      <w:pPr>
        <w:widowControl/>
        <w:spacing w:line="288" w:lineRule="auto"/>
        <w:ind w:firstLine="480" w:firstLineChars="200"/>
        <w:jc w:val="left"/>
        <w:rPr>
          <w:rFonts w:ascii="宋体" w:hAnsi="宋体"/>
          <w:sz w:val="24"/>
          <w:szCs w:val="24"/>
        </w:rPr>
      </w:pPr>
      <w:r>
        <w:rPr>
          <w:rFonts w:hint="eastAsia" w:ascii="宋体" w:hAnsi="宋体"/>
          <w:sz w:val="24"/>
          <w:szCs w:val="24"/>
        </w:rPr>
        <w:t>CA问题联系电话（人工）：汇信CA 400-888-4636；天谷CA 400-087-8198。</w:t>
      </w:r>
    </w:p>
    <w:p w14:paraId="6D1D9E8D">
      <w:pPr>
        <w:pStyle w:val="20"/>
      </w:pPr>
    </w:p>
    <w:p w14:paraId="2B28085C">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14:paraId="672BBDD9">
      <w:pPr>
        <w:wordWrap w:val="0"/>
        <w:adjustRightInd w:val="0"/>
        <w:snapToGrid w:val="0"/>
        <w:spacing w:line="420" w:lineRule="exact"/>
        <w:ind w:left="31" w:right="480" w:hanging="31" w:hangingChars="13"/>
        <w:jc w:val="right"/>
        <w:rPr>
          <w:rFonts w:ascii="宋体"/>
          <w:sz w:val="24"/>
          <w:szCs w:val="24"/>
        </w:rPr>
      </w:pP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23</w:t>
      </w:r>
      <w:r>
        <w:rPr>
          <w:rFonts w:hint="eastAsia" w:ascii="宋体" w:hAnsi="宋体"/>
          <w:color w:val="00B050"/>
          <w:sz w:val="24"/>
          <w:szCs w:val="24"/>
        </w:rPr>
        <w:t>日</w:t>
      </w:r>
    </w:p>
    <w:p w14:paraId="0650E3F9">
      <w:pPr>
        <w:wordWrap w:val="0"/>
        <w:adjustRightInd w:val="0"/>
        <w:snapToGrid w:val="0"/>
        <w:spacing w:line="420" w:lineRule="exact"/>
        <w:ind w:left="31" w:right="480" w:hanging="31" w:hangingChars="13"/>
        <w:jc w:val="right"/>
        <w:rPr>
          <w:rFonts w:ascii="宋体"/>
          <w:sz w:val="24"/>
          <w:szCs w:val="24"/>
        </w:rPr>
      </w:pPr>
    </w:p>
    <w:p w14:paraId="570B6027">
      <w:pPr>
        <w:adjustRightInd w:val="0"/>
        <w:snapToGrid w:val="0"/>
        <w:spacing w:before="120" w:beforeLines="50" w:after="120" w:afterLines="50" w:line="420" w:lineRule="exact"/>
        <w:ind w:right="480"/>
        <w:jc w:val="center"/>
        <w:outlineLvl w:val="0"/>
        <w:rPr>
          <w:rStyle w:val="55"/>
          <w:rFonts w:hint="eastAsia" w:ascii="Times New Roman" w:hAnsi="Times New Roman"/>
          <w:szCs w:val="22"/>
          <w:lang w:val="en-US" w:eastAsia="zh-CN" w:bidi="ar-SA"/>
        </w:rPr>
      </w:pPr>
      <w:r>
        <w:rPr>
          <w:rStyle w:val="111"/>
          <w:b w:val="0"/>
          <w:snapToGrid/>
          <w:sz w:val="24"/>
          <w:szCs w:val="24"/>
        </w:rPr>
        <w:br w:type="page"/>
      </w:r>
      <w:bookmarkStart w:id="51" w:name="_Toc10682"/>
      <w:bookmarkStart w:id="52" w:name="_Toc14371"/>
      <w:bookmarkStart w:id="53" w:name="_Toc8774"/>
      <w:bookmarkStart w:id="54" w:name="_Toc5412"/>
      <w:bookmarkStart w:id="55" w:name="_Toc18447"/>
      <w:bookmarkStart w:id="56" w:name="_Toc9474"/>
      <w:bookmarkStart w:id="57" w:name="_Toc30864"/>
      <w:bookmarkStart w:id="58" w:name="_Toc8923"/>
      <w:bookmarkStart w:id="59" w:name="_Toc8413"/>
      <w:bookmarkStart w:id="60" w:name="_Toc31392"/>
      <w:bookmarkStart w:id="61" w:name="_Toc11189"/>
      <w:bookmarkStart w:id="62" w:name="_Toc31607"/>
      <w:bookmarkStart w:id="63" w:name="_Toc14015"/>
      <w:bookmarkStart w:id="64" w:name="_Toc25903"/>
      <w:bookmarkStart w:id="65" w:name="_Toc20175"/>
      <w:bookmarkStart w:id="66" w:name="_Toc27564"/>
      <w:bookmarkStart w:id="67" w:name="_Toc16190"/>
      <w:bookmarkStart w:id="68" w:name="_Toc15380"/>
      <w:bookmarkStart w:id="69" w:name="_Toc30984"/>
      <w:bookmarkStart w:id="70" w:name="_Toc30939"/>
      <w:bookmarkStart w:id="71" w:name="_Toc14540"/>
      <w:bookmarkStart w:id="72" w:name="_Toc13359"/>
      <w:bookmarkStart w:id="73" w:name="_Toc21096"/>
      <w:bookmarkStart w:id="74" w:name="_Toc31424"/>
      <w:bookmarkStart w:id="75" w:name="_Toc7205"/>
      <w:bookmarkStart w:id="76" w:name="_Toc19935"/>
      <w:bookmarkStart w:id="77" w:name="_Toc27007"/>
      <w:bookmarkStart w:id="78" w:name="_Toc25493"/>
      <w:bookmarkStart w:id="79" w:name="_Toc14615"/>
      <w:bookmarkStart w:id="80" w:name="_Toc6139"/>
      <w:bookmarkStart w:id="81" w:name="_Toc28369"/>
      <w:bookmarkStart w:id="82" w:name="_Toc20151"/>
      <w:bookmarkStart w:id="83" w:name="_Toc13468"/>
      <w:r>
        <w:rPr>
          <w:rStyle w:val="55"/>
          <w:rFonts w:hint="eastAsia" w:ascii="Times New Roman" w:hAnsi="Times New Roman"/>
          <w:szCs w:val="22"/>
          <w:lang w:val="en-US" w:eastAsia="zh-CN" w:bidi="ar-SA"/>
        </w:rPr>
        <w:t>第二部分 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44B9D0F4">
      <w:pPr>
        <w:pStyle w:val="5"/>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84" w:name="_Toc26853"/>
      <w:bookmarkStart w:id="85" w:name="_Toc17697"/>
      <w:bookmarkStart w:id="86" w:name="_Toc12644"/>
      <w:bookmarkStart w:id="87" w:name="_Toc27500"/>
      <w:bookmarkStart w:id="88" w:name="_Toc28079"/>
      <w:bookmarkStart w:id="89" w:name="_Toc10657"/>
      <w:bookmarkStart w:id="90" w:name="_Toc29793"/>
      <w:bookmarkStart w:id="91" w:name="_Toc10518"/>
      <w:bookmarkStart w:id="92" w:name="_Toc20565"/>
      <w:bookmarkStart w:id="93" w:name="_Toc23155"/>
      <w:bookmarkStart w:id="94" w:name="_Toc9123"/>
      <w:bookmarkStart w:id="95" w:name="_Toc16998"/>
      <w:bookmarkStart w:id="96" w:name="_Toc23359"/>
      <w:bookmarkStart w:id="97" w:name="_Toc23420"/>
      <w:bookmarkStart w:id="98" w:name="_Toc22339"/>
      <w:bookmarkStart w:id="99" w:name="_Toc30159"/>
      <w:bookmarkStart w:id="100" w:name="_Toc483"/>
      <w:bookmarkStart w:id="101" w:name="_Toc32596"/>
      <w:bookmarkStart w:id="102" w:name="_Toc9778"/>
      <w:bookmarkStart w:id="103" w:name="_Toc3269"/>
      <w:bookmarkStart w:id="104" w:name="_Toc29458"/>
      <w:bookmarkStart w:id="105" w:name="_Toc31880"/>
      <w:bookmarkStart w:id="106" w:name="_Toc20573"/>
      <w:bookmarkStart w:id="107" w:name="_Toc6715"/>
      <w:bookmarkStart w:id="108" w:name="_Toc1743"/>
      <w:bookmarkStart w:id="109" w:name="_Toc6421"/>
      <w:bookmarkStart w:id="110" w:name="_Toc26025"/>
      <w:bookmarkStart w:id="111" w:name="_Toc26073"/>
      <w:bookmarkStart w:id="112" w:name="_Toc1935"/>
      <w:bookmarkStart w:id="113" w:name="_Toc4505"/>
      <w:bookmarkStart w:id="114" w:name="_Toc28026"/>
      <w:bookmarkStart w:id="115" w:name="_Toc10414"/>
      <w:bookmarkStart w:id="116" w:name="_Toc1714"/>
      <w:r>
        <w:rPr>
          <w:rFonts w:hint="eastAsia" w:ascii="楷体" w:hAnsi="楷体" w:eastAsia="楷体" w:cs="楷体"/>
          <w:snapToGrid w:val="0"/>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A0D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5CA4E34E">
            <w:pPr>
              <w:rPr>
                <w:rFonts w:ascii="宋体"/>
                <w:b/>
                <w:sz w:val="24"/>
                <w:szCs w:val="24"/>
              </w:rPr>
            </w:pPr>
            <w:r>
              <w:rPr>
                <w:rFonts w:hint="eastAsia" w:ascii="宋体" w:hAnsi="宋体"/>
                <w:b/>
                <w:sz w:val="24"/>
                <w:szCs w:val="24"/>
              </w:rPr>
              <w:t>序号</w:t>
            </w:r>
          </w:p>
        </w:tc>
        <w:tc>
          <w:tcPr>
            <w:tcW w:w="2043" w:type="dxa"/>
            <w:vAlign w:val="center"/>
          </w:tcPr>
          <w:p w14:paraId="20E6DCDF">
            <w:pPr>
              <w:jc w:val="center"/>
              <w:rPr>
                <w:rFonts w:ascii="宋体"/>
                <w:b/>
                <w:sz w:val="24"/>
                <w:szCs w:val="24"/>
              </w:rPr>
            </w:pPr>
            <w:r>
              <w:rPr>
                <w:rFonts w:hint="eastAsia" w:ascii="宋体" w:hAnsi="宋体"/>
                <w:b/>
                <w:sz w:val="24"/>
                <w:szCs w:val="24"/>
              </w:rPr>
              <w:t>项目</w:t>
            </w:r>
          </w:p>
        </w:tc>
        <w:tc>
          <w:tcPr>
            <w:tcW w:w="6348" w:type="dxa"/>
            <w:vAlign w:val="center"/>
          </w:tcPr>
          <w:p w14:paraId="685B3841">
            <w:pPr>
              <w:jc w:val="center"/>
              <w:rPr>
                <w:rFonts w:ascii="宋体"/>
                <w:b/>
                <w:sz w:val="24"/>
                <w:szCs w:val="24"/>
              </w:rPr>
            </w:pPr>
            <w:r>
              <w:rPr>
                <w:rFonts w:hint="eastAsia" w:ascii="宋体" w:hAnsi="宋体"/>
                <w:b/>
                <w:sz w:val="24"/>
                <w:szCs w:val="24"/>
              </w:rPr>
              <w:t>内容</w:t>
            </w:r>
          </w:p>
        </w:tc>
      </w:tr>
      <w:tr w14:paraId="16E3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53E63B5">
            <w:pPr>
              <w:pStyle w:val="181"/>
              <w:adjustRightInd/>
              <w:spacing w:line="240" w:lineRule="auto"/>
              <w:rPr>
                <w:szCs w:val="24"/>
              </w:rPr>
            </w:pPr>
            <w:r>
              <w:rPr>
                <w:rFonts w:hint="eastAsia"/>
                <w:szCs w:val="24"/>
              </w:rPr>
              <w:t>1</w:t>
            </w:r>
          </w:p>
        </w:tc>
        <w:tc>
          <w:tcPr>
            <w:tcW w:w="2043" w:type="dxa"/>
            <w:vAlign w:val="center"/>
          </w:tcPr>
          <w:p w14:paraId="0FDB1673">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5BC7BC61">
            <w:pPr>
              <w:rPr>
                <w:rFonts w:ascii="宋体"/>
                <w:color w:val="auto"/>
                <w:sz w:val="24"/>
                <w:szCs w:val="24"/>
              </w:rPr>
            </w:pPr>
            <w:r>
              <w:rPr>
                <w:rFonts w:hint="eastAsia" w:ascii="宋体" w:hAnsi="宋体"/>
                <w:color w:val="auto"/>
                <w:sz w:val="24"/>
                <w:szCs w:val="24"/>
              </w:rPr>
              <w:t>杭州电子科技大学智能考试综合服务平台采购</w:t>
            </w:r>
          </w:p>
        </w:tc>
      </w:tr>
      <w:tr w14:paraId="57777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2AA6F22">
            <w:pPr>
              <w:jc w:val="center"/>
              <w:rPr>
                <w:rFonts w:ascii="宋体" w:hAnsi="宋体"/>
                <w:sz w:val="24"/>
                <w:szCs w:val="24"/>
              </w:rPr>
            </w:pPr>
          </w:p>
        </w:tc>
        <w:tc>
          <w:tcPr>
            <w:tcW w:w="2043" w:type="dxa"/>
            <w:vAlign w:val="center"/>
          </w:tcPr>
          <w:p w14:paraId="44173754">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15196A7A">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8" w:name="OLE_LINK8"/>
            <w:r>
              <w:rPr>
                <w:rFonts w:hint="eastAsia" w:ascii="宋体" w:hAnsi="宋体" w:cs="宋体"/>
                <w:b/>
                <w:bCs/>
                <w:color w:val="auto"/>
                <w:szCs w:val="21"/>
                <w:u w:val="single"/>
              </w:rPr>
              <w:t>软件和信息技术服务业。</w:t>
            </w:r>
            <w:bookmarkEnd w:id="118"/>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15D9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A062152">
            <w:pPr>
              <w:jc w:val="center"/>
              <w:rPr>
                <w:rFonts w:ascii="宋体"/>
                <w:sz w:val="24"/>
                <w:szCs w:val="24"/>
              </w:rPr>
            </w:pPr>
            <w:r>
              <w:rPr>
                <w:rFonts w:hint="eastAsia" w:ascii="宋体" w:hAnsi="宋体"/>
                <w:sz w:val="24"/>
                <w:szCs w:val="24"/>
              </w:rPr>
              <w:t>2</w:t>
            </w:r>
          </w:p>
        </w:tc>
        <w:tc>
          <w:tcPr>
            <w:tcW w:w="2043" w:type="dxa"/>
            <w:vAlign w:val="center"/>
          </w:tcPr>
          <w:p w14:paraId="20957BEF">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BB552A7">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17</w:t>
            </w:r>
          </w:p>
        </w:tc>
      </w:tr>
      <w:tr w14:paraId="0011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C058363">
            <w:pPr>
              <w:jc w:val="center"/>
              <w:rPr>
                <w:rFonts w:ascii="宋体"/>
                <w:sz w:val="24"/>
                <w:szCs w:val="24"/>
              </w:rPr>
            </w:pPr>
          </w:p>
        </w:tc>
        <w:tc>
          <w:tcPr>
            <w:tcW w:w="2043" w:type="dxa"/>
            <w:vAlign w:val="center"/>
          </w:tcPr>
          <w:p w14:paraId="39C13038">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1D12E47D">
            <w:pPr>
              <w:pStyle w:val="26"/>
              <w:ind w:left="0" w:leftChars="0"/>
              <w:rPr>
                <w:color w:val="auto"/>
                <w:szCs w:val="24"/>
              </w:rPr>
            </w:pPr>
            <w:r>
              <w:rPr>
                <w:rFonts w:hint="eastAsia"/>
                <w:color w:val="auto"/>
                <w:szCs w:val="24"/>
              </w:rPr>
              <w:t>竞争性磋商</w:t>
            </w:r>
            <w:r>
              <w:rPr>
                <w:rFonts w:hint="eastAsia"/>
                <w:b/>
                <w:bCs/>
                <w:color w:val="auto"/>
                <w:szCs w:val="24"/>
              </w:rPr>
              <w:t>（线上电子交易）</w:t>
            </w:r>
          </w:p>
        </w:tc>
      </w:tr>
      <w:tr w14:paraId="2D7A7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105F4DF">
            <w:pPr>
              <w:jc w:val="center"/>
              <w:rPr>
                <w:rFonts w:ascii="宋体"/>
                <w:sz w:val="24"/>
                <w:szCs w:val="24"/>
              </w:rPr>
            </w:pPr>
            <w:r>
              <w:rPr>
                <w:rFonts w:hint="eastAsia" w:ascii="宋体" w:hAnsi="宋体"/>
                <w:sz w:val="24"/>
                <w:szCs w:val="24"/>
              </w:rPr>
              <w:t>3</w:t>
            </w:r>
          </w:p>
        </w:tc>
        <w:tc>
          <w:tcPr>
            <w:tcW w:w="2043" w:type="dxa"/>
            <w:vAlign w:val="center"/>
          </w:tcPr>
          <w:p w14:paraId="25AD1B1A">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2374E281">
            <w:pPr>
              <w:pStyle w:val="26"/>
              <w:ind w:left="0" w:leftChars="0"/>
              <w:rPr>
                <w:color w:val="auto"/>
                <w:szCs w:val="24"/>
              </w:rPr>
            </w:pPr>
            <w:r>
              <w:rPr>
                <w:rFonts w:hint="eastAsia"/>
                <w:color w:val="auto"/>
                <w:szCs w:val="24"/>
              </w:rPr>
              <w:t>杭州电子科技大学</w:t>
            </w:r>
            <w:r>
              <w:rPr>
                <w:rFonts w:hint="eastAsia"/>
                <w:color w:val="auto"/>
                <w:kern w:val="0"/>
                <w:szCs w:val="24"/>
              </w:rPr>
              <w:t>教务处</w:t>
            </w:r>
          </w:p>
        </w:tc>
      </w:tr>
      <w:tr w14:paraId="27FF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70ED9AB">
            <w:pPr>
              <w:jc w:val="center"/>
              <w:rPr>
                <w:rFonts w:ascii="宋体"/>
                <w:sz w:val="24"/>
                <w:szCs w:val="24"/>
              </w:rPr>
            </w:pPr>
            <w:r>
              <w:rPr>
                <w:rFonts w:hint="eastAsia" w:ascii="宋体" w:hAnsi="宋体"/>
                <w:sz w:val="24"/>
                <w:szCs w:val="24"/>
              </w:rPr>
              <w:t>4</w:t>
            </w:r>
          </w:p>
        </w:tc>
        <w:tc>
          <w:tcPr>
            <w:tcW w:w="2043" w:type="dxa"/>
            <w:vAlign w:val="center"/>
          </w:tcPr>
          <w:p w14:paraId="43EE6338">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2C5CA18E">
            <w:pPr>
              <w:rPr>
                <w:rFonts w:ascii="宋体"/>
                <w:color w:val="auto"/>
                <w:sz w:val="24"/>
                <w:szCs w:val="24"/>
              </w:rPr>
            </w:pPr>
            <w:r>
              <w:rPr>
                <w:rFonts w:hint="eastAsia" w:ascii="宋体" w:hAnsi="宋体"/>
                <w:color w:val="auto"/>
                <w:sz w:val="24"/>
                <w:szCs w:val="24"/>
              </w:rPr>
              <w:t>详见第三部分采购需求</w:t>
            </w:r>
          </w:p>
        </w:tc>
      </w:tr>
      <w:tr w14:paraId="41F5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EF658DC">
            <w:pPr>
              <w:jc w:val="center"/>
              <w:rPr>
                <w:rFonts w:ascii="宋体"/>
                <w:sz w:val="24"/>
                <w:szCs w:val="24"/>
              </w:rPr>
            </w:pPr>
            <w:r>
              <w:rPr>
                <w:rFonts w:hint="eastAsia" w:ascii="宋体" w:hAnsi="宋体"/>
                <w:sz w:val="24"/>
                <w:szCs w:val="24"/>
              </w:rPr>
              <w:t>5</w:t>
            </w:r>
          </w:p>
        </w:tc>
        <w:tc>
          <w:tcPr>
            <w:tcW w:w="2043" w:type="dxa"/>
            <w:vAlign w:val="center"/>
          </w:tcPr>
          <w:p w14:paraId="749038DB">
            <w:pPr>
              <w:jc w:val="center"/>
              <w:rPr>
                <w:sz w:val="24"/>
              </w:rPr>
            </w:pPr>
            <w:r>
              <w:rPr>
                <w:rFonts w:hint="eastAsia"/>
                <w:sz w:val="24"/>
              </w:rPr>
              <w:t>磋商报价及费用</w:t>
            </w:r>
          </w:p>
        </w:tc>
        <w:tc>
          <w:tcPr>
            <w:tcW w:w="6348" w:type="dxa"/>
            <w:vAlign w:val="center"/>
          </w:tcPr>
          <w:p w14:paraId="338A7646">
            <w:pPr>
              <w:rPr>
                <w:sz w:val="24"/>
              </w:rPr>
            </w:pPr>
            <w:r>
              <w:rPr>
                <w:rFonts w:hint="eastAsia"/>
                <w:sz w:val="24"/>
              </w:rPr>
              <w:t>详见采购文件第二部分第三节第（三）点报价内容。</w:t>
            </w:r>
          </w:p>
        </w:tc>
      </w:tr>
      <w:tr w14:paraId="0DE6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FDC89E">
            <w:pPr>
              <w:jc w:val="center"/>
              <w:rPr>
                <w:rFonts w:ascii="宋体"/>
                <w:sz w:val="24"/>
                <w:szCs w:val="24"/>
              </w:rPr>
            </w:pPr>
            <w:r>
              <w:rPr>
                <w:rFonts w:hint="eastAsia" w:ascii="宋体" w:hAnsi="宋体"/>
                <w:sz w:val="24"/>
                <w:szCs w:val="24"/>
              </w:rPr>
              <w:t>6</w:t>
            </w:r>
          </w:p>
        </w:tc>
        <w:tc>
          <w:tcPr>
            <w:tcW w:w="2043" w:type="dxa"/>
            <w:vAlign w:val="center"/>
          </w:tcPr>
          <w:p w14:paraId="6B049174">
            <w:pPr>
              <w:jc w:val="center"/>
              <w:rPr>
                <w:rFonts w:ascii="宋体"/>
                <w:sz w:val="24"/>
                <w:szCs w:val="24"/>
              </w:rPr>
            </w:pPr>
            <w:r>
              <w:rPr>
                <w:rFonts w:hint="eastAsia"/>
                <w:sz w:val="24"/>
              </w:rPr>
              <w:t>磋商响应有效期</w:t>
            </w:r>
          </w:p>
        </w:tc>
        <w:tc>
          <w:tcPr>
            <w:tcW w:w="6348" w:type="dxa"/>
            <w:vAlign w:val="center"/>
          </w:tcPr>
          <w:p w14:paraId="458BE113">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14:paraId="2277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A7CEE53">
            <w:pPr>
              <w:jc w:val="center"/>
              <w:rPr>
                <w:rFonts w:ascii="宋体"/>
                <w:sz w:val="24"/>
                <w:szCs w:val="24"/>
              </w:rPr>
            </w:pPr>
            <w:r>
              <w:rPr>
                <w:rFonts w:hint="eastAsia" w:ascii="宋体" w:hAnsi="宋体"/>
                <w:sz w:val="24"/>
                <w:szCs w:val="24"/>
              </w:rPr>
              <w:t>7</w:t>
            </w:r>
          </w:p>
        </w:tc>
        <w:tc>
          <w:tcPr>
            <w:tcW w:w="2043" w:type="dxa"/>
            <w:vAlign w:val="center"/>
          </w:tcPr>
          <w:p w14:paraId="77BFFD2B">
            <w:pPr>
              <w:jc w:val="center"/>
              <w:rPr>
                <w:rFonts w:ascii="宋体"/>
                <w:sz w:val="24"/>
                <w:szCs w:val="24"/>
              </w:rPr>
            </w:pPr>
            <w:r>
              <w:rPr>
                <w:rFonts w:hint="eastAsia"/>
                <w:sz w:val="24"/>
              </w:rPr>
              <w:t>磋商文件答疑</w:t>
            </w:r>
          </w:p>
        </w:tc>
        <w:tc>
          <w:tcPr>
            <w:tcW w:w="6348" w:type="dxa"/>
            <w:vAlign w:val="center"/>
          </w:tcPr>
          <w:p w14:paraId="4B2BDD59">
            <w:pPr>
              <w:jc w:val="left"/>
              <w:rPr>
                <w:rFonts w:ascii="宋体"/>
                <w:color w:val="00B050"/>
                <w:sz w:val="24"/>
                <w:szCs w:val="24"/>
              </w:rPr>
            </w:pPr>
            <w:r>
              <w:rPr>
                <w:rFonts w:hint="eastAsia"/>
                <w:sz w:val="24"/>
              </w:rPr>
              <w:t>各供应商如对磋商文件有疑问，请以书面形式于</w:t>
            </w:r>
            <w:r>
              <w:rPr>
                <w:rFonts w:hint="eastAsia"/>
                <w:color w:val="00B050"/>
                <w:sz w:val="24"/>
                <w:u w:val="single"/>
              </w:rPr>
              <w:t>202</w:t>
            </w:r>
            <w:r>
              <w:rPr>
                <w:rFonts w:hint="eastAsia"/>
                <w:color w:val="00B050"/>
                <w:sz w:val="24"/>
                <w:u w:val="single"/>
                <w:lang w:val="en-US" w:eastAsia="zh-CN"/>
              </w:rPr>
              <w:t>6</w:t>
            </w:r>
            <w:r>
              <w:rPr>
                <w:rFonts w:hint="eastAsia"/>
                <w:color w:val="00B050"/>
                <w:sz w:val="24"/>
                <w:u w:val="single"/>
              </w:rPr>
              <w:t>年</w:t>
            </w:r>
            <w:r>
              <w:rPr>
                <w:rFonts w:hint="default"/>
                <w:color w:val="00B050"/>
                <w:sz w:val="24"/>
                <w:u w:val="single"/>
                <w:woUserID w:val="1"/>
              </w:rPr>
              <w:t>11</w:t>
            </w:r>
            <w:r>
              <w:rPr>
                <w:rFonts w:hint="eastAsia"/>
                <w:color w:val="00B050"/>
                <w:sz w:val="24"/>
                <w:u w:val="single"/>
              </w:rPr>
              <w:t>月</w:t>
            </w:r>
            <w:r>
              <w:rPr>
                <w:rFonts w:hint="default"/>
                <w:color w:val="00B050"/>
                <w:sz w:val="24"/>
                <w:u w:val="single"/>
                <w:woUserID w:val="1"/>
              </w:rPr>
              <w:t>2</w:t>
            </w:r>
            <w:r>
              <w:rPr>
                <w:rFonts w:hint="eastAsia"/>
                <w:color w:val="00B050"/>
                <w:sz w:val="24"/>
                <w:u w:val="single"/>
              </w:rPr>
              <w:t>日</w:t>
            </w:r>
            <w:r>
              <w:rPr>
                <w:color w:val="00B050"/>
                <w:sz w:val="24"/>
                <w:u w:val="single"/>
              </w:rPr>
              <w:t xml:space="preserve"> 9</w:t>
            </w:r>
            <w:r>
              <w:rPr>
                <w:rFonts w:hint="eastAsia"/>
                <w:color w:val="00B050"/>
                <w:sz w:val="24"/>
                <w:u w:val="single"/>
              </w:rPr>
              <w:t>：</w:t>
            </w:r>
            <w:r>
              <w:rPr>
                <w:color w:val="00B050"/>
                <w:sz w:val="24"/>
                <w:u w:val="single"/>
              </w:rPr>
              <w:t xml:space="preserve">00 </w:t>
            </w:r>
            <w:r>
              <w:rPr>
                <w:rFonts w:hint="eastAsia"/>
                <w:sz w:val="24"/>
              </w:rPr>
              <w:t>前通知采购机构。采购机构仅对供应商提出的合理疑问进行答复。采购机构将于</w:t>
            </w:r>
            <w:r>
              <w:rPr>
                <w:color w:val="00B050"/>
                <w:sz w:val="24"/>
                <w:u w:val="single"/>
              </w:rPr>
              <w:t xml:space="preserve"> </w:t>
            </w:r>
            <w:r>
              <w:rPr>
                <w:rFonts w:hint="eastAsia"/>
                <w:color w:val="00B050"/>
                <w:sz w:val="24"/>
                <w:u w:val="single"/>
              </w:rPr>
              <w:t>202</w:t>
            </w:r>
            <w:r>
              <w:rPr>
                <w:rFonts w:hint="eastAsia"/>
                <w:color w:val="00B050"/>
                <w:sz w:val="24"/>
                <w:u w:val="single"/>
                <w:lang w:val="en-US" w:eastAsia="zh-CN"/>
              </w:rPr>
              <w:t>6</w:t>
            </w:r>
            <w:r>
              <w:rPr>
                <w:rFonts w:hint="eastAsia"/>
                <w:color w:val="00B050"/>
                <w:sz w:val="24"/>
                <w:u w:val="single"/>
              </w:rPr>
              <w:t>年</w:t>
            </w:r>
            <w:r>
              <w:rPr>
                <w:rFonts w:hint="default"/>
                <w:color w:val="00B050"/>
                <w:sz w:val="24"/>
                <w:u w:val="single"/>
                <w:woUserID w:val="1"/>
              </w:rPr>
              <w:t>11</w:t>
            </w:r>
            <w:r>
              <w:rPr>
                <w:rFonts w:hint="eastAsia"/>
                <w:color w:val="00B050"/>
                <w:sz w:val="24"/>
                <w:u w:val="single"/>
              </w:rPr>
              <w:t>月</w:t>
            </w:r>
            <w:r>
              <w:rPr>
                <w:rFonts w:hint="default"/>
                <w:color w:val="00B050"/>
                <w:sz w:val="24"/>
                <w:u w:val="single"/>
                <w:woUserID w:val="1"/>
              </w:rPr>
              <w:t>2</w:t>
            </w:r>
            <w:r>
              <w:rPr>
                <w:rFonts w:hint="eastAsia"/>
                <w:color w:val="00B050"/>
                <w:sz w:val="24"/>
                <w:u w:val="single"/>
              </w:rPr>
              <w:t>日17：</w:t>
            </w:r>
            <w:r>
              <w:rPr>
                <w:color w:val="00B050"/>
                <w:sz w:val="24"/>
                <w:u w:val="single"/>
              </w:rPr>
              <w:t xml:space="preserve">00 </w:t>
            </w:r>
            <w:r>
              <w:rPr>
                <w:rFonts w:hint="eastAsia"/>
                <w:sz w:val="24"/>
              </w:rPr>
              <w:t>前给予答复。</w:t>
            </w:r>
            <w:r>
              <w:rPr>
                <w:rFonts w:hint="eastAsia" w:ascii="宋体"/>
                <w:sz w:val="24"/>
                <w:szCs w:val="24"/>
              </w:rPr>
              <w:t>联</w:t>
            </w:r>
            <w:r>
              <w:rPr>
                <w:rFonts w:hint="eastAsia" w:ascii="宋体"/>
                <w:color w:val="auto"/>
                <w:sz w:val="24"/>
                <w:szCs w:val="24"/>
              </w:rPr>
              <w:t>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0808D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ED53F1A">
            <w:pPr>
              <w:jc w:val="center"/>
              <w:rPr>
                <w:rFonts w:ascii="宋体"/>
                <w:sz w:val="24"/>
                <w:szCs w:val="24"/>
              </w:rPr>
            </w:pPr>
            <w:r>
              <w:rPr>
                <w:rFonts w:hint="eastAsia" w:ascii="宋体" w:hAnsi="宋体"/>
                <w:sz w:val="24"/>
                <w:szCs w:val="24"/>
              </w:rPr>
              <w:t>8</w:t>
            </w:r>
          </w:p>
        </w:tc>
        <w:tc>
          <w:tcPr>
            <w:tcW w:w="2043" w:type="dxa"/>
            <w:vAlign w:val="center"/>
          </w:tcPr>
          <w:p w14:paraId="6A1B3955">
            <w:pPr>
              <w:jc w:val="center"/>
              <w:rPr>
                <w:rFonts w:ascii="宋体"/>
                <w:sz w:val="24"/>
                <w:szCs w:val="24"/>
              </w:rPr>
            </w:pPr>
            <w:r>
              <w:rPr>
                <w:rFonts w:hint="eastAsia"/>
                <w:sz w:val="24"/>
              </w:rPr>
              <w:t>响应文件份数</w:t>
            </w:r>
            <w:r>
              <w:rPr>
                <w:rFonts w:hint="eastAsia"/>
                <w:sz w:val="24"/>
                <w:lang w:val="en-US" w:eastAsia="zh-CN"/>
              </w:rPr>
              <w:t>和</w:t>
            </w:r>
            <w:r>
              <w:rPr>
                <w:rFonts w:hint="eastAsia"/>
                <w:b/>
                <w:bCs/>
                <w:sz w:val="24"/>
                <w:lang w:val="en-US" w:eastAsia="zh-CN"/>
              </w:rPr>
              <w:t>演示视频（如有）</w:t>
            </w:r>
          </w:p>
        </w:tc>
        <w:tc>
          <w:tcPr>
            <w:tcW w:w="6348" w:type="dxa"/>
            <w:vAlign w:val="center"/>
          </w:tcPr>
          <w:p w14:paraId="2676CF71">
            <w:pPr>
              <w:jc w:val="left"/>
              <w:rPr>
                <w:color w:val="auto"/>
                <w:sz w:val="24"/>
              </w:rPr>
            </w:pPr>
            <w:r>
              <w:rPr>
                <w:rFonts w:hint="eastAsia"/>
                <w:b/>
                <w:bCs/>
                <w:sz w:val="24"/>
              </w:rPr>
              <w:t>电子加密响应文件</w:t>
            </w:r>
            <w:r>
              <w:rPr>
                <w:rFonts w:hint="eastAsia"/>
                <w:sz w:val="24"/>
              </w:rPr>
              <w:t>：</w:t>
            </w:r>
            <w:r>
              <w:rPr>
                <w:rFonts w:hint="eastAsia"/>
                <w:b/>
                <w:bCs/>
                <w:sz w:val="24"/>
              </w:rPr>
              <w:t>政府采购云平台在线上传一份；备份响应文件（自主选择是否递交）</w:t>
            </w:r>
            <w:r>
              <w:rPr>
                <w:rFonts w:hint="eastAsia"/>
                <w:b/>
                <w:bCs/>
                <w:sz w:val="24"/>
                <w:lang w:eastAsia="zh-CN"/>
              </w:rPr>
              <w:t>、</w:t>
            </w:r>
            <w:r>
              <w:rPr>
                <w:rFonts w:hint="eastAsia"/>
                <w:b/>
                <w:bCs/>
                <w:sz w:val="24"/>
                <w:lang w:val="en-US" w:eastAsia="zh-CN"/>
              </w:rPr>
              <w:t>演示视频</w:t>
            </w:r>
            <w:r>
              <w:rPr>
                <w:rFonts w:hint="default"/>
                <w:b/>
                <w:bCs/>
                <w:color w:val="auto"/>
                <w:sz w:val="24"/>
                <w:szCs w:val="20"/>
                <w:lang w:eastAsia="zh-CN"/>
              </w:rPr>
              <w:t>（如有）</w:t>
            </w:r>
            <w:r>
              <w:rPr>
                <w:rFonts w:hint="eastAsia"/>
                <w:b/>
                <w:bCs/>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2A69ECEF">
            <w:pPr>
              <w:jc w:val="left"/>
              <w:rPr>
                <w:rFonts w:ascii="宋体"/>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4FA99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ED067A">
            <w:pPr>
              <w:jc w:val="center"/>
              <w:rPr>
                <w:rFonts w:ascii="宋体"/>
                <w:sz w:val="24"/>
                <w:szCs w:val="24"/>
              </w:rPr>
            </w:pPr>
            <w:r>
              <w:rPr>
                <w:rFonts w:hint="eastAsia" w:ascii="宋体" w:hAnsi="宋体"/>
                <w:sz w:val="24"/>
                <w:szCs w:val="24"/>
              </w:rPr>
              <w:t>9</w:t>
            </w:r>
          </w:p>
        </w:tc>
        <w:tc>
          <w:tcPr>
            <w:tcW w:w="2043" w:type="dxa"/>
            <w:vAlign w:val="center"/>
          </w:tcPr>
          <w:p w14:paraId="1C723BAC">
            <w:pPr>
              <w:jc w:val="center"/>
              <w:rPr>
                <w:rFonts w:ascii="宋体"/>
                <w:sz w:val="24"/>
                <w:szCs w:val="24"/>
              </w:rPr>
            </w:pPr>
            <w:r>
              <w:rPr>
                <w:rFonts w:hint="eastAsia" w:ascii="宋体" w:hAnsi="宋体"/>
                <w:sz w:val="24"/>
                <w:szCs w:val="24"/>
              </w:rPr>
              <w:t>磋商地点</w:t>
            </w:r>
          </w:p>
        </w:tc>
        <w:tc>
          <w:tcPr>
            <w:tcW w:w="6348" w:type="dxa"/>
            <w:vAlign w:val="center"/>
          </w:tcPr>
          <w:p w14:paraId="586B40A8">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14:paraId="7C7EF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BF03AED">
            <w:pPr>
              <w:jc w:val="center"/>
              <w:rPr>
                <w:rFonts w:ascii="宋体"/>
                <w:sz w:val="24"/>
                <w:szCs w:val="24"/>
              </w:rPr>
            </w:pPr>
            <w:r>
              <w:rPr>
                <w:rFonts w:hint="eastAsia" w:ascii="宋体" w:hAnsi="宋体"/>
                <w:sz w:val="24"/>
                <w:szCs w:val="24"/>
              </w:rPr>
              <w:t>10</w:t>
            </w:r>
          </w:p>
        </w:tc>
        <w:tc>
          <w:tcPr>
            <w:tcW w:w="2043" w:type="dxa"/>
            <w:vAlign w:val="center"/>
          </w:tcPr>
          <w:p w14:paraId="39F2FDE1">
            <w:pPr>
              <w:jc w:val="center"/>
              <w:rPr>
                <w:rFonts w:ascii="宋体"/>
                <w:sz w:val="24"/>
                <w:szCs w:val="24"/>
              </w:rPr>
            </w:pPr>
            <w:r>
              <w:rPr>
                <w:rFonts w:hint="eastAsia" w:ascii="宋体" w:hAnsi="宋体"/>
                <w:sz w:val="24"/>
                <w:szCs w:val="24"/>
              </w:rPr>
              <w:t>评审办法</w:t>
            </w:r>
          </w:p>
        </w:tc>
        <w:tc>
          <w:tcPr>
            <w:tcW w:w="6348" w:type="dxa"/>
            <w:vAlign w:val="center"/>
          </w:tcPr>
          <w:p w14:paraId="7D5EA6B6">
            <w:pPr>
              <w:jc w:val="left"/>
              <w:rPr>
                <w:rFonts w:ascii="宋体"/>
                <w:sz w:val="24"/>
                <w:szCs w:val="24"/>
              </w:rPr>
            </w:pPr>
            <w:r>
              <w:rPr>
                <w:rFonts w:hint="eastAsia"/>
                <w:sz w:val="24"/>
              </w:rPr>
              <w:t>综合评分法</w:t>
            </w:r>
          </w:p>
        </w:tc>
      </w:tr>
      <w:tr w14:paraId="5B42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90EA7C4">
            <w:pPr>
              <w:jc w:val="center"/>
              <w:rPr>
                <w:rFonts w:ascii="宋体"/>
                <w:sz w:val="24"/>
                <w:szCs w:val="24"/>
              </w:rPr>
            </w:pPr>
            <w:r>
              <w:rPr>
                <w:rFonts w:hint="eastAsia" w:ascii="宋体" w:hAnsi="宋体"/>
                <w:sz w:val="24"/>
                <w:szCs w:val="24"/>
              </w:rPr>
              <w:t>11</w:t>
            </w:r>
          </w:p>
        </w:tc>
        <w:tc>
          <w:tcPr>
            <w:tcW w:w="2043" w:type="dxa"/>
            <w:vAlign w:val="center"/>
          </w:tcPr>
          <w:p w14:paraId="63AA5264">
            <w:pPr>
              <w:jc w:val="center"/>
              <w:rPr>
                <w:rFonts w:hint="default" w:ascii="宋体" w:eastAsia="宋体"/>
                <w:sz w:val="24"/>
                <w:szCs w:val="24"/>
                <w:lang w:val="en-US" w:eastAsia="zh-CN"/>
              </w:rPr>
            </w:pPr>
            <w:r>
              <w:rPr>
                <w:rFonts w:hint="eastAsia"/>
                <w:sz w:val="24"/>
                <w:lang w:val="en-US" w:eastAsia="zh-CN"/>
              </w:rPr>
              <w:t>公告媒体</w:t>
            </w:r>
          </w:p>
        </w:tc>
        <w:tc>
          <w:tcPr>
            <w:tcW w:w="6348" w:type="dxa"/>
            <w:vAlign w:val="center"/>
          </w:tcPr>
          <w:p w14:paraId="34827EE6">
            <w:pPr>
              <w:jc w:val="left"/>
              <w:rPr>
                <w:rFonts w:hint="default" w:ascii="宋体" w:eastAsia="宋体"/>
                <w:sz w:val="24"/>
                <w:szCs w:val="24"/>
                <w:lang w:val="en-US" w:eastAsia="zh-CN"/>
              </w:rPr>
            </w:pPr>
            <w:r>
              <w:rPr>
                <w:rFonts w:hint="eastAsia"/>
                <w:sz w:val="24"/>
                <w:lang w:val="en-US" w:eastAsia="zh-CN"/>
              </w:rPr>
              <w:t>杭州电子科技大学采购中心网站</w:t>
            </w:r>
          </w:p>
        </w:tc>
      </w:tr>
      <w:tr w14:paraId="6401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96A2DE">
            <w:pPr>
              <w:jc w:val="center"/>
              <w:rPr>
                <w:rFonts w:ascii="宋体"/>
                <w:sz w:val="24"/>
                <w:szCs w:val="24"/>
              </w:rPr>
            </w:pPr>
            <w:r>
              <w:rPr>
                <w:rFonts w:hint="eastAsia" w:ascii="宋体" w:hAnsi="宋体"/>
                <w:sz w:val="24"/>
                <w:szCs w:val="24"/>
              </w:rPr>
              <w:t>12</w:t>
            </w:r>
          </w:p>
        </w:tc>
        <w:tc>
          <w:tcPr>
            <w:tcW w:w="2043" w:type="dxa"/>
            <w:vAlign w:val="center"/>
          </w:tcPr>
          <w:p w14:paraId="4308F83D">
            <w:pPr>
              <w:jc w:val="center"/>
              <w:rPr>
                <w:rFonts w:ascii="宋体"/>
                <w:sz w:val="24"/>
                <w:szCs w:val="24"/>
              </w:rPr>
            </w:pPr>
            <w:r>
              <w:rPr>
                <w:rFonts w:hint="eastAsia"/>
                <w:sz w:val="24"/>
              </w:rPr>
              <w:t>解释</w:t>
            </w:r>
          </w:p>
        </w:tc>
        <w:tc>
          <w:tcPr>
            <w:tcW w:w="6348" w:type="dxa"/>
            <w:vAlign w:val="center"/>
          </w:tcPr>
          <w:p w14:paraId="7F516CCA">
            <w:pPr>
              <w:jc w:val="left"/>
              <w:rPr>
                <w:rFonts w:ascii="宋体"/>
                <w:sz w:val="24"/>
                <w:szCs w:val="24"/>
              </w:rPr>
            </w:pPr>
            <w:r>
              <w:rPr>
                <w:rFonts w:hint="eastAsia"/>
                <w:sz w:val="24"/>
              </w:rPr>
              <w:t>本磋商文件的解释权属于杭州电子科技大学采购中心。采购文件中未尽事宜，杭州电子科技大学采购中心有权参照政府采购法相关法律法规作出解释并执行。</w:t>
            </w:r>
          </w:p>
        </w:tc>
      </w:tr>
    </w:tbl>
    <w:p w14:paraId="5E398288">
      <w:pPr>
        <w:pStyle w:val="5"/>
        <w:spacing w:before="120" w:beforeLines="50" w:after="120" w:afterLines="50" w:line="240" w:lineRule="auto"/>
        <w:ind w:left="0" w:firstLine="0"/>
        <w:jc w:val="center"/>
        <w:outlineLvl w:val="1"/>
        <w:rPr>
          <w:rFonts w:ascii="楷体" w:hAnsi="楷体" w:eastAsia="楷体" w:cs="楷体"/>
          <w:snapToGrid w:val="0"/>
          <w:kern w:val="44"/>
          <w:sz w:val="32"/>
          <w:szCs w:val="32"/>
        </w:rPr>
      </w:pPr>
      <w:r>
        <w:rPr>
          <w:rFonts w:hAnsi="宋体"/>
          <w:sz w:val="32"/>
        </w:rPr>
        <w:br w:type="page"/>
      </w:r>
      <w:bookmarkEnd w:id="117"/>
      <w:bookmarkStart w:id="119" w:name="_Toc30371"/>
      <w:bookmarkStart w:id="120" w:name="_Toc689"/>
      <w:bookmarkStart w:id="121" w:name="_Toc3209"/>
      <w:bookmarkStart w:id="122" w:name="_Toc20458"/>
      <w:bookmarkStart w:id="123" w:name="_Toc20897"/>
      <w:bookmarkStart w:id="124" w:name="_Toc2257"/>
      <w:bookmarkStart w:id="125" w:name="_Toc6501"/>
      <w:bookmarkStart w:id="126" w:name="_Toc23407"/>
      <w:bookmarkStart w:id="127" w:name="_Toc7512"/>
      <w:bookmarkStart w:id="128" w:name="_Toc14022"/>
      <w:bookmarkStart w:id="129" w:name="_Toc22060"/>
      <w:bookmarkStart w:id="130" w:name="_Toc27769"/>
      <w:bookmarkStart w:id="131" w:name="_Toc26898"/>
      <w:bookmarkStart w:id="132" w:name="_Toc15936"/>
      <w:bookmarkStart w:id="133" w:name="_Toc11749"/>
      <w:bookmarkStart w:id="134" w:name="_Toc6934"/>
      <w:bookmarkStart w:id="135" w:name="_Toc7947"/>
      <w:bookmarkStart w:id="136" w:name="_Toc18182"/>
      <w:bookmarkStart w:id="137" w:name="_Toc24686"/>
      <w:bookmarkStart w:id="138" w:name="_Toc6991"/>
      <w:bookmarkStart w:id="139" w:name="_Toc11583"/>
      <w:bookmarkStart w:id="140" w:name="_Toc1408"/>
      <w:bookmarkStart w:id="141" w:name="_Toc6802"/>
      <w:bookmarkStart w:id="142" w:name="_Toc3922"/>
      <w:bookmarkStart w:id="143" w:name="_Toc19879"/>
      <w:bookmarkStart w:id="144" w:name="_Toc19375"/>
      <w:bookmarkStart w:id="145" w:name="_Toc6841"/>
      <w:bookmarkStart w:id="146" w:name="_Toc12127"/>
      <w:bookmarkStart w:id="147" w:name="_Toc24333"/>
      <w:bookmarkStart w:id="148" w:name="_Toc9017"/>
      <w:bookmarkStart w:id="149" w:name="_Toc7875"/>
      <w:bookmarkStart w:id="150" w:name="_Toc1492"/>
      <w:bookmarkStart w:id="151" w:name="_Toc15369"/>
      <w:bookmarkStart w:id="152" w:name="_Toc18556"/>
      <w:bookmarkStart w:id="153" w:name="_Toc67"/>
      <w:bookmarkStart w:id="154" w:name="_Toc15091"/>
      <w:r>
        <w:rPr>
          <w:rFonts w:hint="eastAsia" w:ascii="楷体" w:hAnsi="楷体" w:eastAsia="楷体" w:cs="楷体"/>
          <w:snapToGrid w:val="0"/>
          <w:kern w:val="44"/>
          <w:sz w:val="32"/>
          <w:szCs w:val="32"/>
        </w:rPr>
        <w:t>一、磋商说明</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397AB610">
      <w:pPr>
        <w:spacing w:before="120" w:beforeLines="50" w:after="120" w:afterLines="50" w:line="288" w:lineRule="auto"/>
        <w:ind w:firstLine="248" w:firstLineChars="103"/>
        <w:outlineLvl w:val="2"/>
        <w:rPr>
          <w:b/>
          <w:bCs/>
          <w:sz w:val="24"/>
        </w:rPr>
      </w:pPr>
      <w:r>
        <w:rPr>
          <w:rFonts w:hint="eastAsia"/>
          <w:b/>
          <w:bCs/>
          <w:sz w:val="24"/>
        </w:rPr>
        <w:t>（一）总则</w:t>
      </w:r>
      <w:r>
        <w:rPr>
          <w:b/>
          <w:bCs/>
          <w:sz w:val="24"/>
        </w:rPr>
        <w:t xml:space="preserve"> </w:t>
      </w:r>
    </w:p>
    <w:p w14:paraId="79C5C33B">
      <w:pPr>
        <w:numPr>
          <w:ilvl w:val="0"/>
          <w:numId w:val="1"/>
        </w:numPr>
        <w:spacing w:line="288" w:lineRule="auto"/>
        <w:ind w:firstLine="477" w:firstLineChars="199"/>
        <w:rPr>
          <w:sz w:val="24"/>
        </w:rPr>
      </w:pPr>
      <w:r>
        <w:rPr>
          <w:rFonts w:hint="eastAsia"/>
          <w:sz w:val="24"/>
        </w:rPr>
        <w:t>本次磋商采购文件根据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参照《中华人民共和国政府采购法》、《中华人民共和国政府采购法实施条例》、《政府采购竞争性磋商采购方式管理暂行办法》、《浙江省政府采购活动现场组织管理办法》</w:t>
      </w:r>
      <w:r>
        <w:rPr>
          <w:rFonts w:hint="eastAsia"/>
          <w:sz w:val="24"/>
        </w:rPr>
        <w:t>等部分相关条款制定。</w:t>
      </w:r>
    </w:p>
    <w:p w14:paraId="74DE9601">
      <w:pPr>
        <w:numPr>
          <w:ilvl w:val="0"/>
          <w:numId w:val="1"/>
        </w:numPr>
        <w:spacing w:line="288" w:lineRule="auto"/>
        <w:ind w:firstLine="477" w:firstLineChars="199"/>
        <w:rPr>
          <w:sz w:val="24"/>
        </w:rPr>
      </w:pPr>
      <w:r>
        <w:rPr>
          <w:rFonts w:hint="eastAsia"/>
          <w:sz w:val="24"/>
        </w:rPr>
        <w:t>响应方一旦参与本次磋商活动，即被视为接受了本磋商文件的所有内容，如有任何异议，均应在答疑截止时间前提出。</w:t>
      </w:r>
      <w:r>
        <w:rPr>
          <w:sz w:val="24"/>
        </w:rPr>
        <w:t xml:space="preserve"> </w:t>
      </w:r>
    </w:p>
    <w:p w14:paraId="1C0DF870">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14:paraId="265EDAF7">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2BD47256">
      <w:pPr>
        <w:spacing w:line="288" w:lineRule="auto"/>
        <w:ind w:firstLine="420" w:firstLineChars="175"/>
        <w:rPr>
          <w:sz w:val="24"/>
        </w:rPr>
      </w:pPr>
      <w:r>
        <w:rPr>
          <w:rFonts w:hint="eastAsia"/>
          <w:sz w:val="24"/>
        </w:rPr>
        <w:t>（1）产品质量、服务等不符合国家有关规定和响应文件承诺的标准的；</w:t>
      </w:r>
    </w:p>
    <w:p w14:paraId="687434DB">
      <w:pPr>
        <w:spacing w:line="288" w:lineRule="auto"/>
        <w:ind w:firstLine="420" w:firstLineChars="175"/>
        <w:rPr>
          <w:sz w:val="24"/>
        </w:rPr>
      </w:pPr>
      <w:r>
        <w:rPr>
          <w:rFonts w:hint="eastAsia"/>
          <w:sz w:val="24"/>
        </w:rPr>
        <w:t>（2）被质疑投诉，经证实情况严重的；</w:t>
      </w:r>
    </w:p>
    <w:p w14:paraId="73B183B6">
      <w:pPr>
        <w:spacing w:line="288" w:lineRule="auto"/>
        <w:ind w:firstLine="420" w:firstLineChars="175"/>
        <w:rPr>
          <w:sz w:val="24"/>
        </w:rPr>
      </w:pPr>
      <w:r>
        <w:rPr>
          <w:rFonts w:hint="eastAsia"/>
          <w:sz w:val="24"/>
        </w:rPr>
        <w:t>（3）使用不正当竞争手段，影响采购人正常采购活动的；</w:t>
      </w:r>
    </w:p>
    <w:p w14:paraId="52FD5B9C">
      <w:pPr>
        <w:spacing w:line="288" w:lineRule="auto"/>
        <w:ind w:firstLine="420" w:firstLineChars="175"/>
        <w:rPr>
          <w:sz w:val="24"/>
        </w:rPr>
      </w:pPr>
      <w:r>
        <w:rPr>
          <w:rFonts w:hint="eastAsia"/>
          <w:sz w:val="24"/>
        </w:rPr>
        <w:t>（4）响应方串通投标的；</w:t>
      </w:r>
    </w:p>
    <w:p w14:paraId="25E9483E">
      <w:pPr>
        <w:spacing w:line="288" w:lineRule="auto"/>
        <w:ind w:firstLine="420" w:firstLineChars="175"/>
        <w:rPr>
          <w:sz w:val="24"/>
        </w:rPr>
      </w:pPr>
      <w:r>
        <w:rPr>
          <w:rFonts w:hint="eastAsia"/>
          <w:sz w:val="24"/>
        </w:rPr>
        <w:t>（5）拒绝承担成交的项目；或提出采购方不能接受的条件，致使合同无法签订的。</w:t>
      </w:r>
    </w:p>
    <w:p w14:paraId="273E8249">
      <w:pPr>
        <w:spacing w:line="288" w:lineRule="auto"/>
        <w:ind w:firstLine="420" w:firstLineChars="175"/>
        <w:rPr>
          <w:sz w:val="24"/>
        </w:rPr>
      </w:pPr>
      <w:r>
        <w:rPr>
          <w:rFonts w:hint="eastAsia"/>
          <w:sz w:val="24"/>
        </w:rPr>
        <w:t>（6）响应方在投标中弄虚作假，提供虚假材料的；</w:t>
      </w:r>
    </w:p>
    <w:p w14:paraId="04D99F96">
      <w:pPr>
        <w:spacing w:line="288" w:lineRule="auto"/>
        <w:ind w:firstLine="420" w:firstLineChars="175"/>
        <w:rPr>
          <w:sz w:val="24"/>
        </w:rPr>
      </w:pPr>
      <w:r>
        <w:rPr>
          <w:rFonts w:hint="eastAsia"/>
          <w:sz w:val="24"/>
        </w:rPr>
        <w:t>（7）成交方未按规定的时间、地点与采购人签订合同或未能按规定履行合同的；</w:t>
      </w:r>
    </w:p>
    <w:p w14:paraId="0E966D76">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14:paraId="7FD770FF">
      <w:pPr>
        <w:spacing w:line="288" w:lineRule="auto"/>
        <w:ind w:firstLine="420" w:firstLineChars="175"/>
        <w:rPr>
          <w:sz w:val="24"/>
        </w:rPr>
      </w:pPr>
      <w:r>
        <w:rPr>
          <w:rFonts w:hint="eastAsia"/>
          <w:sz w:val="24"/>
        </w:rPr>
        <w:t>（9）其他严重扰乱磋商程序的；</w:t>
      </w:r>
    </w:p>
    <w:p w14:paraId="3D9DC173">
      <w:pPr>
        <w:spacing w:line="288" w:lineRule="auto"/>
        <w:ind w:firstLine="420" w:firstLineChars="175"/>
        <w:rPr>
          <w:sz w:val="24"/>
        </w:rPr>
      </w:pPr>
      <w:r>
        <w:rPr>
          <w:rFonts w:hint="eastAsia"/>
          <w:sz w:val="24"/>
        </w:rPr>
        <w:t>（10）未成交供应商恶意质疑、投诉的。</w:t>
      </w:r>
    </w:p>
    <w:p w14:paraId="40F9B609">
      <w:pPr>
        <w:spacing w:line="288" w:lineRule="auto"/>
        <w:ind w:firstLine="420" w:firstLineChars="175"/>
        <w:rPr>
          <w:sz w:val="24"/>
        </w:rPr>
      </w:pPr>
      <w:r>
        <w:rPr>
          <w:rFonts w:hint="eastAsia"/>
          <w:sz w:val="24"/>
        </w:rPr>
        <w:t>（11）违反法律法规和合同约定的其他情形的。</w:t>
      </w:r>
    </w:p>
    <w:p w14:paraId="3C136784">
      <w:pPr>
        <w:spacing w:line="288" w:lineRule="auto"/>
        <w:ind w:firstLine="477" w:firstLineChars="199"/>
        <w:rPr>
          <w:sz w:val="24"/>
        </w:rPr>
      </w:pPr>
      <w:r>
        <w:rPr>
          <w:rFonts w:hint="eastAsia"/>
          <w:sz w:val="24"/>
          <w:lang w:val="en-US" w:eastAsia="zh-CN"/>
        </w:rPr>
        <w:t>5</w:t>
      </w:r>
      <w:r>
        <w:rPr>
          <w:rFonts w:hint="eastAsia"/>
          <w:sz w:val="24"/>
        </w:rPr>
        <w:t>、在本次磋商采购过程中，如果出现采购人利益损失、当事人违法违规或学校政策变更等情况，采购人有权终止本次磋商采购，供应商需自行承担相应的风险和损失。</w:t>
      </w:r>
    </w:p>
    <w:p w14:paraId="6253C9D0">
      <w:pPr>
        <w:spacing w:before="120" w:beforeLines="50" w:after="120" w:afterLines="50" w:line="288" w:lineRule="auto"/>
        <w:ind w:firstLine="248" w:firstLineChars="103"/>
        <w:outlineLvl w:val="2"/>
        <w:rPr>
          <w:b/>
          <w:bCs/>
          <w:sz w:val="24"/>
        </w:rPr>
      </w:pPr>
      <w:r>
        <w:rPr>
          <w:rFonts w:hint="eastAsia"/>
          <w:b/>
          <w:bCs/>
          <w:sz w:val="24"/>
        </w:rPr>
        <w:t>（二）释义说明</w:t>
      </w:r>
    </w:p>
    <w:p w14:paraId="582CC7ED">
      <w:pPr>
        <w:spacing w:line="288" w:lineRule="auto"/>
        <w:ind w:firstLine="477" w:firstLineChars="199"/>
        <w:rPr>
          <w:sz w:val="24"/>
        </w:rPr>
      </w:pPr>
      <w:r>
        <w:rPr>
          <w:sz w:val="24"/>
        </w:rPr>
        <w:t>1</w:t>
      </w:r>
      <w:r>
        <w:rPr>
          <w:rFonts w:hint="eastAsia"/>
          <w:sz w:val="24"/>
        </w:rPr>
        <w:t>、“甲方”“采购人”“采购方”“采购单位”指杭州电子科技大学。“采购机构”指杭州电子科技大学采购中心。</w:t>
      </w:r>
    </w:p>
    <w:p w14:paraId="0F5DC11D">
      <w:pPr>
        <w:spacing w:line="288" w:lineRule="auto"/>
        <w:ind w:firstLine="477" w:firstLineChars="199"/>
        <w:rPr>
          <w:sz w:val="24"/>
        </w:rPr>
      </w:pPr>
      <w:r>
        <w:rPr>
          <w:sz w:val="24"/>
        </w:rPr>
        <w:t>2</w:t>
      </w:r>
      <w:r>
        <w:rPr>
          <w:rFonts w:hint="eastAsia"/>
          <w:sz w:val="24"/>
        </w:rPr>
        <w:t>、“响应方”“投标人”“投标方”指符合本次磋商资格要求（竞争性磋商公告第三条）、按磋商文件规定向采购机构提交响应文件的供应商。</w:t>
      </w:r>
    </w:p>
    <w:p w14:paraId="125D755D">
      <w:pPr>
        <w:spacing w:line="288" w:lineRule="auto"/>
        <w:ind w:firstLine="477" w:firstLineChars="199"/>
        <w:rPr>
          <w:sz w:val="24"/>
        </w:rPr>
      </w:pPr>
      <w:r>
        <w:rPr>
          <w:sz w:val="24"/>
        </w:rPr>
        <w:t>3</w:t>
      </w:r>
      <w:r>
        <w:rPr>
          <w:rFonts w:hint="eastAsia"/>
          <w:sz w:val="24"/>
        </w:rPr>
        <w:t>、“乙方”</w:t>
      </w:r>
      <w:r>
        <w:rPr>
          <w:rFonts w:hint="eastAsia"/>
          <w:sz w:val="24"/>
          <w:lang w:eastAsia="zh-CN"/>
        </w:rPr>
        <w:t>“</w:t>
      </w:r>
      <w:r>
        <w:rPr>
          <w:rFonts w:hint="eastAsia"/>
          <w:sz w:val="24"/>
          <w:lang w:val="en-US" w:eastAsia="zh-CN"/>
        </w:rPr>
        <w:t>成交人</w:t>
      </w:r>
      <w:r>
        <w:rPr>
          <w:rFonts w:hint="eastAsia"/>
          <w:sz w:val="24"/>
          <w:lang w:eastAsia="zh-CN"/>
        </w:rPr>
        <w:t>”</w:t>
      </w:r>
      <w:r>
        <w:rPr>
          <w:rFonts w:hint="eastAsia"/>
          <w:sz w:val="24"/>
        </w:rPr>
        <w:t>“成交方”“中标人”“</w:t>
      </w:r>
      <w:r>
        <w:rPr>
          <w:rFonts w:hint="eastAsia"/>
          <w:sz w:val="24"/>
          <w:lang w:val="en-US" w:eastAsia="zh-CN"/>
        </w:rPr>
        <w:t>中标</w:t>
      </w:r>
      <w:r>
        <w:rPr>
          <w:rFonts w:hint="eastAsia"/>
          <w:sz w:val="24"/>
        </w:rPr>
        <w:t>方”指本次磋商的成交供应商。</w:t>
      </w:r>
    </w:p>
    <w:p w14:paraId="4088FA45">
      <w:pPr>
        <w:spacing w:line="288" w:lineRule="auto"/>
        <w:ind w:firstLine="477" w:firstLineChars="199"/>
        <w:rPr>
          <w:sz w:val="24"/>
        </w:rPr>
      </w:pPr>
      <w:r>
        <w:rPr>
          <w:sz w:val="24"/>
        </w:rPr>
        <w:t>4</w:t>
      </w:r>
      <w:r>
        <w:rPr>
          <w:rFonts w:hint="eastAsia"/>
          <w:sz w:val="24"/>
        </w:rPr>
        <w:t>、“货物”、“产品”指响应方按磋商文件规定，须向采购人提供的一切设备、保险、税金、备品备件、工具、手册及其它有关技术资料和材料。</w:t>
      </w:r>
    </w:p>
    <w:p w14:paraId="04C918B7">
      <w:pPr>
        <w:spacing w:line="288" w:lineRule="auto"/>
        <w:ind w:firstLine="480" w:firstLineChars="200"/>
        <w:rPr>
          <w:sz w:val="24"/>
        </w:rPr>
      </w:pPr>
      <w:r>
        <w:rPr>
          <w:sz w:val="24"/>
        </w:rPr>
        <w:t>5</w:t>
      </w:r>
      <w:r>
        <w:rPr>
          <w:rFonts w:hint="eastAsia"/>
          <w:sz w:val="24"/>
        </w:rPr>
        <w:t>、“服务”指磋商文件规定的响应方承担采购人所要求的送货、安装调试、培训、技术协助、售后服务</w:t>
      </w:r>
      <w:r>
        <w:rPr>
          <w:rFonts w:hint="eastAsia" w:ascii="宋体" w:hAnsi="宋体"/>
          <w:sz w:val="24"/>
          <w:szCs w:val="24"/>
        </w:rPr>
        <w:t>、其它类似服务</w:t>
      </w:r>
      <w:r>
        <w:rPr>
          <w:rFonts w:hint="eastAsia"/>
          <w:sz w:val="24"/>
        </w:rPr>
        <w:t>及磋商文件规定的其它事项。</w:t>
      </w:r>
    </w:p>
    <w:p w14:paraId="3543C0E3">
      <w:pPr>
        <w:spacing w:line="288" w:lineRule="auto"/>
        <w:ind w:firstLine="477" w:firstLineChars="199"/>
        <w:rPr>
          <w:sz w:val="24"/>
        </w:rPr>
      </w:pPr>
      <w:r>
        <w:rPr>
          <w:sz w:val="24"/>
        </w:rPr>
        <w:t>6</w:t>
      </w:r>
      <w:r>
        <w:rPr>
          <w:rFonts w:hint="eastAsia"/>
          <w:sz w:val="24"/>
        </w:rPr>
        <w:t>、“书面形式”包括信函、传真、电子文档等。</w:t>
      </w:r>
    </w:p>
    <w:p w14:paraId="2DBE1227">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5F049468">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6C5469A3">
      <w:pPr>
        <w:spacing w:line="288" w:lineRule="auto"/>
        <w:ind w:firstLine="477" w:firstLineChars="199"/>
        <w:rPr>
          <w:sz w:val="24"/>
        </w:rPr>
      </w:pPr>
      <w:r>
        <w:rPr>
          <w:rFonts w:hint="eastAsia"/>
          <w:sz w:val="24"/>
        </w:rPr>
        <w:t>磋商文件对响应文件签署、盖章的要求适用于电子签名。</w:t>
      </w:r>
    </w:p>
    <w:p w14:paraId="459AAFBE">
      <w:pPr>
        <w:spacing w:line="288" w:lineRule="auto"/>
        <w:ind w:firstLine="477" w:firstLineChars="199"/>
        <w:rPr>
          <w:sz w:val="24"/>
        </w:rPr>
      </w:pPr>
      <w:r>
        <w:rPr>
          <w:rFonts w:hint="eastAsia"/>
          <w:sz w:val="24"/>
        </w:rPr>
        <w:t>8、磋商费用：无论磋商过程中的做法和结果如何，响应方需自行承担涉及磋商的一切费用。</w:t>
      </w:r>
    </w:p>
    <w:p w14:paraId="4F2C4591">
      <w:pPr>
        <w:pStyle w:val="5"/>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155" w:name="_Toc15004"/>
      <w:bookmarkStart w:id="156" w:name="_Toc29315"/>
      <w:bookmarkStart w:id="157" w:name="_Toc14905"/>
      <w:bookmarkStart w:id="158" w:name="_Toc16259"/>
      <w:bookmarkStart w:id="159" w:name="_Toc12939"/>
      <w:bookmarkStart w:id="160" w:name="_Toc12746"/>
      <w:bookmarkStart w:id="161" w:name="_Toc32029"/>
      <w:bookmarkStart w:id="162" w:name="_Toc10503"/>
      <w:bookmarkStart w:id="163" w:name="_Toc7225"/>
      <w:bookmarkStart w:id="164" w:name="_Toc14339"/>
      <w:bookmarkStart w:id="165" w:name="_Toc23883"/>
      <w:bookmarkStart w:id="166" w:name="_Toc21682"/>
      <w:bookmarkStart w:id="167" w:name="_Toc11863"/>
      <w:bookmarkStart w:id="168" w:name="_Toc25478"/>
      <w:bookmarkStart w:id="169" w:name="_Toc10460"/>
      <w:bookmarkStart w:id="170" w:name="_Toc16623"/>
      <w:bookmarkStart w:id="171" w:name="_Toc25249"/>
      <w:bookmarkStart w:id="172" w:name="_Toc2692"/>
      <w:bookmarkStart w:id="173" w:name="_Toc4054"/>
      <w:bookmarkStart w:id="174" w:name="_Toc6681"/>
      <w:bookmarkStart w:id="175" w:name="_Toc13352"/>
      <w:bookmarkStart w:id="176" w:name="_Toc12934"/>
      <w:bookmarkStart w:id="177" w:name="_Toc17921"/>
      <w:bookmarkStart w:id="178" w:name="_Toc30356"/>
      <w:bookmarkStart w:id="179" w:name="_Toc23441"/>
      <w:bookmarkStart w:id="180" w:name="_Toc30651"/>
      <w:bookmarkStart w:id="181" w:name="_Toc4587"/>
      <w:bookmarkStart w:id="182" w:name="_Toc17024"/>
      <w:r>
        <w:rPr>
          <w:rFonts w:hint="eastAsia" w:ascii="楷体" w:hAnsi="楷体" w:eastAsia="楷体" w:cs="楷体"/>
          <w:snapToGrid w:val="0"/>
          <w:kern w:val="44"/>
          <w:sz w:val="32"/>
          <w:szCs w:val="32"/>
        </w:rPr>
        <w:t>二、磋商文件</w:t>
      </w:r>
      <w:bookmarkEnd w:id="40"/>
      <w:bookmarkEnd w:id="41"/>
      <w:bookmarkEnd w:id="42"/>
      <w:bookmarkEnd w:id="43"/>
      <w:bookmarkEnd w:id="44"/>
      <w:bookmarkEnd w:id="45"/>
      <w:bookmarkEnd w:id="4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25BB82E3">
      <w:pPr>
        <w:spacing w:line="288" w:lineRule="auto"/>
        <w:outlineLvl w:val="2"/>
        <w:rPr>
          <w:sz w:val="24"/>
        </w:rPr>
      </w:pPr>
      <w:r>
        <w:rPr>
          <w:rFonts w:hint="eastAsia"/>
          <w:b/>
          <w:bCs/>
          <w:sz w:val="24"/>
        </w:rPr>
        <w:t>（一）磋商文件的构成。</w:t>
      </w:r>
      <w:r>
        <w:rPr>
          <w:rFonts w:hint="eastAsia"/>
          <w:sz w:val="24"/>
        </w:rPr>
        <w:t>本磋商文件由以下部分组成：</w:t>
      </w:r>
    </w:p>
    <w:p w14:paraId="68590930">
      <w:pPr>
        <w:spacing w:line="288" w:lineRule="auto"/>
        <w:ind w:firstLine="360" w:firstLineChars="150"/>
        <w:rPr>
          <w:sz w:val="24"/>
        </w:rPr>
      </w:pPr>
      <w:r>
        <w:rPr>
          <w:sz w:val="24"/>
        </w:rPr>
        <w:t>1</w:t>
      </w:r>
      <w:r>
        <w:rPr>
          <w:rFonts w:hint="eastAsia"/>
          <w:sz w:val="24"/>
        </w:rPr>
        <w:t>、磋商公告</w:t>
      </w:r>
    </w:p>
    <w:p w14:paraId="026B5150">
      <w:pPr>
        <w:spacing w:line="288" w:lineRule="auto"/>
        <w:ind w:firstLine="360" w:firstLineChars="150"/>
        <w:rPr>
          <w:sz w:val="24"/>
        </w:rPr>
      </w:pPr>
      <w:r>
        <w:rPr>
          <w:sz w:val="24"/>
        </w:rPr>
        <w:t>2</w:t>
      </w:r>
      <w:r>
        <w:rPr>
          <w:rFonts w:hint="eastAsia"/>
          <w:sz w:val="24"/>
        </w:rPr>
        <w:t>、响应方须知</w:t>
      </w:r>
    </w:p>
    <w:p w14:paraId="6F4934D9">
      <w:pPr>
        <w:spacing w:line="288" w:lineRule="auto"/>
        <w:ind w:firstLine="360" w:firstLineChars="150"/>
        <w:rPr>
          <w:sz w:val="24"/>
        </w:rPr>
      </w:pPr>
      <w:r>
        <w:rPr>
          <w:sz w:val="24"/>
        </w:rPr>
        <w:t>3</w:t>
      </w:r>
      <w:r>
        <w:rPr>
          <w:rFonts w:hint="eastAsia"/>
          <w:sz w:val="24"/>
        </w:rPr>
        <w:t>、采购要求</w:t>
      </w:r>
    </w:p>
    <w:p w14:paraId="2092C0E2">
      <w:pPr>
        <w:spacing w:line="288" w:lineRule="auto"/>
        <w:ind w:firstLine="360" w:firstLineChars="150"/>
        <w:rPr>
          <w:sz w:val="24"/>
        </w:rPr>
      </w:pPr>
      <w:r>
        <w:rPr>
          <w:sz w:val="24"/>
        </w:rPr>
        <w:t>4</w:t>
      </w:r>
      <w:r>
        <w:rPr>
          <w:rFonts w:hint="eastAsia"/>
          <w:sz w:val="24"/>
        </w:rPr>
        <w:t>、评审办法及评分标准</w:t>
      </w:r>
    </w:p>
    <w:p w14:paraId="2D91D363">
      <w:pPr>
        <w:spacing w:line="288" w:lineRule="auto"/>
        <w:ind w:firstLine="360" w:firstLineChars="150"/>
        <w:rPr>
          <w:sz w:val="24"/>
        </w:rPr>
      </w:pPr>
      <w:r>
        <w:rPr>
          <w:sz w:val="24"/>
        </w:rPr>
        <w:t>5</w:t>
      </w:r>
      <w:r>
        <w:rPr>
          <w:rFonts w:hint="eastAsia"/>
          <w:sz w:val="24"/>
        </w:rPr>
        <w:t>、合同主要条款</w:t>
      </w:r>
    </w:p>
    <w:p w14:paraId="0F17EC13">
      <w:pPr>
        <w:spacing w:line="288" w:lineRule="auto"/>
        <w:ind w:firstLine="360" w:firstLineChars="150"/>
        <w:rPr>
          <w:sz w:val="24"/>
        </w:rPr>
      </w:pPr>
      <w:r>
        <w:rPr>
          <w:sz w:val="24"/>
        </w:rPr>
        <w:t>6</w:t>
      </w:r>
      <w:r>
        <w:rPr>
          <w:rFonts w:hint="eastAsia"/>
          <w:sz w:val="24"/>
        </w:rPr>
        <w:t>、响应文件格式</w:t>
      </w:r>
    </w:p>
    <w:p w14:paraId="2407DB3B">
      <w:pPr>
        <w:spacing w:line="288" w:lineRule="auto"/>
        <w:ind w:firstLine="360" w:firstLineChars="150"/>
        <w:rPr>
          <w:sz w:val="24"/>
        </w:rPr>
      </w:pPr>
      <w:r>
        <w:rPr>
          <w:sz w:val="24"/>
        </w:rPr>
        <w:t>7</w:t>
      </w:r>
      <w:r>
        <w:rPr>
          <w:rFonts w:hint="eastAsia"/>
          <w:sz w:val="24"/>
        </w:rPr>
        <w:t>、本项目磋商文件以书面形式澄清、答复、修改、补充的内容</w:t>
      </w:r>
    </w:p>
    <w:p w14:paraId="358D1FE5">
      <w:pPr>
        <w:spacing w:line="288" w:lineRule="auto"/>
        <w:outlineLvl w:val="2"/>
        <w:rPr>
          <w:b/>
          <w:bCs/>
          <w:sz w:val="24"/>
        </w:rPr>
      </w:pPr>
      <w:r>
        <w:rPr>
          <w:rFonts w:hint="eastAsia"/>
          <w:b/>
          <w:bCs/>
          <w:sz w:val="24"/>
        </w:rPr>
        <w:t>（二）磋商文件的澄清与修改</w:t>
      </w:r>
      <w:r>
        <w:rPr>
          <w:b/>
          <w:bCs/>
          <w:sz w:val="24"/>
        </w:rPr>
        <w:t xml:space="preserve"> </w:t>
      </w:r>
    </w:p>
    <w:p w14:paraId="2F96DDAA">
      <w:pPr>
        <w:spacing w:line="288" w:lineRule="auto"/>
        <w:rPr>
          <w:sz w:val="24"/>
        </w:rPr>
      </w:pPr>
      <w:r>
        <w:rPr>
          <w:sz w:val="24"/>
        </w:rPr>
        <w:t xml:space="preserve">    1</w:t>
      </w:r>
      <w:r>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6F3D5219">
      <w:pPr>
        <w:spacing w:line="288" w:lineRule="auto"/>
        <w:rPr>
          <w:sz w:val="24"/>
        </w:rPr>
      </w:pPr>
      <w:r>
        <w:rPr>
          <w:sz w:val="24"/>
        </w:rPr>
        <w:t xml:space="preserve">    2</w:t>
      </w:r>
      <w:r>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04526330">
      <w:pPr>
        <w:spacing w:line="288" w:lineRule="auto"/>
        <w:rPr>
          <w:sz w:val="24"/>
        </w:rPr>
      </w:pPr>
      <w:r>
        <w:rPr>
          <w:sz w:val="24"/>
        </w:rPr>
        <w:t xml:space="preserve">    3</w:t>
      </w:r>
      <w:r>
        <w:rPr>
          <w:rFonts w:hint="eastAsia"/>
          <w:sz w:val="24"/>
        </w:rPr>
        <w:t>、磋商文件澄清、答复、修改、补充的内容为磋商文件的组成部分。当磋商文件与磋商文件的答复、澄清、修改、补充通知就同一内容的表述不一致时，以最后发出的书面形式文件为准。</w:t>
      </w:r>
    </w:p>
    <w:p w14:paraId="7F89D5AA">
      <w:pPr>
        <w:numPr>
          <w:ilvl w:val="0"/>
          <w:numId w:val="2"/>
        </w:numPr>
        <w:spacing w:line="288" w:lineRule="auto"/>
        <w:ind w:firstLine="480"/>
        <w:rPr>
          <w:sz w:val="24"/>
        </w:rPr>
      </w:pPr>
      <w:r>
        <w:rPr>
          <w:rFonts w:hint="eastAsia"/>
          <w:sz w:val="24"/>
        </w:rPr>
        <w:t>磋商文件的澄清、答复、修改或补充都应该通过采购机构以法定形式发布。</w:t>
      </w:r>
    </w:p>
    <w:p w14:paraId="1B079090">
      <w:pPr>
        <w:pStyle w:val="5"/>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183" w:name="_Toc2334"/>
      <w:bookmarkStart w:id="184" w:name="_Toc4055"/>
      <w:bookmarkStart w:id="185" w:name="_Toc4837"/>
      <w:bookmarkStart w:id="186" w:name="_Toc14673"/>
      <w:bookmarkStart w:id="187" w:name="_Toc28569"/>
      <w:bookmarkStart w:id="188" w:name="_Toc25933"/>
      <w:bookmarkStart w:id="189" w:name="_Toc789"/>
      <w:bookmarkStart w:id="190" w:name="_Toc11900"/>
      <w:bookmarkStart w:id="191" w:name="_Toc16752"/>
      <w:bookmarkStart w:id="192" w:name="_Toc13358"/>
      <w:bookmarkStart w:id="193" w:name="_Toc7515"/>
      <w:bookmarkStart w:id="194" w:name="_Toc26634"/>
      <w:bookmarkStart w:id="195" w:name="_Toc30772"/>
      <w:bookmarkStart w:id="196" w:name="_Toc22140"/>
      <w:bookmarkStart w:id="197" w:name="_Toc8035"/>
      <w:bookmarkStart w:id="198" w:name="_Toc25502"/>
      <w:bookmarkStart w:id="199" w:name="_Toc15772"/>
      <w:bookmarkStart w:id="200" w:name="_Toc19339"/>
      <w:bookmarkStart w:id="201" w:name="_Toc805"/>
      <w:bookmarkStart w:id="202" w:name="_Toc3328"/>
      <w:bookmarkStart w:id="203" w:name="_Toc15797"/>
      <w:bookmarkStart w:id="204" w:name="_Toc21890"/>
      <w:bookmarkStart w:id="205" w:name="_Toc7450"/>
      <w:bookmarkStart w:id="206" w:name="_Toc9434"/>
      <w:bookmarkStart w:id="207" w:name="_Toc10605"/>
      <w:bookmarkStart w:id="208" w:name="_Toc32494"/>
      <w:bookmarkStart w:id="209" w:name="_Toc21501"/>
      <w:bookmarkStart w:id="210" w:name="_Toc28201"/>
      <w:bookmarkStart w:id="211" w:name="_Toc22572"/>
      <w:bookmarkStart w:id="212" w:name="_Toc6503"/>
      <w:bookmarkStart w:id="213" w:name="_Toc17035"/>
      <w:bookmarkStart w:id="214" w:name="_Toc6322"/>
      <w:bookmarkStart w:id="215" w:name="_Toc24465"/>
      <w:bookmarkStart w:id="216" w:name="_Toc32051"/>
      <w:bookmarkStart w:id="217" w:name="_Toc1968"/>
      <w:r>
        <w:rPr>
          <w:rFonts w:hint="eastAsia" w:ascii="楷体" w:hAnsi="楷体" w:eastAsia="楷体" w:cs="楷体"/>
          <w:snapToGrid w:val="0"/>
          <w:kern w:val="44"/>
          <w:sz w:val="32"/>
          <w:szCs w:val="32"/>
        </w:rPr>
        <w:t>三、响应文件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楷体" w:hAnsi="楷体" w:eastAsia="楷体" w:cs="楷体"/>
          <w:snapToGrid w:val="0"/>
          <w:kern w:val="44"/>
          <w:sz w:val="32"/>
          <w:szCs w:val="32"/>
        </w:rPr>
        <w:t>的编制</w:t>
      </w:r>
      <w:bookmarkEnd w:id="217"/>
    </w:p>
    <w:p w14:paraId="6188B629">
      <w:pPr>
        <w:spacing w:line="288" w:lineRule="auto"/>
        <w:outlineLvl w:val="2"/>
        <w:rPr>
          <w:b/>
          <w:bCs/>
          <w:sz w:val="24"/>
        </w:rPr>
      </w:pPr>
      <w:r>
        <w:rPr>
          <w:rFonts w:hint="eastAsia"/>
          <w:b/>
          <w:bCs/>
          <w:sz w:val="24"/>
        </w:rPr>
        <w:t>（一）响应文件的组成</w:t>
      </w:r>
    </w:p>
    <w:p w14:paraId="2D8E45AF">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组成（格式详见磋商文件第六</w:t>
      </w:r>
      <w:r>
        <w:rPr>
          <w:rFonts w:hint="eastAsia"/>
          <w:sz w:val="24"/>
          <w:lang w:val="en-US" w:eastAsia="zh-CN"/>
        </w:rPr>
        <w:t>部分</w:t>
      </w:r>
      <w:r>
        <w:rPr>
          <w:rFonts w:hint="eastAsia"/>
          <w:sz w:val="24"/>
        </w:rPr>
        <w:t>）。供应商应将响应文件各部分</w:t>
      </w:r>
      <w:r>
        <w:rPr>
          <w:rFonts w:hint="eastAsia"/>
          <w:b/>
          <w:bCs/>
          <w:sz w:val="24"/>
        </w:rPr>
        <w:t>分别上传</w:t>
      </w:r>
      <w:r>
        <w:rPr>
          <w:rFonts w:hint="eastAsia"/>
          <w:sz w:val="24"/>
        </w:rPr>
        <w:t>至政府采购云平台指定位置。</w:t>
      </w:r>
    </w:p>
    <w:p w14:paraId="11AAF879">
      <w:pPr>
        <w:spacing w:line="288" w:lineRule="auto"/>
        <w:ind w:firstLine="422" w:firstLineChars="175"/>
        <w:rPr>
          <w:sz w:val="24"/>
        </w:rPr>
      </w:pPr>
      <w:r>
        <w:rPr>
          <w:rFonts w:hint="eastAsia"/>
          <w:b/>
          <w:bCs/>
          <w:sz w:val="24"/>
        </w:rPr>
        <w:t>响应文件组成：详见“第六部分  响应文件格式”目录</w:t>
      </w:r>
    </w:p>
    <w:p w14:paraId="149C27A0">
      <w:pPr>
        <w:spacing w:line="288" w:lineRule="auto"/>
        <w:outlineLvl w:val="2"/>
        <w:rPr>
          <w:b/>
          <w:bCs/>
          <w:sz w:val="24"/>
        </w:rPr>
      </w:pPr>
      <w:r>
        <w:rPr>
          <w:rFonts w:hint="eastAsia"/>
          <w:b/>
          <w:bCs/>
          <w:sz w:val="24"/>
        </w:rPr>
        <w:t>（二）响应文件的签署和份数</w:t>
      </w:r>
    </w:p>
    <w:p w14:paraId="3F294093">
      <w:pPr>
        <w:spacing w:line="288" w:lineRule="auto"/>
        <w:ind w:firstLine="420" w:firstLineChars="175"/>
        <w:rPr>
          <w:sz w:val="24"/>
        </w:rPr>
      </w:pPr>
      <w:r>
        <w:rPr>
          <w:rFonts w:hint="eastAsia"/>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7912CB63">
      <w:pPr>
        <w:spacing w:line="288" w:lineRule="auto"/>
        <w:ind w:firstLine="420" w:firstLineChars="175"/>
        <w:rPr>
          <w:sz w:val="24"/>
        </w:rPr>
      </w:pPr>
      <w:r>
        <w:rPr>
          <w:rFonts w:hint="eastAsia"/>
          <w:sz w:val="24"/>
        </w:rPr>
        <w:t>2.响应文件须由供应商在规定位置加盖公章</w:t>
      </w:r>
      <w:bookmarkStart w:id="218" w:name="_Hlk96329193"/>
      <w:r>
        <w:rPr>
          <w:rFonts w:hint="eastAsia"/>
          <w:sz w:val="24"/>
        </w:rPr>
        <w:t>，供应商应写全称。</w:t>
      </w:r>
      <w:bookmarkEnd w:id="218"/>
    </w:p>
    <w:p w14:paraId="192FE81D">
      <w:pPr>
        <w:spacing w:line="288" w:lineRule="auto"/>
        <w:ind w:firstLine="420" w:firstLineChars="175"/>
        <w:rPr>
          <w:color w:val="auto"/>
          <w:sz w:val="24"/>
        </w:rPr>
      </w:pPr>
      <w:r>
        <w:rPr>
          <w:rFonts w:hint="eastAsia"/>
          <w:sz w:val="24"/>
        </w:rPr>
        <w:t>3.响应文件不得涂改，</w:t>
      </w:r>
      <w:r>
        <w:rPr>
          <w:rFonts w:hint="eastAsia"/>
          <w:color w:val="auto"/>
          <w:sz w:val="24"/>
        </w:rPr>
        <w:t>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2585CB1E">
      <w:pPr>
        <w:spacing w:line="288" w:lineRule="auto"/>
        <w:ind w:firstLine="420" w:firstLineChars="175"/>
        <w:rPr>
          <w:color w:val="auto"/>
          <w:sz w:val="24"/>
        </w:rPr>
      </w:pPr>
      <w:r>
        <w:rPr>
          <w:rFonts w:hint="eastAsia"/>
          <w:color w:val="auto"/>
          <w:sz w:val="24"/>
        </w:rPr>
        <w:t>4.响应文件份数：</w:t>
      </w:r>
    </w:p>
    <w:p w14:paraId="08CD4DE3">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38C5FDB6">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559E7AC3">
      <w:pPr>
        <w:spacing w:line="288" w:lineRule="auto"/>
        <w:outlineLvl w:val="2"/>
        <w:rPr>
          <w:b/>
          <w:bCs/>
          <w:color w:val="auto"/>
          <w:sz w:val="24"/>
        </w:rPr>
      </w:pPr>
      <w:r>
        <w:rPr>
          <w:rFonts w:hint="eastAsia"/>
          <w:b/>
          <w:bCs/>
          <w:color w:val="auto"/>
          <w:sz w:val="24"/>
        </w:rPr>
        <w:t>（三）响应文件的上传、递交、修改和撤回</w:t>
      </w:r>
    </w:p>
    <w:p w14:paraId="6DF067AD">
      <w:pPr>
        <w:spacing w:line="288" w:lineRule="auto"/>
        <w:ind w:firstLine="422" w:firstLineChars="175"/>
        <w:rPr>
          <w:b/>
          <w:bCs/>
          <w:color w:val="auto"/>
          <w:sz w:val="24"/>
        </w:rPr>
      </w:pPr>
      <w:r>
        <w:rPr>
          <w:rFonts w:hint="eastAsia"/>
          <w:b/>
          <w:bCs/>
          <w:color w:val="auto"/>
          <w:sz w:val="24"/>
        </w:rPr>
        <w:t>1.响应文件的上传、递交：</w:t>
      </w:r>
    </w:p>
    <w:p w14:paraId="53DD4E53">
      <w:pPr>
        <w:spacing w:line="288" w:lineRule="auto"/>
        <w:ind w:firstLine="420" w:firstLineChars="175"/>
        <w:rPr>
          <w:color w:val="auto"/>
          <w:sz w:val="24"/>
        </w:rPr>
      </w:pPr>
      <w:r>
        <w:rPr>
          <w:rFonts w:hint="eastAsia"/>
          <w:color w:val="auto"/>
          <w:sz w:val="24"/>
        </w:rPr>
        <w:t>（1）电子加密响应文件的上传：</w:t>
      </w:r>
    </w:p>
    <w:p w14:paraId="34E2019A">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4B4325CA">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62F83C82">
      <w:pPr>
        <w:spacing w:line="288" w:lineRule="auto"/>
        <w:ind w:firstLine="420" w:firstLineChars="175"/>
        <w:rPr>
          <w:color w:val="auto"/>
          <w:sz w:val="24"/>
        </w:rPr>
      </w:pPr>
      <w:r>
        <w:rPr>
          <w:rFonts w:hint="eastAsia"/>
          <w:color w:val="auto"/>
          <w:sz w:val="24"/>
        </w:rPr>
        <w:t>（2）备份响应文件的密封包装、递交：</w:t>
      </w:r>
    </w:p>
    <w:p w14:paraId="38624E25">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14F9E51">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2432C4A">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2C8B03E1">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349EF6A4">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5B24AA3D">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4532A4F">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18F97146">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09A7EC53">
      <w:pPr>
        <w:spacing w:line="288" w:lineRule="auto"/>
        <w:outlineLvl w:val="2"/>
        <w:rPr>
          <w:b/>
          <w:bCs/>
          <w:color w:val="auto"/>
          <w:sz w:val="24"/>
        </w:rPr>
      </w:pPr>
      <w:r>
        <w:rPr>
          <w:rFonts w:hint="eastAsia"/>
          <w:b/>
          <w:bCs/>
          <w:color w:val="auto"/>
          <w:sz w:val="24"/>
        </w:rPr>
        <w:t>（四）响应文件的语言及计量</w:t>
      </w:r>
    </w:p>
    <w:p w14:paraId="61C0A621">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CE9D177">
      <w:pPr>
        <w:spacing w:line="288" w:lineRule="auto"/>
        <w:outlineLvl w:val="2"/>
        <w:rPr>
          <w:b/>
          <w:bCs/>
          <w:color w:val="auto"/>
          <w:sz w:val="24"/>
        </w:rPr>
      </w:pPr>
      <w:r>
        <w:rPr>
          <w:rFonts w:hint="eastAsia"/>
          <w:b/>
          <w:bCs/>
          <w:color w:val="auto"/>
          <w:sz w:val="24"/>
        </w:rPr>
        <w:t>（五）磋商报价</w:t>
      </w:r>
    </w:p>
    <w:p w14:paraId="2708ABB2">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2A9CBBD9">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w:t>
      </w:r>
      <w:r>
        <w:rPr>
          <w:rFonts w:hint="eastAsia"/>
          <w:color w:val="auto"/>
          <w:sz w:val="24"/>
          <w:lang w:val="en-US" w:eastAsia="zh-CN"/>
        </w:rPr>
        <w:t>响应</w:t>
      </w:r>
      <w:r>
        <w:rPr>
          <w:rFonts w:hint="eastAsia"/>
          <w:color w:val="auto"/>
          <w:sz w:val="24"/>
        </w:rPr>
        <w:t>文件可能被拒绝。</w:t>
      </w:r>
    </w:p>
    <w:p w14:paraId="311E6709">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92FF9D9">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58E915B8">
      <w:pPr>
        <w:spacing w:line="288" w:lineRule="auto"/>
        <w:outlineLvl w:val="2"/>
        <w:rPr>
          <w:b/>
          <w:bCs/>
          <w:color w:val="auto"/>
          <w:sz w:val="24"/>
        </w:rPr>
      </w:pPr>
      <w:r>
        <w:rPr>
          <w:rFonts w:hint="eastAsia"/>
          <w:b/>
          <w:bCs/>
          <w:color w:val="auto"/>
          <w:sz w:val="24"/>
        </w:rPr>
        <w:t>（六）响应有效期</w:t>
      </w:r>
    </w:p>
    <w:p w14:paraId="73002741">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6774DDDA">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9" w:name="_Toc23046"/>
      <w:r>
        <w:rPr>
          <w:rFonts w:hint="eastAsia" w:ascii="楷体" w:hAnsi="楷体" w:eastAsia="楷体" w:cs="楷体"/>
          <w:snapToGrid w:val="0"/>
          <w:color w:val="auto"/>
          <w:kern w:val="44"/>
          <w:sz w:val="32"/>
          <w:szCs w:val="32"/>
        </w:rPr>
        <w:t>四、响应无效的情形</w:t>
      </w:r>
      <w:bookmarkEnd w:id="219"/>
    </w:p>
    <w:p w14:paraId="29C0821D">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5E12AF0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298A2AE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2874DAF5">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5AAC3B6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21A867D8">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2553A1F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7E326874">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50E14900">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2E36B5D4">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671FDA2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5933028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606555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1B6B2F2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5D18B4F">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1002253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2A71D77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2C39EC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733BE6F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07BE4C1">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4ABD819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74D2B96B">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66254FAF">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2D1615B0">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4D61764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7E236AE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366C3A3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6A289B2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16D9C47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14FEF00E">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2D5BE10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8EA6F24">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3895CAD1">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24E3DB28">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47"/>
    <w:bookmarkEnd w:id="48"/>
    <w:p w14:paraId="7FA56D3C">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20" w:name="_Toc30706"/>
      <w:bookmarkStart w:id="221" w:name="_Toc6013"/>
      <w:bookmarkStart w:id="222" w:name="_Toc28358"/>
      <w:bookmarkStart w:id="223" w:name="_Toc207550884"/>
      <w:bookmarkStart w:id="224" w:name="_Toc467"/>
      <w:bookmarkStart w:id="225" w:name="_Toc20980"/>
      <w:bookmarkStart w:id="226" w:name="_Toc24390"/>
      <w:bookmarkStart w:id="227" w:name="_Toc433537967"/>
      <w:bookmarkStart w:id="228" w:name="_Toc11828"/>
      <w:bookmarkStart w:id="229" w:name="_Toc8571"/>
      <w:bookmarkStart w:id="230" w:name="_Toc6009"/>
      <w:bookmarkStart w:id="231" w:name="_Toc24793"/>
      <w:bookmarkStart w:id="232" w:name="_Toc13917"/>
      <w:bookmarkStart w:id="233" w:name="_Toc20654"/>
      <w:bookmarkStart w:id="234" w:name="_Toc8275"/>
      <w:bookmarkStart w:id="235" w:name="_Toc32198"/>
      <w:bookmarkStart w:id="236" w:name="_Toc11365"/>
      <w:bookmarkStart w:id="237" w:name="_Toc23374"/>
      <w:bookmarkStart w:id="238" w:name="_Toc26820"/>
      <w:bookmarkStart w:id="239" w:name="_Toc4601"/>
      <w:bookmarkStart w:id="240" w:name="_Toc9444"/>
      <w:bookmarkStart w:id="241" w:name="_Toc8057"/>
      <w:bookmarkStart w:id="242" w:name="_Toc25705"/>
      <w:bookmarkStart w:id="243" w:name="_Toc14837"/>
      <w:bookmarkStart w:id="244" w:name="_Toc6184"/>
      <w:bookmarkStart w:id="245" w:name="_Toc11859"/>
      <w:bookmarkStart w:id="246" w:name="_Toc200"/>
      <w:bookmarkStart w:id="247" w:name="_Toc6290"/>
      <w:bookmarkStart w:id="248" w:name="_Toc17194"/>
      <w:bookmarkStart w:id="249" w:name="_Toc32590"/>
      <w:bookmarkStart w:id="250" w:name="_Toc27001"/>
      <w:bookmarkStart w:id="251" w:name="_Toc14125"/>
      <w:bookmarkStart w:id="252" w:name="_Toc12201"/>
      <w:bookmarkStart w:id="253" w:name="_Toc22208"/>
      <w:bookmarkStart w:id="254" w:name="_Toc183786419"/>
      <w:r>
        <w:rPr>
          <w:rFonts w:hint="eastAsia" w:ascii="楷体" w:hAnsi="楷体" w:eastAsia="楷体" w:cs="楷体"/>
          <w:snapToGrid w:val="0"/>
          <w:color w:val="auto"/>
          <w:kern w:val="44"/>
          <w:sz w:val="32"/>
          <w:szCs w:val="32"/>
        </w:rPr>
        <w:t>五、开启响应文件</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51C7C6BC">
      <w:pPr>
        <w:spacing w:line="288" w:lineRule="auto"/>
        <w:ind w:firstLine="482"/>
        <w:rPr>
          <w:color w:val="auto"/>
          <w:sz w:val="24"/>
        </w:rPr>
      </w:pPr>
      <w:bookmarkStart w:id="255" w:name="_Toc12629"/>
      <w:bookmarkStart w:id="256" w:name="_Toc841"/>
      <w:bookmarkStart w:id="257" w:name="_Toc26833"/>
      <w:bookmarkStart w:id="258" w:name="_Toc22017"/>
      <w:bookmarkStart w:id="259" w:name="_Toc11659"/>
      <w:bookmarkStart w:id="260" w:name="_Toc32220"/>
      <w:bookmarkStart w:id="261" w:name="_Toc13314"/>
      <w:bookmarkStart w:id="262" w:name="_Toc29445"/>
      <w:bookmarkStart w:id="263" w:name="_Toc6558"/>
      <w:bookmarkStart w:id="264" w:name="_Toc8052"/>
      <w:bookmarkStart w:id="265" w:name="_Toc4789"/>
      <w:bookmarkStart w:id="266" w:name="_Toc18007"/>
      <w:bookmarkStart w:id="267" w:name="_Toc667"/>
      <w:bookmarkStart w:id="268" w:name="_Toc26778"/>
      <w:bookmarkStart w:id="269" w:name="_Toc10811"/>
      <w:bookmarkStart w:id="270" w:name="_Toc20003"/>
      <w:bookmarkStart w:id="271" w:name="_Toc650"/>
      <w:bookmarkStart w:id="272" w:name="_Toc18579"/>
      <w:bookmarkStart w:id="273" w:name="_Toc12021"/>
      <w:bookmarkStart w:id="274" w:name="_Toc29181"/>
      <w:bookmarkStart w:id="275" w:name="_Toc9028"/>
      <w:bookmarkStart w:id="276" w:name="_Toc902"/>
      <w:bookmarkStart w:id="277" w:name="_Toc7609"/>
      <w:bookmarkStart w:id="278" w:name="_Toc5075"/>
      <w:bookmarkStart w:id="279" w:name="_Toc27046"/>
      <w:bookmarkStart w:id="280" w:name="_Toc25227"/>
      <w:bookmarkStart w:id="281" w:name="_Toc10561"/>
      <w:bookmarkStart w:id="282" w:name="_Toc30679"/>
      <w:bookmarkStart w:id="283" w:name="_Toc28057"/>
      <w:bookmarkStart w:id="284" w:name="_Toc22094"/>
      <w:bookmarkStart w:id="285" w:name="_Toc10251"/>
      <w:bookmarkStart w:id="286" w:name="_Toc30360"/>
      <w:bookmarkStart w:id="287" w:name="_Toc8181"/>
      <w:bookmarkStart w:id="288" w:name="_Toc15608"/>
      <w:r>
        <w:rPr>
          <w:rFonts w:hint="eastAsia"/>
          <w:color w:val="auto"/>
          <w:sz w:val="24"/>
        </w:rPr>
        <w:t>采购机构按照磋商文件规定的时间通过电子交易平台组织开启，所有供应商均应当准时在线参加。供应商不足3家的，不得开启。</w:t>
      </w:r>
    </w:p>
    <w:p w14:paraId="2CC771EB">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44E10863">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3A9C96DC">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1F3883E">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89" w:name="_Toc27697"/>
      <w:r>
        <w:rPr>
          <w:rFonts w:hint="eastAsia" w:ascii="楷体" w:hAnsi="楷体" w:eastAsia="楷体" w:cs="楷体"/>
          <w:snapToGrid w:val="0"/>
          <w:color w:val="auto"/>
          <w:kern w:val="44"/>
          <w:sz w:val="32"/>
          <w:szCs w:val="32"/>
        </w:rPr>
        <w:t>六、</w:t>
      </w:r>
      <w:bookmarkEnd w:id="255"/>
      <w:bookmarkEnd w:id="256"/>
      <w:bookmarkEnd w:id="257"/>
      <w:r>
        <w:rPr>
          <w:rFonts w:hint="eastAsia" w:ascii="楷体" w:hAnsi="楷体" w:eastAsia="楷体" w:cs="楷体"/>
          <w:snapToGrid w:val="0"/>
          <w:color w:val="auto"/>
          <w:kern w:val="44"/>
          <w:sz w:val="32"/>
          <w:szCs w:val="32"/>
        </w:rPr>
        <w:t>评审和磋商</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24EA64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27C7F33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14BD8B2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62E9F88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0491774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w:t>
      </w:r>
      <w:r>
        <w:rPr>
          <w:rFonts w:hint="eastAsia"/>
          <w:color w:val="auto"/>
          <w:sz w:val="24"/>
          <w:lang w:val="en-US" w:eastAsia="zh-CN"/>
        </w:rPr>
        <w:t>有效</w:t>
      </w:r>
      <w:r>
        <w:rPr>
          <w:rFonts w:hint="eastAsia"/>
          <w:color w:val="auto"/>
          <w:sz w:val="24"/>
        </w:rPr>
        <w:t>性仅基于响应文件本身而不靠外部证据；</w:t>
      </w:r>
    </w:p>
    <w:p w14:paraId="76B024D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29DB966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75A2C23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4C0AB37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31CB527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6BBA69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E1AF5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7527EEA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1F9A385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1BD7A94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6EA657C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83D255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1351F6D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545C7AC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378E413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4FE1EC5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1AA0CC3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0B0101E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1419A80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4B41CD32">
      <w:pPr>
        <w:pStyle w:val="7"/>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684529B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451E9D5C">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50DDA9BA">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2A9C28FD">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47D9F9FF">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1B790767">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18CEEEA2">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49D5771B">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31F75A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4ACEEB9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2DC8945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3C4EC3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75E3FDA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2261E1D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9325D9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55C49ED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290" w:name="OLE_LINK6"/>
      <w:r>
        <w:rPr>
          <w:rFonts w:hint="eastAsia"/>
          <w:color w:val="auto"/>
          <w:sz w:val="24"/>
        </w:rPr>
        <w:t>第二十一条第三款</w:t>
      </w:r>
      <w:bookmarkEnd w:id="290"/>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58F6D94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657D601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339425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7E0197F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13F7D10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3150C248">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91" w:name="_Toc9496"/>
      <w:bookmarkStart w:id="292" w:name="_Toc21433"/>
      <w:bookmarkStart w:id="293" w:name="_Toc26044"/>
      <w:bookmarkStart w:id="294" w:name="_Toc28002"/>
      <w:bookmarkStart w:id="295" w:name="_Toc22047"/>
      <w:bookmarkStart w:id="296" w:name="_Toc29029"/>
      <w:bookmarkStart w:id="297" w:name="_Toc27426"/>
      <w:bookmarkStart w:id="298" w:name="_Toc17524"/>
      <w:bookmarkStart w:id="299" w:name="_Toc32587"/>
      <w:bookmarkStart w:id="300" w:name="_Toc13854"/>
      <w:bookmarkStart w:id="301" w:name="_Toc8603"/>
      <w:bookmarkStart w:id="302" w:name="_Toc22706"/>
      <w:bookmarkStart w:id="303" w:name="_Toc14468"/>
      <w:bookmarkStart w:id="304" w:name="_Toc3813"/>
      <w:bookmarkStart w:id="305" w:name="_Toc21515"/>
      <w:bookmarkStart w:id="306" w:name="_Toc326"/>
      <w:bookmarkStart w:id="307" w:name="_Toc7256"/>
      <w:bookmarkStart w:id="308" w:name="_Toc18073"/>
      <w:bookmarkStart w:id="309" w:name="_Toc2251"/>
      <w:bookmarkStart w:id="310" w:name="_Toc22665"/>
      <w:bookmarkStart w:id="311" w:name="_Toc12279"/>
      <w:bookmarkStart w:id="312" w:name="_Toc30041"/>
      <w:bookmarkStart w:id="313" w:name="_Toc5529"/>
      <w:bookmarkStart w:id="314" w:name="_Toc20162"/>
      <w:bookmarkStart w:id="315" w:name="_Toc10879"/>
      <w:bookmarkStart w:id="316" w:name="_Toc4483"/>
      <w:bookmarkStart w:id="317" w:name="_Toc5340"/>
      <w:bookmarkStart w:id="318" w:name="_Toc15767"/>
      <w:bookmarkStart w:id="319" w:name="_Toc29830"/>
      <w:bookmarkStart w:id="320" w:name="_Toc16451"/>
      <w:bookmarkStart w:id="321" w:name="_Toc30131"/>
      <w:bookmarkStart w:id="322" w:name="_Toc26757"/>
      <w:bookmarkStart w:id="323" w:name="_Toc26288"/>
      <w:bookmarkStart w:id="324" w:name="_Toc6273"/>
      <w:bookmarkStart w:id="325" w:name="_Toc17917"/>
      <w:r>
        <w:rPr>
          <w:rFonts w:hint="eastAsia" w:ascii="楷体" w:hAnsi="楷体" w:eastAsia="楷体" w:cs="楷体"/>
          <w:snapToGrid w:val="0"/>
          <w:color w:val="auto"/>
          <w:kern w:val="44"/>
          <w:sz w:val="32"/>
          <w:szCs w:val="32"/>
        </w:rPr>
        <w:t>七、合同授予</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4BD5A17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6644DC1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6C54BD4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6DBD415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C795CC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77BE046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368957E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36089BD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4D11B44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6FC7FDAF">
      <w:pPr>
        <w:pStyle w:val="25"/>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0697A96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296592C4">
      <w:pPr>
        <w:pStyle w:val="25"/>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1F71982A">
      <w:pPr>
        <w:pStyle w:val="25"/>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5ECADA17">
      <w:pPr>
        <w:pStyle w:val="25"/>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1A835496">
      <w:pPr>
        <w:pStyle w:val="25"/>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D5B2338">
      <w:pPr>
        <w:pStyle w:val="5"/>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26" w:name="_Toc29236"/>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26"/>
    </w:p>
    <w:p w14:paraId="5F7912F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4ADDCD3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5D5557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10D4ECA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1A05119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7C4C464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3F0B190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1AAFE49E">
      <w:pPr>
        <w:pStyle w:val="3"/>
        <w:bidi w:val="0"/>
        <w:outlineLvl w:val="0"/>
        <w:rPr>
          <w:rFonts w:hint="eastAsia" w:ascii="Times New Roman" w:hAnsi="Times New Roman" w:eastAsia="黑体" w:cs="Times New Roman"/>
          <w:b/>
          <w:color w:val="auto"/>
          <w:kern w:val="44"/>
          <w:sz w:val="36"/>
          <w:szCs w:val="22"/>
          <w:lang w:val="en-US" w:eastAsia="zh-CN" w:bidi="ar-SA"/>
        </w:rPr>
      </w:pPr>
      <w:bookmarkStart w:id="327" w:name="_Toc31754"/>
      <w:bookmarkStart w:id="328" w:name="_Toc10023"/>
      <w:bookmarkStart w:id="329" w:name="_Toc18478"/>
      <w:bookmarkStart w:id="330" w:name="_Toc11599"/>
      <w:bookmarkStart w:id="331" w:name="_Toc24700"/>
      <w:bookmarkStart w:id="332" w:name="_Toc27094"/>
      <w:bookmarkStart w:id="333" w:name="_Toc30987"/>
      <w:r>
        <w:rPr>
          <w:rStyle w:val="55"/>
          <w:rFonts w:ascii="Times New Roman" w:hAnsi="Times New Roman"/>
          <w:b/>
          <w:snapToGrid w:val="0"/>
          <w:color w:val="auto"/>
        </w:rPr>
        <w:br w:type="page"/>
      </w:r>
      <w:bookmarkStart w:id="334" w:name="_Toc25602"/>
      <w:bookmarkStart w:id="335" w:name="_Toc12012"/>
      <w:bookmarkStart w:id="336" w:name="_Toc10406"/>
      <w:bookmarkStart w:id="337" w:name="_Toc27781"/>
      <w:bookmarkStart w:id="338" w:name="_Toc30158"/>
      <w:bookmarkStart w:id="339" w:name="_Toc5470"/>
      <w:bookmarkStart w:id="340" w:name="_Toc24396"/>
      <w:bookmarkStart w:id="341" w:name="_Toc20593"/>
      <w:bookmarkStart w:id="342" w:name="_Toc7338"/>
      <w:bookmarkStart w:id="343" w:name="_Toc6438"/>
      <w:bookmarkStart w:id="344" w:name="_Toc26100"/>
      <w:bookmarkStart w:id="345" w:name="_Toc17768"/>
      <w:bookmarkStart w:id="346" w:name="_Toc646"/>
      <w:bookmarkStart w:id="347" w:name="_Toc32035"/>
      <w:bookmarkStart w:id="348" w:name="_Toc3282"/>
      <w:bookmarkStart w:id="349" w:name="_Toc14406"/>
      <w:bookmarkStart w:id="350" w:name="_Toc7293"/>
      <w:bookmarkStart w:id="351" w:name="_Toc22180"/>
      <w:bookmarkStart w:id="352" w:name="_Toc14142"/>
      <w:bookmarkStart w:id="353" w:name="_Toc15038"/>
      <w:bookmarkStart w:id="354" w:name="_Toc365"/>
      <w:bookmarkStart w:id="355" w:name="_Toc17708"/>
      <w:bookmarkStart w:id="356" w:name="_Toc16902"/>
      <w:bookmarkStart w:id="357" w:name="_Toc8630"/>
      <w:bookmarkStart w:id="358" w:name="_Toc27525"/>
      <w:bookmarkStart w:id="359" w:name="_Toc15832"/>
      <w:bookmarkStart w:id="360" w:name="_Toc30301"/>
      <w:bookmarkStart w:id="361" w:name="_Toc26169"/>
      <w:bookmarkStart w:id="362" w:name="_Toc23225"/>
      <w:bookmarkStart w:id="363" w:name="_Toc12347"/>
      <w:bookmarkStart w:id="364" w:name="_Toc23632"/>
      <w:bookmarkStart w:id="365" w:name="_Toc9109"/>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34"/>
    </w:p>
    <w:bookmarkEnd w:id="327"/>
    <w:bookmarkEnd w:id="328"/>
    <w:bookmarkEnd w:id="329"/>
    <w:bookmarkEnd w:id="330"/>
    <w:bookmarkEnd w:id="331"/>
    <w:bookmarkEnd w:id="332"/>
    <w:bookmarkEnd w:id="333"/>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14:paraId="7E49504C">
      <w:pPr>
        <w:pStyle w:val="5"/>
        <w:ind w:left="0" w:firstLine="0"/>
        <w:outlineLvl w:val="1"/>
        <w:rPr>
          <w:rFonts w:hint="default"/>
          <w:color w:val="auto"/>
          <w:lang w:val="en-US" w:eastAsia="zh-CN"/>
        </w:rPr>
      </w:pPr>
      <w:bookmarkStart w:id="366" w:name="_Toc354"/>
      <w:bookmarkStart w:id="367" w:name="_Toc3691"/>
      <w:bookmarkStart w:id="368" w:name="_Toc27955"/>
      <w:bookmarkStart w:id="369" w:name="_Toc21296"/>
      <w:bookmarkStart w:id="370" w:name="_Toc29510"/>
      <w:bookmarkStart w:id="371" w:name="_Toc31434"/>
      <w:bookmarkStart w:id="372" w:name="_Toc1660"/>
      <w:bookmarkStart w:id="373" w:name="_Toc20153"/>
      <w:bookmarkStart w:id="374" w:name="_Toc14512"/>
      <w:bookmarkStart w:id="375" w:name="_Toc3711"/>
      <w:r>
        <w:rPr>
          <w:rFonts w:hint="eastAsia"/>
          <w:color w:val="auto"/>
        </w:rPr>
        <w:t>一、</w:t>
      </w:r>
      <w:r>
        <w:rPr>
          <w:rFonts w:hint="eastAsia"/>
          <w:color w:val="auto"/>
          <w:lang w:val="en-US" w:eastAsia="zh-CN"/>
        </w:rPr>
        <w:t>项目概况</w:t>
      </w:r>
      <w:bookmarkEnd w:id="366"/>
      <w:r>
        <w:rPr>
          <w:rFonts w:hint="eastAsia"/>
          <w:color w:val="auto"/>
          <w:lang w:val="en-US" w:eastAsia="zh-CN"/>
        </w:rPr>
        <w:t>说明</w:t>
      </w:r>
    </w:p>
    <w:p w14:paraId="449380F4">
      <w:pPr>
        <w:rPr>
          <w:rFonts w:hint="default"/>
          <w:color w:val="auto"/>
          <w:lang w:val="en-US" w:eastAsia="zh-CN"/>
        </w:rPr>
      </w:pPr>
    </w:p>
    <w:p w14:paraId="2B77DA86">
      <w:pPr>
        <w:spacing w:line="288" w:lineRule="auto"/>
        <w:ind w:firstLine="480" w:firstLineChars="200"/>
        <w:rPr>
          <w:rFonts w:hint="eastAsia"/>
          <w:bCs/>
          <w:color w:val="auto"/>
          <w:sz w:val="24"/>
          <w:szCs w:val="24"/>
        </w:rPr>
      </w:pPr>
      <w:r>
        <w:rPr>
          <w:rFonts w:hint="eastAsia"/>
          <w:bCs/>
          <w:color w:val="auto"/>
          <w:sz w:val="24"/>
          <w:szCs w:val="24"/>
        </w:rPr>
        <w:t>智能考试综合服务平台需全面适配高校日常随堂考核、课程结课考试、期末统考、专项抽检考试等全类型纸笔考试阅卷业务，完整打通教务数据对接、考试创建管理、答题卡智能制作、试卷高速扫描识别、线上智能阅卷、成绩复核归档、多维度学情分析全业务链路，彻底解决传统阅卷效率低、误差大、数据难沉淀、学情无分析的痛点，全面实现我校考试阅卷工作全流程数字化、标准化、智能化、可追溯管理。</w:t>
      </w:r>
    </w:p>
    <w:p w14:paraId="6EFB933A">
      <w:pPr>
        <w:spacing w:line="288" w:lineRule="auto"/>
        <w:ind w:firstLine="480" w:firstLineChars="200"/>
        <w:rPr>
          <w:rFonts w:hint="eastAsia"/>
          <w:bCs/>
          <w:color w:val="auto"/>
          <w:sz w:val="24"/>
          <w:szCs w:val="24"/>
          <w:lang w:val="en-US" w:eastAsia="zh-CN"/>
        </w:rPr>
      </w:pPr>
      <w:r>
        <w:rPr>
          <w:rFonts w:hint="eastAsia"/>
          <w:bCs/>
          <w:color w:val="auto"/>
          <w:sz w:val="24"/>
          <w:szCs w:val="24"/>
        </w:rPr>
        <w:t>系统需完整实现的功能主要包括以下模块：</w:t>
      </w:r>
      <w:r>
        <w:rPr>
          <w:rFonts w:hint="eastAsia"/>
          <w:b/>
          <w:bCs w:val="0"/>
          <w:color w:val="auto"/>
          <w:sz w:val="24"/>
          <w:szCs w:val="24"/>
        </w:rPr>
        <w:t>集成能力</w:t>
      </w:r>
      <w:r>
        <w:rPr>
          <w:rFonts w:hint="eastAsia"/>
          <w:bCs/>
          <w:color w:val="auto"/>
          <w:sz w:val="24"/>
          <w:szCs w:val="24"/>
        </w:rPr>
        <w:t>，系统需具备良好的兼容性与拓展性，支持通过标准化API接口与我校现有教务管理系统完成深度数据互通。</w:t>
      </w:r>
      <w:r>
        <w:rPr>
          <w:rFonts w:hint="eastAsia"/>
          <w:b/>
          <w:bCs w:val="0"/>
          <w:color w:val="auto"/>
          <w:sz w:val="24"/>
          <w:szCs w:val="24"/>
        </w:rPr>
        <w:t>基础管理能力</w:t>
      </w:r>
      <w:r>
        <w:rPr>
          <w:rFonts w:hint="eastAsia"/>
          <w:bCs/>
          <w:color w:val="auto"/>
          <w:sz w:val="24"/>
          <w:szCs w:val="24"/>
        </w:rPr>
        <w:t>，系统除需具备完善的底层基础管理功能之外，还需同时支持试卷、答题卡样式自定义预设，可适配多规格纸张、多版式答题模式等。</w:t>
      </w:r>
      <w:r>
        <w:rPr>
          <w:rFonts w:hint="eastAsia"/>
          <w:b/>
          <w:bCs w:val="0"/>
          <w:color w:val="auto"/>
          <w:sz w:val="24"/>
          <w:szCs w:val="24"/>
        </w:rPr>
        <w:t>课程资源管理能力</w:t>
      </w:r>
      <w:r>
        <w:rPr>
          <w:rFonts w:hint="eastAsia"/>
          <w:bCs/>
          <w:color w:val="auto"/>
          <w:sz w:val="24"/>
          <w:szCs w:val="24"/>
        </w:rPr>
        <w:t>，需搭建标准化课程资源库，实现课程教学与考试阅卷业务联动统一。</w:t>
      </w:r>
      <w:r>
        <w:rPr>
          <w:rFonts w:hint="eastAsia"/>
          <w:b/>
          <w:bCs w:val="0"/>
          <w:color w:val="auto"/>
          <w:sz w:val="24"/>
          <w:szCs w:val="24"/>
        </w:rPr>
        <w:t>全流程智能阅卷能力</w:t>
      </w:r>
      <w:r>
        <w:rPr>
          <w:rFonts w:hint="eastAsia"/>
          <w:bCs/>
          <w:color w:val="auto"/>
          <w:sz w:val="24"/>
          <w:szCs w:val="24"/>
        </w:rPr>
        <w:t>，系统需覆盖纸笔考试创建、人员权限配置、在线制卡、智能答题卡生成、多模式试卷扫描、智能识别、线上阅卷、成绩复核、电子归档全流程业务。支持OMR填涂、OCR手写、混合三种答题卡模式，具备答题卡自动生成、模板复用、自动切卡能力；支持多种扫描与阅卷模式。</w:t>
      </w:r>
      <w:r>
        <w:rPr>
          <w:rFonts w:hint="eastAsia"/>
          <w:b/>
          <w:bCs w:val="0"/>
          <w:color w:val="auto"/>
          <w:sz w:val="24"/>
          <w:szCs w:val="24"/>
        </w:rPr>
        <w:t>成绩归档与学情分析能力</w:t>
      </w:r>
      <w:r>
        <w:rPr>
          <w:rFonts w:hint="eastAsia"/>
          <w:bCs/>
          <w:color w:val="auto"/>
          <w:sz w:val="24"/>
          <w:szCs w:val="24"/>
        </w:rPr>
        <w:t>，阅卷完成后系统需自动生成电子化答卷档案，支持成绩报表导出与系统数据同步。同时具备专业化考试学情分析能力，为学校教学质量评估、教研优化提供数据支撑。</w:t>
      </w:r>
    </w:p>
    <w:p w14:paraId="30873D8A">
      <w:pPr>
        <w:pStyle w:val="5"/>
        <w:ind w:left="0" w:firstLine="0"/>
        <w:outlineLvl w:val="1"/>
        <w:rPr>
          <w:color w:val="auto"/>
        </w:rPr>
      </w:pPr>
      <w:bookmarkStart w:id="376" w:name="_Toc16915"/>
      <w:r>
        <w:rPr>
          <w:rFonts w:hint="eastAsia"/>
          <w:color w:val="auto"/>
          <w:lang w:val="en-US" w:eastAsia="zh-CN"/>
        </w:rPr>
        <w:t>二、货物</w:t>
      </w:r>
      <w:r>
        <w:rPr>
          <w:rFonts w:hint="eastAsia"/>
          <w:color w:val="auto"/>
        </w:rPr>
        <w:t>清单</w:t>
      </w:r>
      <w:bookmarkEnd w:id="376"/>
    </w:p>
    <w:tbl>
      <w:tblPr>
        <w:tblStyle w:val="45"/>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
        <w:gridCol w:w="539"/>
        <w:gridCol w:w="8086"/>
        <w:gridCol w:w="434"/>
      </w:tblGrid>
      <w:tr w14:paraId="3592A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1" w:type="dxa"/>
            <w:noWrap w:val="0"/>
            <w:vAlign w:val="center"/>
          </w:tcPr>
          <w:p w14:paraId="225D03A5">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539" w:type="dxa"/>
            <w:noWrap w:val="0"/>
            <w:vAlign w:val="center"/>
          </w:tcPr>
          <w:p w14:paraId="53BE98AF">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8086" w:type="dxa"/>
            <w:noWrap w:val="0"/>
            <w:vAlign w:val="center"/>
          </w:tcPr>
          <w:p w14:paraId="00EAD166">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详细技术</w:t>
            </w:r>
            <w:r>
              <w:rPr>
                <w:rFonts w:hint="eastAsia" w:ascii="宋体" w:hAnsi="宋体" w:eastAsia="宋体" w:cs="宋体"/>
                <w:color w:val="auto"/>
                <w:sz w:val="24"/>
                <w:szCs w:val="24"/>
                <w:lang w:val="en-US" w:eastAsia="zh-CN"/>
              </w:rPr>
              <w:t>要求</w:t>
            </w:r>
          </w:p>
        </w:tc>
        <w:tc>
          <w:tcPr>
            <w:tcW w:w="434" w:type="dxa"/>
            <w:noWrap w:val="0"/>
            <w:vAlign w:val="center"/>
          </w:tcPr>
          <w:p w14:paraId="4B6F11D7">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r>
      <w:tr w14:paraId="1269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29" w:hRule="atLeast"/>
        </w:trPr>
        <w:tc>
          <w:tcPr>
            <w:tcW w:w="441" w:type="dxa"/>
            <w:noWrap w:val="0"/>
            <w:vAlign w:val="center"/>
          </w:tcPr>
          <w:p w14:paraId="7AE763D5">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539" w:type="dxa"/>
            <w:noWrap w:val="0"/>
            <w:vAlign w:val="center"/>
          </w:tcPr>
          <w:p w14:paraId="6E79167D">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u w:val="none"/>
              </w:rPr>
              <w:t>智能考试综合服务平台</w:t>
            </w:r>
          </w:p>
        </w:tc>
        <w:tc>
          <w:tcPr>
            <w:tcW w:w="8086" w:type="dxa"/>
            <w:noWrap w:val="0"/>
            <w:vAlign w:val="top"/>
          </w:tcPr>
          <w:p w14:paraId="1D5D44AB">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rPr>
              <w:t>1.开放与集成</w:t>
            </w:r>
            <w:r>
              <w:rPr>
                <w:rFonts w:hint="eastAsia" w:ascii="宋体" w:hAnsi="宋体" w:eastAsia="宋体" w:cs="宋体"/>
                <w:color w:val="auto"/>
                <w:sz w:val="24"/>
                <w:szCs w:val="24"/>
                <w:highlight w:val="none"/>
              </w:rPr>
              <w:t>：支持与教务管理系统进行基础数据交互，通过API接口方式实现组织信息、用户信息、学生信息、课程信息、成绩信息的交互与回传。（</w:t>
            </w:r>
            <w:r>
              <w:rPr>
                <w:rFonts w:hint="eastAsia" w:ascii="宋体" w:hAnsi="宋体" w:eastAsia="宋体" w:cs="宋体"/>
                <w:b/>
                <w:bCs/>
                <w:color w:val="auto"/>
                <w:sz w:val="24"/>
                <w:szCs w:val="24"/>
                <w:highlight w:val="none"/>
                <w:lang w:val="en-US" w:eastAsia="zh-CN"/>
              </w:rPr>
              <w:t>需提供对接承诺函，格式自拟。</w:t>
            </w:r>
            <w:r>
              <w:rPr>
                <w:rFonts w:hint="eastAsia" w:ascii="宋体" w:hAnsi="宋体" w:eastAsia="宋体" w:cs="宋体"/>
                <w:color w:val="auto"/>
                <w:sz w:val="24"/>
                <w:szCs w:val="24"/>
                <w:highlight w:val="none"/>
              </w:rPr>
              <w:t>）</w:t>
            </w:r>
          </w:p>
          <w:p w14:paraId="66E1A91A">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2.统一身份认证</w:t>
            </w:r>
            <w:r>
              <w:rPr>
                <w:rFonts w:hint="eastAsia" w:ascii="宋体" w:hAnsi="宋体" w:eastAsia="宋体" w:cs="宋体"/>
                <w:color w:val="auto"/>
                <w:sz w:val="24"/>
                <w:szCs w:val="24"/>
              </w:rPr>
              <w:t>：支持将系统集成至学院现有教学管理系统，建立单点登录协议、开放授权协议的统一身份认证接口,实现学院统一身份认证，通过一个账号登录学院多个系统，无需二次登录。</w:t>
            </w:r>
          </w:p>
          <w:p w14:paraId="1B10B4AB">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3.组织信息创建与管理</w:t>
            </w:r>
            <w:r>
              <w:rPr>
                <w:rFonts w:hint="eastAsia" w:ascii="宋体" w:hAnsi="宋体" w:eastAsia="宋体" w:cs="宋体"/>
                <w:color w:val="auto"/>
                <w:sz w:val="24"/>
                <w:szCs w:val="24"/>
              </w:rPr>
              <w:t>：组织信息包括教职工组织信息和学生组织信息，组织信息支持单个创建和模板批量导入，对接教务管理系统的情况下可直接交互同步，不论导入还是教务管理系统同步的组织信息，均支持后期的增删改查操作，组织信息支持至少十级和自定义命名，学生组织信息中支持设定学生部门负责人。</w:t>
            </w:r>
          </w:p>
          <w:p w14:paraId="3AD8E376">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4.用户信息创建与管理</w:t>
            </w:r>
            <w:r>
              <w:rPr>
                <w:rFonts w:hint="eastAsia" w:ascii="宋体" w:hAnsi="宋体" w:eastAsia="宋体" w:cs="宋体"/>
                <w:color w:val="auto"/>
                <w:sz w:val="24"/>
                <w:szCs w:val="24"/>
              </w:rPr>
              <w:t>：支持用户信息的创建与管理，用户信息字段包含姓名、工号/学号、身份证号、手机号、所属部门、邮箱等，用户基础数据支持手动添加和模板批量导入，对接教务管理系统的情况下可直接交互同步，不论导入还是教务管理系统同步的用户基础数据，导入后均支持增删改查操作，用户可通过手机号验证码和账号密码登录系统。</w:t>
            </w:r>
          </w:p>
          <w:p w14:paraId="1027A7BC">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5.系统角色创建与权限管理</w:t>
            </w:r>
            <w:r>
              <w:rPr>
                <w:rFonts w:hint="eastAsia" w:ascii="宋体" w:hAnsi="宋体" w:eastAsia="宋体" w:cs="宋体"/>
                <w:color w:val="auto"/>
                <w:sz w:val="24"/>
                <w:szCs w:val="24"/>
              </w:rPr>
              <w:t>：支持自定义创建系统角色（如管理员、成员），并对不同角色配置不同的菜单权限，创建角色后可以给每个用户配置单个或多个系统角色，用户角色配置信息支持批量导入和手动添加。支持自定义创建业务角色（如课程负责人、教研室主任、教务秘书等），并对不同角色设定不同的数据权限、审批权限，创建角色后可以给每个用户配置单个或多个业务角色。</w:t>
            </w:r>
          </w:p>
          <w:p w14:paraId="2D56C862">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6.学年学期配置</w:t>
            </w:r>
            <w:r>
              <w:rPr>
                <w:rFonts w:hint="eastAsia" w:ascii="宋体" w:hAnsi="宋体" w:eastAsia="宋体" w:cs="宋体"/>
                <w:color w:val="auto"/>
                <w:sz w:val="24"/>
                <w:szCs w:val="24"/>
              </w:rPr>
              <w:t>：支持创建和管理学年学期，学年学期支持按季节、按顺序或自定义，学期信息可以用于关联开课计划和考核计划。</w:t>
            </w:r>
          </w:p>
          <w:p w14:paraId="717396E0">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7.行政班/教学班管理</w:t>
            </w:r>
            <w:r>
              <w:rPr>
                <w:rFonts w:hint="eastAsia" w:ascii="宋体" w:hAnsi="宋体" w:eastAsia="宋体" w:cs="宋体"/>
                <w:color w:val="auto"/>
                <w:sz w:val="24"/>
                <w:szCs w:val="24"/>
              </w:rPr>
              <w:t>：支持创建学生行政/编制组织架构，可创建行政班和管理行政班学生信息，支持根据教学需要创建教学班和管理教学班学生信息，学生组织架构信息、行政班学生信息支持单个创建和模板批量导入，对接教务管理系统的情况下可直接交互同步，不论导入还是教务管理系统同步的组织信息，均支持后期的增删改查操作；支持根据教学需要创建教学班和管理教学班学生信息，教学班学生信息支持单个创建和模板批量导入，对接教务管理系统的情况下可直接交互同步，不论导入还是教务管理系统同步的组织信息，均支持后期的增删改查操作。</w:t>
            </w:r>
          </w:p>
          <w:p w14:paraId="6857FA0F">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8.考试创建</w:t>
            </w:r>
            <w:r>
              <w:rPr>
                <w:rFonts w:hint="eastAsia" w:ascii="宋体" w:hAnsi="宋体" w:eastAsia="宋体" w:cs="宋体"/>
                <w:color w:val="auto"/>
                <w:sz w:val="24"/>
                <w:szCs w:val="24"/>
              </w:rPr>
              <w:t>：支持手动创建纸笔考试，手动创建考试支持关联课程，如课程考核方案中选择了纸笔考试项目，考核方案发布后可自动生成在线考试。</w:t>
            </w:r>
          </w:p>
          <w:p w14:paraId="6D807C2D">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9.考试管理</w:t>
            </w:r>
            <w:r>
              <w:rPr>
                <w:rFonts w:hint="eastAsia" w:ascii="宋体" w:hAnsi="宋体" w:eastAsia="宋体" w:cs="宋体"/>
                <w:color w:val="auto"/>
                <w:sz w:val="24"/>
                <w:szCs w:val="24"/>
              </w:rPr>
              <w:t>：支持管理员设置修改考试负责人、出卷人、阅卷组长、权限（如是否允许查看学生信息、扫描信息、客观题平均分和是否允许重启阅卷、重新阅卷、重评等）、考试出卷数量（单卷、多卷）。</w:t>
            </w:r>
          </w:p>
          <w:p w14:paraId="136F60EE">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10.在线制卡</w:t>
            </w:r>
            <w:r>
              <w:rPr>
                <w:rFonts w:hint="eastAsia" w:ascii="宋体" w:hAnsi="宋体" w:eastAsia="宋体" w:cs="宋体"/>
                <w:color w:val="auto"/>
                <w:sz w:val="24"/>
                <w:szCs w:val="24"/>
              </w:rPr>
              <w:t>：教师可在系统中在线设计答题卡，答题卡模式可选择OMR模式、OCR模式和混合模式，OMR模式下学生需填涂学号、客观题答案和粘贴条形码，OCR模式下学生学号和客观题答案为手写；答题卡内容包含条形码/二维码、考号填写区、标题、副标题、题目序号（全卷排序、大题内重排序号、自定义排序）、图片、公式、横线、作文格、作答区、客观题/主观题作答区域定位及识别标记等。</w:t>
            </w:r>
          </w:p>
          <w:p w14:paraId="706210CD">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11. 自动生成答题卡</w:t>
            </w:r>
            <w:r>
              <w:rPr>
                <w:rFonts w:hint="eastAsia" w:ascii="宋体" w:hAnsi="宋体" w:eastAsia="宋体" w:cs="宋体"/>
                <w:color w:val="auto"/>
                <w:sz w:val="24"/>
                <w:szCs w:val="24"/>
              </w:rPr>
              <w:t>：通过系统组卷，支持一键生成答题卡，非系统组成的试卷可在线制作答题卡。（</w:t>
            </w:r>
            <w:r>
              <w:rPr>
                <w:rFonts w:hint="eastAsia" w:ascii="宋体" w:hAnsi="宋体" w:eastAsia="宋体" w:cs="宋体"/>
                <w:b/>
                <w:bCs/>
                <w:color w:val="auto"/>
                <w:sz w:val="24"/>
                <w:szCs w:val="24"/>
                <w:lang w:val="en-US" w:eastAsia="zh-CN"/>
              </w:rPr>
              <w:t>需</w:t>
            </w:r>
            <w:r>
              <w:rPr>
                <w:rFonts w:hint="eastAsia" w:ascii="宋体" w:hAnsi="宋体" w:eastAsia="宋体" w:cs="宋体"/>
                <w:b/>
                <w:bCs/>
                <w:color w:val="auto"/>
                <w:sz w:val="24"/>
                <w:szCs w:val="24"/>
              </w:rPr>
              <w:t>提供带CMA和CNAS认证的机构报告复印件或软件功能截图证明，且所供材料须能充分佐证上述功能要求</w:t>
            </w:r>
            <w:r>
              <w:rPr>
                <w:rFonts w:hint="eastAsia" w:ascii="宋体" w:hAnsi="宋体" w:eastAsia="宋体" w:cs="宋体"/>
                <w:color w:val="auto"/>
                <w:sz w:val="24"/>
                <w:szCs w:val="24"/>
              </w:rPr>
              <w:t>。）</w:t>
            </w:r>
          </w:p>
          <w:p w14:paraId="423F3C25">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12.答题卡模板管理</w:t>
            </w:r>
            <w:r>
              <w:rPr>
                <w:rFonts w:hint="eastAsia" w:ascii="宋体" w:hAnsi="宋体" w:eastAsia="宋体" w:cs="宋体"/>
                <w:color w:val="auto"/>
                <w:sz w:val="24"/>
                <w:szCs w:val="24"/>
              </w:rPr>
              <w:t>：支持将历史答题卡直接存为模板，其他试卷制作答题卡时可直接复用该模板。</w:t>
            </w:r>
          </w:p>
          <w:p w14:paraId="747E3DAE">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13.自动切卡</w:t>
            </w:r>
            <w:r>
              <w:rPr>
                <w:rFonts w:hint="eastAsia" w:ascii="宋体" w:hAnsi="宋体" w:eastAsia="宋体" w:cs="宋体"/>
                <w:color w:val="auto"/>
                <w:sz w:val="24"/>
                <w:szCs w:val="24"/>
              </w:rPr>
              <w:t>：各题目所属答题卡位置并切割答题卡子图，精准分配阅卷区域。</w:t>
            </w:r>
          </w:p>
          <w:p w14:paraId="1B1D9627">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14.扫描授权</w:t>
            </w:r>
            <w:r>
              <w:rPr>
                <w:rFonts w:hint="eastAsia" w:ascii="宋体" w:hAnsi="宋体" w:eastAsia="宋体" w:cs="宋体"/>
                <w:color w:val="auto"/>
                <w:sz w:val="24"/>
                <w:szCs w:val="24"/>
              </w:rPr>
              <w:t>：支持主流国产扫描仪品牌和型号授权接入，同时支持接入多台扫描仪；支持常规A4、A3、8K、16K纸等，适应多种规格纸张制作的答题卡。</w:t>
            </w:r>
          </w:p>
          <w:p w14:paraId="09CF76AD">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15.常规扫描</w:t>
            </w:r>
            <w:r>
              <w:rPr>
                <w:rFonts w:hint="eastAsia" w:ascii="宋体" w:hAnsi="宋体" w:eastAsia="宋体" w:cs="宋体"/>
                <w:color w:val="auto"/>
                <w:sz w:val="24"/>
                <w:szCs w:val="24"/>
              </w:rPr>
              <w:t>：支持将答题卡按照对应考试分类进行扫描，支持正反放置扫描。</w:t>
            </w:r>
          </w:p>
          <w:p w14:paraId="63AD0CC8">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16. 混合扫描</w:t>
            </w:r>
            <w:r>
              <w:rPr>
                <w:rFonts w:hint="eastAsia" w:ascii="宋体" w:hAnsi="宋体" w:eastAsia="宋体" w:cs="宋体"/>
                <w:color w:val="auto"/>
                <w:sz w:val="24"/>
                <w:szCs w:val="24"/>
              </w:rPr>
              <w:t>：支持多科目答题卡混合扫描，系统自动识别答题卡所属考试及科目并上传图像至对应考试科目；支持将多场考试答题卡混合在一起扫描，系统可识别题卡科目、考场等信息并自动数据分类。（</w:t>
            </w:r>
            <w:r>
              <w:rPr>
                <w:rFonts w:hint="eastAsia" w:ascii="宋体" w:hAnsi="宋体" w:eastAsia="宋体" w:cs="宋体"/>
                <w:b/>
                <w:bCs/>
                <w:color w:val="auto"/>
                <w:sz w:val="24"/>
                <w:szCs w:val="24"/>
                <w:lang w:val="en-US" w:eastAsia="zh-CN"/>
              </w:rPr>
              <w:t>需</w:t>
            </w:r>
            <w:r>
              <w:rPr>
                <w:rFonts w:hint="eastAsia" w:ascii="宋体" w:hAnsi="宋体" w:eastAsia="宋体" w:cs="宋体"/>
                <w:b/>
                <w:bCs/>
                <w:color w:val="auto"/>
                <w:sz w:val="24"/>
                <w:szCs w:val="24"/>
              </w:rPr>
              <w:t>提供带CMA和CNAS认证的机构报告复印件或软件功能截图证明，且所供材料须能充分佐证上述功能要求</w:t>
            </w:r>
            <w:r>
              <w:rPr>
                <w:rFonts w:hint="eastAsia" w:ascii="宋体" w:hAnsi="宋体" w:eastAsia="宋体" w:cs="宋体"/>
                <w:color w:val="auto"/>
                <w:sz w:val="24"/>
                <w:szCs w:val="24"/>
              </w:rPr>
              <w:t>。）</w:t>
            </w:r>
          </w:p>
          <w:p w14:paraId="636FEB66">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17.填涂与条码识别</w:t>
            </w:r>
            <w:r>
              <w:rPr>
                <w:rFonts w:hint="eastAsia" w:ascii="宋体" w:hAnsi="宋体" w:eastAsia="宋体" w:cs="宋体"/>
                <w:color w:val="auto"/>
                <w:sz w:val="24"/>
                <w:szCs w:val="24"/>
              </w:rPr>
              <w:t>：系统利用OMR技术支持对答题卡二维码、考生条形码、考号、客观题填涂、缺考标记等信息进行识别和自动校验，并识别后自动关联对应考核和阅卷任务进行数据交互。</w:t>
            </w:r>
          </w:p>
          <w:p w14:paraId="2889FFBE">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18.OCR手写体识别：</w:t>
            </w:r>
            <w:r>
              <w:rPr>
                <w:rFonts w:hint="eastAsia" w:ascii="宋体" w:hAnsi="宋体" w:eastAsia="宋体" w:cs="宋体"/>
                <w:b w:val="0"/>
                <w:bCs w:val="0"/>
                <w:color w:val="auto"/>
                <w:sz w:val="24"/>
                <w:szCs w:val="24"/>
              </w:rPr>
              <w:t>系统利用OCR技术支持对手写学号、考号、字母、判断符等进行识别，实现答题卡无需粘贴条形码和填涂即可考试，同时能对手写学生信息和客观题进行识别并自动评分。</w:t>
            </w:r>
          </w:p>
          <w:p w14:paraId="5A0ECEA4">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19.手写体文字识别准确率≥95%。（需提供带CMA和CNAS认证的机构报告复印件或软件功能截图证明，且所供材料须能充分佐证上述功能要求。）</w:t>
            </w:r>
          </w:p>
          <w:p w14:paraId="3A612744">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20.具有自有手写体识别算法。（需提供国家网信办算法备案系统有效备案截图，且所供材料须能充分佐证上述功能要求。）</w:t>
            </w:r>
          </w:p>
          <w:p w14:paraId="08D193A3">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21.异常识别与处理</w:t>
            </w:r>
            <w:r>
              <w:rPr>
                <w:rFonts w:hint="eastAsia" w:ascii="宋体" w:hAnsi="宋体" w:eastAsia="宋体" w:cs="宋体"/>
                <w:color w:val="auto"/>
                <w:sz w:val="24"/>
                <w:szCs w:val="24"/>
              </w:rPr>
              <w:t>：支持识别扫描异常，扫描异常包括二维码识别异常、定位点异常、考号异常、考号重复、客观题识别异常、缺考/违纪，并支持点击进行异常处理，异常处理时间可设置扫描时立即处理或扫描后处理。</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282C53AF">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22.印刷任务创建</w:t>
            </w:r>
            <w:r>
              <w:rPr>
                <w:rFonts w:hint="eastAsia" w:ascii="宋体" w:hAnsi="宋体" w:eastAsia="宋体" w:cs="宋体"/>
                <w:color w:val="auto"/>
                <w:sz w:val="24"/>
                <w:szCs w:val="24"/>
              </w:rPr>
              <w:t>：支持同步系统已有考试的试卷及答题卡至印刷管理，并生成对应任务发放给印厂，提供印刷任务看板、统一装订需求和开放印厂账号权限的管理功能。</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52940D8E">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23.印刷厂接受印刷任务</w:t>
            </w:r>
            <w:r>
              <w:rPr>
                <w:rFonts w:hint="eastAsia" w:ascii="宋体" w:hAnsi="宋体" w:eastAsia="宋体" w:cs="宋体"/>
                <w:color w:val="auto"/>
                <w:sz w:val="24"/>
                <w:szCs w:val="24"/>
              </w:rPr>
              <w:t>：支持印厂登陆系统查看装订需求、下载打印试卷及答题卡。</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5F3D06CB">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24.阅卷老师管理</w:t>
            </w:r>
            <w:r>
              <w:rPr>
                <w:rFonts w:hint="eastAsia" w:ascii="宋体" w:hAnsi="宋体" w:eastAsia="宋体" w:cs="宋体"/>
                <w:color w:val="auto"/>
                <w:sz w:val="24"/>
                <w:szCs w:val="24"/>
              </w:rPr>
              <w:t>：支持阅卷负责人添加或删除参与阅卷的成员，对阅卷老师的管理在开启阅卷前和开启阅卷后均可进行。</w:t>
            </w:r>
          </w:p>
          <w:p w14:paraId="643CF20F">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25.合并/拆分题组</w:t>
            </w:r>
            <w:r>
              <w:rPr>
                <w:rFonts w:hint="eastAsia" w:ascii="宋体" w:hAnsi="宋体" w:eastAsia="宋体" w:cs="宋体"/>
                <w:color w:val="auto"/>
                <w:sz w:val="24"/>
                <w:szCs w:val="24"/>
              </w:rPr>
              <w:t>：支持将多个小题合并组合形成题组，也可将组合题拆分成多个题组，从而根据阅卷需要将题组阅卷任务进行分配。</w:t>
            </w:r>
          </w:p>
          <w:p w14:paraId="43FF057D">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26.阅卷模式选择</w:t>
            </w:r>
            <w:r>
              <w:rPr>
                <w:rFonts w:hint="eastAsia" w:ascii="宋体" w:hAnsi="宋体" w:eastAsia="宋体" w:cs="宋体"/>
                <w:color w:val="auto"/>
                <w:sz w:val="24"/>
                <w:szCs w:val="24"/>
              </w:rPr>
              <w:t>：支持按生阅卷（即整卷批阅）和按题组阅卷（即流水阅卷）两种模式。</w:t>
            </w:r>
          </w:p>
          <w:p w14:paraId="688B3C6F">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27.阅卷任务分配</w:t>
            </w:r>
            <w:r>
              <w:rPr>
                <w:rFonts w:hint="eastAsia" w:ascii="宋体" w:hAnsi="宋体" w:eastAsia="宋体" w:cs="宋体"/>
                <w:color w:val="auto"/>
                <w:sz w:val="24"/>
                <w:szCs w:val="24"/>
              </w:rPr>
              <w:t>：支持按生或按题分配阅卷任务，阅卷老师任务量可人工设置或按班分配。</w:t>
            </w:r>
          </w:p>
          <w:p w14:paraId="0236A87C">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28.客观题自动评分</w:t>
            </w:r>
            <w:r>
              <w:rPr>
                <w:rFonts w:hint="eastAsia" w:ascii="宋体" w:hAnsi="宋体" w:eastAsia="宋体" w:cs="宋体"/>
                <w:color w:val="auto"/>
                <w:sz w:val="24"/>
                <w:szCs w:val="24"/>
              </w:rPr>
              <w:t>：不论是填涂与条码答题卡还是手写答题卡，系统都可以对客观题自动评分，客观题答题可直接交互题库系统同步，也可手动设置或批量导入，多选题给分规则支持进行全对、多选、漏选、按组合等规则设定。</w:t>
            </w:r>
          </w:p>
          <w:p w14:paraId="37DA7110">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29.主观题智能评卷</w:t>
            </w:r>
            <w:r>
              <w:rPr>
                <w:rFonts w:hint="eastAsia" w:ascii="宋体" w:hAnsi="宋体" w:eastAsia="宋体" w:cs="宋体"/>
                <w:color w:val="auto"/>
                <w:sz w:val="24"/>
                <w:szCs w:val="24"/>
              </w:rPr>
              <w:t>：支持利用AI技术自动对主观题进行评分，无需人工评分。</w:t>
            </w:r>
          </w:p>
          <w:p w14:paraId="573BEBAD">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30.考生信息隐藏</w:t>
            </w:r>
            <w:r>
              <w:rPr>
                <w:rFonts w:hint="eastAsia" w:ascii="宋体" w:hAnsi="宋体" w:eastAsia="宋体" w:cs="宋体"/>
                <w:color w:val="auto"/>
                <w:sz w:val="24"/>
                <w:szCs w:val="24"/>
              </w:rPr>
              <w:t>：支持设置阅卷老师是否可以查看学生信息和是否可以查看学生成绩统计。</w:t>
            </w:r>
          </w:p>
          <w:p w14:paraId="4B5C69D3">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31.阅卷监控与抽查</w:t>
            </w:r>
            <w:r>
              <w:rPr>
                <w:rFonts w:hint="eastAsia" w:ascii="宋体" w:hAnsi="宋体" w:eastAsia="宋体" w:cs="宋体"/>
                <w:color w:val="auto"/>
                <w:sz w:val="24"/>
                <w:szCs w:val="24"/>
              </w:rPr>
              <w:t>：提供阅卷情况统计与监控，显示考试信息、阅卷截止时间、总体阅卷进度、老师阅卷进度、题目答案详情、已阅/未阅题目数量及批阅状态，详细阅卷日志可导出；同时支持阅卷负责人对答卷进行抽查，抽查状态下可进行改分。</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722303F6">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32.单评/双评</w:t>
            </w:r>
            <w:r>
              <w:rPr>
                <w:rFonts w:hint="eastAsia" w:ascii="宋体" w:hAnsi="宋体" w:eastAsia="宋体" w:cs="宋体"/>
                <w:color w:val="auto"/>
                <w:sz w:val="24"/>
                <w:szCs w:val="24"/>
              </w:rPr>
              <w:t>：支持可设置单评/多评，设置误差分值，未超过误差分值取平均分，超过误差分值由考试负责人进行仲裁；支持对待阅题组设置单评或双评，双评可设置误差值限制，超出误差值后进入阅卷题组长仲裁。</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3FA68D04">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33.批阅给分</w:t>
            </w:r>
            <w:r>
              <w:rPr>
                <w:rFonts w:hint="eastAsia" w:ascii="宋体" w:hAnsi="宋体" w:eastAsia="宋体" w:cs="宋体"/>
                <w:color w:val="auto"/>
                <w:sz w:val="24"/>
                <w:szCs w:val="24"/>
              </w:rPr>
              <w:t>：评分方式支持打分板打分和鼠标给分，支持“√”、“×”、文字、小分内容等多种试卷批注；阅卷老师可在阅卷页面查看权限下待阅内容，并可进行评分，评分方式支持键盘给分和鼠标给分，支持按小题或按步骤标记给分点、扣分点，同时支持波浪线、下划线、文字、“√”、“×”、“◎”、“/”、“0”、半√、给分点标注等多种阅卷批注。</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4C443469">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34.试卷批注：</w:t>
            </w:r>
            <w:r>
              <w:rPr>
                <w:rFonts w:hint="eastAsia" w:ascii="宋体" w:hAnsi="宋体" w:eastAsia="宋体" w:cs="宋体"/>
                <w:color w:val="auto"/>
                <w:sz w:val="24"/>
                <w:szCs w:val="24"/>
              </w:rPr>
              <w:t>阅卷老师可以在阅卷过程中对优秀卷、问题卷等进行批注，阅卷负责人可对优秀卷和问题卷进行查看和处理。</w:t>
            </w:r>
          </w:p>
          <w:p w14:paraId="10E0F75B">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35.答卷归档：</w:t>
            </w:r>
            <w:r>
              <w:rPr>
                <w:rFonts w:hint="eastAsia" w:ascii="宋体" w:hAnsi="宋体" w:eastAsia="宋体" w:cs="宋体"/>
                <w:color w:val="auto"/>
                <w:sz w:val="24"/>
                <w:szCs w:val="24"/>
              </w:rPr>
              <w:t>支持阅卷人、批注痕迹随答卷一起存档并支持查看下载，阅卷批注可作为阅卷痕迹随答卷一起保存和导出。</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6C8931B8">
            <w:pPr>
              <w:keepNext/>
              <w:keepLines w:val="0"/>
              <w:pageBreakBefore w:val="0"/>
              <w:widowControl w:val="0"/>
              <w:kinsoku/>
              <w:wordWrap/>
              <w:overflowPunct/>
              <w:topLinePunct w:val="0"/>
              <w:autoSpaceDE/>
              <w:autoSpaceDN/>
              <w:bidi w:val="0"/>
              <w:adjustRightInd w:val="0"/>
              <w:snapToGrid w:val="0"/>
              <w:spacing w:line="288" w:lineRule="auto"/>
              <w:ind w:left="0" w:leftChars="0" w:firstLine="504" w:firstLineChars="209"/>
              <w:textAlignment w:val="center"/>
              <w:rPr>
                <w:rFonts w:hint="eastAsia" w:ascii="宋体" w:hAnsi="宋体" w:eastAsia="宋体" w:cs="宋体"/>
                <w:color w:val="auto"/>
                <w:sz w:val="24"/>
                <w:szCs w:val="24"/>
              </w:rPr>
            </w:pPr>
            <w:r>
              <w:rPr>
                <w:rFonts w:hint="eastAsia" w:ascii="宋体" w:hAnsi="宋体" w:eastAsia="宋体" w:cs="宋体"/>
                <w:b/>
                <w:bCs/>
                <w:color w:val="auto"/>
                <w:sz w:val="24"/>
                <w:szCs w:val="24"/>
              </w:rPr>
              <w:t>36.成绩统计</w:t>
            </w:r>
            <w:r>
              <w:rPr>
                <w:rFonts w:hint="eastAsia" w:ascii="宋体" w:hAnsi="宋体" w:eastAsia="宋体" w:cs="宋体"/>
                <w:color w:val="auto"/>
                <w:sz w:val="24"/>
                <w:szCs w:val="24"/>
              </w:rPr>
              <w:t>：阅卷完成后，系统自动生成班级、考生的总分，支持将考试成绩一键登录至成绩分析系统用于成绩分析；系统自动将试卷题目正确率、得分率等数据回传至题目（卷）库系统，用于题目（卷）动态属性更新和展示。</w:t>
            </w:r>
          </w:p>
          <w:p w14:paraId="19407D93">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37.成绩同步</w:t>
            </w:r>
            <w:r>
              <w:rPr>
                <w:rFonts w:hint="eastAsia" w:ascii="宋体" w:hAnsi="宋体" w:eastAsia="宋体" w:cs="宋体"/>
                <w:color w:val="auto"/>
                <w:sz w:val="24"/>
                <w:szCs w:val="24"/>
              </w:rPr>
              <w:t>：支持成绩数据的查询和excel报表导出和同步至成绩分析系统。</w:t>
            </w:r>
          </w:p>
          <w:p w14:paraId="349563FF">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38.考试分析</w:t>
            </w:r>
            <w:r>
              <w:rPr>
                <w:rFonts w:hint="eastAsia" w:ascii="宋体" w:hAnsi="宋体" w:eastAsia="宋体" w:cs="宋体"/>
                <w:color w:val="auto"/>
                <w:sz w:val="24"/>
                <w:szCs w:val="24"/>
              </w:rPr>
              <w:t>：支持对考试卷面成绩进行分析，分析维度可按考试总体分析、班级分析和试卷分析，试卷分析包括题型分析、难度、信度、效度、区分度、小题分析、章节知识点分析、成绩分布、缺缓考情况等，同时支持考试负责人输入分析总结，分析结果以可视化图表呈现且支持下载导出。</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2E57D665">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39.登分管理</w:t>
            </w:r>
            <w:r>
              <w:rPr>
                <w:rFonts w:hint="eastAsia" w:ascii="宋体" w:hAnsi="宋体" w:eastAsia="宋体" w:cs="宋体"/>
                <w:color w:val="auto"/>
                <w:sz w:val="24"/>
                <w:szCs w:val="24"/>
              </w:rPr>
              <w:t>：形成性考核成绩和非网络阅卷考核项目成绩可以由教师手动登录，网上阅卷的考核项目成绩自动同步至成绩数据库，系统自动统计总成绩并按照分制展示等级。</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170F2143">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40.学生成绩列表</w:t>
            </w:r>
            <w:r>
              <w:rPr>
                <w:rFonts w:hint="eastAsia" w:ascii="宋体" w:hAnsi="宋体" w:eastAsia="宋体" w:cs="宋体"/>
                <w:color w:val="auto"/>
                <w:sz w:val="24"/>
                <w:szCs w:val="24"/>
              </w:rPr>
              <w:t>：可查看单条学生成绩信息，姓名、学号、所属行政班、对应的考核项目成绩、总成绩；</w:t>
            </w:r>
          </w:p>
          <w:p w14:paraId="1C6CE61C">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41.教学班成绩列表：</w:t>
            </w:r>
            <w:r>
              <w:rPr>
                <w:rFonts w:hint="eastAsia" w:ascii="宋体" w:hAnsi="宋体" w:eastAsia="宋体" w:cs="宋体"/>
                <w:color w:val="auto"/>
                <w:sz w:val="24"/>
                <w:szCs w:val="24"/>
              </w:rPr>
              <w:t>可查看课程编号、课程名称、开课单位、教学班、应录入人数、已录入人数、任课老师、班级成绩数据、班级下单个学生成绩等；</w:t>
            </w:r>
          </w:p>
          <w:p w14:paraId="7386EC44">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42.课程成绩列表：</w:t>
            </w:r>
            <w:r>
              <w:rPr>
                <w:rFonts w:hint="eastAsia" w:ascii="宋体" w:hAnsi="宋体" w:eastAsia="宋体" w:cs="宋体"/>
                <w:color w:val="auto"/>
                <w:sz w:val="24"/>
                <w:szCs w:val="24"/>
              </w:rPr>
              <w:t>可查看所有教学班及学生成绩信息，包含姓名、学号、所属行政班、对应的考核项目成绩、总成绩等。</w:t>
            </w:r>
          </w:p>
          <w:p w14:paraId="512436E8">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43.成绩保存与查询：</w:t>
            </w:r>
            <w:r>
              <w:rPr>
                <w:rFonts w:hint="eastAsia" w:ascii="宋体" w:hAnsi="宋体" w:eastAsia="宋体" w:cs="宋体"/>
                <w:color w:val="auto"/>
                <w:sz w:val="24"/>
                <w:szCs w:val="24"/>
              </w:rPr>
              <w:t>提供专门的成绩存储功能，成绩保存后可随时查询和下载。</w:t>
            </w:r>
          </w:p>
          <w:p w14:paraId="49C41AA6">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44.成绩等级设置：</w:t>
            </w:r>
            <w:r>
              <w:rPr>
                <w:rFonts w:hint="eastAsia" w:ascii="宋体" w:hAnsi="宋体" w:eastAsia="宋体" w:cs="宋体"/>
                <w:color w:val="auto"/>
                <w:sz w:val="24"/>
                <w:szCs w:val="24"/>
              </w:rPr>
              <w:t>可以对成绩进行等级设置，如三级制、五级制等，并可对等级分数要求进行自定义。</w:t>
            </w:r>
          </w:p>
          <w:p w14:paraId="160C8562">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45.课程考核分析：</w:t>
            </w:r>
            <w:r>
              <w:rPr>
                <w:rFonts w:hint="eastAsia" w:ascii="宋体" w:hAnsi="宋体" w:eastAsia="宋体" w:cs="宋体"/>
                <w:color w:val="auto"/>
                <w:sz w:val="24"/>
                <w:szCs w:val="24"/>
              </w:rPr>
              <w:t>系统根据课程考核成绩进行分析，包括课程考核最高分、最低分、平均分、优秀率、及格率、不及格率、方差、班级对比等，分析结果以可视化图表呈现且支持下载导出。</w:t>
            </w:r>
          </w:p>
          <w:p w14:paraId="7AB6DE2B">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46.班级考核分析：</w:t>
            </w:r>
            <w:r>
              <w:rPr>
                <w:rFonts w:hint="eastAsia" w:ascii="宋体" w:hAnsi="宋体" w:eastAsia="宋体" w:cs="宋体"/>
                <w:color w:val="auto"/>
                <w:sz w:val="24"/>
                <w:szCs w:val="24"/>
              </w:rPr>
              <w:t>系统根据班级各课程考核成绩进行分析，包括最高分、最低分、平均分、优秀率、及格率、不及格率、方差、班级对比等，分析结果以可视化图表呈现且支持下载导出。</w:t>
            </w:r>
          </w:p>
          <w:p w14:paraId="425BB0FB">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47.个人考核分析</w:t>
            </w:r>
            <w:r>
              <w:rPr>
                <w:rFonts w:hint="eastAsia" w:ascii="宋体" w:hAnsi="宋体" w:eastAsia="宋体" w:cs="宋体"/>
                <w:color w:val="auto"/>
                <w:sz w:val="24"/>
                <w:szCs w:val="24"/>
              </w:rPr>
              <w:t>：系统可根据学生成绩数据进行分析并提供可视化学情报告，对有异常学生提供预警。</w:t>
            </w:r>
          </w:p>
          <w:p w14:paraId="0EB63100">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48.考核对比分析</w:t>
            </w:r>
            <w:r>
              <w:rPr>
                <w:rFonts w:hint="eastAsia" w:ascii="宋体" w:hAnsi="宋体" w:eastAsia="宋体" w:cs="宋体"/>
                <w:color w:val="auto"/>
                <w:sz w:val="24"/>
                <w:szCs w:val="24"/>
              </w:rPr>
              <w:t>：系统可从各维度对往年成绩进行对比分析；</w:t>
            </w:r>
          </w:p>
          <w:p w14:paraId="77A41B71">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49.总体考核分析</w:t>
            </w:r>
            <w:r>
              <w:rPr>
                <w:rFonts w:hint="eastAsia" w:ascii="宋体" w:hAnsi="宋体" w:eastAsia="宋体" w:cs="宋体"/>
                <w:color w:val="auto"/>
                <w:sz w:val="24"/>
                <w:szCs w:val="24"/>
              </w:rPr>
              <w:t>：系统根据考核总体成绩对年级、学院、专业总体成绩进行分析，包括各年级学院及专业最高分、最低分、平均分、中位数、优秀率、及格率、不及格率、成绩等级分布、成绩分段分布、成绩正态分布等，分析结果以可视化图表呈现且支持下载导出。</w:t>
            </w:r>
          </w:p>
          <w:p w14:paraId="08C6B8A4">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50.考核成绩预警</w:t>
            </w:r>
            <w:r>
              <w:rPr>
                <w:rFonts w:hint="eastAsia" w:ascii="宋体" w:hAnsi="宋体" w:eastAsia="宋体" w:cs="宋体"/>
                <w:color w:val="auto"/>
                <w:sz w:val="24"/>
                <w:szCs w:val="24"/>
              </w:rPr>
              <w:t>：系统可对成绩异常或有风险的学生、课程、班级进行成绩预警提示；</w:t>
            </w:r>
          </w:p>
          <w:p w14:paraId="091BF875">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51.智能分析总结</w:t>
            </w:r>
            <w:r>
              <w:rPr>
                <w:rFonts w:hint="eastAsia" w:ascii="宋体" w:hAnsi="宋体" w:eastAsia="宋体" w:cs="宋体"/>
                <w:color w:val="auto"/>
                <w:sz w:val="24"/>
                <w:szCs w:val="24"/>
              </w:rPr>
              <w:t>：支持AI自动对课程考核结果进行课程总结，输出图文丰富的课程总结报告，AI自动生成图文结合的课程总结报告，生成时间&lt;=60秒。</w:t>
            </w:r>
            <w:r>
              <w:rPr>
                <w:rFonts w:hint="eastAsia" w:ascii="宋体" w:hAnsi="宋体" w:eastAsia="宋体" w:cs="宋体"/>
                <w:b/>
                <w:bCs/>
                <w:color w:val="auto"/>
                <w:sz w:val="24"/>
                <w:szCs w:val="24"/>
              </w:rPr>
              <w:t>（需提供带CMA和CNAS认证的机构报告复印件或软件功能截图证明，且所供材料须能充分佐证上述功能要求。）</w:t>
            </w:r>
          </w:p>
          <w:p w14:paraId="375086D7">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52.国产化适配</w:t>
            </w:r>
            <w:r>
              <w:rPr>
                <w:rFonts w:hint="eastAsia" w:ascii="宋体" w:hAnsi="宋体" w:eastAsia="宋体" w:cs="宋体"/>
                <w:color w:val="auto"/>
                <w:sz w:val="24"/>
                <w:szCs w:val="24"/>
              </w:rPr>
              <w:t>：系统必须全面符合国家信息化创新（信息技术与应用创新）战略要求，支持国产软硬件环境（国产化CPU、国产化操作系统、国产化数据库）的全面适配与深度融合。</w:t>
            </w:r>
            <w:r>
              <w:rPr>
                <w:rFonts w:hint="eastAsia" w:ascii="宋体" w:hAnsi="宋体" w:eastAsia="宋体" w:cs="宋体"/>
                <w:b/>
                <w:bCs/>
                <w:color w:val="auto"/>
                <w:sz w:val="24"/>
                <w:szCs w:val="24"/>
              </w:rPr>
              <w:t>（需提供国家认可的信创产品评估证书复印件或软件功能截图证明，且所供材料须能充分佐证上述功能要求。）</w:t>
            </w:r>
          </w:p>
          <w:p w14:paraId="5DC9A1CE">
            <w:pPr>
              <w:keepLines w:val="0"/>
              <w:pageBreakBefore w:val="0"/>
              <w:widowControl w:val="0"/>
              <w:kinsoku/>
              <w:wordWrap/>
              <w:overflowPunct/>
              <w:topLinePunct w:val="0"/>
              <w:autoSpaceDE/>
              <w:autoSpaceDN/>
              <w:bidi w:val="0"/>
              <w:spacing w:line="288" w:lineRule="auto"/>
              <w:ind w:left="0" w:leftChars="0" w:firstLine="504" w:firstLineChars="209"/>
              <w:jc w:val="lef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53.软件性能指标及其它要求</w:t>
            </w:r>
            <w:r>
              <w:rPr>
                <w:rFonts w:hint="eastAsia" w:ascii="宋体" w:hAnsi="宋体" w:eastAsia="宋体" w:cs="宋体"/>
                <w:color w:val="auto"/>
                <w:sz w:val="24"/>
                <w:szCs w:val="24"/>
                <w:lang w:val="en-US" w:eastAsia="zh-CN"/>
              </w:rPr>
              <w:t>：</w:t>
            </w:r>
          </w:p>
          <w:p w14:paraId="570C6990">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eastAsia="宋体" w:cs="宋体"/>
                <w:color w:val="auto"/>
                <w:sz w:val="24"/>
                <w:szCs w:val="24"/>
              </w:rPr>
              <w:t>软件系统须为具备独立自主知识产权、系统架构成熟稳定，软件系统基于B/S架构（支持常用的IE、谷歌、火狐等浏览器），图形用户界面设计简洁，用户操作简便，具备良好的安全性和高并发处理能力，满足</w:t>
            </w:r>
            <w:r>
              <w:rPr>
                <w:rFonts w:hint="eastAsia" w:ascii="宋体" w:hAnsi="宋体" w:eastAsia="宋体" w:cs="宋体"/>
                <w:b/>
                <w:bCs/>
                <w:color w:val="auto"/>
                <w:sz w:val="24"/>
                <w:szCs w:val="24"/>
              </w:rPr>
              <w:t>非在线考试账户同时在线数量≥1000、在线考试同时在线考生数量≥5000</w:t>
            </w:r>
            <w:r>
              <w:rPr>
                <w:rFonts w:hint="eastAsia" w:ascii="宋体" w:hAnsi="宋体" w:eastAsia="宋体" w:cs="宋体"/>
                <w:color w:val="auto"/>
                <w:sz w:val="24"/>
                <w:szCs w:val="24"/>
              </w:rPr>
              <w:t>的要求。支持后续升级和增加功能，依托采购方现有环境条件，进行安装、部署与调试。</w:t>
            </w:r>
          </w:p>
          <w:p w14:paraId="3EC6BB61">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支持</w:t>
            </w:r>
            <w:r>
              <w:rPr>
                <w:rFonts w:hint="eastAsia" w:ascii="宋体" w:hAnsi="宋体" w:eastAsia="宋体" w:cs="宋体"/>
                <w:b/>
                <w:bCs/>
                <w:color w:val="auto"/>
                <w:sz w:val="24"/>
                <w:szCs w:val="24"/>
              </w:rPr>
              <w:t>不少于3000门课程题目（卷）库资源管理及不少于1000个账户</w:t>
            </w:r>
            <w:r>
              <w:rPr>
                <w:rFonts w:hint="eastAsia" w:ascii="宋体" w:hAnsi="宋体" w:eastAsia="宋体" w:cs="宋体"/>
                <w:color w:val="auto"/>
                <w:sz w:val="24"/>
                <w:szCs w:val="24"/>
              </w:rPr>
              <w:t>同时登录。</w:t>
            </w:r>
          </w:p>
          <w:p w14:paraId="043F335A">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在同一时刻内，满足同时进行业务操作的</w:t>
            </w:r>
            <w:r>
              <w:rPr>
                <w:rFonts w:hint="eastAsia" w:ascii="宋体" w:hAnsi="宋体" w:eastAsia="宋体" w:cs="宋体"/>
                <w:b/>
                <w:bCs/>
                <w:color w:val="auto"/>
                <w:sz w:val="24"/>
                <w:szCs w:val="24"/>
              </w:rPr>
              <w:t>用户并发数量至少300人</w:t>
            </w:r>
            <w:r>
              <w:rPr>
                <w:rFonts w:hint="eastAsia" w:ascii="宋体" w:hAnsi="宋体" w:eastAsia="宋体" w:cs="宋体"/>
                <w:color w:val="auto"/>
                <w:sz w:val="24"/>
                <w:szCs w:val="24"/>
              </w:rPr>
              <w:t>。</w:t>
            </w:r>
          </w:p>
          <w:p w14:paraId="301A83A0">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系统在负载情况下，普通交互页面平均响应时间不超过5秒，批量导出、查询报表等不超过40秒，请求失败率不超过2%。</w:t>
            </w:r>
          </w:p>
          <w:p w14:paraId="51630A49">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eastAsia="宋体" w:cs="宋体"/>
                <w:b/>
                <w:bCs/>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软件所需功能（学生考试端除外）需在同一技术架构系统中实现，不允许多个系统切换跳转操作。</w:t>
            </w:r>
            <w:r>
              <w:rPr>
                <w:rFonts w:hint="eastAsia" w:ascii="宋体" w:hAnsi="宋体" w:eastAsia="宋体" w:cs="宋体"/>
                <w:b/>
                <w:bCs/>
                <w:color w:val="auto"/>
                <w:sz w:val="24"/>
                <w:szCs w:val="24"/>
              </w:rPr>
              <w:t>（需提供对接承诺函，格式自拟。）</w:t>
            </w:r>
          </w:p>
          <w:p w14:paraId="274DE061">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w:t>
            </w:r>
            <w:r>
              <w:rPr>
                <w:rFonts w:hint="eastAsia" w:ascii="宋体" w:hAnsi="宋体" w:cs="宋体"/>
                <w:b/>
                <w:bCs/>
                <w:color w:val="auto"/>
                <w:sz w:val="24"/>
                <w:szCs w:val="24"/>
                <w:lang w:val="en-US" w:eastAsia="zh-CN"/>
              </w:rPr>
              <w:t>账号权限安全：</w:t>
            </w:r>
            <w:r>
              <w:rPr>
                <w:rFonts w:hint="eastAsia" w:ascii="宋体" w:hAnsi="宋体" w:cs="宋体"/>
                <w:color w:val="auto"/>
                <w:sz w:val="24"/>
                <w:szCs w:val="24"/>
                <w:lang w:val="en-US" w:eastAsia="zh-CN"/>
              </w:rPr>
              <w:t>系统具备完善的账户安全机制，支持密码、验证码双重登录方式，支持头像、密码自主管理；实行精细化权限分级管控，不同角色仅可查看、操作对应权限内数据，严格隔离师生隐私数据与核心考试数据，支持阅卷匿名模式，保障考试公平公正。</w:t>
            </w:r>
          </w:p>
          <w:p w14:paraId="0B0E9B84">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b/>
                <w:bCs/>
                <w:color w:val="auto"/>
                <w:sz w:val="24"/>
                <w:szCs w:val="24"/>
                <w:lang w:eastAsia="zh-CN"/>
              </w:rPr>
              <w:t>数据安全：</w:t>
            </w:r>
            <w:r>
              <w:rPr>
                <w:rFonts w:hint="eastAsia" w:ascii="宋体" w:hAnsi="宋体" w:cs="宋体"/>
                <w:color w:val="auto"/>
                <w:sz w:val="24"/>
                <w:szCs w:val="24"/>
                <w:lang w:eastAsia="zh-CN"/>
              </w:rPr>
              <w:t>软件平台需构建严密的安全保障体系，确保考试数据在传输、存储及处理过程中的安全，系统操作日志支持导出，并提供数据备份与恢复功能。全程保障学生信息、考试答卷、阅卷数据、成绩数据等核心数据安全，支持数据加密存储、定期自动备份，杜绝数据泄露、篡改、丢失、窃取风险；所有数据交互传输采用加密协议，接口访问安全合规。</w:t>
            </w:r>
          </w:p>
          <w:p w14:paraId="2C086603">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b/>
                <w:bCs/>
                <w:color w:val="auto"/>
                <w:sz w:val="24"/>
                <w:szCs w:val="24"/>
                <w:lang w:eastAsia="zh-CN"/>
              </w:rPr>
              <w:t>操作审计安全：</w:t>
            </w:r>
            <w:r>
              <w:rPr>
                <w:rFonts w:hint="eastAsia" w:ascii="宋体" w:hAnsi="宋体" w:cs="宋体"/>
                <w:color w:val="auto"/>
                <w:sz w:val="24"/>
                <w:szCs w:val="24"/>
                <w:lang w:eastAsia="zh-CN"/>
              </w:rPr>
              <w:t>系统全程记录所有用户操作行为、操作时间、登录IP等日志信息，日志数据可长期留存、可查询导出，支持安全审计、问题追溯，满足高校信息化安全合规管理要求。</w:t>
            </w:r>
          </w:p>
          <w:p w14:paraId="32A604A8">
            <w:pPr>
              <w:keepLines w:val="0"/>
              <w:pageBreakBefore w:val="0"/>
              <w:widowControl w:val="0"/>
              <w:kinsoku/>
              <w:wordWrap/>
              <w:overflowPunct/>
              <w:topLinePunct w:val="0"/>
              <w:autoSpaceDE/>
              <w:autoSpaceDN/>
              <w:bidi w:val="0"/>
              <w:spacing w:line="288" w:lineRule="auto"/>
              <w:ind w:left="0" w:leftChars="0" w:firstLine="420" w:firstLineChars="175"/>
              <w:jc w:val="left"/>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9</w:t>
            </w:r>
            <w:r>
              <w:rPr>
                <w:rFonts w:hint="eastAsia" w:ascii="宋体" w:hAnsi="宋体" w:cs="宋体"/>
                <w:color w:val="auto"/>
                <w:sz w:val="24"/>
                <w:szCs w:val="24"/>
                <w:lang w:eastAsia="zh-CN"/>
              </w:rPr>
              <w:t>）软件组成、安装及环境支持。软件需提供安装介质（光盘或U盘）附带激活程序（提供备用品）。</w:t>
            </w:r>
          </w:p>
        </w:tc>
        <w:tc>
          <w:tcPr>
            <w:tcW w:w="434" w:type="dxa"/>
            <w:noWrap w:val="0"/>
            <w:vAlign w:val="center"/>
          </w:tcPr>
          <w:p w14:paraId="2A68D05A">
            <w:pPr>
              <w:keepLines w:val="0"/>
              <w:pageBreakBefore w:val="0"/>
              <w:widowControl w:val="0"/>
              <w:kinsoku/>
              <w:wordWrap/>
              <w:overflowPunct/>
              <w:topLinePunct w:val="0"/>
              <w:autoSpaceDE/>
              <w:autoSpaceDN/>
              <w:bidi w:val="0"/>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套</w:t>
            </w:r>
          </w:p>
        </w:tc>
      </w:tr>
    </w:tbl>
    <w:p w14:paraId="7CD7619A">
      <w:pPr>
        <w:spacing w:line="288"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注：1、上述采购产品中采购人提供了部分产品或部件或配件的参考品牌型号或认证（如有），但采购人同时也欢迎供应商提供品牌档次、技术性能、认证等级不低于参考品牌型号或认证的产品或部件或配件。</w:t>
      </w:r>
    </w:p>
    <w:p w14:paraId="7A0B689A">
      <w:pPr>
        <w:pStyle w:val="7"/>
        <w:rPr>
          <w:rFonts w:hint="eastAsia" w:ascii="宋体" w:hAnsi="宋体" w:eastAsia="宋体" w:cs="宋体"/>
          <w:bCs/>
          <w:color w:val="auto"/>
          <w:sz w:val="24"/>
          <w:szCs w:val="24"/>
        </w:rPr>
      </w:pPr>
      <w:r>
        <w:rPr>
          <w:rFonts w:hint="eastAsia" w:ascii="宋体" w:hAnsi="宋体" w:eastAsia="宋体" w:cs="宋体"/>
          <w:bCs/>
          <w:color w:val="auto"/>
          <w:sz w:val="24"/>
        </w:rPr>
        <w:t>▲</w:t>
      </w:r>
      <w:r>
        <w:rPr>
          <w:rFonts w:hint="eastAsia" w:ascii="宋体" w:hAnsi="宋体" w:eastAsia="宋体" w:cs="宋体"/>
          <w:bCs/>
          <w:color w:val="auto"/>
          <w:sz w:val="24"/>
          <w:szCs w:val="24"/>
        </w:rPr>
        <w:t>2、本项目采购的国产设备，不得提供进口设备投标（响应），否则投标（响应）无效。</w:t>
      </w:r>
    </w:p>
    <w:p w14:paraId="57948568">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ascii="宋体" w:hAnsi="宋体" w:eastAsia="宋体" w:cs="宋体"/>
          <w:b/>
          <w:bCs/>
          <w:color w:val="auto"/>
          <w:sz w:val="24"/>
          <w:szCs w:val="22"/>
        </w:rPr>
      </w:pPr>
      <w:r>
        <w:rPr>
          <w:rFonts w:hint="eastAsia" w:ascii="宋体" w:hAnsi="宋体" w:cs="宋体"/>
          <w:b/>
          <w:bCs/>
          <w:color w:val="auto"/>
          <w:sz w:val="24"/>
          <w:szCs w:val="22"/>
          <w:lang w:val="en-US" w:eastAsia="zh-CN"/>
        </w:rPr>
        <w:t>3、</w:t>
      </w:r>
      <w:r>
        <w:rPr>
          <w:rFonts w:hint="eastAsia" w:ascii="宋体" w:hAnsi="宋体" w:eastAsia="宋体" w:cs="宋体"/>
          <w:b/>
          <w:bCs/>
          <w:color w:val="auto"/>
          <w:sz w:val="24"/>
          <w:szCs w:val="22"/>
        </w:rPr>
        <w:t>演示U盘：</w:t>
      </w:r>
    </w:p>
    <w:p w14:paraId="7E2A0C0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（1）根据“电子交易/不见面开评标”原则，供应商需将以上</w:t>
      </w:r>
      <w:r>
        <w:rPr>
          <w:rFonts w:hint="eastAsia" w:ascii="宋体" w:hAnsi="宋体" w:eastAsia="宋体" w:cs="宋体"/>
          <w:color w:val="auto"/>
          <w:sz w:val="24"/>
          <w:szCs w:val="22"/>
          <w:lang w:val="en-US" w:eastAsia="zh-CN"/>
        </w:rPr>
        <w:t>或评分标准中要求的</w:t>
      </w:r>
      <w:r>
        <w:rPr>
          <w:rFonts w:hint="eastAsia" w:ascii="宋体" w:hAnsi="宋体" w:eastAsia="宋体" w:cs="宋体"/>
          <w:color w:val="auto"/>
          <w:sz w:val="24"/>
          <w:szCs w:val="22"/>
        </w:rPr>
        <w:t>演示及讲解过程录制视频，演示时长不超过15分钟以.mp4格式存储于U盘。</w:t>
      </w:r>
    </w:p>
    <w:p w14:paraId="5C5E454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（2）演示U盘可以</w:t>
      </w:r>
      <w:r>
        <w:rPr>
          <w:rFonts w:hint="eastAsia" w:ascii="宋体" w:hAnsi="宋体" w:eastAsia="宋体" w:cs="宋体"/>
          <w:b/>
          <w:bCs/>
          <w:color w:val="auto"/>
          <w:sz w:val="24"/>
          <w:szCs w:val="22"/>
        </w:rPr>
        <w:t>顺丰邮寄</w:t>
      </w:r>
      <w:r>
        <w:rPr>
          <w:rFonts w:hint="eastAsia" w:ascii="宋体" w:hAnsi="宋体" w:eastAsia="宋体" w:cs="宋体"/>
          <w:color w:val="auto"/>
          <w:sz w:val="24"/>
          <w:szCs w:val="22"/>
        </w:rPr>
        <w:t>形式在响应截止时间前递交，演示U盘应当密封包装并在包装上标注演示U盘、响应项目名称、响应供应商名称并加盖公章。</w:t>
      </w:r>
      <w:r>
        <w:rPr>
          <w:rFonts w:hint="eastAsia" w:ascii="宋体" w:hAnsi="宋体" w:eastAsia="宋体" w:cs="宋体"/>
          <w:b/>
          <w:bCs/>
          <w:color w:val="auto"/>
          <w:sz w:val="24"/>
          <w:szCs w:val="22"/>
          <w:lang w:val="en-US" w:eastAsia="zh-CN"/>
        </w:rPr>
        <w:t>邮寄地址详见：</w:t>
      </w:r>
      <w:r>
        <w:rPr>
          <w:rFonts w:hint="eastAsia" w:ascii="宋体" w:hAnsi="宋体" w:eastAsia="宋体" w:cs="宋体"/>
          <w:b/>
          <w:bCs/>
          <w:color w:val="auto"/>
          <w:sz w:val="24"/>
          <w:szCs w:val="22"/>
        </w:rPr>
        <w:t>第二部分</w:t>
      </w:r>
      <w:r>
        <w:rPr>
          <w:rFonts w:hint="eastAsia" w:ascii="宋体" w:hAnsi="宋体" w:eastAsia="宋体" w:cs="宋体"/>
          <w:b/>
          <w:bCs/>
          <w:color w:val="auto"/>
          <w:sz w:val="24"/>
          <w:szCs w:val="22"/>
          <w:lang w:val="en-US" w:eastAsia="zh-CN"/>
        </w:rPr>
        <w:t xml:space="preserve"> </w:t>
      </w:r>
      <w:r>
        <w:rPr>
          <w:rFonts w:hint="eastAsia" w:ascii="宋体" w:hAnsi="宋体" w:eastAsia="宋体" w:cs="宋体"/>
          <w:b/>
          <w:bCs/>
          <w:color w:val="auto"/>
          <w:sz w:val="24"/>
          <w:szCs w:val="22"/>
        </w:rPr>
        <w:t>响应方须知</w:t>
      </w:r>
      <w:r>
        <w:rPr>
          <w:rFonts w:hint="eastAsia" w:ascii="宋体" w:hAnsi="宋体" w:eastAsia="宋体" w:cs="宋体"/>
          <w:b/>
          <w:bCs/>
          <w:color w:val="auto"/>
          <w:sz w:val="24"/>
          <w:szCs w:val="22"/>
          <w:lang w:eastAsia="zh-CN"/>
        </w:rPr>
        <w:t>。</w:t>
      </w:r>
    </w:p>
    <w:p w14:paraId="047378E9">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（3）未按磋商文件要求提供演示U盘造成专家无法正常评审的风险由供应商自行承担。</w:t>
      </w:r>
    </w:p>
    <w:p w14:paraId="31494C85">
      <w:pPr>
        <w:pStyle w:val="5"/>
        <w:ind w:left="0" w:firstLine="0"/>
        <w:outlineLvl w:val="1"/>
        <w:rPr>
          <w:rFonts w:hint="eastAsia" w:ascii="宋体" w:hAnsi="宋体" w:eastAsia="宋体" w:cs="宋体"/>
          <w:color w:val="auto"/>
        </w:rPr>
      </w:pPr>
      <w:bookmarkStart w:id="377" w:name="_Toc8704"/>
      <w:r>
        <w:rPr>
          <w:rFonts w:hint="eastAsia" w:hAnsi="宋体" w:cs="宋体"/>
          <w:color w:val="auto"/>
          <w:lang w:val="en-US" w:eastAsia="zh-CN"/>
        </w:rPr>
        <w:t>三</w:t>
      </w:r>
      <w:r>
        <w:rPr>
          <w:rFonts w:hint="eastAsia" w:ascii="宋体" w:hAnsi="宋体" w:eastAsia="宋体" w:cs="宋体"/>
          <w:color w:val="auto"/>
        </w:rPr>
        <w:t>、商务要求</w:t>
      </w:r>
      <w:bookmarkEnd w:id="377"/>
    </w:p>
    <w:p w14:paraId="70CE7461">
      <w:pPr>
        <w:keepNext w:val="0"/>
        <w:keepLines w:val="0"/>
        <w:pageBreakBefore w:val="0"/>
        <w:widowControl w:val="0"/>
        <w:kinsoku/>
        <w:wordWrap/>
        <w:overflowPunct/>
        <w:topLinePunct w:val="0"/>
        <w:autoSpaceDE/>
        <w:autoSpaceDN/>
        <w:bidi w:val="0"/>
        <w:adjustRightInd/>
        <w:spacing w:line="288" w:lineRule="auto"/>
        <w:ind w:firstLine="420" w:firstLineChars="175"/>
        <w:textAlignment w:val="auto"/>
        <w:rPr>
          <w:rFonts w:hint="eastAsia"/>
          <w:color w:val="auto"/>
          <w:sz w:val="24"/>
        </w:rPr>
      </w:pPr>
      <w:r>
        <w:rPr>
          <w:rFonts w:hint="eastAsia"/>
          <w:color w:val="auto"/>
          <w:sz w:val="24"/>
        </w:rPr>
        <w:t>甲方：采购人，乙方：成交供应商</w:t>
      </w:r>
    </w:p>
    <w:p w14:paraId="0A55DF72">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Ansi="宋体" w:cs="宋体"/>
          <w:color w:val="auto"/>
          <w:sz w:val="24"/>
        </w:rPr>
      </w:pPr>
      <w:r>
        <w:rPr>
          <w:rFonts w:hint="eastAsia" w:hAnsi="宋体" w:cs="宋体"/>
          <w:b/>
          <w:bCs/>
          <w:color w:val="auto"/>
          <w:sz w:val="24"/>
        </w:rPr>
        <w:t>1、</w:t>
      </w:r>
      <w:r>
        <w:rPr>
          <w:rFonts w:hint="eastAsia" w:ascii="宋体" w:hAnsi="宋体" w:cs="宋体"/>
          <w:b/>
          <w:bCs/>
          <w:color w:val="auto"/>
          <w:sz w:val="24"/>
        </w:rPr>
        <w:t>▲</w:t>
      </w:r>
      <w:r>
        <w:rPr>
          <w:rFonts w:hint="eastAsia" w:hAnsi="宋体" w:cs="宋体"/>
          <w:b/>
          <w:bCs/>
          <w:color w:val="auto"/>
          <w:sz w:val="24"/>
        </w:rPr>
        <w:t>交货期：</w:t>
      </w:r>
      <w:r>
        <w:rPr>
          <w:rFonts w:hint="eastAsia" w:hAnsi="宋体" w:cs="宋体"/>
          <w:color w:val="auto"/>
          <w:sz w:val="24"/>
        </w:rPr>
        <w:t>合同签订后</w:t>
      </w:r>
      <w:r>
        <w:rPr>
          <w:rFonts w:hint="eastAsia" w:hAnsi="宋体" w:cs="宋体"/>
          <w:color w:val="auto"/>
          <w:sz w:val="24"/>
          <w:u w:val="single"/>
        </w:rPr>
        <w:t>30个工作日</w:t>
      </w:r>
      <w:r>
        <w:rPr>
          <w:rFonts w:hint="eastAsia" w:hAnsi="宋体" w:cs="宋体"/>
          <w:color w:val="auto"/>
          <w:sz w:val="24"/>
        </w:rPr>
        <w:t>内，供应商全程上门部署、系统安装、环境调试、接口对接联调服务，完成与学校教务系统、统一认证系统的适配对接，完成系统部署、环境调试、国产化环境适配、接口对接、数据录入、全功能测试，完成全系统上线试运行。</w:t>
      </w:r>
    </w:p>
    <w:p w14:paraId="6E0120DF">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int="eastAsia" w:hAnsi="宋体" w:cs="宋体"/>
          <w:color w:val="auto"/>
          <w:sz w:val="24"/>
        </w:rPr>
      </w:pPr>
      <w:r>
        <w:rPr>
          <w:rFonts w:hint="eastAsia" w:hAnsi="宋体" w:cs="宋体"/>
          <w:b/>
          <w:bCs/>
          <w:color w:val="auto"/>
          <w:sz w:val="24"/>
        </w:rPr>
        <w:t>2、</w:t>
      </w:r>
      <w:r>
        <w:rPr>
          <w:rFonts w:hint="eastAsia" w:ascii="宋体" w:hAnsi="宋体" w:cs="宋体"/>
          <w:b/>
          <w:bCs/>
          <w:color w:val="auto"/>
          <w:sz w:val="24"/>
        </w:rPr>
        <w:t>▲</w:t>
      </w:r>
      <w:r>
        <w:rPr>
          <w:rFonts w:hint="eastAsia" w:hAnsi="宋体" w:cs="宋体"/>
          <w:b/>
          <w:bCs/>
          <w:color w:val="auto"/>
          <w:sz w:val="24"/>
        </w:rPr>
        <w:t>交货方式：</w:t>
      </w:r>
      <w:r>
        <w:rPr>
          <w:rFonts w:hint="eastAsia" w:hAnsi="宋体" w:cs="宋体"/>
          <w:color w:val="auto"/>
          <w:sz w:val="24"/>
          <w:u w:val="single"/>
        </w:rPr>
        <w:t>　　送货上门　</w:t>
      </w:r>
      <w:r>
        <w:rPr>
          <w:rFonts w:hint="eastAsia" w:hAnsi="宋体" w:cs="宋体"/>
          <w:color w:val="auto"/>
          <w:sz w:val="24"/>
        </w:rPr>
        <w:t>。</w:t>
      </w:r>
    </w:p>
    <w:p w14:paraId="7EA67E42">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int="eastAsia" w:hAnsi="宋体" w:cs="宋体"/>
          <w:color w:val="auto"/>
          <w:sz w:val="24"/>
        </w:rPr>
      </w:pPr>
      <w:r>
        <w:rPr>
          <w:rFonts w:hint="eastAsia" w:hAnsi="宋体" w:cs="宋体"/>
          <w:b/>
          <w:bCs/>
          <w:color w:val="auto"/>
          <w:sz w:val="24"/>
        </w:rPr>
        <w:t>3、</w:t>
      </w:r>
      <w:r>
        <w:rPr>
          <w:rFonts w:hint="eastAsia" w:ascii="宋体" w:hAnsi="宋体" w:cs="宋体"/>
          <w:b/>
          <w:bCs/>
          <w:color w:val="auto"/>
          <w:sz w:val="24"/>
        </w:rPr>
        <w:t>▲</w:t>
      </w:r>
      <w:r>
        <w:rPr>
          <w:rFonts w:hint="eastAsia" w:hAnsi="宋体" w:cs="宋体"/>
          <w:b/>
          <w:bCs/>
          <w:color w:val="auto"/>
          <w:sz w:val="24"/>
        </w:rPr>
        <w:t>交货地点 ：</w:t>
      </w:r>
      <w:r>
        <w:rPr>
          <w:rFonts w:hint="eastAsia" w:hAnsi="宋体" w:cs="宋体"/>
          <w:color w:val="auto"/>
          <w:sz w:val="24"/>
        </w:rPr>
        <w:t>甲方指定地点。</w:t>
      </w:r>
    </w:p>
    <w:p w14:paraId="22473C26">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int="eastAsia"/>
          <w:color w:val="auto"/>
          <w:sz w:val="24"/>
        </w:rPr>
      </w:pPr>
      <w:r>
        <w:rPr>
          <w:rFonts w:hint="eastAsia" w:hAnsi="宋体" w:cs="宋体"/>
          <w:b/>
          <w:bCs/>
          <w:color w:val="auto"/>
          <w:sz w:val="24"/>
        </w:rPr>
        <w:t>4、</w:t>
      </w:r>
      <w:r>
        <w:rPr>
          <w:rFonts w:hint="eastAsia" w:ascii="宋体" w:hAnsi="宋体" w:cs="宋体"/>
          <w:b/>
          <w:bCs/>
          <w:color w:val="auto"/>
          <w:sz w:val="24"/>
        </w:rPr>
        <w:t>▲</w:t>
      </w:r>
      <w:r>
        <w:rPr>
          <w:rFonts w:hint="eastAsia" w:hAnsi="宋体" w:cs="宋体"/>
          <w:b/>
          <w:bCs/>
          <w:color w:val="auto"/>
          <w:sz w:val="24"/>
        </w:rPr>
        <w:t>质保期</w:t>
      </w:r>
      <w:r>
        <w:rPr>
          <w:rFonts w:hint="eastAsia" w:hAnsi="宋体" w:cs="宋体"/>
          <w:color w:val="auto"/>
          <w:sz w:val="24"/>
        </w:rPr>
        <w:t>：提供</w:t>
      </w:r>
      <w:r>
        <w:rPr>
          <w:rFonts w:hint="eastAsia" w:hAnsi="宋体" w:cs="宋体"/>
          <w:color w:val="auto"/>
          <w:sz w:val="24"/>
          <w:u w:val="single"/>
        </w:rPr>
        <w:t>不少于3年</w:t>
      </w:r>
      <w:r>
        <w:rPr>
          <w:rFonts w:hint="eastAsia" w:hAnsi="宋体" w:cs="宋体"/>
          <w:color w:val="auto"/>
          <w:sz w:val="24"/>
        </w:rPr>
        <w:t>质保服务，质保期自系统正式验收合格之日起计算，质保期内全程免费提供运维、升级、培训、技术咨询服务。</w:t>
      </w:r>
    </w:p>
    <w:p w14:paraId="2CA4A0A7">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int="eastAsia"/>
          <w:color w:val="auto"/>
          <w:sz w:val="24"/>
        </w:rPr>
      </w:pPr>
      <w:r>
        <w:rPr>
          <w:rFonts w:hint="eastAsia" w:hAnsi="宋体" w:cs="宋体"/>
          <w:b/>
          <w:bCs/>
          <w:color w:val="auto"/>
          <w:sz w:val="24"/>
        </w:rPr>
        <w:t>5、</w:t>
      </w:r>
      <w:r>
        <w:rPr>
          <w:rFonts w:hint="eastAsia" w:ascii="宋体" w:hAnsi="宋体" w:cs="宋体"/>
          <w:b/>
          <w:bCs/>
          <w:color w:val="auto"/>
          <w:sz w:val="24"/>
        </w:rPr>
        <w:t>▲</w:t>
      </w:r>
      <w:r>
        <w:rPr>
          <w:rFonts w:hint="eastAsia"/>
          <w:b/>
          <w:bCs/>
          <w:color w:val="auto"/>
          <w:sz w:val="24"/>
        </w:rPr>
        <w:t>付款方式</w:t>
      </w:r>
      <w:r>
        <w:rPr>
          <w:rFonts w:hint="eastAsia"/>
          <w:color w:val="auto"/>
          <w:sz w:val="24"/>
        </w:rPr>
        <w:t>：合同生效以及具备实施条件且乙方已向甲方提交银行、保险公司等金融机构出具的预付款保函后，</w:t>
      </w:r>
      <w:r>
        <w:rPr>
          <w:color w:val="auto"/>
          <w:sz w:val="24"/>
        </w:rPr>
        <w:t>7</w:t>
      </w:r>
      <w:r>
        <w:rPr>
          <w:rFonts w:hint="eastAsia"/>
          <w:color w:val="auto"/>
          <w:sz w:val="24"/>
        </w:rPr>
        <w:t>个工作日内，甲方向乙方支付合同总价的</w:t>
      </w:r>
      <w:r>
        <w:rPr>
          <w:rFonts w:hint="eastAsia"/>
          <w:color w:val="auto"/>
          <w:sz w:val="24"/>
          <w:u w:val="single"/>
        </w:rPr>
        <w:t>　</w:t>
      </w:r>
      <w:r>
        <w:rPr>
          <w:rFonts w:hint="eastAsia"/>
          <w:color w:val="auto"/>
          <w:sz w:val="24"/>
          <w:u w:val="single"/>
          <w:lang w:val="en-US" w:eastAsia="zh-CN"/>
        </w:rPr>
        <w:t>3</w:t>
      </w:r>
      <w:r>
        <w:rPr>
          <w:rFonts w:hint="eastAsia"/>
          <w:color w:val="auto"/>
          <w:sz w:val="24"/>
          <w:u w:val="single"/>
        </w:rPr>
        <w:t>0　</w:t>
      </w:r>
      <w:r>
        <w:rPr>
          <w:color w:val="auto"/>
          <w:sz w:val="24"/>
        </w:rPr>
        <w:t>%</w:t>
      </w:r>
      <w:r>
        <w:rPr>
          <w:rFonts w:hint="eastAsia"/>
          <w:color w:val="auto"/>
          <w:sz w:val="24"/>
        </w:rPr>
        <w:t>；货物在乙方安装调试完毕经甲方验收合格并收到增值税专用发票后</w:t>
      </w:r>
      <w:r>
        <w:rPr>
          <w:color w:val="auto"/>
          <w:sz w:val="24"/>
        </w:rPr>
        <w:t>7</w:t>
      </w:r>
      <w:r>
        <w:rPr>
          <w:rFonts w:hint="eastAsia"/>
          <w:color w:val="auto"/>
          <w:sz w:val="24"/>
        </w:rPr>
        <w:t>个工作日内，向乙方支付合同总价的</w:t>
      </w:r>
      <w:r>
        <w:rPr>
          <w:rFonts w:hint="eastAsia"/>
          <w:color w:val="auto"/>
          <w:sz w:val="24"/>
          <w:u w:val="single"/>
        </w:rPr>
        <w:t>　70　</w:t>
      </w:r>
      <w:r>
        <w:rPr>
          <w:color w:val="auto"/>
          <w:sz w:val="24"/>
        </w:rPr>
        <w:t>%</w:t>
      </w:r>
      <w:r>
        <w:rPr>
          <w:rFonts w:hint="eastAsia"/>
          <w:color w:val="auto"/>
          <w:sz w:val="24"/>
        </w:rPr>
        <w:t>。若供应商收取预付款，要求预付款保函有效期覆盖项目验收合格时间；提供了预付款保函则供应商无需再缴纳履约保证金。</w:t>
      </w:r>
    </w:p>
    <w:p w14:paraId="7668C2A1">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6、售后服务要求：</w:t>
      </w:r>
      <w:r>
        <w:rPr>
          <w:rFonts w:hint="eastAsia" w:ascii="宋体" w:hAnsi="宋体" w:eastAsia="宋体" w:cs="宋体"/>
          <w:color w:val="auto"/>
          <w:sz w:val="24"/>
          <w:szCs w:val="24"/>
        </w:rPr>
        <w:t>故障处置时限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日常系统问题远程响应不超过30分钟，一般故障2小时内修复，重大故障4小时内出具解决方案并完成应急处置，保障考试阅卷工作不受影响。</w:t>
      </w:r>
    </w:p>
    <w:p w14:paraId="3B945595">
      <w:pPr>
        <w:keepNext w:val="0"/>
        <w:keepLines w:val="0"/>
        <w:pageBreakBefore w:val="0"/>
        <w:widowControl w:val="0"/>
        <w:kinsoku/>
        <w:wordWrap/>
        <w:overflowPunct/>
        <w:topLinePunct w:val="0"/>
        <w:autoSpaceDE/>
        <w:autoSpaceDN/>
        <w:bidi w:val="0"/>
        <w:adjustRightInd/>
        <w:spacing w:line="288" w:lineRule="auto"/>
        <w:ind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提供7×24小时远程技术支持，日常系统故障、功能异常、数据问题需及时响应、快速排查修复；质保期内提供免费系统升级、功能优化、漏洞修复服务，同步适配学校教务制度更新迭代。</w:t>
      </w:r>
    </w:p>
    <w:p w14:paraId="396D3E98">
      <w:pPr>
        <w:keepNext w:val="0"/>
        <w:keepLines w:val="0"/>
        <w:pageBreakBefore w:val="0"/>
        <w:widowControl w:val="0"/>
        <w:kinsoku/>
        <w:wordWrap/>
        <w:overflowPunct/>
        <w:topLinePunct w:val="0"/>
        <w:autoSpaceDE/>
        <w:autoSpaceDN/>
        <w:bidi w:val="0"/>
        <w:adjustRightInd/>
        <w:spacing w:line="288" w:lineRule="auto"/>
        <w:ind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质保期内安排专属运维对接人员，定期开展系统巡检、性能优化、数据备份，主动排查系统运行隐患，保障系统长期稳定运行。</w:t>
      </w:r>
    </w:p>
    <w:p w14:paraId="5D2CD3C3">
      <w:pPr>
        <w:keepNext w:val="0"/>
        <w:keepLines w:val="0"/>
        <w:pageBreakBefore w:val="0"/>
        <w:widowControl w:val="0"/>
        <w:kinsoku/>
        <w:wordWrap/>
        <w:overflowPunct/>
        <w:topLinePunct w:val="0"/>
        <w:autoSpaceDE/>
        <w:autoSpaceDN/>
        <w:bidi w:val="0"/>
        <w:adjustRightInd/>
        <w:spacing w:line="288" w:lineRule="auto"/>
        <w:ind w:firstLine="422" w:firstLineChars="175"/>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7、培训要求</w:t>
      </w:r>
      <w:r>
        <w:rPr>
          <w:rFonts w:hint="eastAsia" w:ascii="宋体" w:hAnsi="宋体" w:cs="宋体"/>
          <w:b/>
          <w:bCs/>
          <w:color w:val="auto"/>
          <w:sz w:val="24"/>
          <w:szCs w:val="24"/>
          <w:lang w:val="en-US" w:eastAsia="zh-CN"/>
        </w:rPr>
        <w:t>：</w:t>
      </w:r>
      <w:r>
        <w:rPr>
          <w:rFonts w:hint="eastAsia" w:ascii="宋体" w:hAnsi="宋体" w:eastAsia="宋体" w:cs="宋体"/>
          <w:b w:val="0"/>
          <w:bCs w:val="0"/>
          <w:color w:val="auto"/>
          <w:sz w:val="24"/>
          <w:szCs w:val="24"/>
          <w:lang w:val="en-US" w:eastAsia="zh-CN"/>
        </w:rPr>
        <w:t>需针对学校管理员、教务人员、授课教师等不同用户群体，提供分层专项操作培训，包含系统基础配置、制卡扫描、阅卷操作、数据导出、学情分析等全流程教学，提供配套操作手册、视频教程，确保相关人员熟练使用系统功能。</w:t>
      </w:r>
    </w:p>
    <w:p w14:paraId="7CF3AB7C">
      <w:pPr>
        <w:keepNext w:val="0"/>
        <w:keepLines w:val="0"/>
        <w:pageBreakBefore w:val="0"/>
        <w:widowControl w:val="0"/>
        <w:kinsoku/>
        <w:wordWrap/>
        <w:overflowPunct/>
        <w:topLinePunct w:val="0"/>
        <w:autoSpaceDE/>
        <w:autoSpaceDN/>
        <w:bidi w:val="0"/>
        <w:adjustRightInd/>
        <w:snapToGrid w:val="0"/>
        <w:spacing w:line="288" w:lineRule="auto"/>
        <w:ind w:left="0" w:leftChars="0" w:right="42" w:rightChars="20" w:firstLine="422" w:firstLineChars="175"/>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8、评分标准及合同基本条款中明确的其它相关要求</w:t>
      </w:r>
    </w:p>
    <w:p w14:paraId="332588BE">
      <w:pPr>
        <w:pStyle w:val="2"/>
        <w:rPr>
          <w:rFonts w:hint="eastAsia"/>
          <w:color w:val="auto"/>
        </w:rPr>
      </w:pPr>
    </w:p>
    <w:p w14:paraId="3AF23A81">
      <w:pPr>
        <w:spacing w:line="288" w:lineRule="auto"/>
        <w:jc w:val="left"/>
        <w:rPr>
          <w:rStyle w:val="55"/>
          <w:color w:val="auto"/>
        </w:rPr>
      </w:pPr>
      <w:r>
        <w:rPr>
          <w:rFonts w:hint="eastAsia" w:ascii="宋体" w:hAnsi="宋体" w:cs="宋体"/>
          <w:color w:val="auto"/>
          <w:sz w:val="24"/>
          <w:szCs w:val="24"/>
        </w:rPr>
        <w:br w:type="page"/>
      </w:r>
    </w:p>
    <w:bookmarkEnd w:id="367"/>
    <w:bookmarkEnd w:id="368"/>
    <w:bookmarkEnd w:id="369"/>
    <w:bookmarkEnd w:id="370"/>
    <w:bookmarkEnd w:id="371"/>
    <w:bookmarkEnd w:id="372"/>
    <w:bookmarkEnd w:id="373"/>
    <w:bookmarkEnd w:id="374"/>
    <w:bookmarkEnd w:id="375"/>
    <w:p w14:paraId="68E335D5">
      <w:pPr>
        <w:pStyle w:val="3"/>
        <w:bidi w:val="0"/>
        <w:outlineLvl w:val="0"/>
        <w:rPr>
          <w:rFonts w:hint="eastAsia"/>
          <w:color w:val="auto"/>
          <w:szCs w:val="22"/>
        </w:rPr>
      </w:pPr>
      <w:bookmarkStart w:id="378" w:name="_Toc5869"/>
      <w:bookmarkStart w:id="379" w:name="_Toc18980"/>
      <w:bookmarkStart w:id="380" w:name="_Toc18295"/>
      <w:bookmarkStart w:id="381" w:name="_Toc12327"/>
      <w:bookmarkStart w:id="382" w:name="_Toc25130"/>
      <w:bookmarkStart w:id="383" w:name="_Toc11774"/>
      <w:bookmarkStart w:id="384" w:name="_Toc98"/>
      <w:bookmarkStart w:id="385" w:name="_Toc19657"/>
      <w:bookmarkStart w:id="386" w:name="_Toc19846"/>
      <w:bookmarkStart w:id="387" w:name="_Toc8403"/>
      <w:bookmarkStart w:id="388" w:name="_Toc11902"/>
      <w:bookmarkStart w:id="389" w:name="_Toc3709"/>
      <w:bookmarkStart w:id="390" w:name="_Toc16392"/>
      <w:bookmarkStart w:id="391" w:name="_Toc17732"/>
      <w:bookmarkStart w:id="392" w:name="_Toc9292"/>
      <w:bookmarkStart w:id="393" w:name="_Toc13623"/>
      <w:bookmarkStart w:id="394" w:name="_Toc28691"/>
      <w:bookmarkStart w:id="395" w:name="_Toc3339"/>
      <w:bookmarkStart w:id="396" w:name="_Toc26662"/>
      <w:bookmarkStart w:id="397" w:name="_Toc1851"/>
      <w:r>
        <w:rPr>
          <w:rFonts w:hint="eastAsia"/>
          <w:color w:val="auto"/>
          <w:szCs w:val="22"/>
        </w:rPr>
        <w:t>第四部分 评审办法与评分标准</w:t>
      </w:r>
      <w:bookmarkEnd w:id="378"/>
    </w:p>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14:paraId="1C9E5782">
      <w:pPr>
        <w:pStyle w:val="5"/>
        <w:ind w:left="0" w:firstLine="0"/>
        <w:outlineLvl w:val="1"/>
        <w:rPr>
          <w:color w:val="auto"/>
        </w:rPr>
      </w:pPr>
      <w:bookmarkStart w:id="398" w:name="_Toc18940"/>
      <w:r>
        <w:rPr>
          <w:rFonts w:hint="eastAsia"/>
          <w:color w:val="auto"/>
        </w:rPr>
        <w:t>一、评审方法</w:t>
      </w:r>
      <w:bookmarkEnd w:id="398"/>
    </w:p>
    <w:p w14:paraId="35DC3E3E">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087E47C1">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193E43D6">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9CB6F9A">
      <w:pPr>
        <w:pStyle w:val="5"/>
        <w:ind w:left="0" w:firstLine="0"/>
        <w:outlineLvl w:val="1"/>
        <w:rPr>
          <w:bCs/>
          <w:color w:val="auto"/>
          <w:sz w:val="24"/>
          <w:szCs w:val="24"/>
        </w:rPr>
      </w:pPr>
      <w:bookmarkStart w:id="399" w:name="_Toc19324"/>
      <w:r>
        <w:rPr>
          <w:rFonts w:hint="eastAsia"/>
          <w:bCs/>
          <w:color w:val="auto"/>
          <w:sz w:val="24"/>
          <w:szCs w:val="24"/>
        </w:rPr>
        <w:t>二、评审标准</w:t>
      </w:r>
      <w:bookmarkEnd w:id="399"/>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3F6B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7A8DF2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bookmarkStart w:id="838" w:name="_GoBack"/>
            <w:r>
              <w:rPr>
                <w:rFonts w:hint="eastAsia"/>
                <w:b/>
                <w:bCs/>
                <w:color w:val="auto"/>
                <w:sz w:val="24"/>
              </w:rPr>
              <w:t>评审因素</w:t>
            </w:r>
          </w:p>
        </w:tc>
        <w:tc>
          <w:tcPr>
            <w:tcW w:w="854" w:type="dxa"/>
            <w:noWrap w:val="0"/>
            <w:vAlign w:val="center"/>
          </w:tcPr>
          <w:p w14:paraId="35778B8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分值</w:t>
            </w:r>
          </w:p>
        </w:tc>
        <w:tc>
          <w:tcPr>
            <w:tcW w:w="6757" w:type="dxa"/>
            <w:noWrap w:val="0"/>
            <w:vAlign w:val="center"/>
          </w:tcPr>
          <w:p w14:paraId="6C65FEB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评分细则</w:t>
            </w:r>
          </w:p>
        </w:tc>
      </w:tr>
      <w:tr w14:paraId="502F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59B63454">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b/>
                <w:bCs/>
                <w:color w:val="auto"/>
                <w:sz w:val="24"/>
              </w:rPr>
              <w:t>价格分（30）</w:t>
            </w:r>
          </w:p>
        </w:tc>
      </w:tr>
      <w:tr w14:paraId="07D5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FC8D0D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最后磋商报价</w:t>
            </w:r>
          </w:p>
        </w:tc>
        <w:tc>
          <w:tcPr>
            <w:tcW w:w="854" w:type="dxa"/>
            <w:noWrap w:val="0"/>
            <w:vAlign w:val="center"/>
          </w:tcPr>
          <w:p w14:paraId="77433FA3">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sz w:val="24"/>
              </w:rPr>
            </w:pPr>
            <w:r>
              <w:rPr>
                <w:rFonts w:hint="eastAsia"/>
                <w:b/>
                <w:bCs/>
                <w:color w:val="auto"/>
                <w:sz w:val="24"/>
              </w:rPr>
              <w:t>30</w:t>
            </w:r>
          </w:p>
        </w:tc>
        <w:tc>
          <w:tcPr>
            <w:tcW w:w="6757" w:type="dxa"/>
            <w:noWrap w:val="0"/>
            <w:vAlign w:val="center"/>
          </w:tcPr>
          <w:p w14:paraId="06000D79">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14:paraId="01D3244D">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30 </w:t>
            </w:r>
            <w:r>
              <w:rPr>
                <w:rFonts w:hint="eastAsia"/>
                <w:color w:val="auto"/>
                <w:sz w:val="24"/>
              </w:rPr>
              <w:t>%×100。</w:t>
            </w:r>
          </w:p>
        </w:tc>
      </w:tr>
      <w:tr w14:paraId="27B6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4BA6BBEA">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b/>
                <w:bCs/>
                <w:color w:val="auto"/>
                <w:sz w:val="24"/>
              </w:rPr>
              <w:t>商务分（15）</w:t>
            </w:r>
          </w:p>
        </w:tc>
      </w:tr>
      <w:tr w14:paraId="503B1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5E3D8D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质保期</w:t>
            </w:r>
          </w:p>
        </w:tc>
        <w:tc>
          <w:tcPr>
            <w:tcW w:w="854" w:type="dxa"/>
            <w:noWrap w:val="0"/>
            <w:vAlign w:val="center"/>
          </w:tcPr>
          <w:p w14:paraId="2A77C96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b/>
                <w:bCs/>
                <w:color w:val="auto"/>
                <w:sz w:val="24"/>
              </w:rPr>
              <w:t>2</w:t>
            </w:r>
          </w:p>
        </w:tc>
        <w:tc>
          <w:tcPr>
            <w:tcW w:w="6757" w:type="dxa"/>
            <w:noWrap w:val="0"/>
            <w:vAlign w:val="center"/>
          </w:tcPr>
          <w:p w14:paraId="35121C35">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color w:val="auto"/>
                <w:sz w:val="24"/>
              </w:rPr>
              <w:t>质保期在满足磋商文件要求的基础上每延长一年加</w:t>
            </w:r>
            <w:r>
              <w:rPr>
                <w:color w:val="auto"/>
                <w:sz w:val="24"/>
              </w:rPr>
              <w:t>1</w:t>
            </w:r>
            <w:r>
              <w:rPr>
                <w:rFonts w:hint="eastAsia"/>
                <w:color w:val="auto"/>
                <w:sz w:val="24"/>
              </w:rPr>
              <w:t>分，最多加</w:t>
            </w:r>
            <w:r>
              <w:rPr>
                <w:color w:val="auto"/>
                <w:sz w:val="24"/>
              </w:rPr>
              <w:t>2</w:t>
            </w:r>
            <w:r>
              <w:rPr>
                <w:rFonts w:hint="eastAsia"/>
                <w:color w:val="auto"/>
                <w:sz w:val="24"/>
              </w:rPr>
              <w:t>分，延长时间不足一年的不计入加分，质保期不满足磋商文件要求的响应无效。</w:t>
            </w:r>
            <w:r>
              <w:rPr>
                <w:rFonts w:hint="eastAsia" w:ascii="宋体" w:hAnsi="宋体" w:cs="宋体"/>
                <w:b/>
                <w:bCs/>
                <w:color w:val="auto"/>
                <w:sz w:val="24"/>
                <w:lang w:bidi="ar"/>
              </w:rPr>
              <w:t>【客观分】</w:t>
            </w:r>
          </w:p>
        </w:tc>
      </w:tr>
      <w:tr w14:paraId="44844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C23BF8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同类产品业绩</w:t>
            </w:r>
          </w:p>
        </w:tc>
        <w:tc>
          <w:tcPr>
            <w:tcW w:w="854" w:type="dxa"/>
            <w:noWrap w:val="0"/>
            <w:vAlign w:val="center"/>
          </w:tcPr>
          <w:p w14:paraId="0273140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b/>
                <w:bCs/>
                <w:color w:val="auto"/>
                <w:sz w:val="24"/>
              </w:rPr>
              <w:t>2</w:t>
            </w:r>
          </w:p>
        </w:tc>
        <w:tc>
          <w:tcPr>
            <w:tcW w:w="6757" w:type="dxa"/>
            <w:noWrap w:val="0"/>
            <w:vAlign w:val="center"/>
          </w:tcPr>
          <w:p w14:paraId="2FDE392E">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color w:val="auto"/>
                <w:sz w:val="24"/>
                <w:u w:val="single"/>
              </w:rPr>
              <w:t>供应商提供的智能考试综合服务平台</w:t>
            </w:r>
            <w:r>
              <w:rPr>
                <w:rFonts w:hint="eastAsia"/>
                <w:color w:val="auto"/>
                <w:sz w:val="24"/>
              </w:rPr>
              <w:t>产品自202</w:t>
            </w:r>
            <w:r>
              <w:rPr>
                <w:rFonts w:hint="eastAsia"/>
                <w:color w:val="auto"/>
                <w:sz w:val="24"/>
                <w:u w:val="none"/>
                <w:lang w:val="en-US" w:eastAsia="zh-CN"/>
              </w:rPr>
              <w:t>3</w:t>
            </w:r>
            <w:r>
              <w:rPr>
                <w:rFonts w:hint="eastAsia"/>
                <w:color w:val="auto"/>
                <w:sz w:val="24"/>
              </w:rPr>
              <w:t>年1月1日以来（以合同签订时间为准）的合同业绩（以提供的合同扫描件为准，</w:t>
            </w:r>
            <w:r>
              <w:rPr>
                <w:rFonts w:hint="eastAsia"/>
                <w:b/>
                <w:bCs/>
                <w:color w:val="auto"/>
                <w:sz w:val="24"/>
              </w:rPr>
              <w:t>如果供货方是其他供应商则需加盖制造商公章</w:t>
            </w:r>
            <w:r>
              <w:rPr>
                <w:rFonts w:hint="eastAsia"/>
                <w:color w:val="auto"/>
                <w:sz w:val="24"/>
              </w:rPr>
              <w:t>）。每提供1份合同业绩得</w:t>
            </w:r>
            <w:r>
              <w:rPr>
                <w:color w:val="auto"/>
                <w:sz w:val="24"/>
              </w:rPr>
              <w:t>1</w:t>
            </w:r>
            <w:r>
              <w:rPr>
                <w:rFonts w:hint="eastAsia"/>
                <w:color w:val="auto"/>
                <w:sz w:val="24"/>
              </w:rPr>
              <w:t>分，最高得</w:t>
            </w:r>
            <w:r>
              <w:rPr>
                <w:color w:val="auto"/>
                <w:sz w:val="24"/>
              </w:rPr>
              <w:t>2</w:t>
            </w:r>
            <w:r>
              <w:rPr>
                <w:rFonts w:hint="eastAsia"/>
                <w:color w:val="auto"/>
                <w:sz w:val="24"/>
              </w:rPr>
              <w:t>分。</w:t>
            </w:r>
            <w:r>
              <w:rPr>
                <w:rFonts w:hint="eastAsia" w:ascii="宋体" w:hAnsi="宋体" w:cs="宋体"/>
                <w:b/>
                <w:bCs/>
                <w:color w:val="auto"/>
                <w:sz w:val="24"/>
                <w:lang w:bidi="ar"/>
              </w:rPr>
              <w:t>【客观分】</w:t>
            </w:r>
          </w:p>
        </w:tc>
      </w:tr>
      <w:tr w14:paraId="366E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315EBF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sz w:val="24"/>
              </w:rPr>
            </w:pPr>
            <w:r>
              <w:rPr>
                <w:rFonts w:hint="eastAsia"/>
                <w:b/>
                <w:bCs/>
                <w:color w:val="auto"/>
                <w:sz w:val="24"/>
              </w:rPr>
              <w:t>制造商实力1</w:t>
            </w:r>
          </w:p>
        </w:tc>
        <w:tc>
          <w:tcPr>
            <w:tcW w:w="854" w:type="dxa"/>
            <w:noWrap w:val="0"/>
            <w:vAlign w:val="center"/>
          </w:tcPr>
          <w:p w14:paraId="03E8A0A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sz w:val="24"/>
              </w:rPr>
            </w:pPr>
            <w:r>
              <w:rPr>
                <w:rFonts w:hint="eastAsia"/>
                <w:b/>
                <w:bCs/>
                <w:color w:val="auto"/>
                <w:sz w:val="24"/>
              </w:rPr>
              <w:t>5</w:t>
            </w:r>
          </w:p>
        </w:tc>
        <w:tc>
          <w:tcPr>
            <w:tcW w:w="6757" w:type="dxa"/>
            <w:noWrap w:val="0"/>
            <w:vAlign w:val="center"/>
          </w:tcPr>
          <w:p w14:paraId="08B2EBC0">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color w:val="auto"/>
                <w:sz w:val="24"/>
                <w:u w:val="single"/>
              </w:rPr>
            </w:pPr>
            <w:r>
              <w:rPr>
                <w:rFonts w:hint="eastAsia"/>
                <w:color w:val="auto"/>
                <w:sz w:val="24"/>
                <w:u w:val="single"/>
              </w:rPr>
              <w:t>智能考试综合服务平台产品</w:t>
            </w:r>
            <w:r>
              <w:rPr>
                <w:rFonts w:hint="eastAsia"/>
                <w:color w:val="auto"/>
                <w:sz w:val="24"/>
              </w:rPr>
              <w:t>制造商具有与本项目相关的</w:t>
            </w:r>
            <w:r>
              <w:rPr>
                <w:bCs/>
                <w:color w:val="auto"/>
                <w:sz w:val="24"/>
              </w:rPr>
              <w:t>手写体图像识别算法</w:t>
            </w:r>
            <w:r>
              <w:rPr>
                <w:rFonts w:hint="eastAsia"/>
                <w:bCs/>
                <w:color w:val="auto"/>
                <w:sz w:val="24"/>
              </w:rPr>
              <w:t>备案</w:t>
            </w:r>
            <w:r>
              <w:rPr>
                <w:rFonts w:hint="eastAsia"/>
                <w:color w:val="auto"/>
                <w:sz w:val="24"/>
              </w:rPr>
              <w:t>的（</w:t>
            </w:r>
            <w:r>
              <w:rPr>
                <w:bCs/>
                <w:color w:val="auto"/>
                <w:sz w:val="24"/>
              </w:rPr>
              <w:t>提供中共中央网络安全和信息化委员会办公室/中华人民共和国国家互联网信息办公室互联网信息服务算法备案系统有效备案的算法查询截图（必须体现备案编号、算法名称、主体名称（须与</w:t>
            </w:r>
            <w:r>
              <w:rPr>
                <w:rFonts w:hint="eastAsia"/>
                <w:bCs/>
                <w:color w:val="auto"/>
                <w:sz w:val="24"/>
                <w:lang w:val="en-US" w:eastAsia="zh-CN"/>
              </w:rPr>
              <w:t>制造商</w:t>
            </w:r>
            <w:r>
              <w:rPr>
                <w:bCs/>
                <w:color w:val="auto"/>
                <w:sz w:val="24"/>
              </w:rPr>
              <w:t>名称一致）及备案状态）</w:t>
            </w:r>
            <w:r>
              <w:rPr>
                <w:rFonts w:hint="eastAsia"/>
                <w:color w:val="auto"/>
                <w:sz w:val="24"/>
              </w:rPr>
              <w:t>），满足得5分。</w:t>
            </w:r>
            <w:r>
              <w:rPr>
                <w:rFonts w:hint="eastAsia" w:ascii="宋体" w:hAnsi="宋体" w:cs="宋体"/>
                <w:b/>
                <w:bCs/>
                <w:color w:val="auto"/>
                <w:sz w:val="24"/>
                <w:lang w:bidi="ar"/>
              </w:rPr>
              <w:t>【客观分】</w:t>
            </w:r>
          </w:p>
        </w:tc>
      </w:tr>
      <w:tr w14:paraId="451D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6A94E5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制造商实力2</w:t>
            </w:r>
          </w:p>
        </w:tc>
        <w:tc>
          <w:tcPr>
            <w:tcW w:w="854" w:type="dxa"/>
            <w:noWrap w:val="0"/>
            <w:vAlign w:val="center"/>
          </w:tcPr>
          <w:p w14:paraId="6D3E716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6</w:t>
            </w:r>
          </w:p>
        </w:tc>
        <w:tc>
          <w:tcPr>
            <w:tcW w:w="6757" w:type="dxa"/>
            <w:noWrap w:val="0"/>
            <w:vAlign w:val="center"/>
          </w:tcPr>
          <w:p w14:paraId="63E19D17">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color w:val="auto"/>
                <w:sz w:val="24"/>
                <w:u w:val="single"/>
              </w:rPr>
              <w:t>智能考试综合服务平台产品</w:t>
            </w:r>
            <w:r>
              <w:rPr>
                <w:rFonts w:hint="eastAsia"/>
                <w:color w:val="auto"/>
                <w:sz w:val="24"/>
              </w:rPr>
              <w:t>制造商具有与本项目相关的</w:t>
            </w:r>
            <w:r>
              <w:rPr>
                <w:color w:val="auto"/>
                <w:sz w:val="24"/>
              </w:rPr>
              <w:t>数据安全能力成熟度认证证书</w:t>
            </w:r>
            <w:r>
              <w:rPr>
                <w:rFonts w:hint="eastAsia"/>
                <w:color w:val="auto"/>
                <w:sz w:val="24"/>
              </w:rPr>
              <w:t>、</w:t>
            </w:r>
            <w:r>
              <w:rPr>
                <w:color w:val="auto"/>
                <w:sz w:val="24"/>
              </w:rPr>
              <w:t>CCRC信息安全服务资质认证证书（信息系统安全运维服务）</w:t>
            </w:r>
            <w:r>
              <w:rPr>
                <w:rFonts w:hint="eastAsia"/>
                <w:color w:val="auto"/>
                <w:sz w:val="24"/>
              </w:rPr>
              <w:t>、</w:t>
            </w:r>
            <w:r>
              <w:rPr>
                <w:color w:val="auto"/>
                <w:sz w:val="24"/>
              </w:rPr>
              <w:t>国家保密局颁发的涉密信息系统集成资质证书（业务种类：总体集成）</w:t>
            </w:r>
            <w:r>
              <w:rPr>
                <w:rFonts w:hint="eastAsia"/>
                <w:color w:val="auto"/>
                <w:sz w:val="24"/>
              </w:rPr>
              <w:t>的，每提供一份证书复印件得2分，最高得6分。</w:t>
            </w:r>
            <w:r>
              <w:rPr>
                <w:rFonts w:hint="eastAsia" w:ascii="宋体" w:hAnsi="宋体" w:cs="宋体"/>
                <w:b/>
                <w:bCs/>
                <w:color w:val="auto"/>
                <w:sz w:val="24"/>
                <w:lang w:bidi="ar"/>
              </w:rPr>
              <w:t>【客观分】</w:t>
            </w:r>
          </w:p>
        </w:tc>
      </w:tr>
      <w:tr w14:paraId="2D94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3CF1FDE9">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b/>
                <w:bCs/>
                <w:color w:val="auto"/>
                <w:sz w:val="24"/>
              </w:rPr>
              <w:t>技术分（55）</w:t>
            </w:r>
          </w:p>
        </w:tc>
      </w:tr>
      <w:tr w14:paraId="41315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BF261E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技术指标符合程度</w:t>
            </w:r>
          </w:p>
        </w:tc>
        <w:tc>
          <w:tcPr>
            <w:tcW w:w="854" w:type="dxa"/>
            <w:noWrap w:val="0"/>
            <w:vAlign w:val="center"/>
          </w:tcPr>
          <w:p w14:paraId="3CAFC4D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8</w:t>
            </w:r>
          </w:p>
        </w:tc>
        <w:tc>
          <w:tcPr>
            <w:tcW w:w="6757" w:type="dxa"/>
            <w:noWrap w:val="0"/>
            <w:vAlign w:val="center"/>
          </w:tcPr>
          <w:p w14:paraId="6B423EB3">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rPr>
            </w:pPr>
            <w:r>
              <w:rPr>
                <w:rFonts w:hint="eastAsia"/>
                <w:color w:val="auto"/>
                <w:sz w:val="24"/>
              </w:rPr>
              <w:t>不符合系统功能要求中标注“▲”条款的响应文件无效，满足或优于磋商文件明确的全部技术指标要求的该项得满分；技术指标低于要求的（负偏离）每项扣0.5分，扣完为止，本项最高8分。</w:t>
            </w:r>
            <w:r>
              <w:rPr>
                <w:rFonts w:hint="eastAsia" w:ascii="宋体" w:hAnsi="宋体" w:cs="宋体"/>
                <w:b/>
                <w:bCs/>
                <w:color w:val="auto"/>
                <w:sz w:val="24"/>
                <w:lang w:bidi="ar"/>
              </w:rPr>
              <w:t>【客观分】</w:t>
            </w:r>
          </w:p>
        </w:tc>
      </w:tr>
      <w:tr w14:paraId="774B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6" w:hRule="atLeast"/>
        </w:trPr>
        <w:tc>
          <w:tcPr>
            <w:tcW w:w="1745" w:type="dxa"/>
            <w:noWrap w:val="0"/>
            <w:vAlign w:val="center"/>
          </w:tcPr>
          <w:p w14:paraId="0C0338D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sz w:val="24"/>
              </w:rPr>
            </w:pPr>
            <w:r>
              <w:rPr>
                <w:rFonts w:hint="eastAsia"/>
                <w:b/>
                <w:bCs/>
                <w:color w:val="auto"/>
                <w:sz w:val="24"/>
              </w:rPr>
              <w:t>演示分</w:t>
            </w:r>
          </w:p>
        </w:tc>
        <w:tc>
          <w:tcPr>
            <w:tcW w:w="854" w:type="dxa"/>
            <w:noWrap w:val="0"/>
            <w:vAlign w:val="center"/>
          </w:tcPr>
          <w:p w14:paraId="1C85A38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sz w:val="24"/>
              </w:rPr>
            </w:pPr>
            <w:r>
              <w:rPr>
                <w:rFonts w:hint="eastAsia"/>
                <w:b/>
                <w:bCs/>
                <w:color w:val="auto"/>
                <w:sz w:val="24"/>
              </w:rPr>
              <w:t>18</w:t>
            </w:r>
          </w:p>
        </w:tc>
        <w:tc>
          <w:tcPr>
            <w:tcW w:w="6757" w:type="dxa"/>
            <w:noWrap w:val="0"/>
            <w:vAlign w:val="center"/>
          </w:tcPr>
          <w:p w14:paraId="46AFEF6B">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0" w:firstLineChars="175"/>
              <w:textAlignment w:val="auto"/>
              <w:rPr>
                <w:rFonts w:hint="eastAsia"/>
                <w:bCs/>
                <w:color w:val="auto"/>
                <w:sz w:val="24"/>
              </w:rPr>
            </w:pPr>
            <w:r>
              <w:rPr>
                <w:rFonts w:hint="eastAsia"/>
                <w:bCs/>
                <w:color w:val="auto"/>
                <w:sz w:val="24"/>
              </w:rPr>
              <w:t>根据采购文件要求提供功能演示录制视频</w:t>
            </w:r>
            <w:r>
              <w:rPr>
                <w:rFonts w:hint="eastAsia"/>
                <w:bCs/>
                <w:color w:val="auto"/>
                <w:sz w:val="24"/>
                <w:lang w:eastAsia="zh-CN"/>
              </w:rPr>
              <w:t>（</w:t>
            </w:r>
            <w:r>
              <w:rPr>
                <w:rFonts w:hint="eastAsia" w:ascii="宋体" w:hAnsi="宋体" w:eastAsia="宋体" w:cs="宋体"/>
                <w:color w:val="auto"/>
                <w:sz w:val="24"/>
                <w:szCs w:val="22"/>
              </w:rPr>
              <w:t>mp4格式</w:t>
            </w:r>
            <w:r>
              <w:rPr>
                <w:rFonts w:hint="eastAsia" w:ascii="宋体" w:hAnsi="宋体" w:cs="宋体"/>
                <w:color w:val="auto"/>
                <w:sz w:val="24"/>
                <w:szCs w:val="22"/>
                <w:lang w:val="en-US" w:eastAsia="zh-CN"/>
              </w:rPr>
              <w:t>存于U盘）</w:t>
            </w:r>
            <w:r>
              <w:rPr>
                <w:rFonts w:hint="eastAsia"/>
                <w:bCs/>
                <w:color w:val="auto"/>
                <w:sz w:val="24"/>
              </w:rPr>
              <w:t>，须采用系统原型演示录屏的方式进行。采用PPT，截图等其他方式演示得分为0分。评委根据演示情况进行评分（演示时间不超过15分钟）：每一项演示满足要求得3分，不完全满足不得分</w:t>
            </w:r>
            <w:r>
              <w:rPr>
                <w:rFonts w:hint="eastAsia"/>
                <w:bCs/>
                <w:color w:val="auto"/>
                <w:sz w:val="24"/>
                <w:lang w:eastAsia="zh-CN"/>
              </w:rPr>
              <w:t>，</w:t>
            </w:r>
            <w:r>
              <w:rPr>
                <w:rFonts w:hint="eastAsia"/>
                <w:bCs/>
                <w:color w:val="auto"/>
                <w:sz w:val="24"/>
                <w:lang w:val="en-US" w:eastAsia="zh-CN"/>
              </w:rPr>
              <w:t>最高得18分</w:t>
            </w:r>
            <w:r>
              <w:rPr>
                <w:rFonts w:hint="eastAsia"/>
                <w:bCs/>
                <w:color w:val="auto"/>
                <w:sz w:val="24"/>
              </w:rPr>
              <w:t>。演示内容如下：</w:t>
            </w:r>
          </w:p>
          <w:p w14:paraId="70742008">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2" w:firstLineChars="175"/>
              <w:textAlignment w:val="auto"/>
              <w:rPr>
                <w:rFonts w:hint="eastAsia"/>
                <w:bCs/>
                <w:color w:val="auto"/>
                <w:sz w:val="24"/>
              </w:rPr>
            </w:pPr>
            <w:r>
              <w:rPr>
                <w:rFonts w:hint="eastAsia"/>
                <w:b/>
                <w:bCs w:val="0"/>
                <w:color w:val="auto"/>
                <w:sz w:val="24"/>
              </w:rPr>
              <w:t>1.OCR手写体识别</w:t>
            </w:r>
            <w:r>
              <w:rPr>
                <w:rFonts w:hint="eastAsia"/>
                <w:bCs/>
                <w:color w:val="auto"/>
                <w:sz w:val="24"/>
              </w:rPr>
              <w:t>：系统利用OCR技术支持对手写学号、考号、字母、判断符等进行识别，实现答题卡无需粘贴条形码和填涂即可考试，同时能对手写学生信息和客观题进行识别并自动评分。完全满足得3分，否则不得分。</w:t>
            </w:r>
          </w:p>
          <w:p w14:paraId="1C19FD0F">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2" w:firstLineChars="175"/>
              <w:textAlignment w:val="auto"/>
              <w:rPr>
                <w:rFonts w:hint="eastAsia"/>
                <w:bCs/>
                <w:color w:val="auto"/>
                <w:sz w:val="24"/>
              </w:rPr>
            </w:pPr>
            <w:r>
              <w:rPr>
                <w:rFonts w:hint="eastAsia"/>
                <w:b/>
                <w:bCs w:val="0"/>
                <w:color w:val="auto"/>
                <w:sz w:val="24"/>
              </w:rPr>
              <w:t>2.智能分析总结</w:t>
            </w:r>
            <w:r>
              <w:rPr>
                <w:rFonts w:hint="eastAsia"/>
                <w:bCs/>
                <w:color w:val="auto"/>
                <w:sz w:val="24"/>
              </w:rPr>
              <w:t>：支持自动对课程考核结果进行课程总结，输出图文丰富的课程总结报告。完全满足得3分，否则不得分。</w:t>
            </w:r>
          </w:p>
          <w:p w14:paraId="174C4FE4">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2" w:firstLineChars="175"/>
              <w:textAlignment w:val="auto"/>
              <w:rPr>
                <w:bCs/>
                <w:color w:val="auto"/>
                <w:sz w:val="24"/>
              </w:rPr>
            </w:pPr>
            <w:r>
              <w:rPr>
                <w:rFonts w:hint="eastAsia"/>
                <w:b/>
                <w:bCs w:val="0"/>
                <w:color w:val="auto"/>
                <w:sz w:val="24"/>
              </w:rPr>
              <w:t>3.支持试卷、答题卡样式自定义预设</w:t>
            </w:r>
            <w:r>
              <w:rPr>
                <w:rFonts w:hint="eastAsia"/>
                <w:bCs/>
                <w:color w:val="auto"/>
                <w:sz w:val="24"/>
              </w:rPr>
              <w:t>：教师可在系统中在线设计答题卡，答题卡模式可选择OMR模式、OCR模式和混合模式，OMR模式下学生需填涂学号、客观题答案和粘贴条形码，OCR模式下学生学号和客观题答案为手写；答题卡内容包含条形码/二维码、考号填写区、标题、副标题、题目序号（全卷排序、大题内重排序号、自定义排序）、图片、公式、横线、作文格、作答区、客观题/主观题作答区域定位及识别标记等。。课程资源管理能力，需搭建标准化课程资源库，实现课程教学与考试阅卷业务联动统一。完全满足得3分，否则不得分。</w:t>
            </w:r>
          </w:p>
          <w:p w14:paraId="1ECFFF64">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2" w:firstLineChars="175"/>
              <w:textAlignment w:val="auto"/>
              <w:rPr>
                <w:rFonts w:hint="eastAsia"/>
                <w:bCs/>
                <w:color w:val="auto"/>
                <w:sz w:val="24"/>
              </w:rPr>
            </w:pPr>
            <w:r>
              <w:rPr>
                <w:rFonts w:hint="eastAsia"/>
                <w:b/>
                <w:bCs w:val="0"/>
                <w:color w:val="auto"/>
                <w:sz w:val="24"/>
              </w:rPr>
              <w:t>4.智能制卡：</w:t>
            </w:r>
            <w:r>
              <w:rPr>
                <w:rFonts w:hint="eastAsia" w:cs="宋体"/>
                <w:color w:val="auto"/>
                <w:sz w:val="24"/>
                <w:lang w:bidi="ar"/>
              </w:rPr>
              <w:t>支持无需设置试卷参数，自动解析试卷结构并自动生成匹配的指定模式（OMR模式、OCR模式、混合模式）答题卡，生成的答题卡自动生成考试对应二维码，扫描时可直接关联对应考试上传数据。</w:t>
            </w:r>
            <w:r>
              <w:rPr>
                <w:rFonts w:hint="eastAsia"/>
                <w:bCs/>
                <w:color w:val="auto"/>
                <w:sz w:val="24"/>
              </w:rPr>
              <w:t>完全满足得3分，否则不得分。</w:t>
            </w:r>
          </w:p>
          <w:p w14:paraId="08149132">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2" w:firstLineChars="175"/>
              <w:textAlignment w:val="auto"/>
              <w:rPr>
                <w:bCs/>
                <w:color w:val="auto"/>
                <w:sz w:val="24"/>
              </w:rPr>
            </w:pPr>
            <w:r>
              <w:rPr>
                <w:rFonts w:hint="eastAsia"/>
                <w:b/>
                <w:bCs w:val="0"/>
                <w:color w:val="auto"/>
                <w:sz w:val="24"/>
              </w:rPr>
              <w:t>5. 智能导题：</w:t>
            </w:r>
            <w:r>
              <w:rPr>
                <w:rFonts w:hint="eastAsia"/>
                <w:bCs/>
                <w:color w:val="auto"/>
                <w:sz w:val="24"/>
              </w:rPr>
              <w:t>支持按图片和未排版格式的试题内容，上传系统后自动识别和解析其中试题内容，转换成可再编辑（包含公式）格式的试题。完全满足得3分，否则不得分。</w:t>
            </w:r>
          </w:p>
          <w:p w14:paraId="546542A5">
            <w:pPr>
              <w:keepNext w:val="0"/>
              <w:keepLines w:val="0"/>
              <w:pageBreakBefore w:val="0"/>
              <w:widowControl w:val="0"/>
              <w:kinsoku/>
              <w:wordWrap/>
              <w:overflowPunct/>
              <w:topLinePunct w:val="0"/>
              <w:autoSpaceDE/>
              <w:autoSpaceDN/>
              <w:bidi w:val="0"/>
              <w:snapToGrid w:val="0"/>
              <w:spacing w:line="288" w:lineRule="auto"/>
              <w:ind w:left="0" w:leftChars="0" w:right="42" w:rightChars="20" w:firstLine="422" w:firstLineChars="175"/>
              <w:textAlignment w:val="auto"/>
              <w:rPr>
                <w:rFonts w:hint="eastAsia"/>
                <w:color w:val="auto"/>
                <w:sz w:val="24"/>
                <w:u w:val="single"/>
              </w:rPr>
            </w:pPr>
            <w:r>
              <w:rPr>
                <w:rFonts w:hint="eastAsia"/>
                <w:b/>
                <w:bCs w:val="0"/>
                <w:color w:val="auto"/>
                <w:sz w:val="24"/>
              </w:rPr>
              <w:t>6.智能生题：</w:t>
            </w:r>
            <w:r>
              <w:rPr>
                <w:rFonts w:hint="eastAsia"/>
                <w:bCs/>
                <w:color w:val="auto"/>
                <w:sz w:val="24"/>
              </w:rPr>
              <w:t>通过输入命题关键词或上传参考试题，自动生成试题。完全满足得3分，否则不得分。</w:t>
            </w:r>
          </w:p>
        </w:tc>
      </w:tr>
      <w:tr w14:paraId="7787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46E79E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kern w:val="2"/>
                <w:sz w:val="24"/>
                <w:szCs w:val="24"/>
                <w:lang w:val="en-US" w:eastAsia="zh-CN" w:bidi="ar-SA"/>
              </w:rPr>
            </w:pPr>
            <w:r>
              <w:rPr>
                <w:rFonts w:hint="eastAsia"/>
                <w:b/>
                <w:bCs/>
                <w:color w:val="auto"/>
                <w:sz w:val="24"/>
              </w:rPr>
              <w:t>政策分</w:t>
            </w:r>
          </w:p>
        </w:tc>
        <w:tc>
          <w:tcPr>
            <w:tcW w:w="854" w:type="dxa"/>
            <w:noWrap w:val="0"/>
            <w:vAlign w:val="center"/>
          </w:tcPr>
          <w:p w14:paraId="71FC1E7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b/>
                <w:bCs/>
                <w:color w:val="auto"/>
                <w:kern w:val="2"/>
                <w:sz w:val="24"/>
                <w:szCs w:val="24"/>
                <w:lang w:val="en-US" w:eastAsia="zh-CN" w:bidi="ar-SA"/>
              </w:rPr>
            </w:pPr>
            <w:r>
              <w:rPr>
                <w:rFonts w:hint="eastAsia"/>
                <w:b/>
                <w:bCs/>
                <w:color w:val="auto"/>
                <w:sz w:val="24"/>
              </w:rPr>
              <w:t>1</w:t>
            </w:r>
          </w:p>
        </w:tc>
        <w:tc>
          <w:tcPr>
            <w:tcW w:w="6757" w:type="dxa"/>
            <w:noWrap w:val="0"/>
            <w:vAlign w:val="center"/>
          </w:tcPr>
          <w:p w14:paraId="35FC65D4">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color w:val="auto"/>
                <w:kern w:val="2"/>
                <w:sz w:val="24"/>
                <w:szCs w:val="24"/>
                <w:u w:val="single"/>
                <w:lang w:val="en-US" w:eastAsia="zh-CN" w:bidi="ar-SA"/>
              </w:rPr>
            </w:pPr>
            <w:r>
              <w:rPr>
                <w:rFonts w:hint="eastAsia"/>
                <w:color w:val="auto"/>
                <w:sz w:val="24"/>
              </w:rPr>
              <w:t>报价产品列入财政部、发展改革委发布的节能产品品目清单的，提供国家市场监督管理总局公布的《参与实施政府采购节能产品认证机构名录》内的认证机构出具的、处于有效期之内的节能标志产品认证证书的，得0.5分；报价产品列入财政部、生态环境部发布的环境标志产品品目清单的，提供国家市场监督管理总局公布的《参与实施政府采购环境标志产品认证机构名录》内的认证机构出具的、处于有效期之内的环境标志产品认证证书，得0.5分。</w:t>
            </w:r>
            <w:r>
              <w:rPr>
                <w:rFonts w:hint="eastAsia" w:ascii="宋体" w:hAnsi="宋体" w:cs="宋体"/>
                <w:b/>
                <w:bCs/>
                <w:color w:val="auto"/>
                <w:sz w:val="24"/>
                <w:lang w:bidi="ar"/>
              </w:rPr>
              <w:t>【客观分】</w:t>
            </w:r>
          </w:p>
        </w:tc>
      </w:tr>
      <w:tr w14:paraId="381C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535B06CB">
            <w:pPr>
              <w:keepNext w:val="0"/>
              <w:keepLines w:val="0"/>
              <w:pageBreakBefore w:val="0"/>
              <w:widowControl w:val="0"/>
              <w:kinsoku/>
              <w:wordWrap/>
              <w:overflowPunct/>
              <w:topLinePunct w:val="0"/>
              <w:autoSpaceDE/>
              <w:autoSpaceDN/>
              <w:bidi w:val="0"/>
              <w:spacing w:line="288" w:lineRule="auto"/>
              <w:jc w:val="center"/>
              <w:textAlignment w:val="auto"/>
              <w:rPr>
                <w:b/>
                <w:bCs/>
                <w:color w:val="auto"/>
                <w:sz w:val="24"/>
              </w:rPr>
            </w:pPr>
            <w:r>
              <w:rPr>
                <w:rFonts w:hint="eastAsia" w:ascii="宋体" w:hAnsi="宋体" w:cs="宋体"/>
                <w:b/>
                <w:bCs/>
                <w:color w:val="auto"/>
                <w:spacing w:val="-6"/>
                <w:sz w:val="24"/>
                <w:lang w:bidi="ar"/>
              </w:rPr>
              <w:t>实施方案</w:t>
            </w:r>
          </w:p>
        </w:tc>
        <w:tc>
          <w:tcPr>
            <w:tcW w:w="854" w:type="dxa"/>
            <w:noWrap w:val="0"/>
            <w:vAlign w:val="center"/>
          </w:tcPr>
          <w:p w14:paraId="420B41AE">
            <w:pPr>
              <w:keepNext w:val="0"/>
              <w:keepLines w:val="0"/>
              <w:pageBreakBefore w:val="0"/>
              <w:widowControl w:val="0"/>
              <w:kinsoku/>
              <w:wordWrap/>
              <w:overflowPunct/>
              <w:topLinePunct w:val="0"/>
              <w:autoSpaceDE/>
              <w:autoSpaceDN/>
              <w:bidi w:val="0"/>
              <w:spacing w:line="288" w:lineRule="auto"/>
              <w:jc w:val="center"/>
              <w:textAlignment w:val="auto"/>
              <w:rPr>
                <w:rFonts w:hint="eastAsia"/>
                <w:b/>
                <w:bCs/>
                <w:color w:val="auto"/>
                <w:sz w:val="24"/>
              </w:rPr>
            </w:pPr>
            <w:r>
              <w:rPr>
                <w:rFonts w:hint="eastAsia" w:ascii="宋体" w:hAnsi="宋体" w:cs="宋体"/>
                <w:b/>
                <w:bCs/>
                <w:color w:val="auto"/>
                <w:spacing w:val="-6"/>
                <w:sz w:val="24"/>
                <w:lang w:bidi="ar"/>
              </w:rPr>
              <w:t>2</w:t>
            </w:r>
          </w:p>
        </w:tc>
        <w:tc>
          <w:tcPr>
            <w:tcW w:w="6757" w:type="dxa"/>
            <w:noWrap w:val="0"/>
            <w:vAlign w:val="center"/>
          </w:tcPr>
          <w:p w14:paraId="3BE9D351">
            <w:pPr>
              <w:keepNext w:val="0"/>
              <w:keepLines w:val="0"/>
              <w:pageBreakBefore w:val="0"/>
              <w:widowControl w:val="0"/>
              <w:kinsoku/>
              <w:wordWrap/>
              <w:overflowPunct/>
              <w:topLinePunct w:val="0"/>
              <w:autoSpaceDE/>
              <w:autoSpaceDN/>
              <w:bidi w:val="0"/>
              <w:spacing w:line="288" w:lineRule="auto"/>
              <w:jc w:val="left"/>
              <w:textAlignment w:val="auto"/>
              <w:rPr>
                <w:color w:val="auto"/>
                <w:sz w:val="24"/>
              </w:rPr>
            </w:pPr>
            <w:r>
              <w:rPr>
                <w:rFonts w:hint="eastAsia" w:ascii="宋体" w:hAnsi="宋体" w:cs="宋体"/>
                <w:color w:val="auto"/>
                <w:spacing w:val="-6"/>
                <w:sz w:val="24"/>
                <w:lang w:bidi="ar"/>
              </w:rPr>
              <w:t>根据供应商提供的实施方案的完整性、合理性打分。有欠缺或不合理的，每处扣1分。</w:t>
            </w:r>
            <w:r>
              <w:rPr>
                <w:rFonts w:hint="eastAsia" w:cs="宋体"/>
                <w:color w:val="auto"/>
                <w:spacing w:val="-6"/>
                <w:sz w:val="24"/>
                <w:lang w:bidi="ar"/>
              </w:rPr>
              <w:t>本项最高得2分。</w:t>
            </w:r>
          </w:p>
        </w:tc>
      </w:tr>
      <w:tr w14:paraId="1AC5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44A63C6B">
            <w:pPr>
              <w:keepNext w:val="0"/>
              <w:keepLines w:val="0"/>
              <w:pageBreakBefore w:val="0"/>
              <w:widowControl w:val="0"/>
              <w:kinsoku/>
              <w:wordWrap/>
              <w:overflowPunct/>
              <w:topLinePunct w:val="0"/>
              <w:autoSpaceDE/>
              <w:autoSpaceDN/>
              <w:bidi w:val="0"/>
              <w:spacing w:line="288" w:lineRule="auto"/>
              <w:jc w:val="center"/>
              <w:textAlignment w:val="auto"/>
              <w:rPr>
                <w:rFonts w:ascii="宋体" w:hAnsi="宋体" w:cs="宋体"/>
                <w:b/>
                <w:bCs/>
                <w:color w:val="auto"/>
                <w:spacing w:val="-6"/>
                <w:sz w:val="24"/>
                <w:lang w:bidi="ar"/>
              </w:rPr>
            </w:pPr>
          </w:p>
        </w:tc>
        <w:tc>
          <w:tcPr>
            <w:tcW w:w="854" w:type="dxa"/>
            <w:noWrap w:val="0"/>
            <w:vAlign w:val="center"/>
          </w:tcPr>
          <w:p w14:paraId="187D02B2">
            <w:pPr>
              <w:keepNext w:val="0"/>
              <w:keepLines w:val="0"/>
              <w:pageBreakBefore w:val="0"/>
              <w:widowControl w:val="0"/>
              <w:kinsoku/>
              <w:wordWrap/>
              <w:overflowPunct/>
              <w:topLinePunct w:val="0"/>
              <w:autoSpaceDE/>
              <w:autoSpaceDN/>
              <w:bidi w:val="0"/>
              <w:spacing w:line="288" w:lineRule="auto"/>
              <w:jc w:val="center"/>
              <w:textAlignment w:val="auto"/>
              <w:rPr>
                <w:rFonts w:hint="eastAsia" w:ascii="宋体" w:hAnsi="宋体" w:cs="宋体"/>
                <w:b/>
                <w:bCs/>
                <w:color w:val="auto"/>
                <w:spacing w:val="-6"/>
                <w:sz w:val="24"/>
                <w:lang w:bidi="ar"/>
              </w:rPr>
            </w:pPr>
            <w:r>
              <w:rPr>
                <w:rFonts w:hint="eastAsia" w:cs="宋体"/>
                <w:b/>
                <w:bCs/>
                <w:color w:val="auto"/>
                <w:spacing w:val="-6"/>
                <w:sz w:val="24"/>
                <w:lang w:bidi="ar"/>
              </w:rPr>
              <w:t>2</w:t>
            </w:r>
          </w:p>
        </w:tc>
        <w:tc>
          <w:tcPr>
            <w:tcW w:w="6757" w:type="dxa"/>
            <w:noWrap w:val="0"/>
            <w:vAlign w:val="center"/>
          </w:tcPr>
          <w:p w14:paraId="7D3D20AC">
            <w:pPr>
              <w:keepNext w:val="0"/>
              <w:keepLines w:val="0"/>
              <w:pageBreakBefore w:val="0"/>
              <w:widowControl w:val="0"/>
              <w:kinsoku/>
              <w:wordWrap/>
              <w:overflowPunct/>
              <w:topLinePunct w:val="0"/>
              <w:autoSpaceDE/>
              <w:autoSpaceDN/>
              <w:bidi w:val="0"/>
              <w:spacing w:line="288" w:lineRule="auto"/>
              <w:jc w:val="left"/>
              <w:textAlignment w:val="auto"/>
              <w:rPr>
                <w:rFonts w:ascii="宋体" w:hAnsi="宋体" w:cs="宋体"/>
                <w:color w:val="auto"/>
                <w:spacing w:val="-6"/>
                <w:sz w:val="24"/>
                <w:lang w:bidi="ar"/>
              </w:rPr>
            </w:pPr>
            <w:r>
              <w:rPr>
                <w:rFonts w:hint="eastAsia" w:ascii="宋体" w:hAnsi="宋体" w:cs="宋体"/>
                <w:color w:val="auto"/>
                <w:spacing w:val="-6"/>
                <w:sz w:val="24"/>
                <w:lang w:bidi="ar"/>
              </w:rPr>
              <w:t>根据供应商提供的进度计划、项目管理方案的完整性、合理性打分。有欠缺或不合理的，每处扣1分。本项最高得2分。</w:t>
            </w:r>
          </w:p>
        </w:tc>
      </w:tr>
      <w:tr w14:paraId="5690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noWrap w:val="0"/>
            <w:vAlign w:val="center"/>
          </w:tcPr>
          <w:p w14:paraId="7A24B26A">
            <w:pPr>
              <w:keepNext w:val="0"/>
              <w:keepLines w:val="0"/>
              <w:pageBreakBefore w:val="0"/>
              <w:widowControl w:val="0"/>
              <w:kinsoku/>
              <w:wordWrap/>
              <w:overflowPunct/>
              <w:topLinePunct w:val="0"/>
              <w:autoSpaceDE/>
              <w:autoSpaceDN/>
              <w:bidi w:val="0"/>
              <w:spacing w:line="288" w:lineRule="auto"/>
              <w:jc w:val="center"/>
              <w:textAlignment w:val="auto"/>
              <w:rPr>
                <w:rFonts w:ascii="宋体" w:hAnsi="宋体" w:cs="宋体"/>
                <w:b/>
                <w:bCs/>
                <w:color w:val="auto"/>
                <w:spacing w:val="-6"/>
                <w:sz w:val="24"/>
                <w:lang w:bidi="ar"/>
              </w:rPr>
            </w:pPr>
          </w:p>
        </w:tc>
        <w:tc>
          <w:tcPr>
            <w:tcW w:w="854" w:type="dxa"/>
            <w:noWrap w:val="0"/>
            <w:vAlign w:val="center"/>
          </w:tcPr>
          <w:p w14:paraId="2E862D98">
            <w:pPr>
              <w:keepNext w:val="0"/>
              <w:keepLines w:val="0"/>
              <w:pageBreakBefore w:val="0"/>
              <w:widowControl w:val="0"/>
              <w:kinsoku/>
              <w:wordWrap/>
              <w:overflowPunct/>
              <w:topLinePunct w:val="0"/>
              <w:autoSpaceDE/>
              <w:autoSpaceDN/>
              <w:bidi w:val="0"/>
              <w:spacing w:line="288" w:lineRule="auto"/>
              <w:jc w:val="center"/>
              <w:textAlignment w:val="auto"/>
              <w:rPr>
                <w:rFonts w:hint="eastAsia" w:cs="宋体"/>
                <w:b/>
                <w:bCs/>
                <w:color w:val="auto"/>
                <w:spacing w:val="-6"/>
                <w:sz w:val="24"/>
                <w:lang w:bidi="ar"/>
              </w:rPr>
            </w:pPr>
            <w:r>
              <w:rPr>
                <w:rFonts w:hint="eastAsia" w:cs="宋体"/>
                <w:b/>
                <w:bCs/>
                <w:color w:val="auto"/>
                <w:spacing w:val="-6"/>
                <w:sz w:val="24"/>
                <w:lang w:bidi="ar"/>
              </w:rPr>
              <w:t>2</w:t>
            </w:r>
          </w:p>
        </w:tc>
        <w:tc>
          <w:tcPr>
            <w:tcW w:w="6757" w:type="dxa"/>
            <w:noWrap w:val="0"/>
            <w:vAlign w:val="center"/>
          </w:tcPr>
          <w:p w14:paraId="386C9AFD">
            <w:pPr>
              <w:keepNext w:val="0"/>
              <w:keepLines w:val="0"/>
              <w:pageBreakBefore w:val="0"/>
              <w:widowControl w:val="0"/>
              <w:kinsoku/>
              <w:wordWrap/>
              <w:overflowPunct/>
              <w:topLinePunct w:val="0"/>
              <w:autoSpaceDE/>
              <w:autoSpaceDN/>
              <w:bidi w:val="0"/>
              <w:spacing w:line="288" w:lineRule="auto"/>
              <w:jc w:val="left"/>
              <w:textAlignment w:val="auto"/>
              <w:rPr>
                <w:rFonts w:ascii="宋体" w:hAnsi="宋体" w:cs="宋体"/>
                <w:color w:val="auto"/>
                <w:spacing w:val="-6"/>
                <w:sz w:val="24"/>
                <w:lang w:bidi="ar"/>
              </w:rPr>
            </w:pPr>
            <w:r>
              <w:rPr>
                <w:rFonts w:hint="eastAsia" w:ascii="宋体" w:hAnsi="宋体" w:cs="宋体"/>
                <w:color w:val="auto"/>
                <w:spacing w:val="-6"/>
                <w:sz w:val="24"/>
                <w:lang w:bidi="ar"/>
              </w:rPr>
              <w:t>根据供应商提供的质量控制方案的完整性、合理性打分。有欠缺不合理的，每处扣1分。</w:t>
            </w:r>
            <w:r>
              <w:rPr>
                <w:rFonts w:hint="eastAsia" w:cs="宋体"/>
                <w:color w:val="auto"/>
                <w:spacing w:val="-6"/>
                <w:sz w:val="24"/>
                <w:lang w:bidi="ar"/>
              </w:rPr>
              <w:t>本项最高得2分。</w:t>
            </w:r>
          </w:p>
        </w:tc>
      </w:tr>
      <w:tr w14:paraId="56028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461E3F37">
            <w:pPr>
              <w:keepNext w:val="0"/>
              <w:keepLines w:val="0"/>
              <w:pageBreakBefore w:val="0"/>
              <w:widowControl w:val="0"/>
              <w:kinsoku/>
              <w:wordWrap/>
              <w:overflowPunct/>
              <w:topLinePunct w:val="0"/>
              <w:autoSpaceDE/>
              <w:autoSpaceDN/>
              <w:bidi w:val="0"/>
              <w:spacing w:line="288" w:lineRule="auto"/>
              <w:jc w:val="center"/>
              <w:textAlignment w:val="auto"/>
              <w:rPr>
                <w:rFonts w:ascii="宋体" w:hAnsi="宋体" w:cs="宋体"/>
                <w:b/>
                <w:bCs/>
                <w:color w:val="auto"/>
                <w:spacing w:val="-6"/>
                <w:sz w:val="24"/>
                <w:lang w:bidi="ar"/>
              </w:rPr>
            </w:pPr>
          </w:p>
        </w:tc>
        <w:tc>
          <w:tcPr>
            <w:tcW w:w="854" w:type="dxa"/>
            <w:noWrap w:val="0"/>
            <w:vAlign w:val="center"/>
          </w:tcPr>
          <w:p w14:paraId="1876E36D">
            <w:pPr>
              <w:keepNext w:val="0"/>
              <w:keepLines w:val="0"/>
              <w:pageBreakBefore w:val="0"/>
              <w:widowControl w:val="0"/>
              <w:kinsoku/>
              <w:wordWrap/>
              <w:overflowPunct/>
              <w:topLinePunct w:val="0"/>
              <w:autoSpaceDE/>
              <w:autoSpaceDN/>
              <w:bidi w:val="0"/>
              <w:spacing w:line="288" w:lineRule="auto"/>
              <w:jc w:val="center"/>
              <w:textAlignment w:val="auto"/>
              <w:rPr>
                <w:rFonts w:hint="eastAsia" w:ascii="宋体" w:hAnsi="宋体" w:cs="宋体"/>
                <w:b/>
                <w:bCs/>
                <w:color w:val="auto"/>
                <w:spacing w:val="-6"/>
                <w:sz w:val="24"/>
                <w:lang w:bidi="ar"/>
              </w:rPr>
            </w:pPr>
            <w:r>
              <w:rPr>
                <w:rFonts w:hint="eastAsia" w:cs="宋体"/>
                <w:b/>
                <w:bCs/>
                <w:color w:val="auto"/>
                <w:spacing w:val="-6"/>
                <w:sz w:val="24"/>
                <w:lang w:bidi="ar"/>
              </w:rPr>
              <w:t>2</w:t>
            </w:r>
          </w:p>
        </w:tc>
        <w:tc>
          <w:tcPr>
            <w:tcW w:w="6757" w:type="dxa"/>
            <w:noWrap w:val="0"/>
            <w:vAlign w:val="center"/>
          </w:tcPr>
          <w:p w14:paraId="49954667">
            <w:pPr>
              <w:keepNext w:val="0"/>
              <w:keepLines w:val="0"/>
              <w:pageBreakBefore w:val="0"/>
              <w:widowControl w:val="0"/>
              <w:kinsoku/>
              <w:wordWrap/>
              <w:overflowPunct/>
              <w:topLinePunct w:val="0"/>
              <w:autoSpaceDE/>
              <w:autoSpaceDN/>
              <w:bidi w:val="0"/>
              <w:spacing w:line="288" w:lineRule="auto"/>
              <w:jc w:val="left"/>
              <w:textAlignment w:val="auto"/>
              <w:rPr>
                <w:rFonts w:ascii="宋体" w:hAnsi="宋体" w:cs="宋体"/>
                <w:color w:val="auto"/>
                <w:spacing w:val="-6"/>
                <w:sz w:val="24"/>
                <w:lang w:bidi="ar"/>
              </w:rPr>
            </w:pPr>
            <w:r>
              <w:rPr>
                <w:rFonts w:hint="eastAsia" w:ascii="宋体" w:hAnsi="宋体" w:cs="宋体"/>
                <w:color w:val="auto"/>
                <w:spacing w:val="-6"/>
                <w:sz w:val="24"/>
                <w:lang w:bidi="ar"/>
              </w:rPr>
              <w:t>根据供应商提供的供货方案的完整性、合理性打分。有欠缺或不合理的，每处扣1分。本项最高得2分。</w:t>
            </w:r>
          </w:p>
        </w:tc>
      </w:tr>
      <w:tr w14:paraId="1435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A9A2C59">
            <w:pPr>
              <w:keepNext w:val="0"/>
              <w:keepLines w:val="0"/>
              <w:pageBreakBefore w:val="0"/>
              <w:widowControl w:val="0"/>
              <w:kinsoku/>
              <w:wordWrap/>
              <w:overflowPunct/>
              <w:topLinePunct w:val="0"/>
              <w:autoSpaceDE/>
              <w:autoSpaceDN/>
              <w:bidi w:val="0"/>
              <w:spacing w:line="288" w:lineRule="auto"/>
              <w:jc w:val="center"/>
              <w:textAlignment w:val="auto"/>
              <w:rPr>
                <w:b/>
                <w:bCs/>
                <w:color w:val="auto"/>
                <w:sz w:val="24"/>
              </w:rPr>
            </w:pPr>
            <w:r>
              <w:rPr>
                <w:rFonts w:hint="eastAsia" w:ascii="宋体" w:hAnsi="宋体" w:cs="宋体"/>
                <w:b/>
                <w:bCs/>
                <w:color w:val="auto"/>
                <w:sz w:val="24"/>
                <w:lang w:bidi="ar"/>
              </w:rPr>
              <w:t>验收、调试及试运行方案</w:t>
            </w:r>
          </w:p>
        </w:tc>
        <w:tc>
          <w:tcPr>
            <w:tcW w:w="854" w:type="dxa"/>
            <w:noWrap w:val="0"/>
            <w:vAlign w:val="center"/>
          </w:tcPr>
          <w:p w14:paraId="2BE3CD3F">
            <w:pPr>
              <w:keepNext w:val="0"/>
              <w:keepLines w:val="0"/>
              <w:pageBreakBefore w:val="0"/>
              <w:widowControl w:val="0"/>
              <w:kinsoku/>
              <w:wordWrap/>
              <w:overflowPunct/>
              <w:topLinePunct w:val="0"/>
              <w:autoSpaceDE/>
              <w:autoSpaceDN/>
              <w:bidi w:val="0"/>
              <w:spacing w:line="288" w:lineRule="auto"/>
              <w:jc w:val="center"/>
              <w:textAlignment w:val="auto"/>
              <w:rPr>
                <w:rFonts w:hint="eastAsia"/>
                <w:b/>
                <w:bCs/>
                <w:color w:val="auto"/>
                <w:sz w:val="24"/>
              </w:rPr>
            </w:pPr>
            <w:r>
              <w:rPr>
                <w:rFonts w:hint="eastAsia" w:cs="宋体"/>
                <w:b/>
                <w:bCs/>
                <w:color w:val="auto"/>
                <w:spacing w:val="-6"/>
                <w:sz w:val="24"/>
                <w:lang w:bidi="ar"/>
              </w:rPr>
              <w:t>2</w:t>
            </w:r>
          </w:p>
        </w:tc>
        <w:tc>
          <w:tcPr>
            <w:tcW w:w="6757" w:type="dxa"/>
            <w:noWrap w:val="0"/>
            <w:vAlign w:val="center"/>
          </w:tcPr>
          <w:p w14:paraId="1AADDFAE">
            <w:pPr>
              <w:keepNext w:val="0"/>
              <w:keepLines w:val="0"/>
              <w:pageBreakBefore w:val="0"/>
              <w:widowControl w:val="0"/>
              <w:kinsoku/>
              <w:wordWrap/>
              <w:overflowPunct/>
              <w:topLinePunct w:val="0"/>
              <w:autoSpaceDE/>
              <w:autoSpaceDN/>
              <w:bidi w:val="0"/>
              <w:spacing w:line="288" w:lineRule="auto"/>
              <w:textAlignment w:val="auto"/>
              <w:rPr>
                <w:color w:val="auto"/>
                <w:sz w:val="24"/>
              </w:rPr>
            </w:pPr>
            <w:r>
              <w:rPr>
                <w:rFonts w:hint="eastAsia" w:ascii="宋体" w:hAnsi="宋体" w:cs="宋体"/>
                <w:color w:val="auto"/>
                <w:sz w:val="24"/>
                <w:lang w:bidi="ar"/>
              </w:rPr>
              <w:t>根据供应商提供的验收、调试及试运行方案的</w:t>
            </w:r>
            <w:r>
              <w:rPr>
                <w:rFonts w:hint="eastAsia" w:cs="宋体"/>
                <w:color w:val="auto"/>
                <w:spacing w:val="-6"/>
                <w:sz w:val="24"/>
                <w:lang w:bidi="ar"/>
              </w:rPr>
              <w:t>完整性、合理性打分</w:t>
            </w:r>
            <w:r>
              <w:rPr>
                <w:rFonts w:hint="eastAsia" w:ascii="宋体" w:hAnsi="宋体" w:cs="宋体"/>
                <w:color w:val="auto"/>
                <w:spacing w:val="-6"/>
                <w:sz w:val="24"/>
                <w:lang w:bidi="ar"/>
              </w:rPr>
              <w:t>。有欠缺或不合理的，每处扣1分。</w:t>
            </w:r>
            <w:r>
              <w:rPr>
                <w:rFonts w:hint="eastAsia" w:cs="宋体"/>
                <w:color w:val="auto"/>
                <w:sz w:val="24"/>
                <w:lang w:bidi="ar"/>
              </w:rPr>
              <w:t>本项</w:t>
            </w:r>
            <w:r>
              <w:rPr>
                <w:rFonts w:hint="eastAsia" w:ascii="宋体" w:hAnsi="宋体" w:cs="宋体"/>
                <w:color w:val="auto"/>
                <w:sz w:val="24"/>
                <w:lang w:bidi="ar"/>
              </w:rPr>
              <w:t>最高得</w:t>
            </w:r>
            <w:r>
              <w:rPr>
                <w:rFonts w:hint="eastAsia" w:cs="宋体"/>
                <w:color w:val="auto"/>
                <w:sz w:val="24"/>
                <w:lang w:val="en-US" w:eastAsia="zh-CN" w:bidi="ar"/>
              </w:rPr>
              <w:t>2</w:t>
            </w:r>
            <w:r>
              <w:rPr>
                <w:rFonts w:hint="eastAsia" w:ascii="宋体" w:hAnsi="宋体" w:cs="宋体"/>
                <w:color w:val="auto"/>
                <w:sz w:val="24"/>
                <w:lang w:bidi="ar"/>
              </w:rPr>
              <w:t>分。</w:t>
            </w:r>
          </w:p>
        </w:tc>
      </w:tr>
      <w:tr w14:paraId="3105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45" w:type="dxa"/>
            <w:noWrap w:val="0"/>
            <w:vAlign w:val="center"/>
          </w:tcPr>
          <w:p w14:paraId="5C8F7245">
            <w:pPr>
              <w:keepNext w:val="0"/>
              <w:keepLines w:val="0"/>
              <w:pageBreakBefore w:val="0"/>
              <w:widowControl w:val="0"/>
              <w:kinsoku/>
              <w:wordWrap/>
              <w:overflowPunct/>
              <w:topLinePunct w:val="0"/>
              <w:autoSpaceDE/>
              <w:autoSpaceDN/>
              <w:bidi w:val="0"/>
              <w:spacing w:line="288" w:lineRule="auto"/>
              <w:jc w:val="center"/>
              <w:textAlignment w:val="auto"/>
              <w:rPr>
                <w:rFonts w:ascii="宋体" w:hAnsi="宋体" w:cs="宋体"/>
                <w:b/>
                <w:bCs/>
                <w:color w:val="auto"/>
                <w:spacing w:val="-6"/>
                <w:sz w:val="24"/>
                <w:lang w:bidi="ar"/>
              </w:rPr>
            </w:pPr>
            <w:r>
              <w:rPr>
                <w:rFonts w:hint="eastAsia" w:ascii="宋体" w:hAnsi="宋体" w:cs="宋体"/>
                <w:b/>
                <w:bCs/>
                <w:color w:val="auto"/>
                <w:spacing w:val="-6"/>
                <w:sz w:val="24"/>
                <w:lang w:bidi="ar"/>
              </w:rPr>
              <w:t>项目负责人能力</w:t>
            </w:r>
          </w:p>
        </w:tc>
        <w:tc>
          <w:tcPr>
            <w:tcW w:w="854" w:type="dxa"/>
            <w:noWrap w:val="0"/>
            <w:vAlign w:val="center"/>
          </w:tcPr>
          <w:p w14:paraId="6A59C140">
            <w:pPr>
              <w:keepNext w:val="0"/>
              <w:keepLines w:val="0"/>
              <w:pageBreakBefore w:val="0"/>
              <w:widowControl w:val="0"/>
              <w:kinsoku/>
              <w:wordWrap/>
              <w:overflowPunct/>
              <w:topLinePunct w:val="0"/>
              <w:autoSpaceDE/>
              <w:autoSpaceDN/>
              <w:bidi w:val="0"/>
              <w:spacing w:line="288" w:lineRule="auto"/>
              <w:jc w:val="center"/>
              <w:textAlignment w:val="auto"/>
              <w:rPr>
                <w:rFonts w:ascii="宋体" w:hAnsi="宋体" w:cs="宋体"/>
                <w:b/>
                <w:bCs/>
                <w:color w:val="auto"/>
                <w:spacing w:val="-6"/>
                <w:sz w:val="24"/>
                <w:lang w:bidi="ar"/>
              </w:rPr>
            </w:pPr>
            <w:r>
              <w:rPr>
                <w:rFonts w:hint="eastAsia" w:cs="宋体"/>
                <w:b/>
                <w:bCs/>
                <w:color w:val="auto"/>
                <w:spacing w:val="-6"/>
                <w:sz w:val="24"/>
                <w:szCs w:val="22"/>
                <w:lang w:bidi="ar"/>
              </w:rPr>
              <w:t>5</w:t>
            </w:r>
          </w:p>
        </w:tc>
        <w:tc>
          <w:tcPr>
            <w:tcW w:w="6757" w:type="dxa"/>
            <w:noWrap w:val="0"/>
            <w:vAlign w:val="center"/>
          </w:tcPr>
          <w:p w14:paraId="61E31E3D">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cs="宋体"/>
                <w:color w:val="auto"/>
                <w:sz w:val="24"/>
                <w:lang w:bidi="ar"/>
              </w:rPr>
            </w:pPr>
            <w:r>
              <w:rPr>
                <w:rFonts w:hint="eastAsia" w:ascii="宋体" w:hAnsi="宋体" w:cs="宋体"/>
                <w:bCs/>
                <w:color w:val="auto"/>
                <w:sz w:val="24"/>
                <w:lang w:val="en-US" w:eastAsia="zh-CN" w:bidi="ar"/>
              </w:rPr>
              <w:t>响应方</w:t>
            </w:r>
            <w:r>
              <w:rPr>
                <w:rFonts w:ascii="宋体" w:hAnsi="宋体" w:cs="宋体"/>
                <w:bCs/>
                <w:color w:val="auto"/>
                <w:sz w:val="24"/>
                <w:lang w:bidi="ar"/>
              </w:rPr>
              <w:t>拟派</w:t>
            </w:r>
            <w:r>
              <w:rPr>
                <w:rFonts w:hint="eastAsia" w:ascii="宋体" w:hAnsi="宋体" w:cs="宋体"/>
                <w:color w:val="auto"/>
                <w:sz w:val="24"/>
                <w:lang w:bidi="ar"/>
              </w:rPr>
              <w:t>项目负责人</w:t>
            </w:r>
            <w:r>
              <w:rPr>
                <w:rFonts w:ascii="宋体" w:hAnsi="宋体" w:cs="宋体"/>
                <w:bCs/>
                <w:color w:val="auto"/>
                <w:sz w:val="24"/>
                <w:lang w:bidi="ar"/>
              </w:rPr>
              <w:t>（仅限一人）具备信息系统项目管理师、信息安全工程师、注册信息安全管理人员CISO、信息安全保障人员CISAW、（ITSS）IT服务工程师能力，每具备1项得1分，最多得5分。须提供有效证书复印件及近6个月任意1个月（不含</w:t>
            </w:r>
            <w:r>
              <w:rPr>
                <w:rFonts w:hint="eastAsia" w:ascii="宋体" w:hAnsi="宋体" w:cs="宋体"/>
                <w:bCs/>
                <w:color w:val="auto"/>
                <w:sz w:val="24"/>
                <w:lang w:val="en-US" w:eastAsia="zh-CN" w:bidi="ar"/>
              </w:rPr>
              <w:t>响应</w:t>
            </w:r>
            <w:r>
              <w:rPr>
                <w:rFonts w:ascii="宋体" w:hAnsi="宋体" w:cs="宋体"/>
                <w:bCs/>
                <w:color w:val="auto"/>
                <w:sz w:val="24"/>
                <w:lang w:bidi="ar"/>
              </w:rPr>
              <w:t>截止时间当月）由</w:t>
            </w:r>
            <w:r>
              <w:rPr>
                <w:rFonts w:hint="eastAsia" w:ascii="宋体" w:hAnsi="宋体" w:cs="宋体"/>
                <w:bCs/>
                <w:color w:val="auto"/>
                <w:sz w:val="24"/>
                <w:lang w:val="en-US" w:eastAsia="zh-CN" w:bidi="ar"/>
              </w:rPr>
              <w:t>响应方</w:t>
            </w:r>
            <w:r>
              <w:rPr>
                <w:rFonts w:ascii="宋体" w:hAnsi="宋体" w:cs="宋体"/>
                <w:bCs/>
                <w:color w:val="auto"/>
                <w:sz w:val="24"/>
                <w:lang w:bidi="ar"/>
              </w:rPr>
              <w:t>为其缴纳社会保险的证明材料复印件，否则不得分。</w:t>
            </w:r>
            <w:r>
              <w:rPr>
                <w:rFonts w:hint="eastAsia" w:ascii="宋体" w:hAnsi="宋体" w:cs="宋体"/>
                <w:b/>
                <w:bCs/>
                <w:color w:val="auto"/>
                <w:sz w:val="24"/>
                <w:lang w:bidi="ar"/>
              </w:rPr>
              <w:t>【客观分】</w:t>
            </w:r>
          </w:p>
        </w:tc>
      </w:tr>
      <w:tr w14:paraId="288F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B1ADFF9">
            <w:pPr>
              <w:keepNext w:val="0"/>
              <w:keepLines w:val="0"/>
              <w:pageBreakBefore w:val="0"/>
              <w:widowControl w:val="0"/>
              <w:kinsoku/>
              <w:wordWrap/>
              <w:overflowPunct/>
              <w:topLinePunct w:val="0"/>
              <w:autoSpaceDE/>
              <w:autoSpaceDN/>
              <w:bidi w:val="0"/>
              <w:spacing w:line="288" w:lineRule="auto"/>
              <w:jc w:val="center"/>
              <w:textAlignment w:val="auto"/>
              <w:rPr>
                <w:rFonts w:hint="eastAsia"/>
                <w:b/>
                <w:bCs/>
                <w:color w:val="auto"/>
                <w:sz w:val="24"/>
              </w:rPr>
            </w:pPr>
            <w:r>
              <w:rPr>
                <w:rFonts w:hint="eastAsia" w:ascii="宋体" w:hAnsi="宋体" w:cs="宋体"/>
                <w:b/>
                <w:bCs/>
                <w:color w:val="auto"/>
                <w:spacing w:val="-6"/>
                <w:sz w:val="24"/>
                <w:lang w:bidi="ar"/>
              </w:rPr>
              <w:t>项目团队人员能力</w:t>
            </w:r>
          </w:p>
        </w:tc>
        <w:tc>
          <w:tcPr>
            <w:tcW w:w="854" w:type="dxa"/>
            <w:noWrap w:val="0"/>
            <w:vAlign w:val="center"/>
          </w:tcPr>
          <w:p w14:paraId="28F1C7A6">
            <w:pPr>
              <w:keepNext w:val="0"/>
              <w:keepLines w:val="0"/>
              <w:pageBreakBefore w:val="0"/>
              <w:widowControl w:val="0"/>
              <w:kinsoku/>
              <w:wordWrap/>
              <w:overflowPunct/>
              <w:topLinePunct w:val="0"/>
              <w:autoSpaceDE/>
              <w:autoSpaceDN/>
              <w:bidi w:val="0"/>
              <w:spacing w:line="288" w:lineRule="auto"/>
              <w:jc w:val="center"/>
              <w:textAlignment w:val="auto"/>
              <w:rPr>
                <w:rFonts w:hint="eastAsia" w:eastAsia="宋体"/>
                <w:b/>
                <w:bCs/>
                <w:color w:val="auto"/>
                <w:sz w:val="24"/>
                <w:lang w:eastAsia="zh-CN"/>
              </w:rPr>
            </w:pPr>
            <w:r>
              <w:rPr>
                <w:rFonts w:hint="eastAsia" w:cs="宋体"/>
                <w:b/>
                <w:bCs/>
                <w:color w:val="auto"/>
                <w:spacing w:val="-6"/>
                <w:sz w:val="24"/>
                <w:szCs w:val="22"/>
                <w:lang w:val="en-US" w:eastAsia="zh-CN" w:bidi="ar"/>
              </w:rPr>
              <w:t>9</w:t>
            </w:r>
          </w:p>
        </w:tc>
        <w:tc>
          <w:tcPr>
            <w:tcW w:w="6757" w:type="dxa"/>
            <w:noWrap w:val="0"/>
            <w:vAlign w:val="center"/>
          </w:tcPr>
          <w:p w14:paraId="2DF01CD1">
            <w:pPr>
              <w:keepNext w:val="0"/>
              <w:keepLines w:val="0"/>
              <w:pageBreakBefore w:val="0"/>
              <w:widowControl w:val="0"/>
              <w:kinsoku/>
              <w:wordWrap/>
              <w:overflowPunct/>
              <w:topLinePunct w:val="0"/>
              <w:autoSpaceDE/>
              <w:autoSpaceDN/>
              <w:bidi w:val="0"/>
              <w:spacing w:line="288" w:lineRule="auto"/>
              <w:textAlignment w:val="auto"/>
              <w:rPr>
                <w:color w:val="auto"/>
                <w:sz w:val="24"/>
              </w:rPr>
            </w:pPr>
            <w:r>
              <w:rPr>
                <w:rFonts w:hint="eastAsia" w:ascii="宋体" w:hAnsi="宋体" w:cs="宋体"/>
                <w:bCs/>
                <w:color w:val="auto"/>
                <w:sz w:val="24"/>
                <w:lang w:val="en-US" w:eastAsia="zh-CN" w:bidi="ar"/>
              </w:rPr>
              <w:t>响应方</w:t>
            </w:r>
            <w:r>
              <w:rPr>
                <w:rFonts w:hint="eastAsia" w:cs="宋体"/>
                <w:bCs/>
                <w:color w:val="auto"/>
                <w:sz w:val="24"/>
              </w:rPr>
              <w:t>拟派团队人员（不含项目负责人）具备：（1）系统架构设计师（高级）不少于2人，满足得2分；（2）系统规划与管理师（高级）不少于1人，满足得</w:t>
            </w:r>
            <w:r>
              <w:rPr>
                <w:rFonts w:hint="eastAsia" w:cs="宋体"/>
                <w:bCs/>
                <w:color w:val="auto"/>
                <w:sz w:val="24"/>
                <w:lang w:val="en-US" w:eastAsia="zh-CN"/>
              </w:rPr>
              <w:t>1</w:t>
            </w:r>
            <w:r>
              <w:rPr>
                <w:rFonts w:hint="eastAsia" w:cs="宋体"/>
                <w:bCs/>
                <w:color w:val="auto"/>
                <w:sz w:val="24"/>
              </w:rPr>
              <w:t>分；（3）信息安全工程师不少于2人，满足得2分；（4）数据库工程师不少于2人，满足得2分；（5）系统开发工程师不少于1人，满足得2分；满分</w:t>
            </w:r>
            <w:r>
              <w:rPr>
                <w:rFonts w:hint="eastAsia" w:cs="宋体"/>
                <w:bCs/>
                <w:color w:val="auto"/>
                <w:sz w:val="24"/>
                <w:lang w:val="en-US" w:eastAsia="zh-CN"/>
              </w:rPr>
              <w:t>9</w:t>
            </w:r>
            <w:r>
              <w:rPr>
                <w:rFonts w:hint="eastAsia" w:cs="宋体"/>
                <w:bCs/>
                <w:color w:val="auto"/>
                <w:sz w:val="24"/>
              </w:rPr>
              <w:t>分。同一人拥有多项上述证书的不重复计算。须提供有效证书复印件及近6个月任意1个月（不含</w:t>
            </w:r>
            <w:r>
              <w:rPr>
                <w:rFonts w:hint="eastAsia" w:ascii="宋体" w:hAnsi="宋体" w:cs="宋体"/>
                <w:bCs/>
                <w:color w:val="auto"/>
                <w:sz w:val="24"/>
                <w:lang w:val="en-US" w:eastAsia="zh-CN" w:bidi="ar"/>
              </w:rPr>
              <w:t>响应</w:t>
            </w:r>
            <w:r>
              <w:rPr>
                <w:rFonts w:hint="eastAsia" w:cs="宋体"/>
                <w:bCs/>
                <w:color w:val="auto"/>
                <w:sz w:val="24"/>
              </w:rPr>
              <w:t>截止时间当月）由</w:t>
            </w:r>
            <w:r>
              <w:rPr>
                <w:rFonts w:hint="eastAsia" w:ascii="宋体" w:hAnsi="宋体" w:cs="宋体"/>
                <w:bCs/>
                <w:color w:val="auto"/>
                <w:sz w:val="24"/>
                <w:lang w:val="en-US" w:eastAsia="zh-CN" w:bidi="ar"/>
              </w:rPr>
              <w:t>响应方</w:t>
            </w:r>
            <w:r>
              <w:rPr>
                <w:rFonts w:hint="eastAsia" w:cs="宋体"/>
                <w:bCs/>
                <w:color w:val="auto"/>
                <w:sz w:val="24"/>
              </w:rPr>
              <w:t>为其缴纳社会保险的证明材料复印件，否则不得分。</w:t>
            </w:r>
            <w:r>
              <w:rPr>
                <w:rFonts w:hint="eastAsia" w:ascii="宋体" w:hAnsi="宋体" w:cs="宋体"/>
                <w:b/>
                <w:bCs/>
                <w:color w:val="auto"/>
                <w:sz w:val="24"/>
                <w:lang w:bidi="ar"/>
              </w:rPr>
              <w:t>【客观分】</w:t>
            </w:r>
          </w:p>
        </w:tc>
      </w:tr>
      <w:tr w14:paraId="69F9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9C657E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培训计划</w:t>
            </w:r>
          </w:p>
        </w:tc>
        <w:tc>
          <w:tcPr>
            <w:tcW w:w="854" w:type="dxa"/>
            <w:noWrap w:val="0"/>
            <w:vAlign w:val="center"/>
          </w:tcPr>
          <w:p w14:paraId="57A05001">
            <w:pPr>
              <w:keepNext w:val="0"/>
              <w:keepLines w:val="0"/>
              <w:pageBreakBefore w:val="0"/>
              <w:widowControl w:val="0"/>
              <w:kinsoku/>
              <w:wordWrap/>
              <w:overflowPunct/>
              <w:topLinePunct w:val="0"/>
              <w:autoSpaceDE/>
              <w:autoSpaceDN/>
              <w:bidi w:val="0"/>
              <w:spacing w:line="288" w:lineRule="auto"/>
              <w:jc w:val="center"/>
              <w:textAlignment w:val="auto"/>
              <w:rPr>
                <w:rFonts w:hint="eastAsia"/>
                <w:b/>
                <w:bCs/>
                <w:color w:val="auto"/>
                <w:sz w:val="24"/>
              </w:rPr>
            </w:pPr>
            <w:r>
              <w:rPr>
                <w:rFonts w:hint="eastAsia" w:cs="宋体"/>
                <w:b/>
                <w:bCs/>
                <w:color w:val="auto"/>
                <w:spacing w:val="-6"/>
                <w:sz w:val="24"/>
                <w:lang w:bidi="ar"/>
              </w:rPr>
              <w:t>2</w:t>
            </w:r>
          </w:p>
        </w:tc>
        <w:tc>
          <w:tcPr>
            <w:tcW w:w="6757" w:type="dxa"/>
            <w:noWrap w:val="0"/>
            <w:vAlign w:val="center"/>
          </w:tcPr>
          <w:p w14:paraId="42D8489B">
            <w:pPr>
              <w:keepNext w:val="0"/>
              <w:keepLines w:val="0"/>
              <w:pageBreakBefore w:val="0"/>
              <w:widowControl w:val="0"/>
              <w:kinsoku/>
              <w:wordWrap/>
              <w:overflowPunct/>
              <w:topLinePunct w:val="0"/>
              <w:autoSpaceDE/>
              <w:autoSpaceDN/>
              <w:bidi w:val="0"/>
              <w:spacing w:line="288" w:lineRule="auto"/>
              <w:textAlignment w:val="auto"/>
              <w:rPr>
                <w:color w:val="auto"/>
                <w:sz w:val="24"/>
              </w:rPr>
            </w:pPr>
            <w:r>
              <w:rPr>
                <w:rFonts w:hint="eastAsia" w:ascii="宋体" w:hAnsi="宋体" w:cs="宋体"/>
                <w:color w:val="auto"/>
                <w:sz w:val="24"/>
                <w:lang w:bidi="ar"/>
              </w:rPr>
              <w:t>根据供应商提供培训计划方案的合理、可行性打分。有欠缺或不合理的，每处扣1分。本项最高得2分。</w:t>
            </w:r>
          </w:p>
        </w:tc>
      </w:tr>
      <w:tr w14:paraId="361B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018650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rPr>
            </w:pPr>
            <w:r>
              <w:rPr>
                <w:rFonts w:hint="eastAsia"/>
                <w:b/>
                <w:bCs/>
                <w:color w:val="auto"/>
                <w:sz w:val="24"/>
              </w:rPr>
              <w:t>售后服务</w:t>
            </w:r>
          </w:p>
        </w:tc>
        <w:tc>
          <w:tcPr>
            <w:tcW w:w="854" w:type="dxa"/>
            <w:noWrap w:val="0"/>
            <w:vAlign w:val="center"/>
          </w:tcPr>
          <w:p w14:paraId="17D56B53">
            <w:pPr>
              <w:keepNext w:val="0"/>
              <w:keepLines w:val="0"/>
              <w:pageBreakBefore w:val="0"/>
              <w:widowControl w:val="0"/>
              <w:kinsoku/>
              <w:wordWrap/>
              <w:overflowPunct/>
              <w:topLinePunct w:val="0"/>
              <w:autoSpaceDE/>
              <w:autoSpaceDN/>
              <w:bidi w:val="0"/>
              <w:spacing w:line="288" w:lineRule="auto"/>
              <w:jc w:val="center"/>
              <w:textAlignment w:val="auto"/>
              <w:rPr>
                <w:rFonts w:hint="eastAsia"/>
                <w:b/>
                <w:bCs/>
                <w:color w:val="auto"/>
                <w:sz w:val="24"/>
              </w:rPr>
            </w:pPr>
            <w:r>
              <w:rPr>
                <w:rFonts w:hint="eastAsia" w:cs="宋体"/>
                <w:b/>
                <w:bCs/>
                <w:color w:val="auto"/>
                <w:spacing w:val="-6"/>
                <w:sz w:val="24"/>
                <w:lang w:bidi="ar"/>
              </w:rPr>
              <w:t>2</w:t>
            </w:r>
          </w:p>
        </w:tc>
        <w:tc>
          <w:tcPr>
            <w:tcW w:w="6757" w:type="dxa"/>
            <w:noWrap w:val="0"/>
            <w:vAlign w:val="center"/>
          </w:tcPr>
          <w:p w14:paraId="38A19FD0">
            <w:pPr>
              <w:keepNext w:val="0"/>
              <w:keepLines w:val="0"/>
              <w:pageBreakBefore w:val="0"/>
              <w:widowControl w:val="0"/>
              <w:kinsoku/>
              <w:wordWrap/>
              <w:overflowPunct/>
              <w:topLinePunct w:val="0"/>
              <w:autoSpaceDE/>
              <w:autoSpaceDN/>
              <w:bidi w:val="0"/>
              <w:spacing w:line="288" w:lineRule="auto"/>
              <w:textAlignment w:val="auto"/>
              <w:rPr>
                <w:color w:val="auto"/>
                <w:sz w:val="24"/>
              </w:rPr>
            </w:pPr>
            <w:r>
              <w:rPr>
                <w:rFonts w:hint="eastAsia" w:ascii="宋体" w:hAnsi="宋体" w:cs="宋体"/>
                <w:color w:val="auto"/>
                <w:sz w:val="24"/>
                <w:lang w:bidi="ar"/>
              </w:rPr>
              <w:t>根据供应商承诺的售后服务响应时间、保证措施等情况打分。有欠缺或不合理的，每处扣1分。本项最高得2分。</w:t>
            </w:r>
          </w:p>
        </w:tc>
      </w:tr>
      <w:bookmarkEnd w:id="838"/>
    </w:tbl>
    <w:p w14:paraId="4DD6575D">
      <w:pPr>
        <w:pStyle w:val="19"/>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3DB9E16F">
      <w:pPr>
        <w:numPr>
          <w:ilvl w:val="0"/>
          <w:numId w:val="5"/>
        </w:numPr>
        <w:spacing w:line="288" w:lineRule="auto"/>
        <w:ind w:firstLine="422" w:firstLineChars="175"/>
        <w:jc w:val="left"/>
        <w:rPr>
          <w:rFonts w:hint="eastAsia" w:ascii="宋体" w:hAnsi="宋体"/>
          <w:b/>
          <w:color w:val="auto"/>
          <w:sz w:val="24"/>
          <w:szCs w:val="24"/>
        </w:rPr>
      </w:pPr>
      <w:bookmarkStart w:id="400" w:name="_Toc6434"/>
      <w:bookmarkStart w:id="401" w:name="_Toc20757"/>
      <w:bookmarkStart w:id="402" w:name="_Toc1372"/>
      <w:bookmarkStart w:id="403" w:name="_Toc10701"/>
      <w:bookmarkStart w:id="404" w:name="_Toc24145"/>
      <w:bookmarkStart w:id="405" w:name="_Toc25244"/>
      <w:bookmarkStart w:id="406" w:name="_Toc22598"/>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7DAFEB19">
      <w:pPr>
        <w:widowControl/>
        <w:snapToGrid w:val="0"/>
        <w:spacing w:line="288" w:lineRule="auto"/>
        <w:ind w:firstLine="482" w:firstLineChars="200"/>
        <w:rPr>
          <w:rFonts w:ascii="宋体" w:hAnsi="宋体" w:cs="宋体"/>
          <w:b/>
          <w:bCs/>
          <w:color w:val="auto"/>
          <w:sz w:val="24"/>
          <w:szCs w:val="24"/>
        </w:rPr>
      </w:pPr>
    </w:p>
    <w:p w14:paraId="73116EB9">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以下为非面向中小企业项目的小微企业扣除方法：</w:t>
      </w:r>
    </w:p>
    <w:p w14:paraId="02FE6259">
      <w:pPr>
        <w:keepNext w:val="0"/>
        <w:keepLines w:val="0"/>
        <w:pageBreakBefore w:val="0"/>
        <w:kinsoku/>
        <w:wordWrap/>
        <w:overflowPunct/>
        <w:topLinePunct w:val="0"/>
        <w:autoSpaceDE/>
        <w:autoSpaceDN/>
        <w:bidi w:val="0"/>
        <w:adjustRightInd w:val="0"/>
        <w:snapToGrid w:val="0"/>
        <w:spacing w:line="288" w:lineRule="auto"/>
        <w:ind w:left="0" w:leftChars="0" w:firstLine="422"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1.根据《政府采购促进中小企业发展管理办法》（财库〔2020〕46号）的规定，对符合规定的小微企业报价给予10%的扣除后计算价格得分。</w:t>
      </w:r>
    </w:p>
    <w:p w14:paraId="502CEB3A">
      <w:pPr>
        <w:keepNext w:val="0"/>
        <w:keepLines w:val="0"/>
        <w:pageBreakBefore w:val="0"/>
        <w:kinsoku/>
        <w:wordWrap/>
        <w:overflowPunct/>
        <w:topLinePunct w:val="0"/>
        <w:autoSpaceDE/>
        <w:autoSpaceDN/>
        <w:bidi w:val="0"/>
        <w:adjustRightInd w:val="0"/>
        <w:snapToGrid w:val="0"/>
        <w:spacing w:line="288" w:lineRule="auto"/>
        <w:ind w:left="0" w:leftChars="0" w:firstLine="399"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6"/>
          <w:sz w:val="24"/>
          <w:szCs w:val="24"/>
          <w:highlight w:val="none"/>
          <w:u w:val="single"/>
        </w:rPr>
        <w:t>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股、管理关系的，不享受价格扣除优惠政策。</w:t>
      </w:r>
    </w:p>
    <w:p w14:paraId="0FC640ED">
      <w:pPr>
        <w:keepNext w:val="0"/>
        <w:keepLines w:val="0"/>
        <w:pageBreakBefore w:val="0"/>
        <w:kinsoku/>
        <w:wordWrap/>
        <w:overflowPunct/>
        <w:topLinePunct w:val="0"/>
        <w:autoSpaceDE/>
        <w:autoSpaceDN/>
        <w:bidi w:val="0"/>
        <w:adjustRightInd w:val="0"/>
        <w:snapToGrid w:val="0"/>
        <w:spacing w:line="288" w:lineRule="auto"/>
        <w:ind w:left="0" w:leftChars="0" w:firstLine="401" w:firstLineChars="175"/>
        <w:textAlignment w:val="auto"/>
        <w:rPr>
          <w:rFonts w:hint="eastAsia" w:ascii="宋体" w:hAnsi="宋体" w:eastAsia="宋体" w:cs="宋体"/>
          <w:b/>
          <w:bCs/>
          <w:color w:val="auto"/>
          <w:spacing w:val="-6"/>
          <w:sz w:val="24"/>
          <w:szCs w:val="24"/>
          <w:highlight w:val="none"/>
        </w:rPr>
      </w:pPr>
      <w:bookmarkStart w:id="407" w:name="_Hlk81817373"/>
      <w:r>
        <w:rPr>
          <w:rFonts w:hint="eastAsia" w:ascii="宋体" w:hAnsi="宋体" w:eastAsia="宋体" w:cs="宋体"/>
          <w:b/>
          <w:bCs/>
          <w:color w:val="auto"/>
          <w:spacing w:val="-6"/>
          <w:sz w:val="24"/>
          <w:szCs w:val="24"/>
          <w:highlight w:val="none"/>
        </w:rPr>
        <w:t>2.根据《关于政府采购支持监狱企业发展有关问题的通知》（财库[2014]68号）的规定，</w:t>
      </w:r>
      <w:r>
        <w:rPr>
          <w:rFonts w:hint="eastAsia" w:ascii="宋体" w:hAnsi="宋体" w:eastAsia="宋体" w:cs="宋体"/>
          <w:color w:val="auto"/>
          <w:kern w:val="0"/>
          <w:sz w:val="24"/>
          <w:szCs w:val="24"/>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07"/>
    <w:p w14:paraId="38AA1090">
      <w:pPr>
        <w:keepNext w:val="0"/>
        <w:keepLines w:val="0"/>
        <w:pageBreakBefore w:val="0"/>
        <w:widowControl/>
        <w:kinsoku/>
        <w:wordWrap/>
        <w:overflowPunct/>
        <w:topLinePunct w:val="0"/>
        <w:autoSpaceDE/>
        <w:autoSpaceDN/>
        <w:bidi w:val="0"/>
        <w:snapToGrid w:val="0"/>
        <w:spacing w:line="288" w:lineRule="auto"/>
        <w:ind w:left="0" w:leftChars="0" w:firstLine="401" w:firstLineChars="175"/>
        <w:textAlignment w:val="auto"/>
        <w:rPr>
          <w:rFonts w:hint="eastAsia" w:ascii="宋体" w:hAnsi="宋体" w:eastAsia="宋体" w:cs="宋体"/>
          <w:color w:val="auto"/>
          <w:sz w:val="24"/>
          <w:szCs w:val="24"/>
        </w:rPr>
      </w:pPr>
      <w:r>
        <w:rPr>
          <w:rFonts w:hint="eastAsia" w:ascii="宋体" w:hAnsi="宋体" w:eastAsia="宋体" w:cs="宋体"/>
          <w:b/>
          <w:bCs/>
          <w:color w:val="auto"/>
          <w:spacing w:val="-6"/>
          <w:sz w:val="24"/>
          <w:szCs w:val="24"/>
          <w:highlight w:val="none"/>
        </w:rPr>
        <w:t>3.根据《关于促进残疾人就业政府采购政策的通知》（财库[2017]141号）的规定，</w:t>
      </w:r>
      <w:r>
        <w:rPr>
          <w:rFonts w:hint="eastAsia" w:ascii="宋体" w:hAnsi="宋体" w:eastAsia="宋体" w:cs="宋体"/>
          <w:color w:val="auto"/>
          <w:sz w:val="24"/>
          <w:szCs w:val="24"/>
          <w:highlight w:val="none"/>
        </w:rPr>
        <w:t>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w:t>
      </w:r>
      <w:r>
        <w:rPr>
          <w:rFonts w:hint="eastAsia" w:ascii="宋体" w:hAnsi="宋体" w:eastAsia="宋体" w:cs="宋体"/>
          <w:color w:val="auto"/>
          <w:spacing w:val="-6"/>
          <w:sz w:val="24"/>
          <w:szCs w:val="24"/>
          <w:highlight w:val="none"/>
        </w:rPr>
        <w:t>残疾人福利性单位属于小型、微型企业的，不重复享受政策。</w:t>
      </w:r>
    </w:p>
    <w:p w14:paraId="5ECD6BA7">
      <w:pPr>
        <w:keepNext w:val="0"/>
        <w:keepLines w:val="0"/>
        <w:pageBreakBefore w:val="0"/>
        <w:widowControl/>
        <w:kinsoku/>
        <w:wordWrap/>
        <w:overflowPunct/>
        <w:topLinePunct w:val="0"/>
        <w:autoSpaceDE/>
        <w:autoSpaceDN/>
        <w:bidi w:val="0"/>
        <w:snapToGrid w:val="0"/>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3）残疾人福利性单位参加政府采购活动时，应当提供以下证明材料：《残疾人福利性单位声明函》。上述证明材料提供不齐全的，不能享受价格扣除。</w:t>
      </w:r>
    </w:p>
    <w:p w14:paraId="26496BE4">
      <w:pPr>
        <w:spacing w:line="288" w:lineRule="auto"/>
        <w:rPr>
          <w:rFonts w:ascii="宋体" w:hAnsi="宋体"/>
          <w:b/>
          <w:color w:val="auto"/>
          <w:sz w:val="24"/>
          <w:szCs w:val="24"/>
        </w:rPr>
      </w:pPr>
      <w:r>
        <w:rPr>
          <w:rFonts w:hint="eastAsia" w:ascii="宋体" w:hAnsi="宋体"/>
          <w:b/>
          <w:color w:val="auto"/>
          <w:sz w:val="24"/>
          <w:szCs w:val="24"/>
        </w:rPr>
        <w:br w:type="page"/>
      </w:r>
    </w:p>
    <w:bookmarkEnd w:id="400"/>
    <w:bookmarkEnd w:id="401"/>
    <w:bookmarkEnd w:id="402"/>
    <w:bookmarkEnd w:id="403"/>
    <w:bookmarkEnd w:id="404"/>
    <w:bookmarkEnd w:id="405"/>
    <w:bookmarkEnd w:id="406"/>
    <w:p w14:paraId="4D8D4E8A">
      <w:pPr>
        <w:pStyle w:val="3"/>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08" w:name="_Toc18022"/>
      <w:bookmarkStart w:id="409" w:name="_Toc27538"/>
      <w:bookmarkStart w:id="410" w:name="_Toc9271"/>
      <w:bookmarkStart w:id="411" w:name="_Toc17908"/>
      <w:bookmarkStart w:id="412" w:name="_Toc5912"/>
      <w:bookmarkStart w:id="413" w:name="_Toc32547"/>
      <w:bookmarkStart w:id="414" w:name="_Toc4881"/>
      <w:bookmarkStart w:id="415" w:name="_Toc24073"/>
      <w:bookmarkStart w:id="416" w:name="_Toc29628"/>
      <w:bookmarkStart w:id="417" w:name="_Toc22186"/>
      <w:bookmarkStart w:id="418" w:name="_Toc30909"/>
      <w:bookmarkStart w:id="419" w:name="_Toc2437"/>
      <w:bookmarkStart w:id="420" w:name="_Toc30074"/>
      <w:bookmarkStart w:id="421" w:name="_Toc7720"/>
      <w:bookmarkStart w:id="422" w:name="_Toc20227"/>
      <w:bookmarkStart w:id="423" w:name="_Toc10743"/>
      <w:bookmarkStart w:id="424" w:name="_Toc11193"/>
      <w:bookmarkStart w:id="425" w:name="_Toc31149"/>
      <w:bookmarkStart w:id="426" w:name="_Toc10961"/>
      <w:bookmarkStart w:id="427" w:name="_Toc11101"/>
      <w:bookmarkStart w:id="428" w:name="_Toc11975"/>
      <w:bookmarkStart w:id="429" w:name="_Toc12648"/>
      <w:bookmarkStart w:id="430" w:name="_Hlk163050796"/>
      <w:bookmarkStart w:id="431" w:name="_Toc22722"/>
      <w:bookmarkStart w:id="432" w:name="_Toc8338"/>
      <w:bookmarkStart w:id="433" w:name="_Toc16244"/>
      <w:bookmarkStart w:id="434" w:name="_Toc11103"/>
      <w:bookmarkStart w:id="435" w:name="_Toc32613"/>
      <w:bookmarkStart w:id="436" w:name="_Toc2560"/>
      <w:bookmarkStart w:id="437" w:name="_Toc13533"/>
      <w:bookmarkStart w:id="438" w:name="_Toc12834"/>
      <w:bookmarkStart w:id="439" w:name="_Toc11486"/>
      <w:bookmarkStart w:id="440" w:name="_Toc1047"/>
      <w:bookmarkStart w:id="441" w:name="_Toc10262"/>
      <w:bookmarkStart w:id="442" w:name="_Toc16795"/>
      <w:bookmarkStart w:id="443" w:name="_Toc18687"/>
      <w:bookmarkStart w:id="444" w:name="_Toc3727"/>
      <w:bookmarkStart w:id="445" w:name="_Toc8356"/>
      <w:bookmarkStart w:id="446" w:name="_Toc10667"/>
      <w:bookmarkStart w:id="447" w:name="_Toc24190"/>
      <w:bookmarkStart w:id="448" w:name="_Toc18610"/>
      <w:bookmarkStart w:id="449" w:name="_Toc6559"/>
      <w:bookmarkStart w:id="450" w:name="_Toc22400"/>
      <w:bookmarkStart w:id="451" w:name="_Toc26629"/>
      <w:bookmarkStart w:id="452" w:name="_Toc1600"/>
      <w:bookmarkStart w:id="453" w:name="_Toc3807"/>
      <w:bookmarkStart w:id="454" w:name="_Toc8120"/>
      <w:r>
        <w:rPr>
          <w:rFonts w:hint="eastAsia"/>
          <w:color w:val="auto"/>
        </w:rPr>
        <w:t>第五部分 合同基本条款</w:t>
      </w:r>
      <w:bookmarkEnd w:id="408"/>
    </w:p>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72897654">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430"/>
    </w:p>
    <w:p w14:paraId="470B9E29">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55" w:name="_Toc886"/>
      <w:bookmarkStart w:id="456" w:name="_Toc30517"/>
      <w:r>
        <w:rPr>
          <w:rFonts w:hint="eastAsia"/>
          <w:b/>
          <w:bCs/>
          <w:color w:val="auto"/>
          <w:sz w:val="28"/>
          <w:szCs w:val="28"/>
        </w:rPr>
        <w:t>杭州电子科技大学采购合同（货物类）</w:t>
      </w:r>
    </w:p>
    <w:p w14:paraId="242F7C04">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1A303F50">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087BB216">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5E0F39A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4142088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3498615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0E0E5E8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657D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D4C8E5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1B27985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7D8B106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04EB155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6C0B418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48F149D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5DCAE4B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50D84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26A970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6EF73CB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73D151B3">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CD9491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E9F86D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478EBF2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7C2327A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3946E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A44ED9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7E3A607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4429ACF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603D7E9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232EF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0BA692B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3E81861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FE5F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47E681A">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2F509AF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4F3576D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6954FD1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7503D2E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9ADB39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3FDB634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2195D79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10426A34">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1414592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32C766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687D0C0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058EC75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58FCBAD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7DAE41B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33AF99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6501C5B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481D04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277E7CFB">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49C24FB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7" w:name="_Hlk155103594"/>
    </w:p>
    <w:bookmarkEnd w:id="457"/>
    <w:p w14:paraId="1D15C71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338D001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678A683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11B42E3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57F0EDD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4047532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0583777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797C61B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09E93D5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58" w:name="_Hlk155602651"/>
      <w:r>
        <w:rPr>
          <w:rFonts w:hint="eastAsia"/>
          <w:color w:val="auto"/>
        </w:rPr>
        <w:t>送</w:t>
      </w:r>
      <w:r>
        <w:rPr>
          <w:color w:val="auto"/>
        </w:rPr>
        <w:t>货上门</w:t>
      </w:r>
      <w:bookmarkStart w:id="459" w:name="_Hlk155602451"/>
      <w:r>
        <w:rPr>
          <w:color w:val="auto"/>
        </w:rPr>
        <w:t>。</w:t>
      </w:r>
      <w:bookmarkEnd w:id="458"/>
      <w:bookmarkEnd w:id="459"/>
    </w:p>
    <w:p w14:paraId="410E4D6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60" w:name="_Hlk155602663"/>
      <w:r>
        <w:rPr>
          <w:rFonts w:hint="eastAsia"/>
          <w:color w:val="auto"/>
        </w:rPr>
        <w:t>甲方指定地点</w:t>
      </w:r>
      <w:r>
        <w:rPr>
          <w:color w:val="auto"/>
        </w:rPr>
        <w:t>。</w:t>
      </w:r>
      <w:bookmarkEnd w:id="460"/>
    </w:p>
    <w:p w14:paraId="7AFC24F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61"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61"/>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046E195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328725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5D2332D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6E79920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4E0C753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1F2B4C3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2043B8B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6C7283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2" w:name="_Hlk155181772"/>
    </w:p>
    <w:bookmarkEnd w:id="462"/>
    <w:p w14:paraId="7EA042F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291167C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63"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63"/>
    </w:p>
    <w:p w14:paraId="4648071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0F4DFC2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7F5D246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u w:val="single"/>
          <w:lang w:val="en-US" w:eastAsia="zh-CN"/>
        </w:rPr>
        <w:t>2</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4DEFC00D">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7AF217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C98FCF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1B4E1E1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25E26FF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779FE9F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53A25D8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64"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64"/>
      <w:r>
        <w:rPr>
          <w:rFonts w:hint="eastAsia"/>
          <w:color w:val="auto"/>
        </w:rPr>
        <w:t>若因货物缺陷或乙方服务质量等问题造成甲方或任何人员人身、财产损害的，乙方应承担有关责任并作出相应赔偿。</w:t>
      </w:r>
    </w:p>
    <w:p w14:paraId="2C34D86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4E7BAA42">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03FAB7A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5806BF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22047F1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45B829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5C9F318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48F3478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1E6419F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1F2C6BB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5770EE3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19D6671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5EDE1B5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58FB22D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31F9F20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145B832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2C55572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6C8F73D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75211EF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576A5A0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5888C20A">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068D5732">
      <w:pPr>
        <w:pStyle w:val="7"/>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2C4C2E8B">
        <w:tblPrEx>
          <w:tblCellMar>
            <w:top w:w="0" w:type="dxa"/>
            <w:left w:w="108" w:type="dxa"/>
            <w:bottom w:w="0" w:type="dxa"/>
            <w:right w:w="108" w:type="dxa"/>
          </w:tblCellMar>
        </w:tblPrEx>
        <w:trPr>
          <w:trHeight w:val="1112" w:hRule="atLeast"/>
          <w:jc w:val="center"/>
        </w:trPr>
        <w:tc>
          <w:tcPr>
            <w:tcW w:w="4438" w:type="dxa"/>
            <w:vAlign w:val="center"/>
          </w:tcPr>
          <w:p w14:paraId="542BCA7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7E7E157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6CCBBD27">
        <w:tblPrEx>
          <w:tblCellMar>
            <w:top w:w="0" w:type="dxa"/>
            <w:left w:w="108" w:type="dxa"/>
            <w:bottom w:w="0" w:type="dxa"/>
            <w:right w:w="108" w:type="dxa"/>
          </w:tblCellMar>
        </w:tblPrEx>
        <w:trPr>
          <w:trHeight w:val="1261" w:hRule="atLeast"/>
          <w:jc w:val="center"/>
        </w:trPr>
        <w:tc>
          <w:tcPr>
            <w:tcW w:w="4438" w:type="dxa"/>
            <w:vAlign w:val="top"/>
          </w:tcPr>
          <w:p w14:paraId="767545D3">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5697C7D5">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2A335A04">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5AFF9B95">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56B98E32">
        <w:tblPrEx>
          <w:tblCellMar>
            <w:top w:w="0" w:type="dxa"/>
            <w:left w:w="108" w:type="dxa"/>
            <w:bottom w:w="0" w:type="dxa"/>
            <w:right w:w="108" w:type="dxa"/>
          </w:tblCellMar>
        </w:tblPrEx>
        <w:trPr>
          <w:jc w:val="center"/>
        </w:trPr>
        <w:tc>
          <w:tcPr>
            <w:tcW w:w="4438" w:type="dxa"/>
            <w:vAlign w:val="center"/>
          </w:tcPr>
          <w:p w14:paraId="2BE973F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4ED40285">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11882707">
        <w:tblPrEx>
          <w:tblCellMar>
            <w:top w:w="0" w:type="dxa"/>
            <w:left w:w="108" w:type="dxa"/>
            <w:bottom w:w="0" w:type="dxa"/>
            <w:right w:w="108" w:type="dxa"/>
          </w:tblCellMar>
        </w:tblPrEx>
        <w:trPr>
          <w:jc w:val="center"/>
        </w:trPr>
        <w:tc>
          <w:tcPr>
            <w:tcW w:w="4438" w:type="dxa"/>
            <w:vAlign w:val="center"/>
          </w:tcPr>
          <w:p w14:paraId="662B68A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4AAB5320">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41B9F02A">
        <w:tblPrEx>
          <w:tblCellMar>
            <w:top w:w="0" w:type="dxa"/>
            <w:left w:w="108" w:type="dxa"/>
            <w:bottom w:w="0" w:type="dxa"/>
            <w:right w:w="108" w:type="dxa"/>
          </w:tblCellMar>
        </w:tblPrEx>
        <w:trPr>
          <w:jc w:val="center"/>
        </w:trPr>
        <w:tc>
          <w:tcPr>
            <w:tcW w:w="4438" w:type="dxa"/>
            <w:vAlign w:val="center"/>
          </w:tcPr>
          <w:p w14:paraId="69550695">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482CEC2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1C414B37">
        <w:tblPrEx>
          <w:tblCellMar>
            <w:top w:w="0" w:type="dxa"/>
            <w:left w:w="108" w:type="dxa"/>
            <w:bottom w:w="0" w:type="dxa"/>
            <w:right w:w="108" w:type="dxa"/>
          </w:tblCellMar>
        </w:tblPrEx>
        <w:trPr>
          <w:jc w:val="center"/>
        </w:trPr>
        <w:tc>
          <w:tcPr>
            <w:tcW w:w="4438" w:type="dxa"/>
            <w:vAlign w:val="center"/>
          </w:tcPr>
          <w:p w14:paraId="107EBBE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50B1E49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127320E3">
        <w:tblPrEx>
          <w:tblCellMar>
            <w:top w:w="0" w:type="dxa"/>
            <w:left w:w="108" w:type="dxa"/>
            <w:bottom w:w="0" w:type="dxa"/>
            <w:right w:w="108" w:type="dxa"/>
          </w:tblCellMar>
        </w:tblPrEx>
        <w:trPr>
          <w:jc w:val="center"/>
        </w:trPr>
        <w:tc>
          <w:tcPr>
            <w:tcW w:w="4438" w:type="dxa"/>
            <w:vAlign w:val="center"/>
          </w:tcPr>
          <w:p w14:paraId="72BF6A2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213C9F7E">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61523E97">
      <w:pPr>
        <w:snapToGrid w:val="0"/>
        <w:spacing w:line="312" w:lineRule="auto"/>
        <w:ind w:firstLine="727" w:firstLineChars="202"/>
        <w:rPr>
          <w:rStyle w:val="55"/>
          <w:b w:val="0"/>
          <w:color w:val="auto"/>
          <w:szCs w:val="22"/>
        </w:rPr>
      </w:pPr>
      <w:r>
        <w:rPr>
          <w:rStyle w:val="55"/>
          <w:b w:val="0"/>
          <w:color w:val="auto"/>
          <w:szCs w:val="22"/>
        </w:rPr>
        <w:br w:type="page"/>
      </w:r>
    </w:p>
    <w:bookmarkEnd w:id="455"/>
    <w:bookmarkEnd w:id="456"/>
    <w:p w14:paraId="65C55FD8">
      <w:pPr>
        <w:snapToGrid w:val="0"/>
        <w:spacing w:before="240" w:beforeLines="100" w:after="240" w:afterLines="100"/>
        <w:jc w:val="center"/>
        <w:outlineLvl w:val="0"/>
        <w:rPr>
          <w:rStyle w:val="55"/>
          <w:color w:val="auto"/>
        </w:rPr>
      </w:pPr>
      <w:bookmarkStart w:id="465" w:name="_Toc22294"/>
      <w:bookmarkStart w:id="466" w:name="_Toc641"/>
      <w:bookmarkStart w:id="467" w:name="_Toc5553"/>
      <w:bookmarkStart w:id="468" w:name="_Toc721"/>
      <w:bookmarkStart w:id="469" w:name="_Toc8672"/>
      <w:bookmarkStart w:id="470" w:name="_Toc816"/>
      <w:bookmarkStart w:id="471" w:name="_Toc11617"/>
      <w:bookmarkStart w:id="472" w:name="_Toc32309"/>
      <w:bookmarkStart w:id="473" w:name="_Toc10525"/>
      <w:bookmarkStart w:id="474" w:name="_Toc7308"/>
      <w:bookmarkStart w:id="475" w:name="_Toc23835"/>
      <w:bookmarkStart w:id="476" w:name="_Toc32708"/>
      <w:bookmarkStart w:id="477" w:name="_Toc762"/>
      <w:bookmarkStart w:id="478" w:name="_Toc27502"/>
      <w:bookmarkStart w:id="479" w:name="_Toc2191"/>
      <w:r>
        <w:rPr>
          <w:rStyle w:val="55"/>
          <w:rFonts w:hint="eastAsia"/>
          <w:color w:val="auto"/>
        </w:rPr>
        <w:t>第六部分</w:t>
      </w:r>
      <w:r>
        <w:rPr>
          <w:rStyle w:val="55"/>
          <w:color w:val="auto"/>
        </w:rPr>
        <w:t xml:space="preserve"> </w:t>
      </w:r>
      <w:r>
        <w:rPr>
          <w:rStyle w:val="55"/>
          <w:rFonts w:hint="eastAsia"/>
          <w:color w:val="auto"/>
        </w:rPr>
        <w:t>响应文件格式</w:t>
      </w:r>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14:paraId="11EC163E">
      <w:pPr>
        <w:adjustRightInd w:val="0"/>
        <w:snapToGrid w:val="0"/>
        <w:spacing w:line="288" w:lineRule="auto"/>
        <w:jc w:val="center"/>
        <w:outlineLvl w:val="0"/>
        <w:rPr>
          <w:b/>
          <w:bCs/>
          <w:color w:val="auto"/>
          <w:sz w:val="24"/>
          <w:szCs w:val="24"/>
        </w:rPr>
      </w:pPr>
      <w:bookmarkStart w:id="480" w:name="_Toc2326"/>
      <w:bookmarkStart w:id="481" w:name="_Toc32185"/>
      <w:bookmarkStart w:id="482" w:name="_Toc25819"/>
      <w:bookmarkStart w:id="483" w:name="_Toc28613"/>
      <w:bookmarkStart w:id="484" w:name="_Toc11204"/>
      <w:bookmarkStart w:id="485" w:name="_Toc19804"/>
      <w:bookmarkStart w:id="486" w:name="_Toc27063"/>
      <w:bookmarkStart w:id="487" w:name="_Toc24168"/>
      <w:bookmarkStart w:id="488" w:name="_Toc31085"/>
      <w:bookmarkStart w:id="489" w:name="_Toc4610"/>
      <w:bookmarkStart w:id="490" w:name="_Toc3964"/>
      <w:bookmarkStart w:id="491" w:name="_Toc20870"/>
      <w:bookmarkStart w:id="492" w:name="_Toc8070"/>
      <w:bookmarkStart w:id="493" w:name="_Toc22675"/>
      <w:bookmarkStart w:id="494" w:name="_Toc26648"/>
      <w:bookmarkStart w:id="495" w:name="_Toc7013"/>
      <w:bookmarkStart w:id="496" w:name="_Toc4274"/>
      <w:bookmarkStart w:id="497" w:name="_Toc32288"/>
      <w:bookmarkStart w:id="498" w:name="_Toc6868"/>
      <w:bookmarkStart w:id="499" w:name="_Toc7710"/>
      <w:bookmarkStart w:id="500" w:name="_Toc28159"/>
      <w:bookmarkStart w:id="501" w:name="_Toc9636"/>
      <w:bookmarkStart w:id="502" w:name="_Toc17119"/>
      <w:bookmarkStart w:id="503" w:name="_Toc2886"/>
      <w:bookmarkStart w:id="504" w:name="_Toc32223"/>
      <w:bookmarkStart w:id="505" w:name="_Toc20766"/>
      <w:bookmarkStart w:id="506" w:name="_Toc19286"/>
      <w:bookmarkStart w:id="507" w:name="_Toc14400"/>
      <w:bookmarkStart w:id="508" w:name="_Toc14202"/>
      <w:bookmarkStart w:id="509" w:name="_Toc13819"/>
      <w:bookmarkStart w:id="510" w:name="_Toc7409"/>
      <w:bookmarkStart w:id="511" w:name="_Toc9623"/>
      <w:bookmarkStart w:id="512" w:name="_Toc23756"/>
      <w:bookmarkStart w:id="513" w:name="_Toc706"/>
      <w:bookmarkStart w:id="514" w:name="_Toc9502"/>
      <w:bookmarkStart w:id="515" w:name="_Toc27551"/>
      <w:bookmarkStart w:id="516" w:name="_Toc20738"/>
      <w:bookmarkStart w:id="517" w:name="_Toc32522"/>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7112017C">
      <w:pPr>
        <w:adjustRightInd w:val="0"/>
        <w:snapToGrid w:val="0"/>
        <w:spacing w:line="288" w:lineRule="auto"/>
        <w:rPr>
          <w:color w:val="auto"/>
          <w:sz w:val="24"/>
          <w:szCs w:val="24"/>
        </w:rPr>
      </w:pPr>
    </w:p>
    <w:p w14:paraId="276B72D4">
      <w:pPr>
        <w:adjustRightInd w:val="0"/>
        <w:snapToGrid w:val="0"/>
        <w:spacing w:line="288" w:lineRule="auto"/>
        <w:ind w:firstLine="482" w:firstLineChars="200"/>
        <w:outlineLvl w:val="0"/>
        <w:rPr>
          <w:b/>
          <w:bCs/>
          <w:color w:val="auto"/>
          <w:sz w:val="24"/>
          <w:szCs w:val="24"/>
        </w:rPr>
      </w:pPr>
      <w:bookmarkStart w:id="518" w:name="_Hlk71884160"/>
      <w:r>
        <w:rPr>
          <w:rFonts w:hint="eastAsia"/>
          <w:b/>
          <w:bCs/>
          <w:color w:val="auto"/>
          <w:sz w:val="24"/>
          <w:szCs w:val="24"/>
        </w:rPr>
        <w:t>1.资格文件</w:t>
      </w:r>
    </w:p>
    <w:p w14:paraId="1EC4DD4A">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8"/>
    <w:p w14:paraId="1FAC5EA6">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65008B83">
      <w:pPr>
        <w:adjustRightInd w:val="0"/>
        <w:snapToGrid w:val="0"/>
        <w:spacing w:line="288" w:lineRule="auto"/>
        <w:ind w:firstLine="480" w:firstLineChars="200"/>
        <w:outlineLvl w:val="1"/>
        <w:rPr>
          <w:color w:val="auto"/>
          <w:sz w:val="24"/>
          <w:szCs w:val="24"/>
        </w:rPr>
      </w:pPr>
      <w:bookmarkStart w:id="519"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19"/>
    <w:p w14:paraId="44BE8EC5">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2.报价文件</w:t>
      </w:r>
    </w:p>
    <w:p w14:paraId="576A7C5D">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23E90F72">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5D37EB39">
      <w:pPr>
        <w:adjustRightInd w:val="0"/>
        <w:snapToGrid w:val="0"/>
        <w:spacing w:line="288" w:lineRule="auto"/>
        <w:ind w:firstLine="480" w:firstLineChars="200"/>
        <w:outlineLvl w:val="1"/>
        <w:rPr>
          <w:color w:val="auto"/>
          <w:sz w:val="24"/>
          <w:szCs w:val="24"/>
        </w:rPr>
      </w:pPr>
      <w:bookmarkStart w:id="520"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51F83AA7">
      <w:pPr>
        <w:adjustRightInd w:val="0"/>
        <w:snapToGrid w:val="0"/>
        <w:spacing w:line="288" w:lineRule="auto"/>
        <w:ind w:firstLine="480" w:firstLineChars="200"/>
        <w:outlineLvl w:val="1"/>
        <w:rPr>
          <w:color w:val="auto"/>
          <w:sz w:val="24"/>
          <w:szCs w:val="24"/>
        </w:rPr>
      </w:pPr>
      <w:bookmarkStart w:id="521" w:name="OLE_LINK14"/>
      <w:bookmarkStart w:id="522"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21"/>
      <w:bookmarkEnd w:id="522"/>
      <w:r>
        <w:rPr>
          <w:rFonts w:hint="eastAsia"/>
          <w:color w:val="auto"/>
          <w:sz w:val="24"/>
          <w:szCs w:val="24"/>
        </w:rPr>
        <w:t>（若属于残疾人福利性单位）</w:t>
      </w:r>
    </w:p>
    <w:bookmarkEnd w:id="520"/>
    <w:p w14:paraId="55056A33">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3.商务和技术文件</w:t>
      </w:r>
    </w:p>
    <w:p w14:paraId="0113A52D">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6E70A8AD">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1D7F8569">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lang w:eastAsia="zh-CN"/>
        </w:rPr>
        <w:t>2026年1月</w:t>
      </w:r>
      <w:r>
        <w:rPr>
          <w:rFonts w:hint="eastAsia"/>
          <w:color w:val="auto"/>
          <w:sz w:val="24"/>
          <w:szCs w:val="24"/>
        </w:rPr>
        <w:t>（含）以后任意一月供应商授权代表社保缴纳证明（非法定代表人参加时提供）</w:t>
      </w:r>
    </w:p>
    <w:p w14:paraId="49E762BF">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73FE631A">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26B4DF4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61F8A5C0">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23" w:name="_Hlk71884196"/>
      <w:r>
        <w:rPr>
          <w:rFonts w:hint="eastAsia"/>
          <w:color w:val="auto"/>
          <w:sz w:val="24"/>
          <w:szCs w:val="24"/>
        </w:rPr>
        <w:t>详细技术和服务方案</w:t>
      </w:r>
    </w:p>
    <w:p w14:paraId="03080F71">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38DD2F2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23"/>
    <w:p w14:paraId="50485D71">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1F67859D">
      <w:pPr>
        <w:adjustRightInd w:val="0"/>
        <w:snapToGrid w:val="0"/>
        <w:spacing w:line="288" w:lineRule="auto"/>
        <w:jc w:val="center"/>
        <w:outlineLvl w:val="0"/>
        <w:rPr>
          <w:b/>
          <w:bCs/>
          <w:color w:val="auto"/>
          <w:sz w:val="84"/>
          <w:szCs w:val="84"/>
        </w:rPr>
      </w:pPr>
      <w:r>
        <w:rPr>
          <w:rFonts w:hint="eastAsia"/>
          <w:b/>
          <w:bCs/>
          <w:color w:val="auto"/>
          <w:sz w:val="84"/>
          <w:szCs w:val="84"/>
        </w:rPr>
        <w:t>资格文件</w:t>
      </w:r>
    </w:p>
    <w:p w14:paraId="778D6FA7">
      <w:pPr>
        <w:adjustRightInd w:val="0"/>
        <w:snapToGrid w:val="0"/>
        <w:spacing w:line="288" w:lineRule="auto"/>
        <w:jc w:val="center"/>
        <w:outlineLvl w:val="0"/>
        <w:rPr>
          <w:b/>
          <w:bCs/>
          <w:color w:val="auto"/>
          <w:sz w:val="24"/>
          <w:szCs w:val="24"/>
        </w:rPr>
      </w:pPr>
      <w:bookmarkStart w:id="524" w:name="_Hlk94097338"/>
      <w:r>
        <w:rPr>
          <w:rFonts w:hint="eastAsia"/>
          <w:b/>
          <w:bCs/>
          <w:color w:val="auto"/>
          <w:sz w:val="24"/>
          <w:szCs w:val="24"/>
        </w:rPr>
        <w:t>资格审查要求的资格证明材料(均需加盖公章)</w:t>
      </w:r>
      <w:bookmarkEnd w:id="524"/>
    </w:p>
    <w:p w14:paraId="2F81B49C">
      <w:pPr>
        <w:pStyle w:val="20"/>
        <w:ind w:firstLine="480"/>
        <w:rPr>
          <w:color w:val="auto"/>
          <w:sz w:val="24"/>
        </w:rPr>
      </w:pPr>
    </w:p>
    <w:p w14:paraId="2F2E8033">
      <w:pPr>
        <w:adjustRightInd w:val="0"/>
        <w:snapToGrid w:val="0"/>
        <w:spacing w:line="288" w:lineRule="auto"/>
        <w:jc w:val="left"/>
        <w:outlineLvl w:val="9"/>
        <w:rPr>
          <w:b/>
          <w:bCs/>
          <w:color w:val="auto"/>
          <w:sz w:val="24"/>
          <w:szCs w:val="24"/>
        </w:rPr>
      </w:pPr>
    </w:p>
    <w:p w14:paraId="2153E2AE">
      <w:pPr>
        <w:pStyle w:val="4"/>
        <w:bidi w:val="0"/>
        <w:rPr>
          <w:rFonts w:hint="default"/>
          <w:color w:val="auto"/>
          <w:lang w:val="en-US" w:eastAsia="zh-CN"/>
        </w:rPr>
      </w:pPr>
      <w:bookmarkStart w:id="525" w:name="_Toc20868"/>
      <w:r>
        <w:rPr>
          <w:rFonts w:hint="eastAsia"/>
          <w:color w:val="auto"/>
          <w:lang w:val="en-US" w:eastAsia="zh-CN"/>
        </w:rPr>
        <w:t>资格文件</w:t>
      </w:r>
      <w:bookmarkEnd w:id="525"/>
    </w:p>
    <w:p w14:paraId="00F1951C">
      <w:pPr>
        <w:adjustRightInd w:val="0"/>
        <w:snapToGrid w:val="0"/>
        <w:spacing w:line="288" w:lineRule="auto"/>
        <w:jc w:val="left"/>
        <w:outlineLvl w:val="9"/>
        <w:rPr>
          <w:b/>
          <w:bCs/>
          <w:color w:val="auto"/>
          <w:sz w:val="24"/>
          <w:szCs w:val="24"/>
        </w:rPr>
      </w:pPr>
    </w:p>
    <w:p w14:paraId="2E2DFC84">
      <w:pPr>
        <w:pStyle w:val="5"/>
        <w:ind w:left="0" w:firstLine="0"/>
        <w:outlineLvl w:val="0"/>
        <w:rPr>
          <w:color w:val="auto"/>
        </w:rPr>
      </w:pPr>
      <w:bookmarkStart w:id="526" w:name="_Toc17878"/>
      <w:r>
        <w:rPr>
          <w:rFonts w:hint="eastAsia"/>
          <w:color w:val="auto"/>
        </w:rPr>
        <w:t>1）有效的法人或者其他组织的营业执照等证明文件，自然人的身份证明</w:t>
      </w:r>
      <w:bookmarkEnd w:id="526"/>
    </w:p>
    <w:p w14:paraId="1B06AE3F">
      <w:pPr>
        <w:adjustRightInd w:val="0"/>
        <w:snapToGrid w:val="0"/>
        <w:spacing w:line="288" w:lineRule="auto"/>
        <w:rPr>
          <w:b/>
          <w:bCs/>
          <w:color w:val="auto"/>
          <w:sz w:val="24"/>
          <w:szCs w:val="24"/>
        </w:rPr>
      </w:pPr>
      <w:r>
        <w:rPr>
          <w:rFonts w:hint="eastAsia"/>
          <w:b/>
          <w:bCs/>
          <w:color w:val="auto"/>
          <w:sz w:val="24"/>
          <w:szCs w:val="24"/>
        </w:rPr>
        <w:t>说明：</w:t>
      </w:r>
    </w:p>
    <w:p w14:paraId="7BE0B8C4">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10E09B02">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4534663">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1EC8517D">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25431EE">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26E042F">
      <w:pPr>
        <w:adjustRightInd w:val="0"/>
        <w:snapToGrid w:val="0"/>
        <w:spacing w:line="288" w:lineRule="auto"/>
        <w:rPr>
          <w:color w:val="auto"/>
          <w:szCs w:val="21"/>
        </w:rPr>
      </w:pPr>
      <w:r>
        <w:rPr>
          <w:rFonts w:hint="eastAsia"/>
          <w:color w:val="auto"/>
          <w:szCs w:val="21"/>
        </w:rPr>
        <w:br w:type="page"/>
      </w:r>
    </w:p>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41B10E41">
      <w:pPr>
        <w:jc w:val="center"/>
        <w:rPr>
          <w:b/>
          <w:bCs/>
          <w:color w:val="auto"/>
          <w:sz w:val="32"/>
          <w:szCs w:val="32"/>
        </w:rPr>
      </w:pPr>
    </w:p>
    <w:p w14:paraId="0DA8CD85">
      <w:pPr>
        <w:pStyle w:val="5"/>
        <w:ind w:left="0" w:firstLine="0"/>
        <w:outlineLvl w:val="0"/>
        <w:rPr>
          <w:color w:val="auto"/>
        </w:rPr>
      </w:pPr>
      <w:bookmarkStart w:id="527" w:name="_Toc17086"/>
      <w:r>
        <w:rPr>
          <w:rFonts w:hint="eastAsia"/>
          <w:color w:val="auto"/>
        </w:rPr>
        <w:t>2）资格条件承诺函</w:t>
      </w:r>
      <w:bookmarkEnd w:id="527"/>
    </w:p>
    <w:p w14:paraId="0B4138E1">
      <w:pPr>
        <w:jc w:val="center"/>
        <w:outlineLvl w:val="1"/>
        <w:rPr>
          <w:b/>
          <w:bCs/>
          <w:color w:val="auto"/>
          <w:sz w:val="32"/>
          <w:szCs w:val="32"/>
        </w:rPr>
      </w:pPr>
      <w:r>
        <w:rPr>
          <w:rFonts w:hint="eastAsia"/>
          <w:b/>
          <w:bCs/>
          <w:color w:val="auto"/>
          <w:sz w:val="32"/>
          <w:szCs w:val="32"/>
        </w:rPr>
        <w:t>资格条件承诺函</w:t>
      </w:r>
    </w:p>
    <w:p w14:paraId="7A00E4FD">
      <w:pPr>
        <w:snapToGrid w:val="0"/>
        <w:spacing w:line="360" w:lineRule="auto"/>
        <w:rPr>
          <w:color w:val="auto"/>
          <w:sz w:val="24"/>
        </w:rPr>
      </w:pPr>
    </w:p>
    <w:p w14:paraId="2C119B1C">
      <w:pPr>
        <w:snapToGrid w:val="0"/>
        <w:spacing w:line="360" w:lineRule="auto"/>
        <w:rPr>
          <w:color w:val="auto"/>
          <w:sz w:val="24"/>
        </w:rPr>
      </w:pPr>
      <w:r>
        <w:rPr>
          <w:rFonts w:hint="eastAsia"/>
          <w:color w:val="auto"/>
          <w:sz w:val="24"/>
        </w:rPr>
        <w:t>杭州电子科技大学：</w:t>
      </w:r>
    </w:p>
    <w:p w14:paraId="626F5938">
      <w:pPr>
        <w:snapToGrid w:val="0"/>
        <w:spacing w:line="360" w:lineRule="auto"/>
        <w:ind w:firstLine="480" w:firstLineChars="200"/>
        <w:rPr>
          <w:color w:val="auto"/>
          <w:sz w:val="24"/>
        </w:rPr>
      </w:pPr>
      <w:r>
        <w:rPr>
          <w:rFonts w:hint="eastAsia"/>
          <w:color w:val="auto"/>
          <w:sz w:val="24"/>
        </w:rPr>
        <w:t>我方（供应商）承诺：</w:t>
      </w:r>
    </w:p>
    <w:p w14:paraId="78B079AC">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DC67A4D">
      <w:pPr>
        <w:snapToGrid w:val="0"/>
        <w:spacing w:line="360" w:lineRule="auto"/>
        <w:ind w:firstLine="480" w:firstLineChars="200"/>
        <w:rPr>
          <w:color w:val="auto"/>
          <w:sz w:val="24"/>
        </w:rPr>
      </w:pPr>
      <w:r>
        <w:rPr>
          <w:rFonts w:hint="eastAsia"/>
          <w:color w:val="auto"/>
          <w:sz w:val="24"/>
        </w:rPr>
        <w:t>2、具有履行合同所必需的设备和专业技术能力；</w:t>
      </w:r>
    </w:p>
    <w:p w14:paraId="3A609B37">
      <w:pPr>
        <w:snapToGrid w:val="0"/>
        <w:spacing w:line="360" w:lineRule="auto"/>
        <w:ind w:firstLine="480" w:firstLineChars="200"/>
        <w:rPr>
          <w:color w:val="auto"/>
          <w:sz w:val="24"/>
        </w:rPr>
      </w:pPr>
      <w:r>
        <w:rPr>
          <w:rFonts w:hint="eastAsia"/>
          <w:color w:val="auto"/>
          <w:sz w:val="24"/>
        </w:rPr>
        <w:t>3、严格依法缴纳税收和社会保障资金；</w:t>
      </w:r>
    </w:p>
    <w:p w14:paraId="2B34F869">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511C9A42">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32C59ECC">
      <w:pPr>
        <w:snapToGrid w:val="0"/>
        <w:spacing w:line="360" w:lineRule="auto"/>
        <w:ind w:firstLine="480" w:firstLineChars="200"/>
        <w:rPr>
          <w:color w:val="auto"/>
          <w:sz w:val="24"/>
        </w:rPr>
      </w:pPr>
      <w:r>
        <w:rPr>
          <w:rFonts w:hint="eastAsia"/>
          <w:color w:val="auto"/>
          <w:sz w:val="24"/>
        </w:rPr>
        <w:t>6、不存在以下情况：</w:t>
      </w:r>
    </w:p>
    <w:p w14:paraId="09CE23B1">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0331539D">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08EDD552">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2D62E2B">
      <w:pPr>
        <w:snapToGrid w:val="0"/>
        <w:spacing w:line="360" w:lineRule="auto"/>
        <w:ind w:firstLine="480" w:firstLineChars="200"/>
        <w:rPr>
          <w:color w:val="auto"/>
          <w:sz w:val="24"/>
        </w:rPr>
      </w:pPr>
      <w:r>
        <w:rPr>
          <w:rFonts w:hint="eastAsia"/>
          <w:color w:val="auto"/>
          <w:sz w:val="24"/>
        </w:rPr>
        <w:t> </w:t>
      </w:r>
    </w:p>
    <w:p w14:paraId="31BA5354">
      <w:pPr>
        <w:snapToGrid w:val="0"/>
        <w:spacing w:line="360" w:lineRule="auto"/>
        <w:ind w:firstLine="480" w:firstLineChars="200"/>
        <w:rPr>
          <w:color w:val="auto"/>
          <w:sz w:val="24"/>
        </w:rPr>
      </w:pPr>
      <w:r>
        <w:rPr>
          <w:rFonts w:hint="eastAsia"/>
          <w:color w:val="auto"/>
          <w:sz w:val="24"/>
        </w:rPr>
        <w:t>特此承诺！</w:t>
      </w:r>
    </w:p>
    <w:p w14:paraId="65C47EF1">
      <w:pPr>
        <w:pStyle w:val="7"/>
        <w:rPr>
          <w:color w:val="auto"/>
          <w:sz w:val="24"/>
        </w:rPr>
      </w:pPr>
    </w:p>
    <w:p w14:paraId="66301E74">
      <w:pPr>
        <w:rPr>
          <w:color w:val="auto"/>
          <w:sz w:val="24"/>
        </w:rPr>
      </w:pPr>
    </w:p>
    <w:p w14:paraId="2517EC73">
      <w:pPr>
        <w:pStyle w:val="7"/>
        <w:rPr>
          <w:color w:val="auto"/>
        </w:rPr>
      </w:pPr>
    </w:p>
    <w:p w14:paraId="70037909">
      <w:pPr>
        <w:pStyle w:val="25"/>
        <w:spacing w:line="360" w:lineRule="auto"/>
        <w:rPr>
          <w:rFonts w:hAnsi="宋体" w:cs="宋体"/>
          <w:b/>
          <w:bCs/>
          <w:color w:val="auto"/>
          <w:sz w:val="24"/>
        </w:rPr>
      </w:pPr>
      <w:r>
        <w:rPr>
          <w:rFonts w:hint="eastAsia" w:hAnsi="宋体" w:cs="宋体"/>
          <w:b/>
          <w:bCs/>
          <w:color w:val="auto"/>
          <w:sz w:val="24"/>
        </w:rPr>
        <w:t xml:space="preserve">响应方（盖章）：            </w:t>
      </w:r>
    </w:p>
    <w:p w14:paraId="51FD525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0A257A9">
      <w:pPr>
        <w:pStyle w:val="25"/>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2F886D8">
      <w:pPr>
        <w:adjustRightInd w:val="0"/>
        <w:snapToGrid w:val="0"/>
        <w:spacing w:line="288" w:lineRule="auto"/>
        <w:ind w:firstLine="480" w:firstLineChars="200"/>
        <w:rPr>
          <w:color w:val="auto"/>
          <w:sz w:val="24"/>
          <w:szCs w:val="24"/>
        </w:rPr>
      </w:pPr>
    </w:p>
    <w:p w14:paraId="37868EE4">
      <w:pPr>
        <w:adjustRightInd w:val="0"/>
        <w:snapToGrid w:val="0"/>
        <w:spacing w:line="288" w:lineRule="auto"/>
        <w:ind w:firstLine="480" w:firstLineChars="200"/>
        <w:rPr>
          <w:color w:val="auto"/>
          <w:sz w:val="24"/>
          <w:szCs w:val="24"/>
        </w:rPr>
      </w:pPr>
    </w:p>
    <w:p w14:paraId="5C5AB2D6">
      <w:pPr>
        <w:adjustRightInd w:val="0"/>
        <w:snapToGrid w:val="0"/>
        <w:spacing w:line="288" w:lineRule="auto"/>
        <w:jc w:val="center"/>
        <w:outlineLvl w:val="0"/>
        <w:rPr>
          <w:b/>
          <w:bCs/>
          <w:color w:val="auto"/>
          <w:sz w:val="84"/>
          <w:szCs w:val="84"/>
        </w:rPr>
      </w:pPr>
      <w:r>
        <w:rPr>
          <w:rFonts w:hint="eastAsia"/>
          <w:b/>
          <w:bCs/>
          <w:color w:val="auto"/>
          <w:sz w:val="84"/>
          <w:szCs w:val="84"/>
        </w:rPr>
        <w:t>报价文件</w:t>
      </w:r>
    </w:p>
    <w:p w14:paraId="6F68CA70">
      <w:pPr>
        <w:pStyle w:val="4"/>
        <w:keepNext/>
        <w:keepLines/>
        <w:pageBreakBefore w:val="0"/>
        <w:widowControl w:val="0"/>
        <w:kinsoku/>
        <w:wordWrap/>
        <w:overflowPunct/>
        <w:topLinePunct w:val="0"/>
        <w:autoSpaceDE/>
        <w:autoSpaceDN/>
        <w:bidi w:val="0"/>
        <w:adjustRightInd/>
        <w:snapToGrid/>
        <w:spacing w:line="240" w:lineRule="auto"/>
        <w:textAlignment w:val="auto"/>
        <w:rPr>
          <w:rFonts w:hint="default"/>
          <w:color w:val="auto"/>
          <w:lang w:val="en-US" w:eastAsia="zh-CN"/>
        </w:rPr>
      </w:pPr>
      <w:bookmarkStart w:id="528" w:name="_Toc5915"/>
      <w:bookmarkStart w:id="529" w:name="_Toc32416"/>
      <w:bookmarkStart w:id="530" w:name="_Toc11579"/>
      <w:bookmarkStart w:id="531" w:name="_Toc19897"/>
      <w:bookmarkStart w:id="532" w:name="_Toc22542"/>
      <w:bookmarkStart w:id="533" w:name="_Toc15307"/>
      <w:bookmarkStart w:id="534" w:name="_Toc25971"/>
      <w:bookmarkStart w:id="535" w:name="_Toc16624"/>
      <w:bookmarkStart w:id="536" w:name="_Toc24738"/>
      <w:bookmarkStart w:id="537" w:name="_Toc24403"/>
      <w:bookmarkStart w:id="538" w:name="_Toc28619"/>
      <w:bookmarkStart w:id="539" w:name="_Toc3471"/>
      <w:bookmarkStart w:id="540" w:name="_Toc28695"/>
      <w:bookmarkStart w:id="541" w:name="_Toc25418"/>
      <w:bookmarkStart w:id="542" w:name="_Toc13470"/>
      <w:bookmarkStart w:id="543" w:name="_Toc19268"/>
      <w:bookmarkStart w:id="544" w:name="_Toc4455"/>
      <w:bookmarkStart w:id="545" w:name="_Toc25012"/>
      <w:bookmarkStart w:id="546" w:name="_Toc23089"/>
      <w:bookmarkStart w:id="547" w:name="_Toc18705"/>
      <w:bookmarkStart w:id="548" w:name="_Toc19949"/>
      <w:bookmarkStart w:id="549" w:name="_Toc27484"/>
      <w:bookmarkStart w:id="550" w:name="_Toc6771"/>
      <w:bookmarkStart w:id="551" w:name="_Toc20907"/>
      <w:bookmarkStart w:id="552" w:name="_Toc14186"/>
      <w:bookmarkStart w:id="553" w:name="_Toc23539"/>
      <w:bookmarkStart w:id="554" w:name="_Toc10749"/>
      <w:bookmarkStart w:id="555" w:name="_Toc14637"/>
      <w:bookmarkStart w:id="556" w:name="_Toc16736"/>
      <w:bookmarkStart w:id="557" w:name="_Toc24678"/>
      <w:bookmarkStart w:id="558" w:name="_Toc25718"/>
      <w:bookmarkStart w:id="559" w:name="_Toc13060"/>
      <w:bookmarkStart w:id="560" w:name="_Toc5206"/>
      <w:bookmarkStart w:id="561" w:name="_Toc2198"/>
      <w:bookmarkStart w:id="562" w:name="_Toc12332"/>
      <w:bookmarkStart w:id="563" w:name="_Toc23410"/>
      <w:r>
        <w:rPr>
          <w:rFonts w:hint="eastAsia"/>
          <w:color w:val="auto"/>
          <w:lang w:val="en-US" w:eastAsia="zh-CN"/>
        </w:rPr>
        <w:t>报价文件</w:t>
      </w:r>
      <w:bookmarkEnd w:id="528"/>
    </w:p>
    <w:p w14:paraId="1F8DBE1C">
      <w:pPr>
        <w:pStyle w:val="5"/>
        <w:ind w:left="0" w:firstLine="0"/>
        <w:outlineLvl w:val="0"/>
        <w:rPr>
          <w:color w:val="auto"/>
        </w:rPr>
      </w:pPr>
      <w:bookmarkStart w:id="564" w:name="_Toc28342"/>
      <w:r>
        <w:rPr>
          <w:rFonts w:hint="eastAsia"/>
          <w:color w:val="auto"/>
        </w:rPr>
        <w:t>（1）初次报价一览表</w:t>
      </w:r>
      <w:bookmarkEnd w:id="564"/>
    </w:p>
    <w:p w14:paraId="18FEE483">
      <w:pPr>
        <w:pStyle w:val="5"/>
        <w:tabs>
          <w:tab w:val="left" w:pos="0"/>
          <w:tab w:val="clear" w:pos="1275"/>
        </w:tabs>
        <w:ind w:left="15" w:hanging="15"/>
        <w:outlineLvl w:val="9"/>
        <w:rPr>
          <w:rFonts w:ascii="黑体" w:hAnsi="黑体" w:eastAsia="黑体" w:cs="黑体"/>
          <w:color w:val="auto"/>
          <w:szCs w:val="28"/>
        </w:rPr>
      </w:pPr>
    </w:p>
    <w:p w14:paraId="02A84303">
      <w:pPr>
        <w:jc w:val="center"/>
        <w:outlineLvl w:val="1"/>
        <w:rPr>
          <w:b/>
          <w:bCs/>
          <w:color w:val="auto"/>
          <w:sz w:val="32"/>
          <w:szCs w:val="32"/>
        </w:rPr>
      </w:pPr>
      <w:r>
        <w:rPr>
          <w:rFonts w:hint="eastAsia"/>
          <w:b/>
          <w:bCs/>
          <w:color w:val="auto"/>
          <w:sz w:val="32"/>
          <w:szCs w:val="32"/>
        </w:rPr>
        <w:t>初次报价一览表</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421B32E7">
      <w:pPr>
        <w:spacing w:line="460" w:lineRule="exact"/>
        <w:rPr>
          <w:color w:val="auto"/>
          <w:sz w:val="24"/>
        </w:rPr>
      </w:pPr>
      <w:r>
        <w:rPr>
          <w:rFonts w:hint="eastAsia"/>
          <w:color w:val="auto"/>
          <w:sz w:val="24"/>
        </w:rPr>
        <w:t>项目名称：</w:t>
      </w:r>
    </w:p>
    <w:p w14:paraId="2038463F">
      <w:pPr>
        <w:spacing w:line="460" w:lineRule="exact"/>
        <w:rPr>
          <w:color w:val="auto"/>
          <w:sz w:val="24"/>
        </w:rPr>
      </w:pPr>
      <w:r>
        <w:rPr>
          <w:rFonts w:hint="eastAsia"/>
          <w:color w:val="auto"/>
          <w:sz w:val="24"/>
        </w:rPr>
        <w:t>项目编号：</w:t>
      </w:r>
    </w:p>
    <w:p w14:paraId="3E3CB69D">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487E05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3AE10717">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553B78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0F73802">
            <w:pPr>
              <w:spacing w:line="360" w:lineRule="auto"/>
              <w:rPr>
                <w:rFonts w:ascii="宋体" w:hAnsi="宋体"/>
                <w:b/>
                <w:color w:val="auto"/>
                <w:spacing w:val="-6"/>
                <w:sz w:val="24"/>
              </w:rPr>
            </w:pPr>
          </w:p>
          <w:p w14:paraId="25D066A2">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013286AF">
            <w:pPr>
              <w:spacing w:line="360" w:lineRule="auto"/>
              <w:rPr>
                <w:rFonts w:ascii="宋体" w:hAnsi="宋体"/>
                <w:color w:val="auto"/>
                <w:spacing w:val="-6"/>
                <w:sz w:val="24"/>
                <w:u w:val="single"/>
              </w:rPr>
            </w:pPr>
          </w:p>
          <w:p w14:paraId="420DE2D4">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072A2995">
      <w:pPr>
        <w:pStyle w:val="41"/>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02925743">
      <w:pPr>
        <w:pStyle w:val="41"/>
        <w:snapToGrid w:val="0"/>
        <w:spacing w:line="400" w:lineRule="exact"/>
        <w:rPr>
          <w:color w:val="auto"/>
          <w:szCs w:val="24"/>
        </w:rPr>
      </w:pPr>
      <w:r>
        <w:rPr>
          <w:rFonts w:hint="eastAsia"/>
          <w:color w:val="auto"/>
          <w:szCs w:val="24"/>
        </w:rPr>
        <w:t>货币单位：元（人民币）</w:t>
      </w:r>
    </w:p>
    <w:p w14:paraId="57DE6FEB">
      <w:pPr>
        <w:spacing w:line="360" w:lineRule="auto"/>
        <w:ind w:right="-21" w:rightChars="-10"/>
        <w:rPr>
          <w:color w:val="auto"/>
          <w:sz w:val="24"/>
        </w:rPr>
      </w:pPr>
    </w:p>
    <w:p w14:paraId="7A753237">
      <w:pPr>
        <w:pStyle w:val="25"/>
        <w:spacing w:line="360" w:lineRule="auto"/>
        <w:rPr>
          <w:rFonts w:hAnsi="宋体" w:cs="宋体"/>
          <w:b/>
          <w:bCs/>
          <w:color w:val="auto"/>
          <w:sz w:val="24"/>
        </w:rPr>
      </w:pPr>
      <w:r>
        <w:rPr>
          <w:rFonts w:hint="eastAsia" w:hAnsi="宋体" w:cs="宋体"/>
          <w:b/>
          <w:bCs/>
          <w:color w:val="auto"/>
          <w:sz w:val="24"/>
        </w:rPr>
        <w:t xml:space="preserve">响应方（盖章）：            </w:t>
      </w:r>
    </w:p>
    <w:p w14:paraId="455CF3B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C5B98EF">
      <w:pPr>
        <w:spacing w:before="240" w:beforeLines="100" w:after="240" w:afterLines="100"/>
        <w:jc w:val="left"/>
        <w:rPr>
          <w:color w:val="auto"/>
          <w:sz w:val="24"/>
          <w:szCs w:val="24"/>
        </w:rPr>
      </w:pPr>
      <w:r>
        <w:rPr>
          <w:rFonts w:hint="eastAsia" w:ascii="宋体" w:hAnsi="宋体" w:cs="宋体"/>
          <w:color w:val="auto"/>
          <w:sz w:val="24"/>
        </w:rPr>
        <w:t>日期：      年   月   日</w:t>
      </w:r>
    </w:p>
    <w:p w14:paraId="4FC4F88C">
      <w:pPr>
        <w:spacing w:line="360" w:lineRule="auto"/>
        <w:ind w:right="-21" w:rightChars="-10"/>
        <w:rPr>
          <w:color w:val="auto"/>
          <w:sz w:val="24"/>
        </w:rPr>
      </w:pPr>
    </w:p>
    <w:p w14:paraId="67A4246D">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6"/>
    <w:bookmarkEnd w:id="557"/>
    <w:bookmarkEnd w:id="558"/>
    <w:bookmarkEnd w:id="559"/>
    <w:bookmarkEnd w:id="560"/>
    <w:bookmarkEnd w:id="561"/>
    <w:bookmarkEnd w:id="562"/>
    <w:bookmarkEnd w:id="563"/>
    <w:p w14:paraId="2813DDC8">
      <w:pPr>
        <w:rPr>
          <w:rStyle w:val="56"/>
          <w:rFonts w:ascii="宋体" w:hAnsi="宋体" w:eastAsia="宋体" w:cs="宋体"/>
          <w:bCs/>
          <w:color w:val="auto"/>
          <w:sz w:val="24"/>
          <w:szCs w:val="24"/>
        </w:rPr>
      </w:pPr>
      <w:bookmarkStart w:id="565" w:name="_Toc7567"/>
      <w:bookmarkStart w:id="566" w:name="_Toc684"/>
      <w:bookmarkStart w:id="567" w:name="_Toc13880"/>
      <w:bookmarkStart w:id="568" w:name="_Toc3023"/>
      <w:bookmarkStart w:id="569" w:name="_Toc14388"/>
      <w:bookmarkStart w:id="570" w:name="_Toc17884"/>
      <w:bookmarkStart w:id="571" w:name="_Toc25520"/>
      <w:bookmarkStart w:id="572" w:name="_Toc26905"/>
      <w:bookmarkStart w:id="573" w:name="_Toc19420"/>
      <w:bookmarkStart w:id="574" w:name="_Toc17842"/>
      <w:bookmarkStart w:id="575" w:name="_Toc18289"/>
      <w:bookmarkStart w:id="576" w:name="_Toc28934"/>
      <w:bookmarkStart w:id="577" w:name="_Toc17531"/>
      <w:bookmarkStart w:id="578" w:name="_Toc10028"/>
      <w:bookmarkStart w:id="579" w:name="_Toc21201"/>
      <w:bookmarkStart w:id="580" w:name="_Toc27143"/>
      <w:bookmarkStart w:id="581" w:name="_Toc1784"/>
      <w:bookmarkStart w:id="582" w:name="_Toc9617"/>
      <w:bookmarkStart w:id="583" w:name="_Toc834"/>
      <w:bookmarkStart w:id="584" w:name="_Toc2161"/>
      <w:bookmarkStart w:id="585" w:name="_Toc10793"/>
      <w:bookmarkStart w:id="586" w:name="_Toc11450"/>
      <w:bookmarkStart w:id="587" w:name="_Toc24960"/>
      <w:bookmarkStart w:id="588" w:name="_Toc30423"/>
      <w:bookmarkStart w:id="589" w:name="_Toc5570"/>
    </w:p>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14:paraId="3EFD4B6B">
      <w:pPr>
        <w:pStyle w:val="5"/>
        <w:ind w:left="0" w:firstLine="0"/>
        <w:outlineLvl w:val="0"/>
        <w:rPr>
          <w:color w:val="auto"/>
        </w:rPr>
      </w:pPr>
      <w:bookmarkStart w:id="590" w:name="_Toc2048"/>
      <w:bookmarkStart w:id="591" w:name="OLE_LINK4"/>
      <w:r>
        <w:rPr>
          <w:rFonts w:hint="eastAsia"/>
          <w:color w:val="auto"/>
        </w:rPr>
        <w:t>（2）中小企业声明函（若属于中小企业）</w:t>
      </w:r>
      <w:bookmarkEnd w:id="590"/>
    </w:p>
    <w:p w14:paraId="32142CD7">
      <w:pPr>
        <w:pStyle w:val="25"/>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1B62B048">
      <w:pPr>
        <w:snapToGrid w:val="0"/>
        <w:spacing w:line="360" w:lineRule="auto"/>
        <w:jc w:val="center"/>
        <w:rPr>
          <w:b/>
          <w:bCs/>
          <w:color w:val="auto"/>
          <w:sz w:val="24"/>
        </w:rPr>
      </w:pPr>
      <w:r>
        <w:rPr>
          <w:rFonts w:hint="eastAsia"/>
          <w:b/>
          <w:color w:val="auto"/>
          <w:szCs w:val="21"/>
        </w:rPr>
        <w:t>【不属于中小微企业的无需填写、递交】</w:t>
      </w:r>
    </w:p>
    <w:p w14:paraId="6DD54ECC">
      <w:pPr>
        <w:pStyle w:val="2"/>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5FB2771A">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rPr>
        <w:t>采购文件中明确的所属行业）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7E667D4F">
      <w:pPr>
        <w:pStyle w:val="2"/>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5FFAD0CA">
      <w:pPr>
        <w:pStyle w:val="2"/>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1CEA9268">
      <w:pPr>
        <w:pStyle w:val="2"/>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2CC69D6A">
      <w:pPr>
        <w:pStyle w:val="2"/>
        <w:autoSpaceDE w:val="0"/>
        <w:autoSpaceDN w:val="0"/>
        <w:spacing w:after="0" w:line="360" w:lineRule="auto"/>
        <w:ind w:right="372" w:firstLine="645"/>
        <w:rPr>
          <w:rFonts w:ascii="宋体" w:hAnsi="宋体" w:cs="宋体"/>
          <w:color w:val="auto"/>
          <w:szCs w:val="21"/>
        </w:rPr>
      </w:pPr>
    </w:p>
    <w:p w14:paraId="6241FDD1">
      <w:pPr>
        <w:pStyle w:val="25"/>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1948DE08">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4E6039F7">
      <w:pPr>
        <w:pStyle w:val="25"/>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17B13971">
      <w:pPr>
        <w:autoSpaceDE w:val="0"/>
        <w:autoSpaceDN w:val="0"/>
        <w:spacing w:line="360" w:lineRule="auto"/>
        <w:rPr>
          <w:color w:val="auto"/>
          <w:szCs w:val="21"/>
          <w:highlight w:val="green"/>
        </w:rPr>
      </w:pPr>
    </w:p>
    <w:p w14:paraId="1B27CC0F">
      <w:pPr>
        <w:pStyle w:val="19"/>
        <w:rPr>
          <w:color w:val="auto"/>
          <w:sz w:val="21"/>
          <w:szCs w:val="21"/>
        </w:rPr>
      </w:pPr>
    </w:p>
    <w:p w14:paraId="5EF230DA">
      <w:pPr>
        <w:pStyle w:val="19"/>
        <w:rPr>
          <w:color w:val="auto"/>
          <w:sz w:val="21"/>
          <w:szCs w:val="21"/>
        </w:rPr>
      </w:pPr>
    </w:p>
    <w:p w14:paraId="47036D27">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4669E53">
      <w:pPr>
        <w:pStyle w:val="2"/>
        <w:rPr>
          <w:b/>
          <w:bCs/>
          <w:color w:val="auto"/>
        </w:rPr>
      </w:pPr>
      <w:r>
        <w:rPr>
          <w:rFonts w:hint="eastAsia"/>
          <w:b/>
          <w:bCs/>
          <w:color w:val="auto"/>
        </w:rPr>
        <w:t>1.从业人员、营业收入、资产总额填报上一年度数据，无上一年度数据的新成立企业可不填报。</w:t>
      </w:r>
    </w:p>
    <w:p w14:paraId="14AD90D1">
      <w:pPr>
        <w:pStyle w:val="2"/>
        <w:rPr>
          <w:b/>
          <w:bCs/>
          <w:color w:val="auto"/>
        </w:rPr>
      </w:pPr>
      <w:r>
        <w:rPr>
          <w:rFonts w:hint="eastAsia"/>
          <w:b/>
          <w:bCs/>
          <w:color w:val="auto"/>
        </w:rPr>
        <w:t>2.本项目所属行业见前附表。</w:t>
      </w:r>
    </w:p>
    <w:p w14:paraId="4221A495">
      <w:pPr>
        <w:pStyle w:val="2"/>
        <w:rPr>
          <w:b/>
          <w:bCs/>
          <w:color w:val="auto"/>
        </w:rPr>
      </w:pPr>
      <w:r>
        <w:rPr>
          <w:rFonts w:hint="eastAsia"/>
          <w:b/>
          <w:bCs/>
          <w:color w:val="auto"/>
        </w:rPr>
        <w:t>3.中小企业划型标准规定（工信部联企业[2011]300号）附后。</w:t>
      </w:r>
    </w:p>
    <w:p w14:paraId="17172AD9">
      <w:pPr>
        <w:pStyle w:val="2"/>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4D19182B">
      <w:pPr>
        <w:pStyle w:val="2"/>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D00BBB0">
      <w:pPr>
        <w:pStyle w:val="2"/>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7B04F8C3">
      <w:pPr>
        <w:pStyle w:val="2"/>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6C2E4B19">
      <w:pPr>
        <w:pStyle w:val="25"/>
        <w:spacing w:before="120" w:after="120" w:line="360" w:lineRule="auto"/>
        <w:ind w:left="-27" w:firstLine="424"/>
        <w:rPr>
          <w:b/>
          <w:color w:val="auto"/>
        </w:rPr>
        <w:sectPr>
          <w:footerReference r:id="rId6" w:type="default"/>
          <w:pgSz w:w="11907" w:h="16840"/>
          <w:pgMar w:top="1134" w:right="1247" w:bottom="1247" w:left="1247" w:header="567" w:footer="794" w:gutter="0"/>
          <w:cols w:space="720" w:num="1"/>
        </w:sectPr>
      </w:pPr>
      <w:r>
        <w:rPr>
          <w:b/>
          <w:color w:val="auto"/>
        </w:rPr>
        <w:br w:type="page"/>
      </w:r>
    </w:p>
    <w:p w14:paraId="4508EFDF">
      <w:pPr>
        <w:pStyle w:val="25"/>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10B012B5">
      <w:pPr>
        <w:pStyle w:val="25"/>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318A6219">
      <w:pPr>
        <w:rPr>
          <w:b/>
          <w:color w:val="auto"/>
          <w:sz w:val="32"/>
          <w:szCs w:val="32"/>
        </w:rPr>
      </w:pPr>
    </w:p>
    <w:p w14:paraId="464D86EA">
      <w:pPr>
        <w:pStyle w:val="5"/>
        <w:ind w:left="0" w:firstLine="0"/>
        <w:outlineLvl w:val="0"/>
        <w:rPr>
          <w:color w:val="auto"/>
        </w:rPr>
      </w:pPr>
      <w:bookmarkStart w:id="592" w:name="_Toc16705"/>
      <w:r>
        <w:rPr>
          <w:rFonts w:hint="eastAsia"/>
          <w:color w:val="auto"/>
        </w:rPr>
        <w:t>（3）属于监狱企业的证明文件（若属于监狱企业）</w:t>
      </w:r>
      <w:bookmarkEnd w:id="592"/>
    </w:p>
    <w:p w14:paraId="778BCE5E">
      <w:pPr>
        <w:pStyle w:val="25"/>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61714F79">
      <w:pPr>
        <w:pStyle w:val="25"/>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3472F553">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4AE4AD26">
      <w:pPr>
        <w:adjustRightInd w:val="0"/>
        <w:snapToGrid w:val="0"/>
        <w:spacing w:line="288" w:lineRule="auto"/>
        <w:rPr>
          <w:color w:val="auto"/>
          <w:szCs w:val="21"/>
        </w:rPr>
      </w:pPr>
    </w:p>
    <w:p w14:paraId="3E34C17E">
      <w:pPr>
        <w:adjustRightInd w:val="0"/>
        <w:snapToGrid w:val="0"/>
        <w:spacing w:line="288" w:lineRule="auto"/>
        <w:rPr>
          <w:b/>
          <w:bCs/>
          <w:color w:val="auto"/>
          <w:szCs w:val="21"/>
        </w:rPr>
      </w:pPr>
      <w:r>
        <w:rPr>
          <w:rFonts w:hint="eastAsia"/>
          <w:b/>
          <w:bCs/>
          <w:color w:val="auto"/>
          <w:szCs w:val="21"/>
        </w:rPr>
        <w:t>说明：</w:t>
      </w:r>
    </w:p>
    <w:p w14:paraId="4CD535A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612AE36">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7F0E67B6">
      <w:pPr>
        <w:widowControl/>
        <w:adjustRightInd w:val="0"/>
        <w:snapToGrid w:val="0"/>
        <w:spacing w:line="288" w:lineRule="auto"/>
        <w:jc w:val="left"/>
        <w:rPr>
          <w:b/>
          <w:color w:val="auto"/>
          <w:spacing w:val="-6"/>
          <w:szCs w:val="21"/>
        </w:rPr>
      </w:pPr>
      <w:r>
        <w:rPr>
          <w:b/>
          <w:color w:val="auto"/>
          <w:spacing w:val="-6"/>
          <w:szCs w:val="21"/>
        </w:rPr>
        <w:br w:type="page"/>
      </w:r>
    </w:p>
    <w:p w14:paraId="0CE222BA">
      <w:pPr>
        <w:pStyle w:val="5"/>
        <w:ind w:left="0" w:firstLine="0"/>
        <w:outlineLvl w:val="0"/>
        <w:rPr>
          <w:color w:val="auto"/>
        </w:rPr>
      </w:pPr>
      <w:bookmarkStart w:id="593" w:name="_Toc5583"/>
      <w:r>
        <w:rPr>
          <w:rFonts w:hint="eastAsia"/>
          <w:color w:val="auto"/>
        </w:rPr>
        <w:t>（4）残疾人福利性单位声明函（若属于残疾人福利性单位）</w:t>
      </w:r>
      <w:bookmarkEnd w:id="593"/>
    </w:p>
    <w:p w14:paraId="127DFB78">
      <w:pPr>
        <w:pStyle w:val="25"/>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0398D657">
      <w:pPr>
        <w:pStyle w:val="25"/>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5069947D">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6AB044D6">
      <w:pPr>
        <w:spacing w:line="360" w:lineRule="auto"/>
        <w:ind w:firstLine="504" w:firstLineChars="200"/>
        <w:rPr>
          <w:color w:val="auto"/>
          <w:spacing w:val="6"/>
          <w:sz w:val="24"/>
        </w:rPr>
      </w:pPr>
    </w:p>
    <w:p w14:paraId="26967003">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69AD5E66">
      <w:pPr>
        <w:pStyle w:val="53"/>
        <w:rPr>
          <w:color w:val="auto"/>
        </w:rPr>
      </w:pPr>
    </w:p>
    <w:p w14:paraId="39CC94D4">
      <w:pPr>
        <w:pStyle w:val="25"/>
        <w:spacing w:line="360" w:lineRule="auto"/>
        <w:rPr>
          <w:rFonts w:hAnsi="宋体" w:cs="宋体"/>
          <w:b/>
          <w:bCs/>
          <w:color w:val="auto"/>
          <w:sz w:val="24"/>
        </w:rPr>
      </w:pPr>
      <w:r>
        <w:rPr>
          <w:rFonts w:hint="eastAsia" w:hAnsi="宋体" w:cs="宋体"/>
          <w:b/>
          <w:bCs/>
          <w:color w:val="auto"/>
          <w:sz w:val="24"/>
        </w:rPr>
        <w:t xml:space="preserve">响应方（盖章）：            </w:t>
      </w:r>
    </w:p>
    <w:p w14:paraId="2171BED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ABE472A">
      <w:pPr>
        <w:pStyle w:val="25"/>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F98E0D5">
      <w:pPr>
        <w:adjustRightInd w:val="0"/>
        <w:snapToGrid w:val="0"/>
        <w:spacing w:line="288" w:lineRule="auto"/>
        <w:rPr>
          <w:rFonts w:ascii="宋体" w:hAnsi="宋体"/>
          <w:b/>
          <w:bCs/>
          <w:color w:val="auto"/>
          <w:szCs w:val="21"/>
        </w:rPr>
      </w:pPr>
    </w:p>
    <w:p w14:paraId="132D8CB3">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47957A0E">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45104065">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21834FB3">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7D0A40D1">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1DD9D213">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1D11ED5">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0386F3A8">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4223605">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70E7974B">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BFE5F25">
      <w:pPr>
        <w:pStyle w:val="41"/>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91"/>
    <w:p w14:paraId="0B9B0A87">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594" w:name="_Toc28796"/>
      <w:bookmarkStart w:id="595" w:name="_Toc2678"/>
      <w:bookmarkStart w:id="596" w:name="_Toc4245"/>
      <w:bookmarkStart w:id="597" w:name="_Toc3902"/>
      <w:bookmarkStart w:id="598" w:name="_Toc31197"/>
      <w:bookmarkStart w:id="599" w:name="_Toc10583"/>
      <w:bookmarkStart w:id="600" w:name="_Toc1234"/>
      <w:bookmarkStart w:id="601" w:name="_Toc4882"/>
      <w:bookmarkStart w:id="602" w:name="_Toc29034"/>
      <w:bookmarkStart w:id="603" w:name="_Toc5305"/>
      <w:bookmarkStart w:id="604" w:name="_Toc32174"/>
      <w:bookmarkStart w:id="605" w:name="_Toc21599"/>
      <w:bookmarkStart w:id="606" w:name="_Toc25574"/>
      <w:bookmarkStart w:id="607" w:name="_Toc27765"/>
      <w:bookmarkStart w:id="608" w:name="_Toc432"/>
      <w:bookmarkStart w:id="609" w:name="_Toc11033"/>
      <w:bookmarkStart w:id="610" w:name="_Toc2960"/>
      <w:bookmarkStart w:id="611" w:name="_Toc6658"/>
      <w:bookmarkStart w:id="612" w:name="_Toc8554"/>
      <w:bookmarkStart w:id="613" w:name="_Toc21390"/>
      <w:bookmarkStart w:id="614" w:name="_Toc17483"/>
      <w:bookmarkStart w:id="615" w:name="_Toc4954"/>
      <w:bookmarkStart w:id="616" w:name="_Toc20322"/>
      <w:bookmarkStart w:id="617" w:name="_Toc13355"/>
      <w:bookmarkStart w:id="618" w:name="_Toc23382"/>
      <w:bookmarkStart w:id="619" w:name="_Toc13604"/>
      <w:bookmarkStart w:id="620" w:name="_Toc19321"/>
      <w:bookmarkStart w:id="621" w:name="_Toc10465"/>
      <w:bookmarkStart w:id="622" w:name="_Toc30975"/>
      <w:bookmarkStart w:id="623" w:name="_Toc593"/>
      <w:bookmarkStart w:id="624" w:name="_Toc27848"/>
      <w:bookmarkStart w:id="625" w:name="_Toc22262"/>
      <w:bookmarkStart w:id="626" w:name="_Toc17061"/>
      <w:bookmarkStart w:id="627" w:name="_Toc9514"/>
      <w:bookmarkStart w:id="628" w:name="_Toc4011"/>
      <w:bookmarkStart w:id="629" w:name="_Toc118516210"/>
      <w:r>
        <w:rPr>
          <w:rFonts w:hint="eastAsia"/>
          <w:b/>
          <w:bCs/>
          <w:color w:val="auto"/>
          <w:sz w:val="84"/>
          <w:szCs w:val="84"/>
        </w:rPr>
        <w:t>商务和技术文件</w:t>
      </w:r>
    </w:p>
    <w:p w14:paraId="5A942086">
      <w:pPr>
        <w:pStyle w:val="4"/>
        <w:keepNext/>
        <w:keepLines/>
        <w:pageBreakBefore w:val="0"/>
        <w:widowControl w:val="0"/>
        <w:kinsoku/>
        <w:wordWrap/>
        <w:overflowPunct/>
        <w:topLinePunct w:val="0"/>
        <w:autoSpaceDE/>
        <w:autoSpaceDN/>
        <w:bidi w:val="0"/>
        <w:adjustRightInd/>
        <w:snapToGrid/>
        <w:spacing w:line="240" w:lineRule="auto"/>
        <w:textAlignment w:val="auto"/>
        <w:rPr>
          <w:rFonts w:hint="default"/>
          <w:color w:val="auto"/>
          <w:lang w:val="en-US" w:eastAsia="zh-CN"/>
        </w:rPr>
      </w:pPr>
      <w:bookmarkStart w:id="630" w:name="_Toc10278"/>
      <w:r>
        <w:rPr>
          <w:rFonts w:hint="eastAsia"/>
          <w:color w:val="auto"/>
          <w:lang w:val="en-US" w:eastAsia="zh-CN"/>
        </w:rPr>
        <w:t>商务和技术文件</w:t>
      </w:r>
      <w:bookmarkEnd w:id="630"/>
    </w:p>
    <w:p w14:paraId="4A300044">
      <w:pPr>
        <w:pStyle w:val="5"/>
        <w:ind w:left="0" w:firstLine="0"/>
        <w:outlineLvl w:val="0"/>
        <w:rPr>
          <w:color w:val="auto"/>
        </w:rPr>
      </w:pPr>
      <w:bookmarkStart w:id="631" w:name="_Toc20044"/>
      <w:r>
        <w:rPr>
          <w:rFonts w:hint="eastAsia"/>
          <w:color w:val="auto"/>
        </w:rPr>
        <w:t>（1）磋商响应函</w:t>
      </w:r>
      <w:bookmarkEnd w:id="631"/>
      <w:r>
        <w:rPr>
          <w:rFonts w:hint="eastAsia"/>
          <w:color w:val="auto"/>
        </w:rPr>
        <w:t xml:space="preserve">   </w:t>
      </w:r>
    </w:p>
    <w:p w14:paraId="7C2B20AB">
      <w:pPr>
        <w:jc w:val="center"/>
        <w:outlineLvl w:val="1"/>
        <w:rPr>
          <w:b/>
          <w:color w:val="auto"/>
          <w:sz w:val="32"/>
          <w:szCs w:val="32"/>
        </w:rPr>
      </w:pPr>
      <w:r>
        <w:rPr>
          <w:rFonts w:hint="eastAsia"/>
          <w:b/>
          <w:color w:val="auto"/>
          <w:sz w:val="32"/>
          <w:szCs w:val="32"/>
        </w:rPr>
        <w:t>磋商响应函</w:t>
      </w:r>
    </w:p>
    <w:p w14:paraId="707AD16C">
      <w:pPr>
        <w:pStyle w:val="25"/>
        <w:ind w:left="-27" w:firstLine="530"/>
        <w:rPr>
          <w:rFonts w:ascii="Times New Roman" w:hAnsi="Times New Roman"/>
          <w:b/>
          <w:color w:val="auto"/>
          <w:sz w:val="30"/>
        </w:rPr>
      </w:pPr>
    </w:p>
    <w:p w14:paraId="72053690">
      <w:pPr>
        <w:pStyle w:val="25"/>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31E8854A">
      <w:pPr>
        <w:pStyle w:val="25"/>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3A752FBF">
      <w:pPr>
        <w:pStyle w:val="25"/>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60948585">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3F2C8354">
      <w:pPr>
        <w:pStyle w:val="25"/>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2F8A65A8">
      <w:pPr>
        <w:pStyle w:val="25"/>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0210E6F">
      <w:pPr>
        <w:pStyle w:val="25"/>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10ACF6D7">
      <w:pPr>
        <w:pStyle w:val="25"/>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F8681D7">
      <w:pPr>
        <w:pStyle w:val="25"/>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1AEBB40F">
      <w:pPr>
        <w:pStyle w:val="25"/>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00F062C1">
      <w:pPr>
        <w:pStyle w:val="25"/>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F959DE2">
      <w:pPr>
        <w:pStyle w:val="25"/>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5476A261">
      <w:pPr>
        <w:pStyle w:val="25"/>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0668611E">
      <w:pPr>
        <w:pStyle w:val="25"/>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FC67272">
      <w:pPr>
        <w:pStyle w:val="25"/>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E6CAD3F">
      <w:pPr>
        <w:pStyle w:val="25"/>
        <w:spacing w:line="312" w:lineRule="auto"/>
        <w:ind w:left="-27" w:firstLine="480" w:firstLineChars="200"/>
        <w:rPr>
          <w:rFonts w:ascii="Times New Roman" w:hAnsi="Times New Roman"/>
          <w:color w:val="auto"/>
          <w:sz w:val="24"/>
        </w:rPr>
      </w:pPr>
    </w:p>
    <w:p w14:paraId="28DA02A8">
      <w:pPr>
        <w:pStyle w:val="25"/>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1D88A8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2EB66BC">
      <w:pPr>
        <w:spacing w:before="240" w:beforeLines="100" w:after="240" w:afterLines="100"/>
        <w:jc w:val="left"/>
        <w:rPr>
          <w:color w:val="auto"/>
          <w:sz w:val="24"/>
          <w:szCs w:val="24"/>
        </w:rPr>
      </w:pPr>
      <w:r>
        <w:rPr>
          <w:rFonts w:hint="eastAsia" w:ascii="宋体" w:hAnsi="宋体" w:cs="宋体"/>
          <w:color w:val="auto"/>
          <w:sz w:val="24"/>
        </w:rPr>
        <w:t>日期：      年   月   日</w:t>
      </w:r>
    </w:p>
    <w:p w14:paraId="49786E83">
      <w:pPr>
        <w:pStyle w:val="5"/>
        <w:ind w:left="0" w:firstLine="0"/>
        <w:outlineLvl w:val="0"/>
        <w:rPr>
          <w:color w:val="auto"/>
        </w:rPr>
      </w:pPr>
      <w:bookmarkStart w:id="632" w:name="_Toc23753"/>
      <w:r>
        <w:rPr>
          <w:rFonts w:hint="eastAsia"/>
          <w:color w:val="auto"/>
        </w:rPr>
        <w:t>（2）法定代表人授权书（非法定代表人参加时提供）</w:t>
      </w:r>
      <w:bookmarkEnd w:id="632"/>
    </w:p>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14:paraId="2F0A256B">
      <w:pPr>
        <w:pStyle w:val="25"/>
        <w:tabs>
          <w:tab w:val="left" w:pos="450"/>
        </w:tabs>
        <w:spacing w:line="400" w:lineRule="atLeast"/>
        <w:ind w:left="-27" w:firstLine="422"/>
        <w:rPr>
          <w:rFonts w:ascii="Times New Roman" w:hAnsi="Times New Roman"/>
          <w:color w:val="auto"/>
          <w:sz w:val="24"/>
          <w:szCs w:val="24"/>
        </w:rPr>
      </w:pPr>
    </w:p>
    <w:p w14:paraId="06320E40">
      <w:pPr>
        <w:pStyle w:val="25"/>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2A795A66">
      <w:pPr>
        <w:pStyle w:val="25"/>
        <w:spacing w:line="600" w:lineRule="atLeast"/>
        <w:ind w:left="-27" w:firstLine="493"/>
        <w:rPr>
          <w:rFonts w:ascii="Times New Roman" w:hAnsi="Times New Roman"/>
          <w:color w:val="auto"/>
          <w:sz w:val="28"/>
          <w:u w:val="single"/>
        </w:rPr>
      </w:pPr>
    </w:p>
    <w:p w14:paraId="7616D24B">
      <w:pPr>
        <w:pStyle w:val="25"/>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7A588DCC">
      <w:pPr>
        <w:pStyle w:val="25"/>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C7AB887">
      <w:pPr>
        <w:pStyle w:val="25"/>
        <w:spacing w:line="600" w:lineRule="atLeast"/>
        <w:ind w:left="-27" w:firstLine="422"/>
        <w:rPr>
          <w:rFonts w:ascii="Times New Roman" w:hAnsi="Times New Roman"/>
          <w:color w:val="auto"/>
          <w:sz w:val="24"/>
          <w:szCs w:val="24"/>
        </w:rPr>
      </w:pPr>
    </w:p>
    <w:p w14:paraId="1A089C29">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lang w:eastAsia="zh-CN"/>
        </w:rPr>
        <w:t>2026年1月</w:t>
      </w:r>
      <w:r>
        <w:rPr>
          <w:rFonts w:hint="eastAsia" w:ascii="宋体" w:hAnsi="宋体"/>
          <w:b/>
          <w:bCs/>
          <w:color w:val="auto"/>
          <w:spacing w:val="-6"/>
          <w:sz w:val="24"/>
          <w:szCs w:val="24"/>
          <w:u w:val="single"/>
        </w:rPr>
        <w:t>（含）以后任意一月社保缴纳证明。</w:t>
      </w:r>
    </w:p>
    <w:p w14:paraId="002CAACB">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A1AFE9E">
      <w:pPr>
        <w:pStyle w:val="25"/>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E6B9FB4">
      <w:pPr>
        <w:pStyle w:val="25"/>
        <w:spacing w:line="400" w:lineRule="atLeast"/>
        <w:ind w:left="-27" w:firstLine="422"/>
        <w:rPr>
          <w:rFonts w:ascii="Times New Roman" w:hAnsi="Times New Roman"/>
          <w:color w:val="auto"/>
          <w:sz w:val="24"/>
          <w:szCs w:val="24"/>
        </w:rPr>
      </w:pPr>
    </w:p>
    <w:p w14:paraId="66F8C789">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64F8EF82">
      <w:pPr>
        <w:pStyle w:val="25"/>
        <w:spacing w:line="400" w:lineRule="atLeast"/>
        <w:ind w:left="-27" w:firstLine="422"/>
        <w:rPr>
          <w:rFonts w:ascii="Times New Roman" w:hAnsi="Times New Roman"/>
          <w:color w:val="auto"/>
          <w:sz w:val="24"/>
          <w:szCs w:val="24"/>
        </w:rPr>
      </w:pPr>
    </w:p>
    <w:p w14:paraId="3F9C484E">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07DD8B0E">
      <w:pPr>
        <w:pStyle w:val="25"/>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B7F83BD">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35AEE01E">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983D209">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266E3578">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72F2FC8C">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284012B8">
      <w:pPr>
        <w:pStyle w:val="25"/>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8189628">
      <w:pPr>
        <w:pStyle w:val="25"/>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0A5EAE30">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406A77E8">
      <w:pPr>
        <w:widowControl/>
        <w:ind w:firstLine="723" w:firstLineChars="225"/>
        <w:jc w:val="left"/>
        <w:rPr>
          <w:b/>
          <w:color w:val="auto"/>
          <w:sz w:val="32"/>
          <w:szCs w:val="32"/>
        </w:rPr>
      </w:pPr>
    </w:p>
    <w:p w14:paraId="2A5C0AB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78A71AE7">
      <w:pPr>
        <w:widowControl/>
        <w:ind w:firstLine="723" w:firstLineChars="225"/>
        <w:jc w:val="left"/>
        <w:rPr>
          <w:b/>
          <w:color w:val="auto"/>
          <w:sz w:val="32"/>
          <w:szCs w:val="32"/>
        </w:rPr>
      </w:pPr>
    </w:p>
    <w:p w14:paraId="3CCD3DFF">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4EB19BF">
      <w:pPr>
        <w:pStyle w:val="5"/>
        <w:ind w:left="0" w:firstLine="0"/>
        <w:outlineLvl w:val="0"/>
        <w:rPr>
          <w:color w:val="auto"/>
        </w:rPr>
      </w:pPr>
      <w:bookmarkStart w:id="633" w:name="_Toc9528"/>
      <w:r>
        <w:rPr>
          <w:rFonts w:hint="eastAsia"/>
          <w:color w:val="auto"/>
        </w:rPr>
        <w:t>（3）授权代表社保缴纳证明</w:t>
      </w:r>
      <w:bookmarkEnd w:id="633"/>
    </w:p>
    <w:p w14:paraId="78D2DE8E">
      <w:pPr>
        <w:rPr>
          <w:rFonts w:ascii="宋体" w:hAnsi="宋体" w:cs="宋体"/>
          <w:b/>
          <w:color w:val="auto"/>
          <w:spacing w:val="-6"/>
          <w:sz w:val="32"/>
          <w:szCs w:val="32"/>
        </w:rPr>
      </w:pPr>
    </w:p>
    <w:p w14:paraId="20B35292">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lang w:eastAsia="zh-CN"/>
        </w:rPr>
        <w:t>2026年1月</w:t>
      </w:r>
      <w:r>
        <w:rPr>
          <w:rFonts w:hint="eastAsia" w:ascii="宋体" w:hAnsi="宋体" w:cs="宋体"/>
          <w:b/>
          <w:color w:val="auto"/>
          <w:spacing w:val="-6"/>
          <w:sz w:val="32"/>
          <w:szCs w:val="32"/>
        </w:rPr>
        <w:t>（含）以后任意一月授权代表社保缴纳证明</w:t>
      </w:r>
    </w:p>
    <w:p w14:paraId="4836700B">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17B1ADAD">
      <w:pPr>
        <w:widowControl/>
        <w:ind w:firstLine="723" w:firstLineChars="225"/>
        <w:jc w:val="left"/>
        <w:rPr>
          <w:b/>
          <w:color w:val="auto"/>
          <w:sz w:val="32"/>
          <w:szCs w:val="32"/>
        </w:rPr>
      </w:pPr>
    </w:p>
    <w:p w14:paraId="18B3C486">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7D967227">
      <w:pPr>
        <w:pStyle w:val="5"/>
        <w:ind w:left="0" w:firstLine="0"/>
        <w:outlineLvl w:val="0"/>
        <w:rPr>
          <w:color w:val="auto"/>
        </w:rPr>
      </w:pPr>
      <w:bookmarkStart w:id="634" w:name="_Toc4883"/>
      <w:bookmarkStart w:id="635" w:name="_Toc26387"/>
      <w:bookmarkStart w:id="636" w:name="_Toc2212"/>
      <w:bookmarkStart w:id="637" w:name="_Toc30038"/>
      <w:bookmarkStart w:id="638" w:name="_Toc25890"/>
      <w:bookmarkStart w:id="639" w:name="_Toc23121"/>
      <w:bookmarkStart w:id="640" w:name="_Toc19676"/>
      <w:bookmarkStart w:id="641" w:name="_Toc14222"/>
      <w:bookmarkStart w:id="642" w:name="_Toc21021"/>
      <w:bookmarkStart w:id="643" w:name="_Toc25749"/>
      <w:bookmarkStart w:id="644" w:name="_Toc19495"/>
      <w:bookmarkStart w:id="645" w:name="_Toc4577"/>
      <w:bookmarkStart w:id="646" w:name="_Toc9338"/>
      <w:bookmarkStart w:id="647" w:name="_Toc5481"/>
      <w:bookmarkStart w:id="648" w:name="_Toc2974"/>
      <w:bookmarkStart w:id="649" w:name="_Toc28598"/>
      <w:bookmarkStart w:id="650" w:name="_Toc24184"/>
      <w:bookmarkStart w:id="651" w:name="_Toc3968"/>
      <w:bookmarkStart w:id="652" w:name="_Toc26592"/>
      <w:bookmarkStart w:id="653" w:name="_Toc20443"/>
      <w:bookmarkStart w:id="654" w:name="_Toc30387"/>
      <w:bookmarkStart w:id="655" w:name="_Toc11332"/>
      <w:bookmarkStart w:id="656" w:name="_Toc2570"/>
      <w:bookmarkStart w:id="657" w:name="_Toc14198"/>
      <w:bookmarkStart w:id="658" w:name="_Toc14954"/>
      <w:bookmarkStart w:id="659" w:name="_Toc14931"/>
      <w:bookmarkStart w:id="660" w:name="_Toc350"/>
      <w:bookmarkStart w:id="661" w:name="_Toc20129"/>
      <w:bookmarkStart w:id="662" w:name="_Toc18481"/>
      <w:bookmarkStart w:id="663" w:name="_Toc32360"/>
      <w:bookmarkStart w:id="664" w:name="_Toc24848"/>
      <w:bookmarkStart w:id="665" w:name="_Toc772"/>
      <w:bookmarkStart w:id="666" w:name="_Toc31464"/>
      <w:bookmarkStart w:id="667" w:name="_Toc31758"/>
      <w:bookmarkStart w:id="668" w:name="_Toc26242"/>
      <w:bookmarkStart w:id="669" w:name="_Toc11813"/>
      <w:bookmarkStart w:id="670" w:name="_Toc31568"/>
      <w:bookmarkStart w:id="671" w:name="_Toc22103"/>
      <w:bookmarkStart w:id="672" w:name="_Toc12615"/>
      <w:r>
        <w:rPr>
          <w:rFonts w:hint="eastAsia"/>
          <w:color w:val="auto"/>
        </w:rPr>
        <w:t>（4）法定代表人资格证明书</w:t>
      </w:r>
      <w:bookmarkEnd w:id="634"/>
      <w:bookmarkEnd w:id="635"/>
      <w:bookmarkEnd w:id="636"/>
      <w:bookmarkEnd w:id="637"/>
      <w:bookmarkEnd w:id="638"/>
      <w:bookmarkEnd w:id="639"/>
      <w:bookmarkEnd w:id="640"/>
      <w:bookmarkEnd w:id="641"/>
      <w:bookmarkEnd w:id="642"/>
      <w:bookmarkEnd w:id="643"/>
      <w:r>
        <w:rPr>
          <w:rFonts w:hint="eastAsia"/>
          <w:color w:val="auto"/>
        </w:rPr>
        <w:t>（法定代表人参加时提供）</w:t>
      </w:r>
      <w:bookmarkEnd w:id="644"/>
    </w:p>
    <w:p w14:paraId="7B05653A">
      <w:pPr>
        <w:pStyle w:val="20"/>
        <w:ind w:left="0" w:leftChars="0" w:firstLine="0" w:firstLineChars="0"/>
        <w:rPr>
          <w:color w:val="auto"/>
        </w:rPr>
      </w:pPr>
    </w:p>
    <w:p w14:paraId="5C041709">
      <w:pPr>
        <w:pStyle w:val="25"/>
        <w:tabs>
          <w:tab w:val="left" w:pos="450"/>
        </w:tabs>
        <w:spacing w:line="400" w:lineRule="atLeast"/>
        <w:ind w:left="-27" w:firstLine="565"/>
        <w:jc w:val="center"/>
        <w:outlineLvl w:val="1"/>
        <w:rPr>
          <w:rFonts w:ascii="Times New Roman" w:hAnsi="Times New Roman"/>
          <w:b/>
          <w:color w:val="auto"/>
          <w:sz w:val="32"/>
          <w:szCs w:val="32"/>
        </w:rPr>
      </w:pPr>
      <w:bookmarkStart w:id="673" w:name="_Toc10019"/>
      <w:r>
        <w:rPr>
          <w:rFonts w:hint="eastAsia" w:ascii="Times New Roman" w:hAnsi="Times New Roman"/>
          <w:b/>
          <w:color w:val="auto"/>
          <w:sz w:val="32"/>
          <w:szCs w:val="32"/>
        </w:rPr>
        <w:t>法定代表人资格证明书</w:t>
      </w:r>
      <w:bookmarkEnd w:id="673"/>
    </w:p>
    <w:p w14:paraId="3BF46385">
      <w:pPr>
        <w:spacing w:line="360" w:lineRule="auto"/>
        <w:jc w:val="center"/>
        <w:rPr>
          <w:b/>
          <w:color w:val="auto"/>
          <w:spacing w:val="-6"/>
          <w:sz w:val="24"/>
        </w:rPr>
      </w:pPr>
    </w:p>
    <w:p w14:paraId="33063788">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01990E7">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54DBC839">
      <w:pPr>
        <w:spacing w:line="360" w:lineRule="auto"/>
        <w:ind w:firstLine="456" w:firstLineChars="200"/>
        <w:rPr>
          <w:bCs/>
          <w:color w:val="auto"/>
          <w:spacing w:val="-6"/>
          <w:sz w:val="24"/>
        </w:rPr>
      </w:pPr>
      <w:r>
        <w:rPr>
          <w:bCs/>
          <w:color w:val="auto"/>
          <w:spacing w:val="-6"/>
          <w:sz w:val="24"/>
        </w:rPr>
        <w:t>特此证明。</w:t>
      </w:r>
    </w:p>
    <w:p w14:paraId="3BE72049">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091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19AD551">
            <w:pPr>
              <w:jc w:val="center"/>
              <w:rPr>
                <w:color w:val="auto"/>
                <w:sz w:val="24"/>
              </w:rPr>
            </w:pPr>
            <w:r>
              <w:rPr>
                <w:color w:val="auto"/>
                <w:sz w:val="24"/>
              </w:rPr>
              <w:t>法定代表人身份证(正、反面)复印件粘贴处</w:t>
            </w:r>
          </w:p>
          <w:p w14:paraId="0771191C">
            <w:pPr>
              <w:spacing w:line="360" w:lineRule="auto"/>
              <w:jc w:val="center"/>
              <w:rPr>
                <w:bCs/>
                <w:color w:val="auto"/>
                <w:spacing w:val="-6"/>
                <w:sz w:val="24"/>
              </w:rPr>
            </w:pPr>
          </w:p>
        </w:tc>
      </w:tr>
    </w:tbl>
    <w:p w14:paraId="26BD83B6">
      <w:pPr>
        <w:spacing w:line="360" w:lineRule="auto"/>
        <w:rPr>
          <w:bCs/>
          <w:color w:val="auto"/>
          <w:spacing w:val="-6"/>
          <w:sz w:val="24"/>
        </w:rPr>
      </w:pPr>
    </w:p>
    <w:p w14:paraId="76ED7EF0">
      <w:pPr>
        <w:spacing w:line="360" w:lineRule="auto"/>
        <w:ind w:right="456"/>
        <w:rPr>
          <w:b/>
          <w:bCs/>
          <w:color w:val="auto"/>
          <w:spacing w:val="-6"/>
          <w:sz w:val="24"/>
        </w:rPr>
      </w:pPr>
    </w:p>
    <w:p w14:paraId="4996B377">
      <w:pPr>
        <w:pStyle w:val="25"/>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298BC0EF">
      <w:pPr>
        <w:pStyle w:val="25"/>
        <w:spacing w:line="400" w:lineRule="atLeast"/>
        <w:ind w:left="-27" w:firstLine="2530" w:firstLineChars="1050"/>
        <w:rPr>
          <w:rFonts w:ascii="Times New Roman" w:hAnsi="Times New Roman"/>
          <w:b/>
          <w:bCs/>
          <w:color w:val="auto"/>
          <w:sz w:val="24"/>
          <w:szCs w:val="24"/>
        </w:rPr>
      </w:pPr>
    </w:p>
    <w:p w14:paraId="553529A7">
      <w:pPr>
        <w:pStyle w:val="25"/>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4BFC0A2D">
      <w:pPr>
        <w:spacing w:line="360" w:lineRule="auto"/>
        <w:ind w:left="3578" w:leftChars="1704" w:right="456"/>
        <w:rPr>
          <w:b/>
          <w:bCs/>
          <w:color w:val="auto"/>
          <w:sz w:val="24"/>
          <w:szCs w:val="24"/>
        </w:rPr>
      </w:pPr>
      <w:r>
        <w:rPr>
          <w:rFonts w:hint="eastAsia"/>
          <w:b/>
          <w:bCs/>
          <w:color w:val="auto"/>
          <w:sz w:val="24"/>
          <w:szCs w:val="24"/>
        </w:rPr>
        <w:t xml:space="preserve"> </w:t>
      </w:r>
    </w:p>
    <w:p w14:paraId="6CA8DD6B">
      <w:pPr>
        <w:spacing w:line="360" w:lineRule="auto"/>
        <w:ind w:left="3360" w:leftChars="1600" w:right="456"/>
        <w:rPr>
          <w:color w:val="auto"/>
          <w:sz w:val="24"/>
          <w:szCs w:val="24"/>
        </w:rPr>
      </w:pPr>
    </w:p>
    <w:p w14:paraId="30C4CCD7">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111B196D">
      <w:pPr>
        <w:pStyle w:val="5"/>
        <w:ind w:left="0" w:firstLine="0"/>
        <w:outlineLvl w:val="0"/>
        <w:rPr>
          <w:color w:val="auto"/>
        </w:rPr>
      </w:pPr>
      <w:bookmarkStart w:id="674" w:name="_Toc723"/>
      <w:bookmarkStart w:id="675" w:name="_Toc3162"/>
      <w:bookmarkStart w:id="676" w:name="_Toc6625"/>
      <w:bookmarkStart w:id="677" w:name="_Toc25655"/>
      <w:bookmarkStart w:id="678" w:name="_Toc29343"/>
      <w:bookmarkStart w:id="679" w:name="_Toc11889"/>
      <w:bookmarkStart w:id="680" w:name="_Toc16347"/>
      <w:bookmarkStart w:id="681" w:name="_Toc24989"/>
      <w:bookmarkStart w:id="682" w:name="_Toc441"/>
      <w:bookmarkStart w:id="683" w:name="_Toc30921"/>
      <w:bookmarkStart w:id="684" w:name="_Toc15720"/>
      <w:bookmarkStart w:id="685" w:name="_Toc30169"/>
      <w:bookmarkStart w:id="686" w:name="_Toc3893"/>
      <w:bookmarkStart w:id="687" w:name="_Toc24530"/>
      <w:bookmarkStart w:id="688" w:name="_Toc17219"/>
      <w:bookmarkStart w:id="689" w:name="_Toc2218"/>
      <w:bookmarkStart w:id="690" w:name="_Toc22052"/>
      <w:bookmarkStart w:id="691" w:name="_Toc5970"/>
      <w:bookmarkStart w:id="692" w:name="_Toc1334"/>
      <w:bookmarkStart w:id="693" w:name="_Toc20101"/>
      <w:bookmarkStart w:id="694" w:name="_Toc4163"/>
      <w:bookmarkStart w:id="695" w:name="_Toc27945"/>
      <w:bookmarkStart w:id="696" w:name="_Toc17126"/>
      <w:bookmarkStart w:id="697" w:name="_Toc26243"/>
      <w:bookmarkStart w:id="698" w:name="_Toc30022"/>
      <w:bookmarkStart w:id="699" w:name="_Toc1553"/>
      <w:bookmarkStart w:id="700" w:name="_Toc23078"/>
      <w:bookmarkStart w:id="701" w:name="_Toc21741"/>
      <w:bookmarkStart w:id="702" w:name="_Toc32367"/>
      <w:bookmarkStart w:id="703" w:name="_Toc20480"/>
      <w:bookmarkStart w:id="704" w:name="_Toc32465"/>
      <w:bookmarkStart w:id="705" w:name="_Toc15510"/>
      <w:bookmarkStart w:id="706" w:name="_Toc27347"/>
      <w:bookmarkStart w:id="707" w:name="_Toc21937"/>
      <w:bookmarkStart w:id="708" w:name="_Toc11492"/>
      <w:bookmarkStart w:id="709" w:name="_Toc27024"/>
      <w:r>
        <w:rPr>
          <w:rFonts w:hint="eastAsia"/>
          <w:color w:val="auto"/>
        </w:rPr>
        <w:t>（5）采购需求偏离表</w:t>
      </w:r>
      <w:bookmarkEnd w:id="674"/>
    </w:p>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14:paraId="0D595283">
      <w:pPr>
        <w:jc w:val="center"/>
        <w:outlineLvl w:val="1"/>
        <w:rPr>
          <w:b/>
          <w:bCs/>
          <w:color w:val="auto"/>
          <w:sz w:val="32"/>
        </w:rPr>
      </w:pPr>
      <w:r>
        <w:rPr>
          <w:rFonts w:hint="eastAsia"/>
          <w:b/>
          <w:bCs/>
          <w:color w:val="auto"/>
          <w:sz w:val="32"/>
        </w:rPr>
        <w:t>采购需求偏离表</w:t>
      </w:r>
    </w:p>
    <w:p w14:paraId="79FFA947">
      <w:pPr>
        <w:rPr>
          <w:b/>
          <w:bCs/>
          <w:color w:val="auto"/>
          <w:sz w:val="32"/>
        </w:rPr>
      </w:pPr>
    </w:p>
    <w:p w14:paraId="048E8140">
      <w:pPr>
        <w:pStyle w:val="25"/>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7C8A6DE3">
      <w:pPr>
        <w:pStyle w:val="25"/>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D59EE57">
      <w:pPr>
        <w:pStyle w:val="25"/>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056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2B87D14F">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EAE1D61">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38D9D65A">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20A71EA">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249A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7A32CED">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253A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A3A043B">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F7E9BC1">
            <w:pPr>
              <w:rPr>
                <w:rFonts w:ascii="宋体" w:hAnsi="宋体" w:cs="宋体"/>
                <w:color w:val="auto"/>
                <w:szCs w:val="21"/>
              </w:rPr>
            </w:pPr>
          </w:p>
        </w:tc>
        <w:tc>
          <w:tcPr>
            <w:tcW w:w="2574" w:type="dxa"/>
            <w:vAlign w:val="center"/>
          </w:tcPr>
          <w:p w14:paraId="784E219F">
            <w:pPr>
              <w:rPr>
                <w:rFonts w:ascii="宋体" w:hAnsi="宋体" w:cs="宋体"/>
                <w:color w:val="auto"/>
                <w:szCs w:val="21"/>
              </w:rPr>
            </w:pPr>
          </w:p>
        </w:tc>
        <w:tc>
          <w:tcPr>
            <w:tcW w:w="2124" w:type="dxa"/>
            <w:vAlign w:val="center"/>
          </w:tcPr>
          <w:p w14:paraId="63EDAFB4">
            <w:pPr>
              <w:rPr>
                <w:rFonts w:ascii="宋体" w:hAnsi="宋体" w:cs="宋体"/>
                <w:color w:val="auto"/>
                <w:szCs w:val="21"/>
              </w:rPr>
            </w:pPr>
          </w:p>
        </w:tc>
      </w:tr>
      <w:tr w14:paraId="6E01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326DB0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F081A7E">
            <w:pPr>
              <w:rPr>
                <w:rFonts w:ascii="宋体" w:hAnsi="宋体" w:cs="宋体"/>
                <w:color w:val="auto"/>
                <w:szCs w:val="21"/>
              </w:rPr>
            </w:pPr>
          </w:p>
        </w:tc>
        <w:tc>
          <w:tcPr>
            <w:tcW w:w="2574" w:type="dxa"/>
            <w:vAlign w:val="center"/>
          </w:tcPr>
          <w:p w14:paraId="7B49EF45">
            <w:pPr>
              <w:rPr>
                <w:rFonts w:ascii="宋体" w:hAnsi="宋体" w:cs="宋体"/>
                <w:color w:val="auto"/>
                <w:szCs w:val="21"/>
              </w:rPr>
            </w:pPr>
          </w:p>
        </w:tc>
        <w:tc>
          <w:tcPr>
            <w:tcW w:w="2124" w:type="dxa"/>
            <w:vAlign w:val="center"/>
          </w:tcPr>
          <w:p w14:paraId="285BA3C4">
            <w:pPr>
              <w:rPr>
                <w:rFonts w:ascii="宋体" w:hAnsi="宋体" w:cs="宋体"/>
                <w:color w:val="auto"/>
                <w:szCs w:val="21"/>
              </w:rPr>
            </w:pPr>
          </w:p>
        </w:tc>
      </w:tr>
      <w:tr w14:paraId="1521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1E7AC9A">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9AF5BA9">
            <w:pPr>
              <w:rPr>
                <w:rFonts w:ascii="宋体" w:hAnsi="宋体" w:cs="宋体"/>
                <w:color w:val="auto"/>
                <w:szCs w:val="21"/>
              </w:rPr>
            </w:pPr>
          </w:p>
        </w:tc>
        <w:tc>
          <w:tcPr>
            <w:tcW w:w="2574" w:type="dxa"/>
            <w:vAlign w:val="center"/>
          </w:tcPr>
          <w:p w14:paraId="32EAEE88">
            <w:pPr>
              <w:rPr>
                <w:rFonts w:ascii="宋体" w:hAnsi="宋体" w:cs="宋体"/>
                <w:color w:val="auto"/>
                <w:szCs w:val="21"/>
              </w:rPr>
            </w:pPr>
          </w:p>
        </w:tc>
        <w:tc>
          <w:tcPr>
            <w:tcW w:w="2124" w:type="dxa"/>
            <w:vAlign w:val="center"/>
          </w:tcPr>
          <w:p w14:paraId="416D14A8">
            <w:pPr>
              <w:rPr>
                <w:rFonts w:ascii="宋体" w:hAnsi="宋体" w:cs="宋体"/>
                <w:color w:val="auto"/>
                <w:szCs w:val="21"/>
              </w:rPr>
            </w:pPr>
          </w:p>
        </w:tc>
      </w:tr>
      <w:tr w14:paraId="398F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E7BF4B4">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25E3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5D232CE">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EEEC34B">
            <w:pPr>
              <w:jc w:val="left"/>
              <w:rPr>
                <w:rFonts w:ascii="宋体" w:hAnsi="宋体" w:cs="宋体"/>
                <w:color w:val="auto"/>
                <w:szCs w:val="21"/>
              </w:rPr>
            </w:pPr>
          </w:p>
        </w:tc>
        <w:tc>
          <w:tcPr>
            <w:tcW w:w="2574" w:type="dxa"/>
            <w:vAlign w:val="center"/>
          </w:tcPr>
          <w:p w14:paraId="5148DC8B">
            <w:pPr>
              <w:jc w:val="left"/>
              <w:rPr>
                <w:rFonts w:ascii="宋体" w:hAnsi="宋体" w:cs="宋体"/>
                <w:color w:val="auto"/>
                <w:szCs w:val="21"/>
              </w:rPr>
            </w:pPr>
          </w:p>
        </w:tc>
        <w:tc>
          <w:tcPr>
            <w:tcW w:w="2124" w:type="dxa"/>
            <w:vAlign w:val="center"/>
          </w:tcPr>
          <w:p w14:paraId="764C1649">
            <w:pPr>
              <w:jc w:val="left"/>
              <w:rPr>
                <w:rFonts w:ascii="宋体" w:hAnsi="宋体" w:cs="宋体"/>
                <w:color w:val="auto"/>
                <w:szCs w:val="21"/>
              </w:rPr>
            </w:pPr>
          </w:p>
        </w:tc>
      </w:tr>
      <w:tr w14:paraId="452E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4630261">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8662E36">
            <w:pPr>
              <w:jc w:val="left"/>
              <w:rPr>
                <w:rFonts w:ascii="宋体" w:hAnsi="宋体" w:cs="宋体"/>
                <w:color w:val="auto"/>
                <w:szCs w:val="21"/>
              </w:rPr>
            </w:pPr>
          </w:p>
        </w:tc>
        <w:tc>
          <w:tcPr>
            <w:tcW w:w="2574" w:type="dxa"/>
            <w:vAlign w:val="center"/>
          </w:tcPr>
          <w:p w14:paraId="1A73FFF4">
            <w:pPr>
              <w:jc w:val="left"/>
              <w:rPr>
                <w:rFonts w:ascii="宋体" w:hAnsi="宋体" w:cs="宋体"/>
                <w:color w:val="auto"/>
                <w:szCs w:val="21"/>
              </w:rPr>
            </w:pPr>
          </w:p>
        </w:tc>
        <w:tc>
          <w:tcPr>
            <w:tcW w:w="2124" w:type="dxa"/>
            <w:vAlign w:val="center"/>
          </w:tcPr>
          <w:p w14:paraId="7383869B">
            <w:pPr>
              <w:jc w:val="left"/>
              <w:rPr>
                <w:rFonts w:ascii="宋体" w:hAnsi="宋体" w:cs="宋体"/>
                <w:color w:val="auto"/>
                <w:szCs w:val="21"/>
              </w:rPr>
            </w:pPr>
          </w:p>
        </w:tc>
      </w:tr>
      <w:tr w14:paraId="1286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AE7C11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2954C95">
            <w:pPr>
              <w:jc w:val="left"/>
              <w:rPr>
                <w:rFonts w:ascii="宋体" w:hAnsi="宋体" w:cs="宋体"/>
                <w:color w:val="auto"/>
                <w:szCs w:val="21"/>
              </w:rPr>
            </w:pPr>
          </w:p>
        </w:tc>
        <w:tc>
          <w:tcPr>
            <w:tcW w:w="2574" w:type="dxa"/>
            <w:vAlign w:val="center"/>
          </w:tcPr>
          <w:p w14:paraId="00D6B9E3">
            <w:pPr>
              <w:jc w:val="left"/>
              <w:rPr>
                <w:rFonts w:ascii="宋体" w:hAnsi="宋体" w:cs="宋体"/>
                <w:color w:val="auto"/>
                <w:szCs w:val="21"/>
              </w:rPr>
            </w:pPr>
          </w:p>
        </w:tc>
        <w:tc>
          <w:tcPr>
            <w:tcW w:w="2124" w:type="dxa"/>
            <w:vAlign w:val="center"/>
          </w:tcPr>
          <w:p w14:paraId="559D4842">
            <w:pPr>
              <w:jc w:val="left"/>
              <w:rPr>
                <w:rFonts w:ascii="宋体" w:hAnsi="宋体" w:cs="宋体"/>
                <w:color w:val="auto"/>
                <w:szCs w:val="21"/>
              </w:rPr>
            </w:pPr>
          </w:p>
        </w:tc>
      </w:tr>
    </w:tbl>
    <w:p w14:paraId="29F10405">
      <w:pPr>
        <w:spacing w:line="360" w:lineRule="auto"/>
        <w:rPr>
          <w:rFonts w:ascii="宋体" w:hAnsi="宋体"/>
          <w:b/>
          <w:bCs/>
          <w:color w:val="auto"/>
          <w:spacing w:val="-6"/>
          <w:szCs w:val="21"/>
        </w:rPr>
      </w:pPr>
    </w:p>
    <w:p w14:paraId="0D530569">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615EEF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2F313296">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B6AAE7D">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14A2B9C0">
      <w:pPr>
        <w:pStyle w:val="25"/>
        <w:spacing w:line="400" w:lineRule="atLeast"/>
        <w:ind w:left="-27" w:firstLine="422"/>
        <w:rPr>
          <w:rFonts w:ascii="Times New Roman" w:hAnsi="Times New Roman"/>
          <w:color w:val="auto"/>
          <w:sz w:val="24"/>
        </w:rPr>
      </w:pPr>
    </w:p>
    <w:p w14:paraId="5AA09600">
      <w:pPr>
        <w:pStyle w:val="25"/>
        <w:spacing w:line="400" w:lineRule="atLeast"/>
        <w:ind w:left="-27" w:firstLine="422"/>
        <w:rPr>
          <w:rFonts w:ascii="Times New Roman" w:hAnsi="Times New Roman"/>
          <w:color w:val="auto"/>
          <w:sz w:val="24"/>
        </w:rPr>
      </w:pPr>
    </w:p>
    <w:p w14:paraId="68862D1E">
      <w:pPr>
        <w:pStyle w:val="25"/>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FC9C9F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99FC71A">
      <w:pPr>
        <w:spacing w:before="240" w:beforeLines="100" w:after="240" w:afterLines="100"/>
        <w:jc w:val="left"/>
        <w:rPr>
          <w:color w:val="auto"/>
          <w:sz w:val="24"/>
          <w:szCs w:val="24"/>
        </w:rPr>
      </w:pPr>
      <w:r>
        <w:rPr>
          <w:rFonts w:hint="eastAsia" w:ascii="宋体" w:hAnsi="宋体" w:cs="宋体"/>
          <w:color w:val="auto"/>
          <w:sz w:val="24"/>
        </w:rPr>
        <w:t>日期：      年   月   日</w:t>
      </w:r>
    </w:p>
    <w:p w14:paraId="2305252D">
      <w:pPr>
        <w:pStyle w:val="25"/>
        <w:spacing w:line="400" w:lineRule="atLeast"/>
        <w:ind w:left="-27" w:firstLine="528"/>
        <w:rPr>
          <w:rFonts w:ascii="Times New Roman" w:hAnsi="Times New Roman"/>
          <w:color w:val="auto"/>
          <w:sz w:val="30"/>
        </w:rPr>
      </w:pPr>
    </w:p>
    <w:p w14:paraId="59B52294">
      <w:pPr>
        <w:pStyle w:val="5"/>
        <w:ind w:left="0" w:firstLine="0"/>
        <w:outlineLvl w:val="0"/>
        <w:rPr>
          <w:color w:val="auto"/>
        </w:rPr>
      </w:pPr>
      <w:r>
        <w:rPr>
          <w:bCs/>
          <w:color w:val="auto"/>
          <w:sz w:val="32"/>
        </w:rPr>
        <w:br w:type="page"/>
      </w:r>
      <w:bookmarkStart w:id="710" w:name="_Toc6104"/>
      <w:bookmarkStart w:id="711" w:name="_Toc13471"/>
      <w:bookmarkStart w:id="712" w:name="_Toc14028"/>
      <w:bookmarkStart w:id="713" w:name="_Toc18959"/>
      <w:bookmarkStart w:id="714" w:name="_Toc25833"/>
      <w:bookmarkStart w:id="715" w:name="_Toc21423"/>
      <w:bookmarkStart w:id="716" w:name="_Toc32055"/>
      <w:bookmarkStart w:id="717" w:name="_Toc4311"/>
      <w:bookmarkStart w:id="718" w:name="_Toc24720"/>
      <w:bookmarkStart w:id="719" w:name="_Toc10611"/>
      <w:bookmarkStart w:id="720" w:name="_Toc5417"/>
      <w:bookmarkStart w:id="721" w:name="_Toc10664"/>
      <w:bookmarkStart w:id="722" w:name="_Toc7973"/>
      <w:bookmarkStart w:id="723" w:name="_Toc21289"/>
      <w:bookmarkStart w:id="724" w:name="_Toc13064"/>
      <w:bookmarkStart w:id="725" w:name="_Toc12636"/>
      <w:bookmarkStart w:id="726" w:name="_Toc27033"/>
      <w:bookmarkStart w:id="727" w:name="_Toc5267"/>
      <w:bookmarkStart w:id="728" w:name="_Toc15291"/>
      <w:bookmarkStart w:id="729" w:name="_Toc23576"/>
      <w:bookmarkStart w:id="730" w:name="_Toc19442"/>
      <w:bookmarkStart w:id="731" w:name="_Toc2658"/>
      <w:bookmarkStart w:id="732" w:name="_Toc8117"/>
      <w:bookmarkStart w:id="733" w:name="_Toc31125"/>
      <w:bookmarkStart w:id="734" w:name="_Toc28469"/>
      <w:bookmarkStart w:id="735" w:name="_Toc31984"/>
      <w:bookmarkStart w:id="736" w:name="_Toc29052"/>
      <w:bookmarkStart w:id="737" w:name="_Toc1162"/>
      <w:bookmarkStart w:id="738" w:name="_Toc27408"/>
      <w:bookmarkStart w:id="739" w:name="_Toc21842"/>
      <w:bookmarkStart w:id="740" w:name="_Toc18149"/>
      <w:bookmarkStart w:id="741" w:name="_Toc12587"/>
      <w:bookmarkStart w:id="742" w:name="_Toc24911"/>
      <w:bookmarkStart w:id="743" w:name="_Toc5561"/>
      <w:bookmarkStart w:id="744" w:name="_Toc16944"/>
      <w:bookmarkStart w:id="745" w:name="_Toc21740"/>
      <w:bookmarkStart w:id="746" w:name="_Toc22720"/>
      <w:bookmarkStart w:id="747" w:name="_Toc32508"/>
      <w:bookmarkStart w:id="748" w:name="_Toc17790"/>
      <w:bookmarkStart w:id="749" w:name="_Toc1110"/>
      <w:bookmarkStart w:id="750" w:name="_Toc25187"/>
      <w:bookmarkStart w:id="751" w:name="_Toc16636"/>
      <w:bookmarkStart w:id="752" w:name="_Toc26450"/>
      <w:bookmarkStart w:id="753" w:name="_Toc22794"/>
      <w:bookmarkStart w:id="754" w:name="_Toc3703"/>
      <w:bookmarkStart w:id="755" w:name="_Toc18451"/>
      <w:bookmarkStart w:id="756" w:name="_Toc16502"/>
      <w:bookmarkStart w:id="757" w:name="_Toc26665"/>
      <w:bookmarkStart w:id="758" w:name="_Toc22688"/>
      <w:bookmarkStart w:id="759" w:name="_Toc13985"/>
      <w:bookmarkStart w:id="760" w:name="_Toc23122"/>
      <w:bookmarkStart w:id="761" w:name="_Toc19416"/>
      <w:bookmarkStart w:id="762" w:name="_Toc27705"/>
      <w:bookmarkStart w:id="763" w:name="_Toc9470"/>
      <w:bookmarkStart w:id="764" w:name="_Toc15898"/>
      <w:bookmarkStart w:id="765" w:name="_Toc14653"/>
      <w:bookmarkStart w:id="766" w:name="_Toc3061"/>
      <w:bookmarkStart w:id="767" w:name="_Toc12787"/>
      <w:bookmarkStart w:id="768" w:name="_Toc16423"/>
      <w:bookmarkStart w:id="769" w:name="_Toc20418"/>
      <w:bookmarkStart w:id="770" w:name="_Toc23923"/>
      <w:r>
        <w:rPr>
          <w:rFonts w:hint="eastAsia"/>
          <w:color w:val="auto"/>
        </w:rPr>
        <w:t>（6）响应方基本情况表</w:t>
      </w:r>
      <w:bookmarkEnd w:id="710"/>
    </w:p>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14:paraId="27DEAF75">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609D6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7EC085A">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6322992C">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4AF6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B2A3850">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3FEB4F40">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2D48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7CB4946">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58BDDAE2">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3CA3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BDD0BE1">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2D42526A">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042EFD06">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0EB8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5880367">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4DD21BAC">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5BCD88AB">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2739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FDF84DB">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507B2DF3">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3A5F9DD1">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16BF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E6354C5">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CD6FB6D">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手写体图像识别算法备案证明、数据安全能力成熟度认证证书、CCRC信息安全服务资质认证证书（信息系统安全运维服务）、国家保密局颁发的涉密信息系统集成资质证书（业务种类：总体集成） </w:t>
            </w:r>
          </w:p>
        </w:tc>
      </w:tr>
      <w:tr w14:paraId="7446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A327BD5">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4644B1B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622800B8">
            <w:pPr>
              <w:spacing w:line="360" w:lineRule="auto"/>
              <w:rPr>
                <w:rFonts w:hint="eastAsia" w:ascii="宋体" w:hAnsi="宋体" w:eastAsia="宋体" w:cs="宋体"/>
                <w:color w:val="auto"/>
                <w:sz w:val="24"/>
                <w:szCs w:val="24"/>
              </w:rPr>
            </w:pPr>
          </w:p>
        </w:tc>
      </w:tr>
    </w:tbl>
    <w:p w14:paraId="64DDE7E0">
      <w:pPr>
        <w:spacing w:line="360" w:lineRule="auto"/>
        <w:ind w:firstLine="240" w:firstLineChars="100"/>
        <w:rPr>
          <w:color w:val="auto"/>
          <w:sz w:val="24"/>
          <w:szCs w:val="24"/>
        </w:rPr>
      </w:pPr>
      <w:r>
        <w:rPr>
          <w:rFonts w:hint="eastAsia"/>
          <w:color w:val="auto"/>
          <w:sz w:val="24"/>
          <w:szCs w:val="24"/>
        </w:rPr>
        <w:t>说明：</w:t>
      </w:r>
    </w:p>
    <w:p w14:paraId="4C8CF2A8">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55532C27">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2988847B">
      <w:pPr>
        <w:spacing w:line="360" w:lineRule="auto"/>
        <w:ind w:firstLine="360" w:firstLineChars="150"/>
        <w:jc w:val="left"/>
        <w:rPr>
          <w:color w:val="auto"/>
          <w:sz w:val="24"/>
          <w:szCs w:val="24"/>
        </w:rPr>
      </w:pPr>
    </w:p>
    <w:p w14:paraId="3AFC3389">
      <w:pPr>
        <w:pStyle w:val="25"/>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12B0565">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5088B96">
      <w:pPr>
        <w:spacing w:before="240" w:beforeLines="100" w:after="240" w:afterLines="100"/>
        <w:jc w:val="left"/>
        <w:rPr>
          <w:rFonts w:hint="eastAsia" w:ascii="宋体" w:hAnsi="宋体" w:cs="宋体"/>
          <w:color w:val="auto"/>
          <w:sz w:val="24"/>
        </w:rPr>
      </w:pPr>
      <w:r>
        <w:rPr>
          <w:rFonts w:hint="eastAsia" w:ascii="宋体" w:hAnsi="宋体" w:cs="宋体"/>
          <w:color w:val="auto"/>
          <w:sz w:val="24"/>
        </w:rPr>
        <w:t>日期：      年   月   日</w:t>
      </w:r>
    </w:p>
    <w:p w14:paraId="222BBD05">
      <w:pPr>
        <w:pStyle w:val="2"/>
        <w:rPr>
          <w:rFonts w:hint="eastAsia" w:ascii="宋体" w:hAnsi="宋体" w:cs="宋体"/>
          <w:color w:val="auto"/>
          <w:sz w:val="24"/>
        </w:rPr>
      </w:pPr>
    </w:p>
    <w:p w14:paraId="7F417579">
      <w:pPr>
        <w:rPr>
          <w:rFonts w:hint="eastAsia" w:ascii="宋体" w:hAnsi="宋体" w:cs="宋体"/>
          <w:color w:val="auto"/>
          <w:sz w:val="24"/>
        </w:rPr>
      </w:pPr>
    </w:p>
    <w:p w14:paraId="5BB81316">
      <w:pPr>
        <w:rPr>
          <w:rFonts w:hint="eastAsia" w:ascii="宋体" w:hAnsi="宋体" w:cs="宋体"/>
          <w:b/>
          <w:bCs/>
          <w:color w:val="auto"/>
          <w:sz w:val="24"/>
          <w:szCs w:val="24"/>
          <w:u w:val="none"/>
          <w:lang w:val="en-US" w:eastAsia="zh-CN"/>
        </w:rPr>
      </w:pPr>
      <w:r>
        <w:rPr>
          <w:rFonts w:hint="eastAsia" w:ascii="宋体" w:hAnsi="宋体" w:cs="宋体"/>
          <w:b/>
          <w:bCs/>
          <w:color w:val="auto"/>
          <w:sz w:val="24"/>
          <w:szCs w:val="24"/>
          <w:u w:val="none"/>
          <w:lang w:val="en-US" w:eastAsia="zh-CN"/>
        </w:rPr>
        <w:t>附：</w:t>
      </w:r>
    </w:p>
    <w:p w14:paraId="3D0E2015">
      <w:pPr>
        <w:rPr>
          <w:b/>
          <w:bCs/>
          <w:color w:val="auto"/>
          <w:sz w:val="24"/>
          <w:szCs w:val="24"/>
          <w:u w:val="none"/>
        </w:rPr>
        <w:sectPr>
          <w:type w:val="nextColumn"/>
          <w:pgSz w:w="11907" w:h="16840"/>
          <w:pgMar w:top="1134" w:right="1247" w:bottom="1247" w:left="1247" w:header="567" w:footer="794" w:gutter="0"/>
          <w:cols w:space="720" w:num="1"/>
        </w:sectPr>
      </w:pPr>
      <w:r>
        <w:rPr>
          <w:rFonts w:hint="eastAsia" w:ascii="宋体" w:hAnsi="宋体" w:cs="宋体"/>
          <w:b/>
          <w:bCs/>
          <w:color w:val="auto"/>
          <w:sz w:val="24"/>
          <w:szCs w:val="24"/>
          <w:u w:val="none"/>
          <w:lang w:val="en-US" w:eastAsia="zh-CN"/>
        </w:rPr>
        <w:t xml:space="preserve">手写体图像识别算法备案证明、数据安全能力成熟度认证证书、CCRC信息安全服务资质认证证书（信息系统安全运维服务）、国家保密局颁发的涉密信息系统集成资质证书（业务种类：总体集成） </w:t>
      </w:r>
    </w:p>
    <w:p w14:paraId="57643DDD">
      <w:pPr>
        <w:pStyle w:val="5"/>
        <w:ind w:left="0" w:firstLine="0"/>
        <w:outlineLvl w:val="0"/>
        <w:rPr>
          <w:color w:val="auto"/>
        </w:rPr>
      </w:pPr>
      <w:bookmarkStart w:id="771" w:name="_Toc15201"/>
      <w:bookmarkStart w:id="772" w:name="_Toc17265"/>
      <w:bookmarkStart w:id="773" w:name="_Toc18777"/>
      <w:bookmarkStart w:id="774" w:name="_Toc16592"/>
      <w:bookmarkStart w:id="775" w:name="_Toc20174"/>
      <w:bookmarkStart w:id="776" w:name="_Toc3327"/>
      <w:bookmarkStart w:id="777" w:name="_Toc21110"/>
      <w:bookmarkStart w:id="778" w:name="_Toc24426"/>
      <w:bookmarkStart w:id="779" w:name="_Toc21767"/>
      <w:bookmarkStart w:id="780" w:name="_Toc3841"/>
      <w:bookmarkStart w:id="781" w:name="_Toc5024"/>
      <w:r>
        <w:rPr>
          <w:rFonts w:hint="eastAsia"/>
          <w:color w:val="auto"/>
        </w:rPr>
        <w:t>（7）供应商同类合同一览表</w:t>
      </w:r>
      <w:bookmarkEnd w:id="771"/>
    </w:p>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2"/>
    <w:bookmarkEnd w:id="773"/>
    <w:bookmarkEnd w:id="774"/>
    <w:bookmarkEnd w:id="775"/>
    <w:bookmarkEnd w:id="776"/>
    <w:bookmarkEnd w:id="777"/>
    <w:bookmarkEnd w:id="778"/>
    <w:bookmarkEnd w:id="779"/>
    <w:bookmarkEnd w:id="780"/>
    <w:bookmarkEnd w:id="781"/>
    <w:p w14:paraId="7636DB47">
      <w:pPr>
        <w:adjustRightInd w:val="0"/>
        <w:snapToGrid w:val="0"/>
        <w:spacing w:line="288" w:lineRule="auto"/>
        <w:jc w:val="center"/>
        <w:outlineLvl w:val="1"/>
        <w:rPr>
          <w:rFonts w:hint="eastAsia"/>
          <w:color w:val="auto"/>
          <w:sz w:val="24"/>
          <w:szCs w:val="24"/>
        </w:rPr>
      </w:pPr>
      <w:bookmarkStart w:id="782"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3CA46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3EE0F9F">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25180807">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68004C5D">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6B21E91F">
            <w:pPr>
              <w:adjustRightInd w:val="0"/>
              <w:snapToGrid w:val="0"/>
              <w:spacing w:line="288" w:lineRule="auto"/>
              <w:jc w:val="center"/>
              <w:rPr>
                <w:color w:val="auto"/>
                <w:sz w:val="24"/>
                <w:szCs w:val="24"/>
              </w:rPr>
            </w:pPr>
            <w:r>
              <w:rPr>
                <w:rFonts w:hint="eastAsia"/>
                <w:color w:val="auto"/>
                <w:sz w:val="24"/>
                <w:szCs w:val="24"/>
              </w:rPr>
              <w:t>合同金额</w:t>
            </w:r>
          </w:p>
          <w:p w14:paraId="5BB6E371">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3829D9DA">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2BB0CDB0">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5857739F">
            <w:pPr>
              <w:adjustRightInd w:val="0"/>
              <w:snapToGrid w:val="0"/>
              <w:spacing w:line="288" w:lineRule="auto"/>
              <w:jc w:val="center"/>
              <w:rPr>
                <w:color w:val="auto"/>
                <w:sz w:val="24"/>
                <w:szCs w:val="24"/>
              </w:rPr>
            </w:pPr>
            <w:r>
              <w:rPr>
                <w:rFonts w:hint="eastAsia"/>
                <w:color w:val="auto"/>
                <w:sz w:val="24"/>
                <w:szCs w:val="24"/>
              </w:rPr>
              <w:t>采购单位</w:t>
            </w:r>
          </w:p>
          <w:p w14:paraId="5EECF4B7">
            <w:pPr>
              <w:adjustRightInd w:val="0"/>
              <w:snapToGrid w:val="0"/>
              <w:spacing w:line="288" w:lineRule="auto"/>
              <w:jc w:val="center"/>
              <w:rPr>
                <w:color w:val="auto"/>
                <w:sz w:val="24"/>
                <w:szCs w:val="24"/>
              </w:rPr>
            </w:pPr>
            <w:r>
              <w:rPr>
                <w:rFonts w:hint="eastAsia"/>
                <w:color w:val="auto"/>
                <w:sz w:val="24"/>
                <w:szCs w:val="24"/>
              </w:rPr>
              <w:t>联系人及电话</w:t>
            </w:r>
          </w:p>
        </w:tc>
      </w:tr>
      <w:tr w14:paraId="1594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9DB9F99">
            <w:pPr>
              <w:adjustRightInd w:val="0"/>
              <w:snapToGrid w:val="0"/>
              <w:spacing w:line="288" w:lineRule="auto"/>
              <w:jc w:val="center"/>
              <w:rPr>
                <w:color w:val="auto"/>
                <w:sz w:val="24"/>
                <w:szCs w:val="24"/>
              </w:rPr>
            </w:pPr>
          </w:p>
        </w:tc>
        <w:tc>
          <w:tcPr>
            <w:tcW w:w="1380" w:type="dxa"/>
            <w:vAlign w:val="center"/>
          </w:tcPr>
          <w:p w14:paraId="7E24CCD0">
            <w:pPr>
              <w:adjustRightInd w:val="0"/>
              <w:snapToGrid w:val="0"/>
              <w:spacing w:line="288" w:lineRule="auto"/>
              <w:jc w:val="center"/>
              <w:rPr>
                <w:color w:val="auto"/>
                <w:sz w:val="24"/>
                <w:szCs w:val="24"/>
              </w:rPr>
            </w:pPr>
          </w:p>
        </w:tc>
        <w:tc>
          <w:tcPr>
            <w:tcW w:w="1510" w:type="dxa"/>
            <w:vAlign w:val="center"/>
          </w:tcPr>
          <w:p w14:paraId="630E6D96">
            <w:pPr>
              <w:adjustRightInd w:val="0"/>
              <w:snapToGrid w:val="0"/>
              <w:spacing w:line="288" w:lineRule="auto"/>
              <w:jc w:val="center"/>
              <w:rPr>
                <w:color w:val="auto"/>
                <w:sz w:val="24"/>
                <w:szCs w:val="24"/>
              </w:rPr>
            </w:pPr>
          </w:p>
        </w:tc>
        <w:tc>
          <w:tcPr>
            <w:tcW w:w="1256" w:type="dxa"/>
            <w:vAlign w:val="center"/>
          </w:tcPr>
          <w:p w14:paraId="72FB4D85">
            <w:pPr>
              <w:adjustRightInd w:val="0"/>
              <w:snapToGrid w:val="0"/>
              <w:spacing w:line="288" w:lineRule="auto"/>
              <w:jc w:val="center"/>
              <w:rPr>
                <w:color w:val="auto"/>
                <w:sz w:val="24"/>
                <w:szCs w:val="24"/>
              </w:rPr>
            </w:pPr>
          </w:p>
        </w:tc>
        <w:tc>
          <w:tcPr>
            <w:tcW w:w="732" w:type="dxa"/>
            <w:vAlign w:val="center"/>
          </w:tcPr>
          <w:p w14:paraId="7A690CEF">
            <w:pPr>
              <w:adjustRightInd w:val="0"/>
              <w:snapToGrid w:val="0"/>
              <w:spacing w:line="288" w:lineRule="auto"/>
              <w:jc w:val="center"/>
              <w:rPr>
                <w:color w:val="auto"/>
                <w:sz w:val="24"/>
                <w:szCs w:val="24"/>
              </w:rPr>
            </w:pPr>
          </w:p>
        </w:tc>
        <w:tc>
          <w:tcPr>
            <w:tcW w:w="1005" w:type="dxa"/>
            <w:vAlign w:val="center"/>
          </w:tcPr>
          <w:p w14:paraId="7B676769">
            <w:pPr>
              <w:adjustRightInd w:val="0"/>
              <w:snapToGrid w:val="0"/>
              <w:spacing w:line="288" w:lineRule="auto"/>
              <w:jc w:val="center"/>
              <w:rPr>
                <w:color w:val="auto"/>
                <w:sz w:val="24"/>
                <w:szCs w:val="24"/>
              </w:rPr>
            </w:pPr>
          </w:p>
        </w:tc>
        <w:tc>
          <w:tcPr>
            <w:tcW w:w="1675" w:type="dxa"/>
            <w:vAlign w:val="center"/>
          </w:tcPr>
          <w:p w14:paraId="7DBE2AB3">
            <w:pPr>
              <w:adjustRightInd w:val="0"/>
              <w:snapToGrid w:val="0"/>
              <w:spacing w:line="288" w:lineRule="auto"/>
              <w:jc w:val="center"/>
              <w:rPr>
                <w:color w:val="auto"/>
                <w:sz w:val="24"/>
                <w:szCs w:val="24"/>
              </w:rPr>
            </w:pPr>
          </w:p>
        </w:tc>
      </w:tr>
      <w:tr w14:paraId="15D1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53FC282">
            <w:pPr>
              <w:adjustRightInd w:val="0"/>
              <w:snapToGrid w:val="0"/>
              <w:spacing w:line="288" w:lineRule="auto"/>
              <w:jc w:val="center"/>
              <w:rPr>
                <w:color w:val="auto"/>
                <w:sz w:val="24"/>
                <w:szCs w:val="24"/>
              </w:rPr>
            </w:pPr>
          </w:p>
        </w:tc>
        <w:tc>
          <w:tcPr>
            <w:tcW w:w="1380" w:type="dxa"/>
            <w:vAlign w:val="center"/>
          </w:tcPr>
          <w:p w14:paraId="6EE86CA3">
            <w:pPr>
              <w:adjustRightInd w:val="0"/>
              <w:snapToGrid w:val="0"/>
              <w:spacing w:line="288" w:lineRule="auto"/>
              <w:jc w:val="center"/>
              <w:rPr>
                <w:color w:val="auto"/>
                <w:sz w:val="24"/>
                <w:szCs w:val="24"/>
              </w:rPr>
            </w:pPr>
          </w:p>
        </w:tc>
        <w:tc>
          <w:tcPr>
            <w:tcW w:w="1510" w:type="dxa"/>
            <w:vAlign w:val="center"/>
          </w:tcPr>
          <w:p w14:paraId="512081D9">
            <w:pPr>
              <w:adjustRightInd w:val="0"/>
              <w:snapToGrid w:val="0"/>
              <w:spacing w:line="288" w:lineRule="auto"/>
              <w:jc w:val="center"/>
              <w:rPr>
                <w:color w:val="auto"/>
                <w:sz w:val="24"/>
                <w:szCs w:val="24"/>
              </w:rPr>
            </w:pPr>
          </w:p>
        </w:tc>
        <w:tc>
          <w:tcPr>
            <w:tcW w:w="1256" w:type="dxa"/>
            <w:vAlign w:val="center"/>
          </w:tcPr>
          <w:p w14:paraId="0B6A7F61">
            <w:pPr>
              <w:adjustRightInd w:val="0"/>
              <w:snapToGrid w:val="0"/>
              <w:spacing w:line="288" w:lineRule="auto"/>
              <w:jc w:val="center"/>
              <w:rPr>
                <w:color w:val="auto"/>
                <w:sz w:val="24"/>
                <w:szCs w:val="24"/>
              </w:rPr>
            </w:pPr>
          </w:p>
        </w:tc>
        <w:tc>
          <w:tcPr>
            <w:tcW w:w="732" w:type="dxa"/>
            <w:vAlign w:val="center"/>
          </w:tcPr>
          <w:p w14:paraId="6D9B9EB3">
            <w:pPr>
              <w:adjustRightInd w:val="0"/>
              <w:snapToGrid w:val="0"/>
              <w:spacing w:line="288" w:lineRule="auto"/>
              <w:jc w:val="center"/>
              <w:rPr>
                <w:color w:val="auto"/>
                <w:sz w:val="24"/>
                <w:szCs w:val="24"/>
              </w:rPr>
            </w:pPr>
          </w:p>
        </w:tc>
        <w:tc>
          <w:tcPr>
            <w:tcW w:w="1005" w:type="dxa"/>
            <w:vAlign w:val="center"/>
          </w:tcPr>
          <w:p w14:paraId="304D666E">
            <w:pPr>
              <w:adjustRightInd w:val="0"/>
              <w:snapToGrid w:val="0"/>
              <w:spacing w:line="288" w:lineRule="auto"/>
              <w:jc w:val="center"/>
              <w:rPr>
                <w:color w:val="auto"/>
                <w:sz w:val="24"/>
                <w:szCs w:val="24"/>
              </w:rPr>
            </w:pPr>
          </w:p>
        </w:tc>
        <w:tc>
          <w:tcPr>
            <w:tcW w:w="1675" w:type="dxa"/>
            <w:vAlign w:val="center"/>
          </w:tcPr>
          <w:p w14:paraId="57B744AE">
            <w:pPr>
              <w:adjustRightInd w:val="0"/>
              <w:snapToGrid w:val="0"/>
              <w:spacing w:line="288" w:lineRule="auto"/>
              <w:jc w:val="center"/>
              <w:rPr>
                <w:color w:val="auto"/>
                <w:sz w:val="24"/>
                <w:szCs w:val="24"/>
              </w:rPr>
            </w:pPr>
          </w:p>
        </w:tc>
      </w:tr>
      <w:tr w14:paraId="2E1C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60" w:type="dxa"/>
            <w:vAlign w:val="center"/>
          </w:tcPr>
          <w:p w14:paraId="7F151A8E">
            <w:pPr>
              <w:adjustRightInd w:val="0"/>
              <w:snapToGrid w:val="0"/>
              <w:spacing w:line="288" w:lineRule="auto"/>
              <w:jc w:val="center"/>
              <w:rPr>
                <w:color w:val="auto"/>
                <w:sz w:val="24"/>
                <w:szCs w:val="24"/>
              </w:rPr>
            </w:pPr>
          </w:p>
        </w:tc>
        <w:tc>
          <w:tcPr>
            <w:tcW w:w="1380" w:type="dxa"/>
            <w:vAlign w:val="center"/>
          </w:tcPr>
          <w:p w14:paraId="0E64E1DA">
            <w:pPr>
              <w:adjustRightInd w:val="0"/>
              <w:snapToGrid w:val="0"/>
              <w:spacing w:line="288" w:lineRule="auto"/>
              <w:jc w:val="center"/>
              <w:rPr>
                <w:color w:val="auto"/>
                <w:sz w:val="24"/>
                <w:szCs w:val="24"/>
              </w:rPr>
            </w:pPr>
          </w:p>
        </w:tc>
        <w:tc>
          <w:tcPr>
            <w:tcW w:w="1510" w:type="dxa"/>
            <w:vAlign w:val="center"/>
          </w:tcPr>
          <w:p w14:paraId="4ECDBCFA">
            <w:pPr>
              <w:adjustRightInd w:val="0"/>
              <w:snapToGrid w:val="0"/>
              <w:spacing w:line="288" w:lineRule="auto"/>
              <w:jc w:val="center"/>
              <w:rPr>
                <w:color w:val="auto"/>
                <w:sz w:val="24"/>
                <w:szCs w:val="24"/>
              </w:rPr>
            </w:pPr>
          </w:p>
        </w:tc>
        <w:tc>
          <w:tcPr>
            <w:tcW w:w="1256" w:type="dxa"/>
            <w:vAlign w:val="center"/>
          </w:tcPr>
          <w:p w14:paraId="4CC381FB">
            <w:pPr>
              <w:adjustRightInd w:val="0"/>
              <w:snapToGrid w:val="0"/>
              <w:spacing w:line="288" w:lineRule="auto"/>
              <w:jc w:val="center"/>
              <w:rPr>
                <w:color w:val="auto"/>
                <w:sz w:val="24"/>
                <w:szCs w:val="24"/>
              </w:rPr>
            </w:pPr>
          </w:p>
        </w:tc>
        <w:tc>
          <w:tcPr>
            <w:tcW w:w="732" w:type="dxa"/>
            <w:vAlign w:val="center"/>
          </w:tcPr>
          <w:p w14:paraId="415996A0">
            <w:pPr>
              <w:adjustRightInd w:val="0"/>
              <w:snapToGrid w:val="0"/>
              <w:spacing w:line="288" w:lineRule="auto"/>
              <w:jc w:val="center"/>
              <w:rPr>
                <w:color w:val="auto"/>
                <w:sz w:val="24"/>
                <w:szCs w:val="24"/>
              </w:rPr>
            </w:pPr>
          </w:p>
        </w:tc>
        <w:tc>
          <w:tcPr>
            <w:tcW w:w="1005" w:type="dxa"/>
            <w:vAlign w:val="center"/>
          </w:tcPr>
          <w:p w14:paraId="5BFDE1D9">
            <w:pPr>
              <w:adjustRightInd w:val="0"/>
              <w:snapToGrid w:val="0"/>
              <w:spacing w:line="288" w:lineRule="auto"/>
              <w:jc w:val="center"/>
              <w:rPr>
                <w:color w:val="auto"/>
                <w:sz w:val="24"/>
                <w:szCs w:val="24"/>
              </w:rPr>
            </w:pPr>
          </w:p>
        </w:tc>
        <w:tc>
          <w:tcPr>
            <w:tcW w:w="1675" w:type="dxa"/>
            <w:vAlign w:val="center"/>
          </w:tcPr>
          <w:p w14:paraId="079CA5A5">
            <w:pPr>
              <w:adjustRightInd w:val="0"/>
              <w:snapToGrid w:val="0"/>
              <w:spacing w:line="288" w:lineRule="auto"/>
              <w:jc w:val="center"/>
              <w:rPr>
                <w:color w:val="auto"/>
                <w:sz w:val="24"/>
                <w:szCs w:val="24"/>
              </w:rPr>
            </w:pPr>
          </w:p>
        </w:tc>
      </w:tr>
      <w:tr w14:paraId="5E50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3C0D1C7">
            <w:pPr>
              <w:adjustRightInd w:val="0"/>
              <w:snapToGrid w:val="0"/>
              <w:spacing w:line="288" w:lineRule="auto"/>
              <w:jc w:val="center"/>
              <w:rPr>
                <w:color w:val="auto"/>
                <w:sz w:val="24"/>
                <w:szCs w:val="24"/>
              </w:rPr>
            </w:pPr>
          </w:p>
        </w:tc>
        <w:tc>
          <w:tcPr>
            <w:tcW w:w="1380" w:type="dxa"/>
            <w:vAlign w:val="center"/>
          </w:tcPr>
          <w:p w14:paraId="3797CFDE">
            <w:pPr>
              <w:adjustRightInd w:val="0"/>
              <w:snapToGrid w:val="0"/>
              <w:spacing w:line="288" w:lineRule="auto"/>
              <w:jc w:val="center"/>
              <w:rPr>
                <w:color w:val="auto"/>
                <w:sz w:val="24"/>
                <w:szCs w:val="24"/>
              </w:rPr>
            </w:pPr>
          </w:p>
        </w:tc>
        <w:tc>
          <w:tcPr>
            <w:tcW w:w="1510" w:type="dxa"/>
            <w:vAlign w:val="center"/>
          </w:tcPr>
          <w:p w14:paraId="0E956A6B">
            <w:pPr>
              <w:adjustRightInd w:val="0"/>
              <w:snapToGrid w:val="0"/>
              <w:spacing w:line="288" w:lineRule="auto"/>
              <w:jc w:val="center"/>
              <w:rPr>
                <w:color w:val="auto"/>
                <w:sz w:val="24"/>
                <w:szCs w:val="24"/>
              </w:rPr>
            </w:pPr>
          </w:p>
        </w:tc>
        <w:tc>
          <w:tcPr>
            <w:tcW w:w="1256" w:type="dxa"/>
            <w:vAlign w:val="center"/>
          </w:tcPr>
          <w:p w14:paraId="403F3D79">
            <w:pPr>
              <w:adjustRightInd w:val="0"/>
              <w:snapToGrid w:val="0"/>
              <w:spacing w:line="288" w:lineRule="auto"/>
              <w:jc w:val="center"/>
              <w:rPr>
                <w:color w:val="auto"/>
                <w:sz w:val="24"/>
                <w:szCs w:val="24"/>
              </w:rPr>
            </w:pPr>
          </w:p>
        </w:tc>
        <w:tc>
          <w:tcPr>
            <w:tcW w:w="732" w:type="dxa"/>
            <w:vAlign w:val="center"/>
          </w:tcPr>
          <w:p w14:paraId="66BC8016">
            <w:pPr>
              <w:adjustRightInd w:val="0"/>
              <w:snapToGrid w:val="0"/>
              <w:spacing w:line="288" w:lineRule="auto"/>
              <w:jc w:val="center"/>
              <w:rPr>
                <w:color w:val="auto"/>
                <w:sz w:val="24"/>
                <w:szCs w:val="24"/>
              </w:rPr>
            </w:pPr>
          </w:p>
        </w:tc>
        <w:tc>
          <w:tcPr>
            <w:tcW w:w="1005" w:type="dxa"/>
            <w:vAlign w:val="center"/>
          </w:tcPr>
          <w:p w14:paraId="4E1BDEAC">
            <w:pPr>
              <w:adjustRightInd w:val="0"/>
              <w:snapToGrid w:val="0"/>
              <w:spacing w:line="288" w:lineRule="auto"/>
              <w:jc w:val="center"/>
              <w:rPr>
                <w:color w:val="auto"/>
                <w:sz w:val="24"/>
                <w:szCs w:val="24"/>
              </w:rPr>
            </w:pPr>
          </w:p>
        </w:tc>
        <w:tc>
          <w:tcPr>
            <w:tcW w:w="1675" w:type="dxa"/>
            <w:vAlign w:val="center"/>
          </w:tcPr>
          <w:p w14:paraId="2834B0FF">
            <w:pPr>
              <w:adjustRightInd w:val="0"/>
              <w:snapToGrid w:val="0"/>
              <w:spacing w:line="288" w:lineRule="auto"/>
              <w:jc w:val="center"/>
              <w:rPr>
                <w:color w:val="auto"/>
                <w:sz w:val="24"/>
                <w:szCs w:val="24"/>
              </w:rPr>
            </w:pPr>
          </w:p>
        </w:tc>
      </w:tr>
    </w:tbl>
    <w:p w14:paraId="0F56FA59">
      <w:pPr>
        <w:adjustRightInd w:val="0"/>
        <w:snapToGrid w:val="0"/>
        <w:spacing w:line="288" w:lineRule="auto"/>
        <w:rPr>
          <w:color w:val="auto"/>
          <w:sz w:val="24"/>
          <w:szCs w:val="24"/>
        </w:rPr>
      </w:pPr>
    </w:p>
    <w:p w14:paraId="75D4714C">
      <w:pPr>
        <w:adjustRightInd w:val="0"/>
        <w:snapToGrid w:val="0"/>
        <w:spacing w:line="288" w:lineRule="auto"/>
        <w:rPr>
          <w:color w:val="auto"/>
          <w:sz w:val="24"/>
          <w:szCs w:val="24"/>
        </w:rPr>
      </w:pPr>
      <w:r>
        <w:rPr>
          <w:rFonts w:hint="eastAsia"/>
          <w:color w:val="auto"/>
          <w:sz w:val="24"/>
          <w:szCs w:val="24"/>
        </w:rPr>
        <w:t>说明：</w:t>
      </w:r>
    </w:p>
    <w:p w14:paraId="508456EB">
      <w:pPr>
        <w:adjustRightInd w:val="0"/>
        <w:snapToGrid w:val="0"/>
        <w:spacing w:line="288" w:lineRule="auto"/>
        <w:rPr>
          <w:color w:val="auto"/>
          <w:sz w:val="24"/>
          <w:szCs w:val="24"/>
        </w:rPr>
      </w:pPr>
      <w:r>
        <w:rPr>
          <w:rFonts w:hint="eastAsia"/>
          <w:color w:val="auto"/>
          <w:sz w:val="24"/>
          <w:szCs w:val="24"/>
        </w:rPr>
        <w:t>1.供应商须提供上述业绩合同扫描件；</w:t>
      </w:r>
    </w:p>
    <w:p w14:paraId="7B48FD80">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2099AB72">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5998E087">
      <w:pPr>
        <w:pStyle w:val="25"/>
        <w:spacing w:line="360" w:lineRule="auto"/>
        <w:ind w:left="-27" w:firstLine="424"/>
        <w:rPr>
          <w:rFonts w:ascii="Times New Roman" w:hAnsi="Times New Roman"/>
          <w:b/>
          <w:bCs/>
          <w:color w:val="auto"/>
          <w:sz w:val="24"/>
          <w:szCs w:val="24"/>
        </w:rPr>
      </w:pPr>
    </w:p>
    <w:p w14:paraId="5964B0B7">
      <w:pPr>
        <w:pStyle w:val="25"/>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DB41DE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4537E24">
      <w:pPr>
        <w:spacing w:line="360" w:lineRule="auto"/>
        <w:rPr>
          <w:color w:val="auto"/>
          <w:sz w:val="24"/>
          <w:szCs w:val="24"/>
        </w:rPr>
      </w:pPr>
      <w:r>
        <w:rPr>
          <w:rFonts w:hint="eastAsia" w:ascii="宋体" w:hAnsi="宋体" w:cs="宋体"/>
          <w:color w:val="auto"/>
          <w:sz w:val="24"/>
        </w:rPr>
        <w:t>日期：      年   月   日</w:t>
      </w:r>
    </w:p>
    <w:p w14:paraId="171AD960">
      <w:pPr>
        <w:rPr>
          <w:rFonts w:ascii="黑体" w:hAnsi="黑体" w:eastAsia="黑体" w:cs="黑体"/>
          <w:color w:val="auto"/>
          <w:sz w:val="28"/>
          <w:szCs w:val="28"/>
        </w:rPr>
      </w:pPr>
      <w:bookmarkStart w:id="783" w:name="_Toc12743"/>
      <w:bookmarkStart w:id="784" w:name="_Toc9100"/>
      <w:bookmarkStart w:id="785" w:name="_Toc27754"/>
      <w:bookmarkStart w:id="786" w:name="_Toc16499"/>
      <w:bookmarkStart w:id="787" w:name="_Toc28010"/>
      <w:bookmarkStart w:id="788" w:name="_Toc20235"/>
      <w:bookmarkStart w:id="789" w:name="_Toc21474"/>
      <w:bookmarkStart w:id="790" w:name="_Toc27736"/>
      <w:bookmarkStart w:id="791" w:name="_Toc9428"/>
      <w:bookmarkStart w:id="792" w:name="_Toc25395"/>
      <w:bookmarkStart w:id="793" w:name="_Toc18122"/>
      <w:bookmarkStart w:id="794" w:name="_Toc3809"/>
      <w:bookmarkStart w:id="795" w:name="_Toc25847"/>
      <w:bookmarkStart w:id="796" w:name="_Toc26175"/>
      <w:bookmarkStart w:id="797" w:name="_Toc27924"/>
      <w:bookmarkStart w:id="798" w:name="_Toc30618"/>
      <w:bookmarkStart w:id="799" w:name="_Toc11435"/>
      <w:bookmarkStart w:id="800" w:name="_Toc9650"/>
      <w:bookmarkStart w:id="801" w:name="_Toc21901"/>
      <w:bookmarkStart w:id="802" w:name="_Toc29300"/>
      <w:bookmarkStart w:id="803" w:name="_Toc22005"/>
      <w:bookmarkStart w:id="804" w:name="_Toc32660"/>
      <w:bookmarkStart w:id="805" w:name="_Toc24884"/>
      <w:bookmarkStart w:id="806" w:name="_Toc8383"/>
      <w:bookmarkStart w:id="807" w:name="_Toc23972"/>
      <w:bookmarkStart w:id="808" w:name="_Toc20421"/>
      <w:bookmarkStart w:id="809" w:name="_Toc6410"/>
      <w:bookmarkStart w:id="810" w:name="_Toc5640"/>
      <w:bookmarkStart w:id="811" w:name="_Toc31965"/>
      <w:bookmarkStart w:id="812" w:name="_Toc1352"/>
      <w:bookmarkStart w:id="813" w:name="_Toc29974"/>
      <w:r>
        <w:rPr>
          <w:rFonts w:hint="eastAsia" w:ascii="黑体" w:hAnsi="黑体" w:eastAsia="黑体" w:cs="黑体"/>
          <w:color w:val="auto"/>
          <w:sz w:val="28"/>
          <w:szCs w:val="28"/>
        </w:rPr>
        <w:br w:type="page"/>
      </w:r>
    </w:p>
    <w:p w14:paraId="477D42E5">
      <w:pPr>
        <w:pStyle w:val="5"/>
        <w:ind w:left="0" w:firstLine="0"/>
        <w:outlineLvl w:val="0"/>
        <w:rPr>
          <w:color w:val="auto"/>
        </w:rPr>
      </w:pPr>
      <w:bookmarkStart w:id="814" w:name="_Toc16364"/>
      <w:r>
        <w:rPr>
          <w:rFonts w:hint="eastAsia"/>
          <w:color w:val="auto"/>
        </w:rPr>
        <w:t>（8）</w:t>
      </w:r>
      <w:bookmarkEnd w:id="783"/>
      <w:bookmarkEnd w:id="784"/>
      <w:bookmarkEnd w:id="785"/>
      <w:r>
        <w:rPr>
          <w:rFonts w:hint="eastAsia"/>
          <w:color w:val="auto"/>
        </w:rPr>
        <w:t>详细技术和服务方案</w:t>
      </w:r>
      <w:bookmarkEnd w:id="786"/>
      <w:bookmarkEnd w:id="787"/>
      <w:bookmarkEnd w:id="788"/>
      <w:bookmarkEnd w:id="789"/>
      <w:bookmarkEnd w:id="790"/>
      <w:bookmarkEnd w:id="791"/>
      <w:bookmarkEnd w:id="792"/>
      <w:bookmarkEnd w:id="814"/>
    </w:p>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14:paraId="6CFBBFF9">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含实施方案、验收调试试运行方案、培训计划、售后服务方案等</w:t>
      </w:r>
      <w:r>
        <w:rPr>
          <w:rFonts w:hint="eastAsia"/>
          <w:color w:val="auto"/>
          <w:sz w:val="24"/>
        </w:rPr>
        <w:t>）</w:t>
      </w:r>
    </w:p>
    <w:p w14:paraId="113952E4">
      <w:pPr>
        <w:pStyle w:val="25"/>
        <w:snapToGrid w:val="0"/>
        <w:spacing w:line="440" w:lineRule="exact"/>
        <w:ind w:left="-27" w:firstLine="422"/>
        <w:rPr>
          <w:rFonts w:asciiTheme="majorEastAsia" w:hAnsiTheme="majorEastAsia" w:eastAsiaTheme="majorEastAsia" w:cstheme="majorEastAsia"/>
          <w:color w:val="auto"/>
          <w:sz w:val="24"/>
          <w:szCs w:val="24"/>
        </w:rPr>
      </w:pPr>
    </w:p>
    <w:p w14:paraId="00130473">
      <w:pPr>
        <w:spacing w:before="312" w:beforeLines="100" w:after="312" w:afterLines="100"/>
        <w:jc w:val="left"/>
        <w:rPr>
          <w:color w:val="auto"/>
          <w:sz w:val="24"/>
          <w:szCs w:val="24"/>
        </w:rPr>
      </w:pPr>
    </w:p>
    <w:p w14:paraId="5CDCEA37">
      <w:pPr>
        <w:rPr>
          <w:color w:val="auto"/>
        </w:rPr>
      </w:pPr>
    </w:p>
    <w:p w14:paraId="55A5F6CD">
      <w:pPr>
        <w:pStyle w:val="5"/>
        <w:ind w:left="0" w:firstLine="0"/>
        <w:outlineLvl w:val="0"/>
        <w:rPr>
          <w:color w:val="auto"/>
        </w:rPr>
      </w:pPr>
      <w:bookmarkStart w:id="815" w:name="_Toc23685"/>
      <w:bookmarkStart w:id="816" w:name="_Toc21017"/>
      <w:bookmarkStart w:id="817" w:name="_Toc10148"/>
      <w:bookmarkStart w:id="818" w:name="_Toc14897"/>
      <w:bookmarkStart w:id="819" w:name="_Toc13211"/>
      <w:bookmarkStart w:id="820" w:name="_Toc21572"/>
      <w:bookmarkStart w:id="821" w:name="_Toc24587"/>
      <w:bookmarkStart w:id="822" w:name="_Toc19068"/>
      <w:bookmarkStart w:id="823" w:name="_Toc3089"/>
      <w:bookmarkStart w:id="824" w:name="_Toc1378"/>
      <w:bookmarkStart w:id="825" w:name="_Toc1664"/>
      <w:r>
        <w:rPr>
          <w:rFonts w:hint="eastAsia"/>
          <w:color w:val="auto"/>
        </w:rPr>
        <w:t>（9）</w:t>
      </w:r>
      <w:bookmarkEnd w:id="815"/>
      <w:r>
        <w:rPr>
          <w:rFonts w:hint="eastAsia"/>
          <w:color w:val="auto"/>
        </w:rPr>
        <w:t>项目组成员一览表</w:t>
      </w:r>
      <w:bookmarkEnd w:id="816"/>
      <w:bookmarkEnd w:id="817"/>
      <w:bookmarkEnd w:id="818"/>
      <w:bookmarkEnd w:id="819"/>
      <w:bookmarkEnd w:id="820"/>
      <w:bookmarkEnd w:id="821"/>
      <w:bookmarkEnd w:id="822"/>
      <w:bookmarkEnd w:id="823"/>
    </w:p>
    <w:bookmarkEnd w:id="824"/>
    <w:bookmarkEnd w:id="825"/>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65CA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451DCEEC">
            <w:pPr>
              <w:pStyle w:val="25"/>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790878C7">
            <w:pPr>
              <w:pStyle w:val="25"/>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5048399B">
            <w:pPr>
              <w:pStyle w:val="25"/>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296897B5">
            <w:pPr>
              <w:pStyle w:val="25"/>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1EE4E0FA">
            <w:pPr>
              <w:pStyle w:val="25"/>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0EA778BE">
            <w:pPr>
              <w:pStyle w:val="25"/>
              <w:snapToGrid w:val="0"/>
              <w:spacing w:line="440" w:lineRule="exact"/>
              <w:jc w:val="center"/>
              <w:rPr>
                <w:color w:val="auto"/>
                <w:sz w:val="21"/>
                <w:szCs w:val="21"/>
              </w:rPr>
            </w:pPr>
            <w:r>
              <w:rPr>
                <w:rFonts w:hint="eastAsia"/>
                <w:color w:val="auto"/>
                <w:sz w:val="21"/>
                <w:szCs w:val="21"/>
              </w:rPr>
              <w:t>持证有效期</w:t>
            </w:r>
          </w:p>
        </w:tc>
      </w:tr>
      <w:tr w14:paraId="566F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32A2DD6">
            <w:pPr>
              <w:pStyle w:val="25"/>
              <w:snapToGrid w:val="0"/>
              <w:spacing w:line="440" w:lineRule="exact"/>
              <w:ind w:left="-27" w:firstLine="370"/>
              <w:rPr>
                <w:color w:val="auto"/>
                <w:sz w:val="21"/>
                <w:szCs w:val="21"/>
              </w:rPr>
            </w:pPr>
          </w:p>
        </w:tc>
        <w:tc>
          <w:tcPr>
            <w:tcW w:w="1326" w:type="dxa"/>
          </w:tcPr>
          <w:p w14:paraId="4BEF7F0F">
            <w:pPr>
              <w:pStyle w:val="25"/>
              <w:snapToGrid w:val="0"/>
              <w:spacing w:line="440" w:lineRule="exact"/>
              <w:ind w:left="-27" w:firstLine="370"/>
              <w:rPr>
                <w:color w:val="auto"/>
                <w:sz w:val="21"/>
                <w:szCs w:val="21"/>
              </w:rPr>
            </w:pPr>
          </w:p>
        </w:tc>
        <w:tc>
          <w:tcPr>
            <w:tcW w:w="1327" w:type="dxa"/>
          </w:tcPr>
          <w:p w14:paraId="16B9515C">
            <w:pPr>
              <w:pStyle w:val="25"/>
              <w:snapToGrid w:val="0"/>
              <w:spacing w:line="440" w:lineRule="exact"/>
              <w:ind w:left="-27" w:firstLine="370"/>
              <w:rPr>
                <w:color w:val="auto"/>
                <w:sz w:val="21"/>
                <w:szCs w:val="21"/>
              </w:rPr>
            </w:pPr>
          </w:p>
        </w:tc>
        <w:tc>
          <w:tcPr>
            <w:tcW w:w="1327" w:type="dxa"/>
          </w:tcPr>
          <w:p w14:paraId="3B5AE05A">
            <w:pPr>
              <w:pStyle w:val="25"/>
              <w:snapToGrid w:val="0"/>
              <w:spacing w:line="440" w:lineRule="exact"/>
              <w:ind w:left="-27" w:firstLine="370"/>
              <w:rPr>
                <w:color w:val="auto"/>
                <w:sz w:val="21"/>
                <w:szCs w:val="21"/>
              </w:rPr>
            </w:pPr>
          </w:p>
        </w:tc>
        <w:tc>
          <w:tcPr>
            <w:tcW w:w="1327" w:type="dxa"/>
          </w:tcPr>
          <w:p w14:paraId="543A2512">
            <w:pPr>
              <w:pStyle w:val="25"/>
              <w:snapToGrid w:val="0"/>
              <w:spacing w:line="440" w:lineRule="exact"/>
              <w:ind w:left="-27" w:firstLine="370"/>
              <w:rPr>
                <w:color w:val="auto"/>
                <w:sz w:val="21"/>
                <w:szCs w:val="21"/>
              </w:rPr>
            </w:pPr>
          </w:p>
        </w:tc>
        <w:tc>
          <w:tcPr>
            <w:tcW w:w="1648" w:type="dxa"/>
          </w:tcPr>
          <w:p w14:paraId="7777D8F6">
            <w:pPr>
              <w:pStyle w:val="25"/>
              <w:snapToGrid w:val="0"/>
              <w:spacing w:line="440" w:lineRule="exact"/>
              <w:ind w:left="-27" w:firstLine="370"/>
              <w:rPr>
                <w:color w:val="auto"/>
                <w:sz w:val="21"/>
                <w:szCs w:val="21"/>
              </w:rPr>
            </w:pPr>
          </w:p>
        </w:tc>
      </w:tr>
      <w:tr w14:paraId="30FC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03E21BC">
            <w:pPr>
              <w:pStyle w:val="25"/>
              <w:snapToGrid w:val="0"/>
              <w:spacing w:line="440" w:lineRule="exact"/>
              <w:ind w:left="-27" w:firstLine="370"/>
              <w:rPr>
                <w:color w:val="auto"/>
                <w:sz w:val="21"/>
                <w:szCs w:val="21"/>
              </w:rPr>
            </w:pPr>
          </w:p>
        </w:tc>
        <w:tc>
          <w:tcPr>
            <w:tcW w:w="1326" w:type="dxa"/>
          </w:tcPr>
          <w:p w14:paraId="0D52F2B6">
            <w:pPr>
              <w:pStyle w:val="25"/>
              <w:snapToGrid w:val="0"/>
              <w:spacing w:line="440" w:lineRule="exact"/>
              <w:ind w:left="-27" w:firstLine="370"/>
              <w:rPr>
                <w:color w:val="auto"/>
                <w:sz w:val="21"/>
                <w:szCs w:val="21"/>
              </w:rPr>
            </w:pPr>
          </w:p>
        </w:tc>
        <w:tc>
          <w:tcPr>
            <w:tcW w:w="1327" w:type="dxa"/>
          </w:tcPr>
          <w:p w14:paraId="74049746">
            <w:pPr>
              <w:pStyle w:val="25"/>
              <w:snapToGrid w:val="0"/>
              <w:spacing w:line="440" w:lineRule="exact"/>
              <w:ind w:left="-27" w:firstLine="370"/>
              <w:rPr>
                <w:color w:val="auto"/>
                <w:sz w:val="21"/>
                <w:szCs w:val="21"/>
              </w:rPr>
            </w:pPr>
          </w:p>
        </w:tc>
        <w:tc>
          <w:tcPr>
            <w:tcW w:w="1327" w:type="dxa"/>
          </w:tcPr>
          <w:p w14:paraId="6D185A89">
            <w:pPr>
              <w:pStyle w:val="25"/>
              <w:snapToGrid w:val="0"/>
              <w:spacing w:line="440" w:lineRule="exact"/>
              <w:ind w:left="-27" w:firstLine="370"/>
              <w:rPr>
                <w:color w:val="auto"/>
                <w:sz w:val="21"/>
                <w:szCs w:val="21"/>
              </w:rPr>
            </w:pPr>
          </w:p>
        </w:tc>
        <w:tc>
          <w:tcPr>
            <w:tcW w:w="1327" w:type="dxa"/>
          </w:tcPr>
          <w:p w14:paraId="11B1B81C">
            <w:pPr>
              <w:pStyle w:val="25"/>
              <w:snapToGrid w:val="0"/>
              <w:spacing w:line="440" w:lineRule="exact"/>
              <w:ind w:left="-27" w:firstLine="370"/>
              <w:rPr>
                <w:color w:val="auto"/>
                <w:sz w:val="21"/>
                <w:szCs w:val="21"/>
              </w:rPr>
            </w:pPr>
          </w:p>
        </w:tc>
        <w:tc>
          <w:tcPr>
            <w:tcW w:w="1648" w:type="dxa"/>
          </w:tcPr>
          <w:p w14:paraId="14CA1F7D">
            <w:pPr>
              <w:pStyle w:val="25"/>
              <w:snapToGrid w:val="0"/>
              <w:spacing w:line="440" w:lineRule="exact"/>
              <w:ind w:left="-27" w:firstLine="370"/>
              <w:rPr>
                <w:color w:val="auto"/>
                <w:sz w:val="21"/>
                <w:szCs w:val="21"/>
              </w:rPr>
            </w:pPr>
          </w:p>
        </w:tc>
      </w:tr>
      <w:tr w14:paraId="47619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040C0D04">
            <w:pPr>
              <w:pStyle w:val="25"/>
              <w:snapToGrid w:val="0"/>
              <w:spacing w:line="440" w:lineRule="exact"/>
              <w:ind w:left="-27" w:firstLine="370"/>
              <w:rPr>
                <w:color w:val="auto"/>
                <w:sz w:val="21"/>
                <w:szCs w:val="21"/>
              </w:rPr>
            </w:pPr>
          </w:p>
        </w:tc>
        <w:tc>
          <w:tcPr>
            <w:tcW w:w="1326" w:type="dxa"/>
          </w:tcPr>
          <w:p w14:paraId="205652C7">
            <w:pPr>
              <w:pStyle w:val="25"/>
              <w:snapToGrid w:val="0"/>
              <w:spacing w:line="440" w:lineRule="exact"/>
              <w:ind w:left="-27" w:firstLine="370"/>
              <w:rPr>
                <w:color w:val="auto"/>
                <w:sz w:val="21"/>
                <w:szCs w:val="21"/>
              </w:rPr>
            </w:pPr>
          </w:p>
        </w:tc>
        <w:tc>
          <w:tcPr>
            <w:tcW w:w="1327" w:type="dxa"/>
          </w:tcPr>
          <w:p w14:paraId="21918010">
            <w:pPr>
              <w:pStyle w:val="25"/>
              <w:snapToGrid w:val="0"/>
              <w:spacing w:line="440" w:lineRule="exact"/>
              <w:ind w:left="-27" w:firstLine="370"/>
              <w:rPr>
                <w:color w:val="auto"/>
                <w:sz w:val="21"/>
                <w:szCs w:val="21"/>
              </w:rPr>
            </w:pPr>
          </w:p>
        </w:tc>
        <w:tc>
          <w:tcPr>
            <w:tcW w:w="1327" w:type="dxa"/>
          </w:tcPr>
          <w:p w14:paraId="2D7EA79D">
            <w:pPr>
              <w:pStyle w:val="25"/>
              <w:snapToGrid w:val="0"/>
              <w:spacing w:line="440" w:lineRule="exact"/>
              <w:ind w:left="-27" w:firstLine="370"/>
              <w:rPr>
                <w:color w:val="auto"/>
                <w:sz w:val="21"/>
                <w:szCs w:val="21"/>
              </w:rPr>
            </w:pPr>
          </w:p>
        </w:tc>
        <w:tc>
          <w:tcPr>
            <w:tcW w:w="1327" w:type="dxa"/>
          </w:tcPr>
          <w:p w14:paraId="71DA87CA">
            <w:pPr>
              <w:pStyle w:val="25"/>
              <w:snapToGrid w:val="0"/>
              <w:spacing w:line="440" w:lineRule="exact"/>
              <w:ind w:left="-27" w:firstLine="370"/>
              <w:rPr>
                <w:color w:val="auto"/>
                <w:sz w:val="21"/>
                <w:szCs w:val="21"/>
              </w:rPr>
            </w:pPr>
          </w:p>
        </w:tc>
        <w:tc>
          <w:tcPr>
            <w:tcW w:w="1648" w:type="dxa"/>
          </w:tcPr>
          <w:p w14:paraId="3E7C1AA4">
            <w:pPr>
              <w:pStyle w:val="25"/>
              <w:snapToGrid w:val="0"/>
              <w:spacing w:line="440" w:lineRule="exact"/>
              <w:ind w:left="-27" w:firstLine="370"/>
              <w:rPr>
                <w:color w:val="auto"/>
                <w:sz w:val="21"/>
                <w:szCs w:val="21"/>
              </w:rPr>
            </w:pPr>
          </w:p>
        </w:tc>
      </w:tr>
      <w:tr w14:paraId="157AC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CC5E758">
            <w:pPr>
              <w:pStyle w:val="25"/>
              <w:snapToGrid w:val="0"/>
              <w:spacing w:line="440" w:lineRule="exact"/>
              <w:ind w:left="-27" w:firstLine="370"/>
              <w:rPr>
                <w:color w:val="auto"/>
                <w:sz w:val="21"/>
                <w:szCs w:val="21"/>
              </w:rPr>
            </w:pPr>
          </w:p>
        </w:tc>
        <w:tc>
          <w:tcPr>
            <w:tcW w:w="1326" w:type="dxa"/>
          </w:tcPr>
          <w:p w14:paraId="00B6166F">
            <w:pPr>
              <w:pStyle w:val="25"/>
              <w:snapToGrid w:val="0"/>
              <w:spacing w:line="440" w:lineRule="exact"/>
              <w:ind w:left="-27" w:firstLine="370"/>
              <w:rPr>
                <w:color w:val="auto"/>
                <w:sz w:val="21"/>
                <w:szCs w:val="21"/>
              </w:rPr>
            </w:pPr>
          </w:p>
        </w:tc>
        <w:tc>
          <w:tcPr>
            <w:tcW w:w="1327" w:type="dxa"/>
          </w:tcPr>
          <w:p w14:paraId="32846D27">
            <w:pPr>
              <w:pStyle w:val="25"/>
              <w:snapToGrid w:val="0"/>
              <w:spacing w:line="440" w:lineRule="exact"/>
              <w:ind w:left="-27" w:firstLine="370"/>
              <w:rPr>
                <w:color w:val="auto"/>
                <w:sz w:val="21"/>
                <w:szCs w:val="21"/>
              </w:rPr>
            </w:pPr>
          </w:p>
        </w:tc>
        <w:tc>
          <w:tcPr>
            <w:tcW w:w="1327" w:type="dxa"/>
          </w:tcPr>
          <w:p w14:paraId="6C70E47D">
            <w:pPr>
              <w:pStyle w:val="25"/>
              <w:snapToGrid w:val="0"/>
              <w:spacing w:line="440" w:lineRule="exact"/>
              <w:ind w:left="-27" w:firstLine="370"/>
              <w:rPr>
                <w:color w:val="auto"/>
                <w:sz w:val="21"/>
                <w:szCs w:val="21"/>
              </w:rPr>
            </w:pPr>
          </w:p>
        </w:tc>
        <w:tc>
          <w:tcPr>
            <w:tcW w:w="1327" w:type="dxa"/>
          </w:tcPr>
          <w:p w14:paraId="0300EDE4">
            <w:pPr>
              <w:pStyle w:val="25"/>
              <w:snapToGrid w:val="0"/>
              <w:spacing w:line="440" w:lineRule="exact"/>
              <w:ind w:left="-27" w:firstLine="370"/>
              <w:rPr>
                <w:color w:val="auto"/>
                <w:sz w:val="21"/>
                <w:szCs w:val="21"/>
              </w:rPr>
            </w:pPr>
          </w:p>
        </w:tc>
        <w:tc>
          <w:tcPr>
            <w:tcW w:w="1648" w:type="dxa"/>
          </w:tcPr>
          <w:p w14:paraId="774745D2">
            <w:pPr>
              <w:pStyle w:val="25"/>
              <w:snapToGrid w:val="0"/>
              <w:spacing w:line="440" w:lineRule="exact"/>
              <w:ind w:left="-27" w:firstLine="370"/>
              <w:rPr>
                <w:color w:val="auto"/>
                <w:sz w:val="21"/>
                <w:szCs w:val="21"/>
              </w:rPr>
            </w:pPr>
          </w:p>
        </w:tc>
      </w:tr>
      <w:tr w14:paraId="751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AA9DDE4">
            <w:pPr>
              <w:pStyle w:val="25"/>
              <w:snapToGrid w:val="0"/>
              <w:spacing w:line="440" w:lineRule="exact"/>
              <w:ind w:left="-27" w:firstLine="370"/>
              <w:rPr>
                <w:color w:val="auto"/>
                <w:sz w:val="21"/>
                <w:szCs w:val="21"/>
              </w:rPr>
            </w:pPr>
          </w:p>
        </w:tc>
        <w:tc>
          <w:tcPr>
            <w:tcW w:w="1326" w:type="dxa"/>
          </w:tcPr>
          <w:p w14:paraId="70BFBC9A">
            <w:pPr>
              <w:pStyle w:val="25"/>
              <w:snapToGrid w:val="0"/>
              <w:spacing w:line="440" w:lineRule="exact"/>
              <w:ind w:left="-27" w:firstLine="370"/>
              <w:rPr>
                <w:color w:val="auto"/>
                <w:sz w:val="21"/>
                <w:szCs w:val="21"/>
              </w:rPr>
            </w:pPr>
          </w:p>
        </w:tc>
        <w:tc>
          <w:tcPr>
            <w:tcW w:w="1327" w:type="dxa"/>
          </w:tcPr>
          <w:p w14:paraId="4152F3ED">
            <w:pPr>
              <w:pStyle w:val="25"/>
              <w:snapToGrid w:val="0"/>
              <w:spacing w:line="440" w:lineRule="exact"/>
              <w:ind w:left="-27" w:firstLine="370"/>
              <w:rPr>
                <w:color w:val="auto"/>
                <w:sz w:val="21"/>
                <w:szCs w:val="21"/>
              </w:rPr>
            </w:pPr>
          </w:p>
        </w:tc>
        <w:tc>
          <w:tcPr>
            <w:tcW w:w="1327" w:type="dxa"/>
          </w:tcPr>
          <w:p w14:paraId="635C32B7">
            <w:pPr>
              <w:pStyle w:val="25"/>
              <w:snapToGrid w:val="0"/>
              <w:spacing w:line="440" w:lineRule="exact"/>
              <w:ind w:left="-27" w:firstLine="370"/>
              <w:rPr>
                <w:color w:val="auto"/>
                <w:sz w:val="21"/>
                <w:szCs w:val="21"/>
              </w:rPr>
            </w:pPr>
          </w:p>
        </w:tc>
        <w:tc>
          <w:tcPr>
            <w:tcW w:w="1327" w:type="dxa"/>
          </w:tcPr>
          <w:p w14:paraId="5D87DDD4">
            <w:pPr>
              <w:pStyle w:val="25"/>
              <w:snapToGrid w:val="0"/>
              <w:spacing w:line="440" w:lineRule="exact"/>
              <w:ind w:left="-27" w:firstLine="370"/>
              <w:rPr>
                <w:color w:val="auto"/>
                <w:sz w:val="21"/>
                <w:szCs w:val="21"/>
              </w:rPr>
            </w:pPr>
          </w:p>
        </w:tc>
        <w:tc>
          <w:tcPr>
            <w:tcW w:w="1648" w:type="dxa"/>
          </w:tcPr>
          <w:p w14:paraId="4600BACA">
            <w:pPr>
              <w:pStyle w:val="25"/>
              <w:snapToGrid w:val="0"/>
              <w:spacing w:line="440" w:lineRule="exact"/>
              <w:ind w:left="-27" w:firstLine="370"/>
              <w:rPr>
                <w:color w:val="auto"/>
                <w:sz w:val="21"/>
                <w:szCs w:val="21"/>
              </w:rPr>
            </w:pPr>
          </w:p>
        </w:tc>
      </w:tr>
    </w:tbl>
    <w:p w14:paraId="11AE9755">
      <w:pPr>
        <w:pStyle w:val="25"/>
        <w:snapToGrid w:val="0"/>
        <w:spacing w:line="440" w:lineRule="exact"/>
        <w:ind w:left="-27" w:firstLine="370"/>
        <w:rPr>
          <w:color w:val="auto"/>
          <w:sz w:val="21"/>
          <w:szCs w:val="21"/>
        </w:rPr>
      </w:pPr>
      <w:r>
        <w:rPr>
          <w:rFonts w:hint="eastAsia"/>
          <w:color w:val="auto"/>
          <w:sz w:val="21"/>
          <w:szCs w:val="21"/>
        </w:rPr>
        <w:t>注：附</w:t>
      </w:r>
      <w:r>
        <w:rPr>
          <w:rFonts w:hint="eastAsia"/>
          <w:b w:val="0"/>
          <w:bCs w:val="0"/>
          <w:color w:val="auto"/>
          <w:sz w:val="21"/>
          <w:szCs w:val="21"/>
        </w:rPr>
        <w:t>证书复印件、近6个月任意1个月（不含投标截止时间当月）</w:t>
      </w:r>
      <w:r>
        <w:rPr>
          <w:rFonts w:hint="eastAsia"/>
          <w:b w:val="0"/>
          <w:bCs w:val="0"/>
          <w:color w:val="auto"/>
          <w:sz w:val="21"/>
          <w:szCs w:val="21"/>
          <w:lang w:val="en-US" w:eastAsia="zh-CN"/>
        </w:rPr>
        <w:t>社保证明材料</w:t>
      </w:r>
      <w:r>
        <w:rPr>
          <w:rFonts w:hint="eastAsia"/>
          <w:color w:val="auto"/>
          <w:sz w:val="21"/>
          <w:szCs w:val="21"/>
        </w:rPr>
        <w:t>。</w:t>
      </w:r>
    </w:p>
    <w:p w14:paraId="7EE36B84">
      <w:pPr>
        <w:pStyle w:val="25"/>
        <w:spacing w:line="360" w:lineRule="auto"/>
        <w:ind w:left="-27" w:firstLine="422"/>
        <w:rPr>
          <w:rFonts w:ascii="Times New Roman" w:hAnsi="Times New Roman"/>
          <w:color w:val="auto"/>
          <w:sz w:val="24"/>
          <w:szCs w:val="24"/>
        </w:rPr>
      </w:pPr>
    </w:p>
    <w:p w14:paraId="1298EBDF">
      <w:pPr>
        <w:pStyle w:val="25"/>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FE5B0C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0A0D2EF">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1904979">
      <w:pPr>
        <w:pStyle w:val="5"/>
        <w:ind w:left="0" w:firstLine="0"/>
        <w:jc w:val="left"/>
        <w:outlineLvl w:val="9"/>
        <w:rPr>
          <w:rFonts w:ascii="黑体" w:hAnsi="黑体" w:eastAsia="黑体" w:cs="黑体"/>
          <w:color w:val="auto"/>
          <w:sz w:val="24"/>
          <w:szCs w:val="24"/>
        </w:rPr>
      </w:pPr>
    </w:p>
    <w:p w14:paraId="6A022ADA">
      <w:pPr>
        <w:pStyle w:val="5"/>
        <w:ind w:left="0" w:firstLine="0"/>
        <w:outlineLvl w:val="0"/>
        <w:rPr>
          <w:color w:val="auto"/>
        </w:rPr>
      </w:pPr>
      <w:bookmarkStart w:id="826" w:name="_Toc10021"/>
      <w:bookmarkStart w:id="827" w:name="_Toc31661"/>
      <w:bookmarkStart w:id="828" w:name="_Toc2271"/>
      <w:bookmarkStart w:id="829" w:name="_Toc17628"/>
      <w:bookmarkStart w:id="830" w:name="_Toc20288"/>
      <w:bookmarkStart w:id="831" w:name="_Toc14194"/>
      <w:bookmarkStart w:id="832" w:name="_Toc13735"/>
      <w:bookmarkStart w:id="833" w:name="_Toc30223"/>
      <w:bookmarkStart w:id="834" w:name="_Toc15835"/>
      <w:bookmarkStart w:id="835" w:name="_Toc29121"/>
      <w:bookmarkStart w:id="836" w:name="_Toc3296"/>
      <w:r>
        <w:rPr>
          <w:rFonts w:hint="eastAsia"/>
          <w:color w:val="auto"/>
        </w:rPr>
        <w:t>（10）关于对磋商文件中有关条款的拒绝声明</w:t>
      </w:r>
      <w:bookmarkEnd w:id="782"/>
      <w:r>
        <w:rPr>
          <w:rFonts w:hint="eastAsia"/>
          <w:color w:val="auto"/>
        </w:rPr>
        <w:t>(如有)</w:t>
      </w:r>
      <w:bookmarkEnd w:id="826"/>
      <w:bookmarkEnd w:id="827"/>
      <w:bookmarkEnd w:id="828"/>
      <w:bookmarkEnd w:id="829"/>
      <w:bookmarkEnd w:id="830"/>
      <w:bookmarkEnd w:id="831"/>
      <w:bookmarkEnd w:id="832"/>
      <w:bookmarkEnd w:id="833"/>
      <w:bookmarkEnd w:id="834"/>
      <w:bookmarkEnd w:id="835"/>
      <w:bookmarkEnd w:id="836"/>
      <w:r>
        <w:rPr>
          <w:rFonts w:hint="eastAsia"/>
          <w:color w:val="auto"/>
        </w:rPr>
        <w:t xml:space="preserve"> </w:t>
      </w:r>
    </w:p>
    <w:bookmarkEnd w:id="0"/>
    <w:bookmarkEnd w:id="254"/>
    <w:bookmarkEnd w:id="629"/>
    <w:p w14:paraId="7388A556">
      <w:pPr>
        <w:pStyle w:val="25"/>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15C950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3405B1F">
      <w:pPr>
        <w:spacing w:before="312" w:beforeLines="100" w:after="312" w:afterLines="100"/>
        <w:jc w:val="left"/>
        <w:rPr>
          <w:color w:val="auto"/>
          <w:sz w:val="24"/>
        </w:rPr>
      </w:pPr>
      <w:r>
        <w:rPr>
          <w:rFonts w:hint="eastAsia" w:ascii="宋体" w:hAnsi="宋体" w:cs="宋体"/>
          <w:color w:val="auto"/>
          <w:sz w:val="24"/>
        </w:rPr>
        <w:t>日期：      年   月   日</w:t>
      </w:r>
    </w:p>
    <w:p w14:paraId="7B0382BB">
      <w:pPr>
        <w:pStyle w:val="3"/>
        <w:bidi w:val="0"/>
        <w:rPr>
          <w:color w:val="auto"/>
        </w:rPr>
      </w:pPr>
      <w:bookmarkStart w:id="837" w:name="_Toc7056"/>
      <w:r>
        <w:rPr>
          <w:rFonts w:hint="eastAsia"/>
          <w:color w:val="auto"/>
        </w:rPr>
        <w:t>评分标准索引表</w:t>
      </w:r>
      <w:bookmarkEnd w:id="837"/>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5D792A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57C8A5AC">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68B02754">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21DB1BCE">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6B657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076F3E2D">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6A049006">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41130DD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BB479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00CA2B6">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1932C8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1C24E6A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7B41EE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D9B0F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2D6671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7B843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A8FD5A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940400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EE4E40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304B53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BACE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41C121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BA9E62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E343F8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364401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EE452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D6B5E5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4B9AD4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EAD9E9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AF8CE1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D5830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6DA7D5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3096B2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DC090C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EA88C9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4D21F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A2110F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962171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722A45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D984C5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3469C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0AA1A06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03A822C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0A6DDC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04B830E">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3ADD53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08A2E1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A8F40CB">
            <w:pPr>
              <w:rPr>
                <w:color w:val="auto"/>
                <w:sz w:val="24"/>
                <w:szCs w:val="24"/>
              </w:rPr>
            </w:pPr>
          </w:p>
          <w:p w14:paraId="58FB774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C7A6A3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2C1FAE2">
            <w:pPr>
              <w:jc w:val="left"/>
              <w:rPr>
                <w:rFonts w:ascii="楷体_GB2312" w:eastAsia="楷体_GB2312"/>
                <w:color w:val="auto"/>
                <w:sz w:val="24"/>
                <w:szCs w:val="24"/>
              </w:rPr>
            </w:pPr>
            <w:r>
              <w:rPr>
                <w:rFonts w:hint="eastAsia" w:ascii="仿宋_GB2312" w:eastAsia="仿宋_GB2312"/>
                <w:color w:val="auto"/>
                <w:sz w:val="24"/>
                <w:szCs w:val="24"/>
              </w:rPr>
              <w:t>……</w:t>
            </w:r>
          </w:p>
        </w:tc>
      </w:tr>
      <w:tr w14:paraId="5A7EE8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DE9446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D4BFCD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CD4C49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FD076A8">
            <w:pPr>
              <w:jc w:val="left"/>
              <w:rPr>
                <w:rFonts w:ascii="楷体_GB2312" w:eastAsia="楷体_GB2312"/>
                <w:color w:val="auto"/>
                <w:sz w:val="24"/>
                <w:szCs w:val="24"/>
              </w:rPr>
            </w:pPr>
          </w:p>
        </w:tc>
      </w:tr>
      <w:tr w14:paraId="4DF08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BAF506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270227D">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88A48F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2479C1C">
            <w:pPr>
              <w:jc w:val="left"/>
              <w:rPr>
                <w:rFonts w:ascii="楷体_GB2312" w:eastAsia="楷体_GB2312"/>
                <w:color w:val="auto"/>
                <w:sz w:val="24"/>
                <w:szCs w:val="24"/>
              </w:rPr>
            </w:pPr>
          </w:p>
        </w:tc>
      </w:tr>
      <w:tr w14:paraId="0D0F2C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5D3275D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8C426F7">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18E9EC6">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E8380B9">
            <w:pPr>
              <w:jc w:val="left"/>
              <w:rPr>
                <w:rFonts w:ascii="楷体_GB2312" w:eastAsia="楷体_GB2312"/>
                <w:color w:val="auto"/>
                <w:sz w:val="24"/>
                <w:szCs w:val="24"/>
              </w:rPr>
            </w:pPr>
          </w:p>
        </w:tc>
      </w:tr>
      <w:tr w14:paraId="4191C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14B515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0250F2B">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F557C96">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21D61B5">
            <w:pPr>
              <w:jc w:val="left"/>
              <w:rPr>
                <w:rFonts w:ascii="楷体_GB2312" w:eastAsia="楷体_GB2312"/>
                <w:color w:val="auto"/>
                <w:sz w:val="24"/>
                <w:szCs w:val="24"/>
              </w:rPr>
            </w:pPr>
          </w:p>
        </w:tc>
      </w:tr>
      <w:tr w14:paraId="7507BB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127DB8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9EAA94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1B12F0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472F995">
            <w:pPr>
              <w:jc w:val="left"/>
              <w:rPr>
                <w:rFonts w:ascii="楷体_GB2312" w:eastAsia="楷体_GB2312"/>
                <w:color w:val="auto"/>
                <w:sz w:val="24"/>
                <w:szCs w:val="24"/>
              </w:rPr>
            </w:pPr>
          </w:p>
        </w:tc>
      </w:tr>
    </w:tbl>
    <w:p w14:paraId="76327D0A">
      <w:pPr>
        <w:pStyle w:val="7"/>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C4A46">
    <w:pPr>
      <w:pStyle w:val="30"/>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6D96A591">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767139BF">
        <w:pPr>
          <w:pStyle w:val="30"/>
          <w:ind w:left="2100" w:hanging="420"/>
          <w:jc w:val="center"/>
        </w:pPr>
        <w:r>
          <w:fldChar w:fldCharType="begin"/>
        </w:r>
        <w:r>
          <w:instrText xml:space="preserve">PAGE   \* MERGEFORMAT</w:instrText>
        </w:r>
        <w:r>
          <w:fldChar w:fldCharType="separate"/>
        </w:r>
        <w:r>
          <w:rPr>
            <w:lang w:val="zh-CN"/>
          </w:rPr>
          <w:t>2</w:t>
        </w:r>
        <w:r>
          <w:fldChar w:fldCharType="end"/>
        </w:r>
      </w:p>
    </w:sdtContent>
  </w:sdt>
  <w:p w14:paraId="10748476">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38D6DE8A">
        <w:pPr>
          <w:pStyle w:val="30"/>
          <w:ind w:left="2100" w:hanging="420"/>
          <w:jc w:val="center"/>
        </w:pPr>
        <w:r>
          <w:fldChar w:fldCharType="begin"/>
        </w:r>
        <w:r>
          <w:instrText xml:space="preserve">PAGE   \* MERGEFORMAT</w:instrText>
        </w:r>
        <w:r>
          <w:fldChar w:fldCharType="separate"/>
        </w:r>
        <w:r>
          <w:rPr>
            <w:lang w:val="zh-CN"/>
          </w:rPr>
          <w:t>2</w:t>
        </w:r>
        <w:r>
          <w:fldChar w:fldCharType="end"/>
        </w:r>
      </w:p>
    </w:sdtContent>
  </w:sdt>
  <w:p w14:paraId="35420B7C">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8157BF7">
        <w:pPr>
          <w:pStyle w:val="30"/>
          <w:ind w:left="2100" w:hanging="420"/>
          <w:jc w:val="center"/>
        </w:pPr>
        <w:r>
          <w:fldChar w:fldCharType="begin"/>
        </w:r>
        <w:r>
          <w:instrText xml:space="preserve">PAGE   \* MERGEFORMAT</w:instrText>
        </w:r>
        <w:r>
          <w:fldChar w:fldCharType="separate"/>
        </w:r>
        <w:r>
          <w:rPr>
            <w:lang w:val="zh-CN"/>
          </w:rPr>
          <w:t>2</w:t>
        </w:r>
        <w:r>
          <w:fldChar w:fldCharType="end"/>
        </w:r>
      </w:p>
    </w:sdtContent>
  </w:sdt>
  <w:p w14:paraId="586EB920">
    <w:pPr>
      <w:pStyle w:val="30"/>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DB4CD">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BFA5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0335B6"/>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9074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D10C70"/>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391F9C"/>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787921"/>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5D2D8C"/>
    <w:rsid w:val="22892AA6"/>
    <w:rsid w:val="229226DE"/>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BD0AC4"/>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113A39"/>
    <w:rsid w:val="2E292EFC"/>
    <w:rsid w:val="2E7C4872"/>
    <w:rsid w:val="2EE731FE"/>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17B7F2E"/>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5B0A74"/>
    <w:rsid w:val="396C31F2"/>
    <w:rsid w:val="396D7233"/>
    <w:rsid w:val="399333CD"/>
    <w:rsid w:val="39A66375"/>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4D17D0"/>
    <w:rsid w:val="4068172D"/>
    <w:rsid w:val="40DB4E75"/>
    <w:rsid w:val="41043FD2"/>
    <w:rsid w:val="41454DA0"/>
    <w:rsid w:val="41D50910"/>
    <w:rsid w:val="42311557"/>
    <w:rsid w:val="42466D08"/>
    <w:rsid w:val="42655CCD"/>
    <w:rsid w:val="42801AE4"/>
    <w:rsid w:val="42C53929"/>
    <w:rsid w:val="42CF43AB"/>
    <w:rsid w:val="42D627E1"/>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4FF9379F"/>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0BE68D"/>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A4A1B"/>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DA28CE"/>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069E0"/>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5DB2D02"/>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BDFDBD31"/>
    <w:rsid w:val="FFF5626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4">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5">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6">
    <w:name w:val="heading 4"/>
    <w:basedOn w:val="1"/>
    <w:next w:val="7"/>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8">
    <w:name w:val="heading 5"/>
    <w:basedOn w:val="1"/>
    <w:next w:val="1"/>
    <w:link w:val="59"/>
    <w:qFormat/>
    <w:uiPriority w:val="99"/>
    <w:pPr>
      <w:keepNext/>
      <w:keepLines/>
      <w:spacing w:before="280" w:after="290" w:line="376" w:lineRule="auto"/>
      <w:outlineLvl w:val="4"/>
    </w:pPr>
    <w:rPr>
      <w:b/>
      <w:bCs/>
      <w:sz w:val="28"/>
      <w:szCs w:val="28"/>
    </w:rPr>
  </w:style>
  <w:style w:type="paragraph" w:styleId="9">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0">
    <w:name w:val="heading 7"/>
    <w:basedOn w:val="1"/>
    <w:next w:val="7"/>
    <w:link w:val="61"/>
    <w:qFormat/>
    <w:uiPriority w:val="99"/>
    <w:pPr>
      <w:keepNext/>
      <w:keepLines/>
      <w:spacing w:before="240" w:after="64" w:line="320" w:lineRule="auto"/>
      <w:outlineLvl w:val="6"/>
    </w:pPr>
    <w:rPr>
      <w:rFonts w:ascii="Arial" w:hAnsi="Arial"/>
      <w:b/>
      <w:kern w:val="2"/>
      <w:sz w:val="24"/>
    </w:rPr>
  </w:style>
  <w:style w:type="paragraph" w:styleId="11">
    <w:name w:val="heading 8"/>
    <w:basedOn w:val="1"/>
    <w:next w:val="7"/>
    <w:link w:val="62"/>
    <w:qFormat/>
    <w:uiPriority w:val="99"/>
    <w:pPr>
      <w:keepNext/>
      <w:keepLines/>
      <w:spacing w:before="240" w:after="64" w:line="320" w:lineRule="auto"/>
      <w:outlineLvl w:val="7"/>
    </w:pPr>
    <w:rPr>
      <w:rFonts w:ascii="黑体" w:hAnsi="黑体" w:eastAsia="楷体"/>
      <w:kern w:val="2"/>
      <w:sz w:val="24"/>
    </w:rPr>
  </w:style>
  <w:style w:type="paragraph" w:styleId="12">
    <w:name w:val="heading 9"/>
    <w:basedOn w:val="1"/>
    <w:next w:val="7"/>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6"/>
    <w:qFormat/>
    <w:uiPriority w:val="99"/>
    <w:pPr>
      <w:spacing w:after="120"/>
    </w:pPr>
  </w:style>
  <w:style w:type="paragraph" w:styleId="7">
    <w:name w:val="Normal Indent"/>
    <w:basedOn w:val="1"/>
    <w:next w:val="1"/>
    <w:link w:val="94"/>
    <w:qFormat/>
    <w:uiPriority w:val="99"/>
    <w:pPr>
      <w:ind w:firstLine="420"/>
    </w:pPr>
    <w:rPr>
      <w:kern w:val="2"/>
    </w:rPr>
  </w:style>
  <w:style w:type="paragraph" w:styleId="13">
    <w:name w:val="toc 7"/>
    <w:basedOn w:val="1"/>
    <w:next w:val="1"/>
    <w:qFormat/>
    <w:uiPriority w:val="99"/>
    <w:pPr>
      <w:ind w:left="1260"/>
      <w:jc w:val="left"/>
    </w:pPr>
    <w:rPr>
      <w:rFonts w:ascii="Arial" w:hAnsi="Arial" w:cs="Arial"/>
      <w:kern w:val="2"/>
      <w:sz w:val="18"/>
      <w:szCs w:val="18"/>
    </w:rPr>
  </w:style>
  <w:style w:type="paragraph" w:styleId="14">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5">
    <w:name w:val="caption"/>
    <w:basedOn w:val="1"/>
    <w:next w:val="1"/>
    <w:qFormat/>
    <w:uiPriority w:val="99"/>
    <w:rPr>
      <w:rFonts w:ascii="黑体" w:hAnsi="黑体" w:eastAsia="楷体" w:cs="黑体"/>
      <w:kern w:val="2"/>
      <w:sz w:val="20"/>
    </w:rPr>
  </w:style>
  <w:style w:type="paragraph" w:styleId="16">
    <w:name w:val="Document Map"/>
    <w:basedOn w:val="1"/>
    <w:link w:val="68"/>
    <w:qFormat/>
    <w:uiPriority w:val="99"/>
    <w:pPr>
      <w:shd w:val="clear" w:color="auto" w:fill="000080"/>
    </w:pPr>
  </w:style>
  <w:style w:type="paragraph" w:styleId="17">
    <w:name w:val="annotation text"/>
    <w:basedOn w:val="1"/>
    <w:link w:val="64"/>
    <w:qFormat/>
    <w:uiPriority w:val="99"/>
    <w:pPr>
      <w:jc w:val="left"/>
    </w:pPr>
    <w:rPr>
      <w:kern w:val="2"/>
    </w:rPr>
  </w:style>
  <w:style w:type="paragraph" w:styleId="18">
    <w:name w:val="Body Text 3"/>
    <w:basedOn w:val="1"/>
    <w:link w:val="69"/>
    <w:qFormat/>
    <w:uiPriority w:val="99"/>
    <w:pPr>
      <w:spacing w:after="120" w:line="480" w:lineRule="exact"/>
    </w:pPr>
    <w:rPr>
      <w:kern w:val="2"/>
      <w:sz w:val="16"/>
    </w:rPr>
  </w:style>
  <w:style w:type="paragraph" w:styleId="19">
    <w:name w:val="Body Text Indent"/>
    <w:basedOn w:val="1"/>
    <w:next w:val="20"/>
    <w:link w:val="70"/>
    <w:qFormat/>
    <w:uiPriority w:val="99"/>
    <w:pPr>
      <w:adjustRightInd w:val="0"/>
      <w:spacing w:line="360" w:lineRule="auto"/>
      <w:ind w:firstLine="490"/>
      <w:jc w:val="left"/>
    </w:pPr>
    <w:rPr>
      <w:rFonts w:ascii="宋体" w:hAnsi="宋体"/>
      <w:sz w:val="24"/>
    </w:rPr>
  </w:style>
  <w:style w:type="paragraph" w:styleId="20">
    <w:name w:val="Body Text First Indent 2"/>
    <w:basedOn w:val="19"/>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1">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2">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3">
    <w:name w:val="toc 5"/>
    <w:basedOn w:val="1"/>
    <w:next w:val="1"/>
    <w:qFormat/>
    <w:uiPriority w:val="99"/>
    <w:pPr>
      <w:ind w:left="840"/>
      <w:jc w:val="left"/>
    </w:pPr>
    <w:rPr>
      <w:rFonts w:ascii="Arial" w:hAnsi="Arial" w:cs="Arial"/>
      <w:kern w:val="2"/>
      <w:sz w:val="18"/>
      <w:szCs w:val="18"/>
    </w:rPr>
  </w:style>
  <w:style w:type="paragraph" w:styleId="24">
    <w:name w:val="toc 3"/>
    <w:basedOn w:val="1"/>
    <w:next w:val="1"/>
    <w:semiHidden/>
    <w:qFormat/>
    <w:uiPriority w:val="99"/>
    <w:pPr>
      <w:ind w:left="840" w:leftChars="400"/>
    </w:pPr>
  </w:style>
  <w:style w:type="paragraph" w:styleId="25">
    <w:name w:val="Plain Text"/>
    <w:basedOn w:val="1"/>
    <w:next w:val="26"/>
    <w:link w:val="71"/>
    <w:qFormat/>
    <w:uiPriority w:val="99"/>
    <w:rPr>
      <w:rFonts w:ascii="宋体" w:hAnsi="Courier New"/>
      <w:sz w:val="18"/>
    </w:rPr>
  </w:style>
  <w:style w:type="paragraph" w:styleId="26">
    <w:name w:val="Date"/>
    <w:basedOn w:val="1"/>
    <w:next w:val="1"/>
    <w:link w:val="72"/>
    <w:qFormat/>
    <w:uiPriority w:val="99"/>
    <w:pPr>
      <w:ind w:left="2500" w:leftChars="2500"/>
    </w:pPr>
    <w:rPr>
      <w:rFonts w:ascii="宋体" w:hAnsi="宋体"/>
      <w:kern w:val="2"/>
      <w:sz w:val="24"/>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Body Text Indent 2"/>
    <w:basedOn w:val="1"/>
    <w:link w:val="73"/>
    <w:qFormat/>
    <w:uiPriority w:val="99"/>
    <w:pPr>
      <w:spacing w:after="120" w:line="480" w:lineRule="auto"/>
      <w:ind w:left="420" w:leftChars="200"/>
    </w:pPr>
    <w:rPr>
      <w:kern w:val="2"/>
    </w:rPr>
  </w:style>
  <w:style w:type="paragraph" w:styleId="29">
    <w:name w:val="Balloon Text"/>
    <w:basedOn w:val="1"/>
    <w:link w:val="74"/>
    <w:qFormat/>
    <w:uiPriority w:val="99"/>
    <w:rPr>
      <w:sz w:val="18"/>
    </w:rPr>
  </w:style>
  <w:style w:type="paragraph" w:styleId="30">
    <w:name w:val="footer"/>
    <w:basedOn w:val="1"/>
    <w:link w:val="75"/>
    <w:qFormat/>
    <w:uiPriority w:val="99"/>
    <w:pPr>
      <w:tabs>
        <w:tab w:val="center" w:pos="4153"/>
        <w:tab w:val="right" w:pos="8306"/>
      </w:tabs>
      <w:snapToGrid w:val="0"/>
      <w:jc w:val="left"/>
    </w:pPr>
    <w:rPr>
      <w:sz w:val="18"/>
    </w:rPr>
  </w:style>
  <w:style w:type="paragraph" w:styleId="31">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3">
    <w:name w:val="toc 4"/>
    <w:basedOn w:val="1"/>
    <w:next w:val="1"/>
    <w:qFormat/>
    <w:uiPriority w:val="99"/>
    <w:pPr>
      <w:ind w:left="630"/>
      <w:jc w:val="left"/>
    </w:pPr>
    <w:rPr>
      <w:rFonts w:ascii="Arial" w:hAnsi="Arial" w:cs="Arial"/>
      <w:kern w:val="2"/>
      <w:sz w:val="18"/>
      <w:szCs w:val="18"/>
    </w:rPr>
  </w:style>
  <w:style w:type="paragraph" w:styleId="34">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99"/>
    <w:pPr>
      <w:ind w:left="1050"/>
      <w:jc w:val="left"/>
    </w:pPr>
    <w:rPr>
      <w:rFonts w:ascii="Arial" w:hAnsi="Arial" w:cs="Arial"/>
      <w:kern w:val="2"/>
      <w:sz w:val="18"/>
      <w:szCs w:val="18"/>
    </w:rPr>
  </w:style>
  <w:style w:type="paragraph" w:styleId="36">
    <w:name w:val="List 5"/>
    <w:basedOn w:val="1"/>
    <w:qFormat/>
    <w:uiPriority w:val="99"/>
    <w:pPr>
      <w:ind w:left="100" w:leftChars="800" w:hanging="200" w:hangingChars="200"/>
    </w:pPr>
    <w:rPr>
      <w:rFonts w:ascii="Arial" w:hAnsi="Arial" w:cs="Arial"/>
      <w:kern w:val="2"/>
    </w:rPr>
  </w:style>
  <w:style w:type="paragraph" w:styleId="37">
    <w:name w:val="Body Text Indent 3"/>
    <w:basedOn w:val="1"/>
    <w:link w:val="79"/>
    <w:qFormat/>
    <w:uiPriority w:val="99"/>
    <w:pPr>
      <w:spacing w:after="120"/>
      <w:ind w:left="420" w:leftChars="200"/>
    </w:pPr>
    <w:rPr>
      <w:sz w:val="16"/>
    </w:rPr>
  </w:style>
  <w:style w:type="paragraph" w:styleId="38">
    <w:name w:val="toc 2"/>
    <w:basedOn w:val="1"/>
    <w:next w:val="1"/>
    <w:qFormat/>
    <w:uiPriority w:val="99"/>
    <w:pPr>
      <w:ind w:left="420" w:leftChars="200"/>
    </w:pPr>
  </w:style>
  <w:style w:type="paragraph" w:styleId="39">
    <w:name w:val="toc 9"/>
    <w:basedOn w:val="1"/>
    <w:next w:val="1"/>
    <w:qFormat/>
    <w:uiPriority w:val="99"/>
    <w:pPr>
      <w:ind w:left="1680"/>
      <w:jc w:val="left"/>
    </w:pPr>
    <w:rPr>
      <w:rFonts w:ascii="Arial" w:hAnsi="Arial" w:cs="Arial"/>
      <w:kern w:val="2"/>
      <w:sz w:val="18"/>
      <w:szCs w:val="18"/>
    </w:rPr>
  </w:style>
  <w:style w:type="paragraph" w:styleId="40">
    <w:name w:val="Body Text 2"/>
    <w:basedOn w:val="1"/>
    <w:link w:val="80"/>
    <w:qFormat/>
    <w:uiPriority w:val="99"/>
    <w:pPr>
      <w:spacing w:line="120" w:lineRule="atLeast"/>
    </w:pPr>
    <w:rPr>
      <w:kern w:val="2"/>
      <w:sz w:val="24"/>
    </w:rPr>
  </w:style>
  <w:style w:type="paragraph" w:styleId="41">
    <w:name w:val="Normal (Web)"/>
    <w:basedOn w:val="1"/>
    <w:qFormat/>
    <w:uiPriority w:val="99"/>
    <w:pPr>
      <w:widowControl/>
      <w:spacing w:before="100" w:beforeAutospacing="1" w:after="100" w:afterAutospacing="1"/>
      <w:jc w:val="left"/>
    </w:pPr>
    <w:rPr>
      <w:rFonts w:ascii="宋体" w:hAnsi="宋体"/>
      <w:sz w:val="24"/>
    </w:rPr>
  </w:style>
  <w:style w:type="paragraph" w:styleId="42">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3">
    <w:name w:val="annotation subject"/>
    <w:basedOn w:val="17"/>
    <w:next w:val="17"/>
    <w:link w:val="65"/>
    <w:qFormat/>
    <w:uiPriority w:val="99"/>
    <w:rPr>
      <w:b/>
      <w:bCs/>
    </w:rPr>
  </w:style>
  <w:style w:type="paragraph" w:styleId="44">
    <w:name w:val="Body Text First Indent"/>
    <w:basedOn w:val="2"/>
    <w:next w:val="35"/>
    <w:link w:val="67"/>
    <w:qFormat/>
    <w:uiPriority w:val="99"/>
    <w:pPr>
      <w:ind w:firstLine="420" w:firstLineChars="100"/>
    </w:p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3"/>
    <w:qFormat/>
    <w:locked/>
    <w:uiPriority w:val="99"/>
    <w:rPr>
      <w:rFonts w:eastAsia="黑体" w:cs="Times New Roman"/>
      <w:b/>
      <w:kern w:val="44"/>
      <w:sz w:val="36"/>
    </w:rPr>
  </w:style>
  <w:style w:type="character" w:customStyle="1" w:styleId="56">
    <w:name w:val="标题 2 字符"/>
    <w:basedOn w:val="47"/>
    <w:link w:val="4"/>
    <w:qFormat/>
    <w:locked/>
    <w:uiPriority w:val="99"/>
    <w:rPr>
      <w:rFonts w:ascii="Arial" w:hAnsi="Arial" w:eastAsia="黑体" w:cs="Times New Roman"/>
      <w:b/>
      <w:snapToGrid w:val="0"/>
      <w:kern w:val="44"/>
      <w:sz w:val="28"/>
    </w:rPr>
  </w:style>
  <w:style w:type="character" w:customStyle="1" w:styleId="57">
    <w:name w:val="标题 3 字符"/>
    <w:basedOn w:val="47"/>
    <w:link w:val="5"/>
    <w:qFormat/>
    <w:locked/>
    <w:uiPriority w:val="99"/>
    <w:rPr>
      <w:rFonts w:ascii="宋体" w:cs="Times New Roman"/>
      <w:b/>
      <w:kern w:val="2"/>
      <w:sz w:val="28"/>
    </w:rPr>
  </w:style>
  <w:style w:type="character" w:customStyle="1" w:styleId="58">
    <w:name w:val="标题 4 字符"/>
    <w:basedOn w:val="47"/>
    <w:link w:val="6"/>
    <w:qFormat/>
    <w:locked/>
    <w:uiPriority w:val="99"/>
    <w:rPr>
      <w:rFonts w:ascii="黑体" w:eastAsia="黑体" w:cs="Times New Roman"/>
      <w:b/>
      <w:kern w:val="2"/>
      <w:sz w:val="24"/>
    </w:rPr>
  </w:style>
  <w:style w:type="character" w:customStyle="1" w:styleId="59">
    <w:name w:val="标题 5 字符"/>
    <w:basedOn w:val="47"/>
    <w:link w:val="8"/>
    <w:qFormat/>
    <w:locked/>
    <w:uiPriority w:val="99"/>
    <w:rPr>
      <w:rFonts w:cs="Times New Roman"/>
      <w:b/>
      <w:snapToGrid w:val="0"/>
      <w:sz w:val="28"/>
    </w:rPr>
  </w:style>
  <w:style w:type="character" w:customStyle="1" w:styleId="60">
    <w:name w:val="标题 6 字符"/>
    <w:basedOn w:val="47"/>
    <w:link w:val="9"/>
    <w:qFormat/>
    <w:locked/>
    <w:uiPriority w:val="99"/>
    <w:rPr>
      <w:rFonts w:ascii="黑体" w:hAnsi="黑体" w:eastAsia="楷体" w:cs="Times New Roman"/>
      <w:b/>
      <w:kern w:val="2"/>
      <w:sz w:val="24"/>
    </w:rPr>
  </w:style>
  <w:style w:type="character" w:customStyle="1" w:styleId="61">
    <w:name w:val="标题 7 字符"/>
    <w:basedOn w:val="47"/>
    <w:link w:val="10"/>
    <w:qFormat/>
    <w:locked/>
    <w:uiPriority w:val="99"/>
    <w:rPr>
      <w:rFonts w:ascii="Arial" w:hAnsi="Arial" w:cs="Times New Roman"/>
      <w:b/>
      <w:kern w:val="2"/>
      <w:sz w:val="24"/>
    </w:rPr>
  </w:style>
  <w:style w:type="character" w:customStyle="1" w:styleId="62">
    <w:name w:val="标题 8 字符"/>
    <w:basedOn w:val="47"/>
    <w:link w:val="11"/>
    <w:qFormat/>
    <w:locked/>
    <w:uiPriority w:val="99"/>
    <w:rPr>
      <w:rFonts w:ascii="黑体" w:hAnsi="黑体" w:eastAsia="楷体" w:cs="Times New Roman"/>
      <w:kern w:val="2"/>
      <w:sz w:val="24"/>
    </w:rPr>
  </w:style>
  <w:style w:type="character" w:customStyle="1" w:styleId="63">
    <w:name w:val="标题 9 字符"/>
    <w:basedOn w:val="47"/>
    <w:link w:val="12"/>
    <w:qFormat/>
    <w:locked/>
    <w:uiPriority w:val="99"/>
    <w:rPr>
      <w:rFonts w:ascii="黑体" w:hAnsi="黑体" w:eastAsia="楷体" w:cs="Times New Roman"/>
      <w:kern w:val="2"/>
      <w:sz w:val="21"/>
    </w:rPr>
  </w:style>
  <w:style w:type="character" w:customStyle="1" w:styleId="64">
    <w:name w:val="批注文字 字符"/>
    <w:basedOn w:val="47"/>
    <w:link w:val="17"/>
    <w:qFormat/>
    <w:locked/>
    <w:uiPriority w:val="99"/>
    <w:rPr>
      <w:rFonts w:cs="Times New Roman"/>
      <w:kern w:val="2"/>
      <w:sz w:val="21"/>
    </w:rPr>
  </w:style>
  <w:style w:type="character" w:customStyle="1" w:styleId="65">
    <w:name w:val="批注主题 字符"/>
    <w:basedOn w:val="64"/>
    <w:link w:val="43"/>
    <w:qFormat/>
    <w:locked/>
    <w:uiPriority w:val="99"/>
    <w:rPr>
      <w:rFonts w:cs="Times New Roman"/>
      <w:b/>
      <w:kern w:val="2"/>
      <w:sz w:val="21"/>
    </w:rPr>
  </w:style>
  <w:style w:type="character" w:customStyle="1" w:styleId="66">
    <w:name w:val="正文文本 字符"/>
    <w:basedOn w:val="47"/>
    <w:link w:val="2"/>
    <w:qFormat/>
    <w:locked/>
    <w:uiPriority w:val="99"/>
    <w:rPr>
      <w:rFonts w:cs="Times New Roman"/>
      <w:snapToGrid w:val="0"/>
      <w:sz w:val="21"/>
    </w:rPr>
  </w:style>
  <w:style w:type="character" w:customStyle="1" w:styleId="67">
    <w:name w:val="正文文本首行缩进 字符"/>
    <w:basedOn w:val="66"/>
    <w:link w:val="44"/>
    <w:qFormat/>
    <w:locked/>
    <w:uiPriority w:val="99"/>
    <w:rPr>
      <w:rFonts w:cs="Times New Roman"/>
      <w:snapToGrid w:val="0"/>
      <w:sz w:val="21"/>
    </w:rPr>
  </w:style>
  <w:style w:type="character" w:customStyle="1" w:styleId="68">
    <w:name w:val="文档结构图 字符"/>
    <w:basedOn w:val="47"/>
    <w:link w:val="16"/>
    <w:qFormat/>
    <w:locked/>
    <w:uiPriority w:val="99"/>
    <w:rPr>
      <w:rFonts w:cs="Times New Roman"/>
      <w:snapToGrid w:val="0"/>
      <w:sz w:val="21"/>
      <w:shd w:val="clear" w:color="auto" w:fill="000080"/>
    </w:rPr>
  </w:style>
  <w:style w:type="character" w:customStyle="1" w:styleId="69">
    <w:name w:val="正文文本 3 字符"/>
    <w:basedOn w:val="47"/>
    <w:link w:val="18"/>
    <w:semiHidden/>
    <w:qFormat/>
    <w:locked/>
    <w:uiPriority w:val="99"/>
    <w:rPr>
      <w:rFonts w:cs="Times New Roman"/>
      <w:kern w:val="0"/>
      <w:sz w:val="16"/>
      <w:szCs w:val="16"/>
    </w:rPr>
  </w:style>
  <w:style w:type="character" w:customStyle="1" w:styleId="70">
    <w:name w:val="正文文本缩进 字符"/>
    <w:basedOn w:val="47"/>
    <w:link w:val="19"/>
    <w:qFormat/>
    <w:locked/>
    <w:uiPriority w:val="99"/>
    <w:rPr>
      <w:rFonts w:ascii="宋体" w:eastAsia="宋体" w:cs="Times New Roman"/>
      <w:snapToGrid w:val="0"/>
      <w:sz w:val="24"/>
    </w:rPr>
  </w:style>
  <w:style w:type="character" w:customStyle="1" w:styleId="71">
    <w:name w:val="纯文本 字符"/>
    <w:basedOn w:val="47"/>
    <w:link w:val="25"/>
    <w:qFormat/>
    <w:locked/>
    <w:uiPriority w:val="99"/>
    <w:rPr>
      <w:rFonts w:ascii="宋体" w:hAnsi="Courier New" w:cs="Times New Roman"/>
      <w:sz w:val="18"/>
    </w:rPr>
  </w:style>
  <w:style w:type="character" w:customStyle="1" w:styleId="72">
    <w:name w:val="日期 字符"/>
    <w:basedOn w:val="47"/>
    <w:link w:val="26"/>
    <w:qFormat/>
    <w:locked/>
    <w:uiPriority w:val="99"/>
    <w:rPr>
      <w:rFonts w:ascii="宋体" w:eastAsia="宋体" w:cs="Times New Roman"/>
      <w:kern w:val="2"/>
      <w:sz w:val="24"/>
    </w:rPr>
  </w:style>
  <w:style w:type="character" w:customStyle="1" w:styleId="73">
    <w:name w:val="正文文本缩进 2 字符"/>
    <w:basedOn w:val="47"/>
    <w:link w:val="28"/>
    <w:qFormat/>
    <w:locked/>
    <w:uiPriority w:val="99"/>
    <w:rPr>
      <w:rFonts w:cs="Times New Roman"/>
      <w:kern w:val="2"/>
      <w:sz w:val="21"/>
    </w:rPr>
  </w:style>
  <w:style w:type="character" w:customStyle="1" w:styleId="74">
    <w:name w:val="批注框文本 字符"/>
    <w:basedOn w:val="47"/>
    <w:link w:val="29"/>
    <w:qFormat/>
    <w:locked/>
    <w:uiPriority w:val="99"/>
    <w:rPr>
      <w:rFonts w:cs="Times New Roman"/>
      <w:snapToGrid w:val="0"/>
      <w:sz w:val="18"/>
    </w:rPr>
  </w:style>
  <w:style w:type="character" w:customStyle="1" w:styleId="75">
    <w:name w:val="页脚 字符"/>
    <w:basedOn w:val="47"/>
    <w:link w:val="30"/>
    <w:qFormat/>
    <w:locked/>
    <w:uiPriority w:val="99"/>
    <w:rPr>
      <w:rFonts w:eastAsia="宋体" w:cs="Times New Roman"/>
      <w:snapToGrid w:val="0"/>
      <w:sz w:val="18"/>
      <w:lang w:val="en-US" w:eastAsia="zh-CN"/>
    </w:rPr>
  </w:style>
  <w:style w:type="character" w:customStyle="1" w:styleId="76">
    <w:name w:val="正文文本首行缩进 2 字符"/>
    <w:basedOn w:val="70"/>
    <w:link w:val="20"/>
    <w:qFormat/>
    <w:locked/>
    <w:uiPriority w:val="99"/>
    <w:rPr>
      <w:rFonts w:ascii="宋体" w:eastAsia="宋体" w:cs="Times New Roman"/>
      <w:snapToGrid w:val="0"/>
      <w:kern w:val="2"/>
      <w:sz w:val="24"/>
    </w:rPr>
  </w:style>
  <w:style w:type="character" w:customStyle="1" w:styleId="77">
    <w:name w:val="页眉 字符"/>
    <w:basedOn w:val="47"/>
    <w:link w:val="31"/>
    <w:qFormat/>
    <w:locked/>
    <w:uiPriority w:val="99"/>
    <w:rPr>
      <w:rFonts w:eastAsia="宋体" w:cs="Times New Roman"/>
      <w:snapToGrid w:val="0"/>
      <w:sz w:val="18"/>
      <w:lang w:val="en-US" w:eastAsia="zh-CN"/>
    </w:rPr>
  </w:style>
  <w:style w:type="character" w:customStyle="1" w:styleId="78">
    <w:name w:val="副标题 字符"/>
    <w:basedOn w:val="47"/>
    <w:link w:val="34"/>
    <w:qFormat/>
    <w:locked/>
    <w:uiPriority w:val="99"/>
    <w:rPr>
      <w:rFonts w:ascii="Cambria" w:hAnsi="Cambria" w:cs="Times New Roman"/>
      <w:b/>
      <w:snapToGrid w:val="0"/>
      <w:kern w:val="28"/>
      <w:sz w:val="32"/>
    </w:rPr>
  </w:style>
  <w:style w:type="character" w:customStyle="1" w:styleId="79">
    <w:name w:val="正文文本缩进 3 字符"/>
    <w:basedOn w:val="47"/>
    <w:link w:val="37"/>
    <w:qFormat/>
    <w:locked/>
    <w:uiPriority w:val="99"/>
    <w:rPr>
      <w:rFonts w:cs="Times New Roman"/>
      <w:snapToGrid w:val="0"/>
      <w:sz w:val="16"/>
    </w:rPr>
  </w:style>
  <w:style w:type="character" w:customStyle="1" w:styleId="80">
    <w:name w:val="正文文本 2 字符"/>
    <w:basedOn w:val="47"/>
    <w:link w:val="40"/>
    <w:qFormat/>
    <w:locked/>
    <w:uiPriority w:val="99"/>
    <w:rPr>
      <w:rFonts w:eastAsia="宋体" w:cs="Times New Roman"/>
      <w:kern w:val="2"/>
      <w:sz w:val="24"/>
      <w:lang w:val="en-US" w:eastAsia="zh-CN"/>
    </w:rPr>
  </w:style>
  <w:style w:type="character" w:customStyle="1" w:styleId="81">
    <w:name w:val="标题 字符"/>
    <w:basedOn w:val="47"/>
    <w:link w:val="42"/>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7"/>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7"/>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6"/>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4"/>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5"/>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6"/>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5"/>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4"/>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7"/>
    <w:qFormat/>
    <w:uiPriority w:val="99"/>
    <w:pPr>
      <w:spacing w:line="460" w:lineRule="exact"/>
      <w:ind w:firstLine="536" w:firstLineChars="200"/>
    </w:pPr>
    <w:rPr>
      <w:rFonts w:cs="宋体"/>
      <w:spacing w:val="6"/>
      <w:kern w:val="24"/>
      <w:sz w:val="24"/>
      <w:szCs w:val="24"/>
    </w:rPr>
  </w:style>
  <w:style w:type="paragraph" w:customStyle="1" w:styleId="190">
    <w:name w:val="小节"/>
    <w:basedOn w:val="5"/>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46</Pages>
  <Words>29336</Words>
  <Characters>30473</Characters>
  <Lines>257</Lines>
  <Paragraphs>72</Paragraphs>
  <TotalTime>12</TotalTime>
  <ScaleCrop>false</ScaleCrop>
  <LinksUpToDate>false</LinksUpToDate>
  <CharactersWithSpaces>32392</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2026-10-23T10:33:57Z</cp:lastPrinted>
  <dcterms:modified xsi:type="dcterms:W3CDTF">2026-10-23T10:53:33Z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