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8D0C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A70B79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F97F787">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2D90E67B">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维修改造项目年度施工监理定点服务</w:t>
      </w:r>
    </w:p>
    <w:p w14:paraId="0198833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E6F3AD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8AFDA2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磋商文件</w:t>
      </w:r>
    </w:p>
    <w:p w14:paraId="67A68663">
      <w:pPr>
        <w:keepNext w:val="0"/>
        <w:keepLines w:val="0"/>
        <w:widowControl/>
        <w:suppressLineNumbers w:val="0"/>
        <w:spacing w:line="288" w:lineRule="auto"/>
        <w:jc w:val="both"/>
        <w:rPr>
          <w:rFonts w:hint="eastAsia" w:ascii="宋体" w:hAnsi="宋体" w:eastAsia="宋体" w:cs="宋体"/>
          <w:color w:val="auto"/>
          <w:sz w:val="21"/>
          <w:szCs w:val="21"/>
          <w:highlight w:val="none"/>
        </w:rPr>
      </w:pPr>
    </w:p>
    <w:p w14:paraId="73F1C7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3E4AD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73DB9B6">
      <w:pPr>
        <w:keepNext w:val="0"/>
        <w:keepLines w:val="0"/>
        <w:widowControl/>
        <w:suppressLineNumbers w:val="0"/>
        <w:spacing w:after="210" w:afterAutospacing="0" w:line="288" w:lineRule="auto"/>
        <w:jc w:val="left"/>
        <w:rPr>
          <w:rFonts w:hint="eastAsia" w:ascii="宋体" w:hAnsi="宋体" w:eastAsia="宋体" w:cs="宋体"/>
          <w:color w:val="auto"/>
          <w:sz w:val="21"/>
          <w:szCs w:val="21"/>
          <w:highlight w:val="none"/>
        </w:rPr>
      </w:pP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2C44EA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DB3C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C9F59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竞争性磋商</w:t>
            </w:r>
          </w:p>
        </w:tc>
      </w:tr>
      <w:tr w14:paraId="14241C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8355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2E38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1CC23D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C297F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6B682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A7CDB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754B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6667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维修改造项目年度施工监理定点服务</w:t>
            </w:r>
          </w:p>
        </w:tc>
      </w:tr>
      <w:tr w14:paraId="42A52F0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0E2B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A35D0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bookmarkStart w:id="5" w:name="_GoBack"/>
            <w:r>
              <w:rPr>
                <w:rFonts w:hint="eastAsia" w:ascii="宋体" w:hAnsi="宋体" w:cs="宋体"/>
                <w:i w:val="0"/>
                <w:iCs w:val="0"/>
                <w:color w:val="auto"/>
                <w:kern w:val="0"/>
                <w:sz w:val="21"/>
                <w:szCs w:val="21"/>
                <w:highlight w:val="none"/>
                <w:lang w:val="en-US" w:eastAsia="zh-CN" w:bidi="ar"/>
              </w:rPr>
              <w:t>QSZBB260375FFCS</w:t>
            </w:r>
            <w:bookmarkEnd w:id="5"/>
          </w:p>
        </w:tc>
      </w:tr>
      <w:tr w14:paraId="4C6DAD1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5527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463B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402197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873FB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B86B67">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1848F69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4C015E7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30"/>
          <w:szCs w:val="30"/>
          <w:highlight w:val="none"/>
        </w:rPr>
      </w:pPr>
    </w:p>
    <w:p w14:paraId="30A5079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采购邀请</w:t>
      </w:r>
    </w:p>
    <w:p w14:paraId="2A9BB3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263B5A6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供应商须知</w:t>
      </w:r>
    </w:p>
    <w:p w14:paraId="5C3597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评审方法和评审标准</w:t>
      </w:r>
    </w:p>
    <w:p w14:paraId="0359320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41771D9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0"/>
          <w:szCs w:val="30"/>
          <w:highlight w:val="none"/>
          <w:lang w:val="en-US" w:eastAsia="zh-CN" w:bidi="ar"/>
        </w:rPr>
        <w:t>第六章  响应文件格式</w:t>
      </w:r>
    </w:p>
    <w:p w14:paraId="5EC7E3B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7DF551C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采购邀请</w:t>
      </w:r>
    </w:p>
    <w:p w14:paraId="4EEDD32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4A580B4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7D21883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1.项目编号：</w:t>
      </w:r>
      <w:r>
        <w:rPr>
          <w:rFonts w:hint="eastAsia" w:ascii="宋体" w:hAnsi="宋体" w:cs="宋体"/>
          <w:i w:val="0"/>
          <w:iCs w:val="0"/>
          <w:color w:val="auto"/>
          <w:kern w:val="0"/>
          <w:sz w:val="21"/>
          <w:szCs w:val="21"/>
          <w:highlight w:val="none"/>
          <w:lang w:val="en-US" w:eastAsia="zh-CN" w:bidi="ar"/>
        </w:rPr>
        <w:t>QSZBB260375FFCS</w:t>
      </w:r>
    </w:p>
    <w:p w14:paraId="09074DF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2.项目名称：</w:t>
      </w:r>
      <w:r>
        <w:rPr>
          <w:rFonts w:hint="eastAsia" w:ascii="宋体" w:hAnsi="宋体" w:cs="宋体"/>
          <w:i w:val="0"/>
          <w:iCs w:val="0"/>
          <w:color w:val="auto"/>
          <w:kern w:val="0"/>
          <w:sz w:val="21"/>
          <w:szCs w:val="21"/>
          <w:highlight w:val="none"/>
          <w:lang w:val="en-US" w:eastAsia="zh-CN" w:bidi="ar"/>
        </w:rPr>
        <w:t>维修改造项目年度施工监理定点服务</w:t>
      </w:r>
    </w:p>
    <w:p w14:paraId="7D01A05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3.采购方式：</w:t>
      </w:r>
      <w:r>
        <w:rPr>
          <w:rFonts w:hint="eastAsia" w:ascii="宋体" w:hAnsi="宋体" w:eastAsia="宋体" w:cs="宋体"/>
          <w:i w:val="0"/>
          <w:iCs w:val="0"/>
          <w:color w:val="auto"/>
          <w:kern w:val="0"/>
          <w:sz w:val="21"/>
          <w:szCs w:val="21"/>
          <w:highlight w:val="none"/>
          <w:lang w:val="en-US" w:eastAsia="zh-CN" w:bidi="ar"/>
        </w:rPr>
        <w:t>竞争性磋商</w:t>
      </w:r>
    </w:p>
    <w:p w14:paraId="29F5213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4.预算金额（元）：400000</w:t>
      </w:r>
    </w:p>
    <w:p w14:paraId="39644F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5.最高限价（元）：400000</w:t>
      </w:r>
    </w:p>
    <w:p w14:paraId="268C01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7BD75AC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7.合同履行期限：自合同签订之日起一年。</w:t>
      </w:r>
    </w:p>
    <w:p w14:paraId="3E128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.采购需求：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90"/>
        <w:gridCol w:w="1979"/>
        <w:gridCol w:w="1484"/>
        <w:gridCol w:w="1484"/>
        <w:gridCol w:w="2969"/>
        <w:gridCol w:w="990"/>
      </w:tblGrid>
      <w:tr w14:paraId="3C310B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61E46C">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D4F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E1A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AA25F4">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32A92">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31A4E5">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044922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393C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D41B6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维修改造项目年度施工监理定点服务</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AD9A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400000</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34C97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400000</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27EE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详见第二章 采购需求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D0CC7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bl>
    <w:p w14:paraId="0415A77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0627A6B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1.符合以下要求：</w:t>
      </w:r>
    </w:p>
    <w:p w14:paraId="543B15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（1）具有独立承担民事责任的能力；</w:t>
      </w:r>
    </w:p>
    <w:p w14:paraId="33B62B6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（2）具有良好的商业信誉和健全的财务会计制度；</w:t>
      </w:r>
    </w:p>
    <w:p w14:paraId="347A470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（3）具有履行合同所必需的设备和专业技术能力；</w:t>
      </w:r>
    </w:p>
    <w:p w14:paraId="22087DF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（4）有依法缴纳税收和社会保障资金的良好记录；</w:t>
      </w:r>
    </w:p>
    <w:p w14:paraId="6A99F59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（5）参加本项目采购活动前三年内，在经营活动中没有重大违法记录（重大违法记录是指</w:t>
      </w:r>
      <w:r>
        <w:rPr>
          <w:rFonts w:hint="eastAsia" w:ascii="宋体" w:hAnsi="宋体" w:cs="宋体"/>
          <w:color w:val="auto"/>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因违法经营受到刑事处罚或者责令停产停业、吊销许可证或者执照、较大数额罚款等行政处罚）；</w:t>
      </w:r>
    </w:p>
    <w:p w14:paraId="53482E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（6）法律、行政法规规定的其他条件；</w:t>
      </w:r>
    </w:p>
    <w:p w14:paraId="442ECDE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（7）未被信用中国（www.creditchina.gov.cn)、中国政府采购网（www.ccgp.gov.cn）列入失信被执行人、重大税收违法案件当事人名单、政府采购严重违法失信行为记录名单。</w:t>
      </w:r>
    </w:p>
    <w:p w14:paraId="0F7D4B8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2.落实采购政策需满足的资格要求：本项目专门面向中小企业采购，需按要求提交《中小企业声明函》。监狱企业、残疾人福利性单位视同小型、微型企业。</w:t>
      </w:r>
    </w:p>
    <w:p w14:paraId="6BEE34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3.本项目的特定资格要求：具有有效的工程监理综合资质或同时具有房屋建筑工程乙级（含）以上、市政公用工程乙级（含）以上、机电安装工程乙级（含）以上、电力工程乙级（含）以上监理资质。</w:t>
      </w:r>
    </w:p>
    <w:p w14:paraId="72B66C4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.其他：</w:t>
      </w:r>
    </w:p>
    <w:p w14:paraId="7BE7D8A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2E22261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6C8A482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17</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9月29日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2A9476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71CD3D9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四、响应文件提交（上传）</w:t>
      </w:r>
    </w:p>
    <w:p w14:paraId="40A8C9B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9月29日13:30:00</w:t>
      </w:r>
      <w:r>
        <w:rPr>
          <w:rFonts w:hint="eastAsia" w:ascii="宋体" w:hAnsi="宋体" w:eastAsia="宋体" w:cs="宋体"/>
          <w:color w:val="auto"/>
          <w:kern w:val="0"/>
          <w:sz w:val="21"/>
          <w:szCs w:val="21"/>
          <w:highlight w:val="none"/>
          <w:lang w:val="en-US" w:eastAsia="zh-CN" w:bidi="ar"/>
        </w:rPr>
        <w:t>（北京时间）</w:t>
      </w:r>
    </w:p>
    <w:p w14:paraId="5D5BBFC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07F79996">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五、响应文件开启</w:t>
      </w:r>
      <w:r>
        <w:rPr>
          <w:rFonts w:hint="eastAsia" w:ascii="宋体" w:hAnsi="宋体" w:cs="宋体"/>
          <w:b/>
          <w:bCs/>
          <w:color w:val="auto"/>
          <w:kern w:val="0"/>
          <w:sz w:val="21"/>
          <w:szCs w:val="21"/>
          <w:highlight w:val="none"/>
          <w:lang w:val="en-US" w:eastAsia="zh-CN" w:bidi="ar"/>
        </w:rPr>
        <w:t>（开标）</w:t>
      </w:r>
    </w:p>
    <w:p w14:paraId="18FDADD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开启时间：2026年</w:t>
      </w:r>
      <w:r>
        <w:rPr>
          <w:rFonts w:hint="eastAsia" w:ascii="宋体" w:hAnsi="宋体" w:cs="宋体"/>
          <w:color w:val="auto"/>
          <w:kern w:val="0"/>
          <w:sz w:val="21"/>
          <w:szCs w:val="21"/>
          <w:highlight w:val="none"/>
          <w:lang w:val="en-US" w:eastAsia="zh-CN" w:bidi="ar"/>
        </w:rPr>
        <w:t>9月29日13:30:00</w:t>
      </w:r>
      <w:r>
        <w:rPr>
          <w:rFonts w:hint="eastAsia" w:ascii="宋体" w:hAnsi="宋体" w:eastAsia="宋体" w:cs="宋体"/>
          <w:color w:val="auto"/>
          <w:kern w:val="0"/>
          <w:sz w:val="21"/>
          <w:szCs w:val="21"/>
          <w:highlight w:val="none"/>
          <w:lang w:val="en-US" w:eastAsia="zh-CN" w:bidi="ar"/>
        </w:rPr>
        <w:t>（北京时间）</w:t>
      </w:r>
    </w:p>
    <w:p w14:paraId="327C708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/杭州市西湖区玉古路173号中田大厦21楼（求是招标会议室</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w:t>
      </w:r>
    </w:p>
    <w:p w14:paraId="08748F3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六、公告期限：</w:t>
      </w:r>
      <w:r>
        <w:rPr>
          <w:rFonts w:hint="eastAsia" w:ascii="宋体" w:hAnsi="宋体" w:eastAsia="宋体" w:cs="宋体"/>
          <w:color w:val="auto"/>
          <w:kern w:val="0"/>
          <w:sz w:val="21"/>
          <w:szCs w:val="21"/>
          <w:highlight w:val="none"/>
          <w:lang w:val="en-US" w:eastAsia="zh-CN" w:bidi="ar"/>
        </w:rPr>
        <w:t>自本公告发布之日起3个工作日。</w:t>
      </w:r>
    </w:p>
    <w:p w14:paraId="16B59EC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七、其他补充事宜</w:t>
      </w:r>
    </w:p>
    <w:p w14:paraId="5EB7EF0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5D7E536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八、凡对本次采购提出询问、质疑请按以下方式联系</w:t>
      </w:r>
    </w:p>
    <w:p w14:paraId="543E9013">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88F3120">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50C39AB2">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2D5D86DD">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0A5BB0EC">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C69874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项目联系方式（询问）：0571-86915123</w:t>
      </w:r>
    </w:p>
    <w:p w14:paraId="471736E5">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0EEAA34F">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质疑联系方式：0571-86915026</w:t>
      </w:r>
    </w:p>
    <w:p w14:paraId="6BA6BA06">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p>
    <w:p w14:paraId="24F03E14">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2.采购代理机构信息</w:t>
      </w:r>
    </w:p>
    <w:p w14:paraId="58DFEEB3">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名称：浙江求是招标代理有限公司</w:t>
      </w:r>
    </w:p>
    <w:p w14:paraId="79EF83F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地址：杭州市西湖区玉古路173号中田大厦21楼</w:t>
      </w:r>
    </w:p>
    <w:p w14:paraId="667662DE">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项目联系人（询问）：陈应俭、俞炳、朱建飞</w:t>
      </w:r>
    </w:p>
    <w:p w14:paraId="4367111B">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项目联系方式（询问）：0571-87670302</w:t>
      </w:r>
    </w:p>
    <w:p w14:paraId="250B009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质疑联系人：周安琪</w:t>
      </w:r>
    </w:p>
    <w:p w14:paraId="738DE149">
      <w:pPr>
        <w:keepNext w:val="0"/>
        <w:keepLines w:val="0"/>
        <w:widowControl/>
        <w:suppressLineNumbers w:val="0"/>
        <w:autoSpaceDE w:val="0"/>
        <w:autoSpaceDN/>
        <w:spacing w:line="288" w:lineRule="auto"/>
        <w:ind w:left="0" w:firstLine="424"/>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质疑联系方式：0571-81110356</w:t>
      </w:r>
    </w:p>
    <w:p w14:paraId="20939AF1">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质疑邮箱：jdkh@qszb.net</w:t>
      </w:r>
    </w:p>
    <w:p w14:paraId="713A9163">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DD0471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28D3AF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5A825893">
      <w:pPr>
        <w:keepNext w:val="0"/>
        <w:keepLines w:val="0"/>
        <w:widowControl/>
        <w:suppressLineNumbers w:val="0"/>
        <w:autoSpaceDE w:val="0"/>
        <w:autoSpaceDN/>
        <w:spacing w:line="288" w:lineRule="auto"/>
        <w:ind w:left="0" w:firstLine="4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9"/>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19"/>
        <w:gridCol w:w="4127"/>
        <w:gridCol w:w="2472"/>
        <w:gridCol w:w="2474"/>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414"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085"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14"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085"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维修改造项目年度施工监理定点服务</w:t>
            </w:r>
          </w:p>
        </w:tc>
        <w:tc>
          <w:tcPr>
            <w:tcW w:w="1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400000</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其他未列明行业</w:t>
            </w:r>
          </w:p>
        </w:tc>
      </w:tr>
    </w:tbl>
    <w:p w14:paraId="2C310D8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02BB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二、为落实采购政策需满足的要求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6586B8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69F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44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EB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7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EFF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2372B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736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44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E4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7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AE1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1.本项目整体专门面向【中小】企业采购，▲提供符合要求的《中小企业声明函》。</w:t>
            </w:r>
          </w:p>
          <w:p w14:paraId="76FE4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2.说明：在服务采购项目中，服务由【中小】企业承接，即提供服务的人员为【中小】企业依照《中华人民共和国劳动合同法》订立劳动合同的从业人员。</w:t>
            </w:r>
          </w:p>
          <w:p w14:paraId="6201D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4A934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无效并依法承担法律责任。</w:t>
            </w:r>
          </w:p>
          <w:p w14:paraId="71210899">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F75C4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F25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44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6DE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7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902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73A164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5F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44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BB0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7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B07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733A806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2445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44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44B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7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6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供应商须知】。</w:t>
            </w:r>
          </w:p>
        </w:tc>
      </w:tr>
    </w:tbl>
    <w:p w14:paraId="0B73DC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CE3F1B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38E52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6379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6A3C03">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自合同签订之日起1年。</w:t>
            </w:r>
          </w:p>
        </w:tc>
      </w:tr>
      <w:tr w14:paraId="0B3D1F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CCF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2EEEBB">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采购人指定地点。</w:t>
            </w:r>
          </w:p>
        </w:tc>
      </w:tr>
      <w:tr w14:paraId="17A8A84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475F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171C0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5328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3E33A7B1">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2AB03C1C">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2EF8AD31">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07464D44">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09E3491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9E8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DA0E6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中标人已向采购人提交银行、保险公司等金融机构出具的预付款保函后，7个工作日内，采购人向中标人支付合同总价的30%；服务完成，经采购人验收合格并收到发票后7个工作日内，向中标人支付合同总价的70%。</w:t>
            </w:r>
          </w:p>
          <w:p w14:paraId="0AB5E7F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0722DB8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3.若供应商收取预付款，要求预付款保函有效期覆盖项目履约时间；提供了预付款保函则供应商无需再缴纳履约保证金。</w:t>
            </w:r>
          </w:p>
          <w:p w14:paraId="099A554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4.签订合同时中标人明确表示无需预付款的，可以采用以下付款方式：</w:t>
            </w:r>
          </w:p>
          <w:p w14:paraId="0EF7FA0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①一次性付款：每个单项合同工程竣工验收完成，交清监理资料（包括影像资料及纸质资料）后凭发票一次性付清。</w:t>
            </w:r>
          </w:p>
          <w:p w14:paraId="65CBA42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②按期结算：每季度末，合同生效、具备使用条件并经采购人验收合格并收到发票后10个工作日内，采购人向供应商支付本期款项。</w:t>
            </w:r>
          </w:p>
          <w:p w14:paraId="6626C76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③按进度付款：每个进度节点，采购人验收合格并收到发票后10个工作日内，采购人向供应商支付对应款项，具体结点及付款额度成交后由采购人和供应商另行商定。</w:t>
            </w:r>
          </w:p>
          <w:p w14:paraId="336D15D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④其它支付形式（双方协商一致，需符合采购法规，成交后由采购人和供应商另行商定）。</w:t>
            </w:r>
          </w:p>
          <w:p w14:paraId="5D76F9B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注：付款前，供应商须交纳合同约定的履约保证金（如有）并提供采购人财务处开具的履约保证金收据，供应商向采购人开具等额有效的合格发票。采购人开票信息如下：</w:t>
            </w:r>
          </w:p>
          <w:p w14:paraId="3EE756C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50972D2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7284AD5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6F1C5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违约责任</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2BE77E">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按“第五章  拟签订的合同文本”相关违约责任及争议解决方式内容。</w:t>
            </w:r>
          </w:p>
        </w:tc>
      </w:tr>
    </w:tbl>
    <w:p w14:paraId="5D4E2F3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2962345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四、服务要求</w:t>
      </w:r>
    </w:p>
    <w:p w14:paraId="1C67F667">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监理工作内容：按照《建设工程监理规范》（GB/T 50319）及相关规范的要求，主要做好本次采购范围涉及的工程建设过程中的工程进度控制、工程质量控制和工程投资控制、监理过程中的合同管理、信息管理和组织协调工作。要求采用科学的方法和手段，进行控制，并向采购人提交完整的监理档案资料，参与工程的交工和竣工验收。具体内容包括但不限于以下所列：</w:t>
      </w:r>
    </w:p>
    <w:p w14:paraId="55CD5954">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做好工程开工前的现场“三通一平”工作，对场地施工用电的布局、安全性提出合理建议。</w:t>
      </w:r>
    </w:p>
    <w:p w14:paraId="73C7F4C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签订施工承包合同，并在实施过程中检查、督促承包人严格执行合同；</w:t>
      </w:r>
    </w:p>
    <w:p w14:paraId="60E43AAC">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（3）根据施工进度要求，协助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审核初步设计、施工图的设计和概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算，及时协助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组织设计交底及图纸会审，并写出纪要，同时，对设计方案提出合理化建议；</w:t>
      </w:r>
    </w:p>
    <w:p w14:paraId="499D469C">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做好开工准备，复验灰线，并审查开工报告；</w:t>
      </w:r>
    </w:p>
    <w:p w14:paraId="018B632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（5）审查承包人各项施工准备工作，征得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同意后下达开工令；</w:t>
      </w:r>
    </w:p>
    <w:p w14:paraId="0B9D77A4">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审查承包人提交的施工组织设计、施工技术方案和施工进度计划，提出修改意见。建立科学的进度管理办法，对整个施工工期进行科学合理的安排。审查作业计划图（如进度技术网络图、总计划横道图等），并监督实施；</w:t>
      </w:r>
    </w:p>
    <w:p w14:paraId="45997C66">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（7）督促并检查承包人质量安全文明施工保证体系和施工管理制度的建立、健全与实施；</w:t>
      </w:r>
    </w:p>
    <w:p w14:paraId="6625F3DF">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（8）审查承包人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或核查</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提供的材料和设备采购清单，检查核对工程使用材料、构配件、设备的品牌、型号、规格、样品、质量和数量，必要时进行抽验和复检，防止不合格材料用于工程；</w:t>
      </w:r>
    </w:p>
    <w:p w14:paraId="4C9C283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（9）审核承包人提出的分包工程项目及分包单位的资格，确认分包单位；并负责各承包人、分包单位施工界面的划分、确认；</w:t>
      </w:r>
    </w:p>
    <w:p w14:paraId="5C74C05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督促、检查承包人严格执行合同和严格按照国家技术规范、标准、建筑安装规程以及设计图纸文件要求进行施工；核查施工过程中的主要部位、环节以及隐蔽工程的施工验收签证，控制工程质量，关键部位实行旁站监理制度；各关键部位、环节建立音视频资料档案；</w:t>
      </w:r>
    </w:p>
    <w:p w14:paraId="3DE57990">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（11）分阶段核验及协调施工进度计划，及时提出调整意见，控制工程进度；</w:t>
      </w:r>
    </w:p>
    <w:p w14:paraId="5748A249">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根据施工承包合同协议条款的付款规定，对已完成合格工程计量，签认付款凭证；工程竣工后，参与配合及协助工程结算价款的审查。对于施工单位提出涉及造价、工期方面的现场变更，监理必须根据合同相关规定和实际情况，明确监理的意见，涉及造价的由造价工程师及</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确认，不得出具“请</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确认”等意见；</w:t>
      </w:r>
    </w:p>
    <w:p w14:paraId="39B2E829">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（13）对于设计变更和技术洽商，除提出监理意见之外，应征得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意见，在可行的情况下，原则上由原设计单位进行修改或确认；</w:t>
      </w:r>
    </w:p>
    <w:p w14:paraId="4F9BF82F">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（14）协助、主持、审理工程出现的质量事故的分析，提出处理意见，明确责任方；督促、检查承包人按批准的处理方案进行处理，审核其事故报告；</w:t>
      </w:r>
    </w:p>
    <w:p w14:paraId="0ACD8A70">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定期召开工程协调会议，调解工程建设中的有关争议，处理合同纠纷和索赔事项；</w:t>
      </w:r>
    </w:p>
    <w:p w14:paraId="3E4D3471">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（16）督促检查承包人的安全生产、文明施工，组织安全检查；</w:t>
      </w:r>
    </w:p>
    <w:p w14:paraId="4EE72636">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（17）组织承包人对工程进行阶段验收及竣工初验，督促整改，并协助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组织竣工验收；</w:t>
      </w:r>
    </w:p>
    <w:p w14:paraId="4EFC7F03">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（18）及时提供完整的监理资料；</w:t>
      </w:r>
    </w:p>
    <w:p w14:paraId="55A211DC">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整理审核承包合同文件、工程技术文件及竣工验收资料的归档；</w:t>
      </w:r>
    </w:p>
    <w:p w14:paraId="00521AB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（20）提供其他应提供的监理服务或</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要求另行增加的其他咨询服务；</w:t>
      </w:r>
    </w:p>
    <w:p w14:paraId="65B6925B">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（21）监理人应在委托人认为需要时向委托人以书面形式报告监理情况；</w:t>
      </w:r>
    </w:p>
    <w:p w14:paraId="5192BD23">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（23）接受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委托的工程管理咨询单位监督和管理；</w:t>
      </w:r>
    </w:p>
    <w:p w14:paraId="2F540FF1">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监理人按合同约定派出监理工作需要的监理机构及监理人员，向委托人报送委派的总监理工程师及其监理机构主要成员名单、监理规划，完成监理合同专用条件中约定的监理工作范围内的监理业务。在履行合同义务期间，应按合同约定定期向委托人报告监理工作。</w:t>
      </w:r>
    </w:p>
    <w:p w14:paraId="624B5F0B">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响应文件中需详细描述供应商对监理服务期的各项承诺，工作内容须满足相关法规、监理采购文件和本工程施工监理的要求。采购人保留改变监理服务时间和内容的权利。</w:t>
      </w:r>
    </w:p>
    <w:p w14:paraId="7C772CC2">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监理人必须严格按照国家、省和建设项目所在地建设行政主管部门的有关建设监理规定进行监理。</w:t>
      </w:r>
    </w:p>
    <w:p w14:paraId="42B183FE">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监理人不得与承担本工程的施工承包单位及材料、设备供应商发生经济利益关系。</w:t>
      </w:r>
    </w:p>
    <w:p w14:paraId="18C212D2">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现场监理人员要求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要求设置一名常驻监理代表，负责统筹与采购人的日常沟通和现场监理工作</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响应文件中提供</w:t>
      </w:r>
      <w:r>
        <w:rPr>
          <w:rFonts w:hint="eastAsia" w:ascii="宋体" w:hAnsi="宋体" w:eastAsia="宋体" w:cs="宋体"/>
          <w:b/>
          <w:bCs/>
          <w:color w:val="auto"/>
          <w:sz w:val="21"/>
          <w:szCs w:val="21"/>
          <w:highlight w:val="none"/>
        </w:rPr>
        <w:t>响应截止时间前【6】个月内任意一月</w:t>
      </w:r>
      <w:r>
        <w:rPr>
          <w:rFonts w:hint="eastAsia" w:ascii="宋体" w:hAnsi="宋体" w:eastAsia="宋体" w:cs="宋体"/>
          <w:b/>
          <w:bCs/>
          <w:color w:val="auto"/>
          <w:sz w:val="21"/>
          <w:szCs w:val="21"/>
          <w:highlight w:val="none"/>
          <w:lang w:val="en-US" w:eastAsia="zh-CN"/>
        </w:rPr>
        <w:t>响应方本单位为其缴纳社保的证明材料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合同履行期间</w:t>
      </w:r>
      <w:r>
        <w:rPr>
          <w:rFonts w:hint="eastAsia" w:ascii="宋体" w:hAnsi="宋体" w:eastAsia="宋体" w:cs="宋体"/>
          <w:b/>
          <w:bCs/>
          <w:color w:val="auto"/>
          <w:sz w:val="21"/>
          <w:szCs w:val="21"/>
          <w:highlight w:val="none"/>
          <w:lang w:val="en-US" w:eastAsia="zh-CN"/>
        </w:rPr>
        <w:t>如</w:t>
      </w:r>
      <w:r>
        <w:rPr>
          <w:rFonts w:hint="eastAsia" w:ascii="宋体" w:hAnsi="宋体" w:eastAsia="宋体" w:cs="宋体"/>
          <w:b/>
          <w:bCs/>
          <w:color w:val="auto"/>
          <w:sz w:val="21"/>
          <w:szCs w:val="21"/>
          <w:highlight w:val="none"/>
        </w:rPr>
        <w:t>更换常驻代表</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需提供</w:t>
      </w:r>
      <w:r>
        <w:rPr>
          <w:rFonts w:hint="eastAsia" w:ascii="宋体" w:hAnsi="宋体" w:eastAsia="宋体" w:cs="宋体"/>
          <w:b/>
          <w:bCs/>
          <w:color w:val="auto"/>
          <w:sz w:val="21"/>
          <w:szCs w:val="21"/>
          <w:highlight w:val="none"/>
          <w:lang w:val="en-US" w:eastAsia="zh-CN"/>
        </w:rPr>
        <w:t>自提出更换之日起</w:t>
      </w:r>
      <w:r>
        <w:rPr>
          <w:rFonts w:hint="eastAsia" w:ascii="宋体" w:hAnsi="宋体" w:eastAsia="宋体" w:cs="宋体"/>
          <w:b/>
          <w:bCs/>
          <w:color w:val="auto"/>
          <w:sz w:val="21"/>
          <w:szCs w:val="21"/>
          <w:highlight w:val="none"/>
        </w:rPr>
        <w:t>【6】个月内任意一月响应方本单位为其缴纳社保的证明材料）</w:t>
      </w:r>
      <w:r>
        <w:rPr>
          <w:rFonts w:hint="eastAsia" w:ascii="宋体" w:hAnsi="宋体" w:eastAsia="宋体" w:cs="宋体"/>
          <w:color w:val="auto"/>
          <w:sz w:val="21"/>
          <w:szCs w:val="21"/>
          <w:highlight w:val="none"/>
        </w:rPr>
        <w:t>。项目开工后，监理代表必须在项目现场，并根据项目进度及专业需要，有针对性地派驻不同专业监理人员，供应商须对此作出承诺。未经采购人同意，不能更换常驻监理代表，单方面更换常驻监理代表，采购人按5000元/人次扣减监理费用，严重的终止监理合同。</w:t>
      </w:r>
    </w:p>
    <w:p w14:paraId="449375F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6.报价要求：参照发改价格[2007]670号的收费标准报折扣，监理费计算基础为项目施工合同金额</w:t>
      </w:r>
      <w:r>
        <w:rPr>
          <w:rFonts w:hint="eastAsia" w:cs="宋体"/>
          <w:color w:val="auto"/>
          <w:sz w:val="21"/>
          <w:szCs w:val="21"/>
          <w:highlight w:val="none"/>
          <w:lang w:val="en-US" w:eastAsia="zh-CN"/>
        </w:rPr>
        <w:t>或《杭州电子科技大学校区修缮派工任务单》金额</w:t>
      </w:r>
      <w:r>
        <w:rPr>
          <w:rFonts w:hint="eastAsia" w:ascii="宋体" w:hAnsi="宋体" w:eastAsia="宋体" w:cs="宋体"/>
          <w:color w:val="auto"/>
          <w:sz w:val="21"/>
          <w:szCs w:val="21"/>
          <w:highlight w:val="none"/>
          <w:lang w:val="en-US" w:eastAsia="zh-CN"/>
        </w:rPr>
        <w:t>。</w:t>
      </w:r>
    </w:p>
    <w:p w14:paraId="3B376BC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供应商须知</w:t>
      </w:r>
    </w:p>
    <w:p w14:paraId="49EFE05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515709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E33DE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979499">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AE297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58E290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AC779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A7CBF4">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EC5C4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竞争性磋商</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磋商文件</w:t>
            </w:r>
            <w:r>
              <w:rPr>
                <w:rFonts w:hint="eastAsia" w:ascii="宋体" w:hAnsi="宋体" w:eastAsia="宋体" w:cs="宋体"/>
                <w:color w:val="auto"/>
                <w:spacing w:val="0"/>
                <w:kern w:val="0"/>
                <w:sz w:val="21"/>
                <w:szCs w:val="21"/>
                <w:highlight w:val="none"/>
                <w:lang w:val="en-US" w:eastAsia="zh-CN" w:bidi="ar"/>
              </w:rPr>
              <w:t>即采购文件</w:t>
            </w:r>
          </w:p>
        </w:tc>
      </w:tr>
      <w:tr w14:paraId="55A2F9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F169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0FAA7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595EC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1.人民币6000元整。</w:t>
            </w:r>
          </w:p>
          <w:p w14:paraId="44B7BC6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▲2.供应商应于</w:t>
            </w:r>
            <w:r>
              <w:rPr>
                <w:rFonts w:hint="eastAsia" w:ascii="宋体" w:hAnsi="宋体" w:cs="宋体"/>
                <w:color w:val="auto"/>
                <w:spacing w:val="0"/>
                <w:kern w:val="0"/>
                <w:sz w:val="21"/>
                <w:szCs w:val="21"/>
                <w:highlight w:val="none"/>
                <w:lang w:val="en-US" w:eastAsia="zh-CN" w:bidi="ar"/>
              </w:rPr>
              <w:t>响应</w:t>
            </w:r>
            <w:r>
              <w:rPr>
                <w:rFonts w:hint="eastAsia" w:ascii="宋体" w:hAnsi="宋体" w:eastAsia="宋体" w:cs="宋体"/>
                <w:color w:val="auto"/>
                <w:spacing w:val="0"/>
                <w:kern w:val="0"/>
                <w:sz w:val="21"/>
                <w:szCs w:val="21"/>
                <w:highlight w:val="none"/>
                <w:lang w:val="en-US" w:eastAsia="zh-CN" w:bidi="ar"/>
              </w:rPr>
              <w:t>文件提交（上传）截止时间前交纳并到帐（双休日及法定节假日除外）。未按要求提交响应保证金的，响应无效。</w:t>
            </w:r>
          </w:p>
          <w:p w14:paraId="3E244EE1">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交付方式：转账、银行汇款等非现金方式</w:t>
            </w:r>
          </w:p>
          <w:p w14:paraId="0DB2512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收款单位（户名）：浙江求是招标代理有限公司</w:t>
            </w:r>
          </w:p>
          <w:p w14:paraId="1303C36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开户银行：工行浙大支行</w:t>
            </w:r>
          </w:p>
          <w:p w14:paraId="3166BDB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银行帐号：1202024609900033043</w:t>
            </w:r>
          </w:p>
          <w:p w14:paraId="0164AF2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财务联系方式：0571-87666113</w:t>
            </w:r>
          </w:p>
          <w:p w14:paraId="399C3D7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3.响应保证金退还：</w:t>
            </w:r>
          </w:p>
          <w:p w14:paraId="7964D7B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未</w:t>
            </w:r>
            <w:r>
              <w:rPr>
                <w:rFonts w:hint="eastAsia" w:ascii="宋体" w:hAnsi="宋体" w:cs="宋体"/>
                <w:color w:val="auto"/>
                <w:spacing w:val="0"/>
                <w:kern w:val="0"/>
                <w:sz w:val="21"/>
                <w:szCs w:val="21"/>
                <w:highlight w:val="none"/>
                <w:lang w:val="en-US" w:eastAsia="zh-CN" w:bidi="ar"/>
              </w:rPr>
              <w:t>成交供应商</w:t>
            </w:r>
            <w:r>
              <w:rPr>
                <w:rFonts w:hint="eastAsia" w:ascii="宋体" w:hAnsi="宋体" w:eastAsia="宋体" w:cs="宋体"/>
                <w:color w:val="auto"/>
                <w:spacing w:val="0"/>
                <w:kern w:val="0"/>
                <w:sz w:val="21"/>
                <w:szCs w:val="21"/>
                <w:highlight w:val="none"/>
                <w:lang w:val="en-US" w:eastAsia="zh-CN" w:bidi="ar"/>
              </w:rPr>
              <w:t>的响应保证金，自</w:t>
            </w:r>
            <w:r>
              <w:rPr>
                <w:rFonts w:hint="eastAsia" w:ascii="宋体" w:hAnsi="宋体" w:cs="宋体"/>
                <w:color w:val="auto"/>
                <w:spacing w:val="0"/>
                <w:kern w:val="0"/>
                <w:sz w:val="21"/>
                <w:szCs w:val="21"/>
                <w:highlight w:val="none"/>
                <w:lang w:val="en-US" w:eastAsia="zh-CN" w:bidi="ar"/>
              </w:rPr>
              <w:t>成交</w:t>
            </w:r>
            <w:r>
              <w:rPr>
                <w:rFonts w:hint="eastAsia" w:ascii="宋体" w:hAnsi="宋体" w:eastAsia="宋体" w:cs="宋体"/>
                <w:color w:val="auto"/>
                <w:spacing w:val="0"/>
                <w:kern w:val="0"/>
                <w:sz w:val="21"/>
                <w:szCs w:val="21"/>
                <w:highlight w:val="none"/>
                <w:lang w:val="en-US" w:eastAsia="zh-CN" w:bidi="ar"/>
              </w:rPr>
              <w:t>通知书发出之日起五个工作日内退还（因</w:t>
            </w:r>
            <w:r>
              <w:rPr>
                <w:rFonts w:hint="eastAsia" w:ascii="宋体" w:hAnsi="宋体" w:cs="宋体"/>
                <w:color w:val="auto"/>
                <w:spacing w:val="0"/>
                <w:kern w:val="0"/>
                <w:sz w:val="21"/>
                <w:szCs w:val="21"/>
                <w:highlight w:val="none"/>
                <w:lang w:val="en-US" w:eastAsia="zh-CN" w:bidi="ar"/>
              </w:rPr>
              <w:t>供应商</w:t>
            </w:r>
            <w:r>
              <w:rPr>
                <w:rFonts w:hint="eastAsia" w:ascii="宋体" w:hAnsi="宋体" w:eastAsia="宋体" w:cs="宋体"/>
                <w:color w:val="auto"/>
                <w:spacing w:val="0"/>
                <w:kern w:val="0"/>
                <w:sz w:val="21"/>
                <w:szCs w:val="21"/>
                <w:highlight w:val="none"/>
                <w:lang w:val="en-US" w:eastAsia="zh-CN" w:bidi="ar"/>
              </w:rPr>
              <w:t>自身原因导致无法及时退还的除外）。</w:t>
            </w:r>
          </w:p>
          <w:p w14:paraId="04EF857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成交供应商</w:t>
            </w:r>
            <w:r>
              <w:rPr>
                <w:rFonts w:hint="eastAsia" w:ascii="宋体" w:hAnsi="宋体" w:eastAsia="宋体" w:cs="宋体"/>
                <w:color w:val="auto"/>
                <w:spacing w:val="0"/>
                <w:kern w:val="0"/>
                <w:sz w:val="21"/>
                <w:szCs w:val="21"/>
                <w:highlight w:val="none"/>
                <w:lang w:val="en-US" w:eastAsia="zh-CN" w:bidi="ar"/>
              </w:rPr>
              <w:t>的响应保证金，自采购合同签订之日起五个工作日内退还（因</w:t>
            </w:r>
            <w:r>
              <w:rPr>
                <w:rFonts w:hint="eastAsia" w:ascii="宋体" w:hAnsi="宋体" w:cs="宋体"/>
                <w:color w:val="auto"/>
                <w:spacing w:val="0"/>
                <w:kern w:val="0"/>
                <w:sz w:val="21"/>
                <w:szCs w:val="21"/>
                <w:highlight w:val="none"/>
                <w:lang w:val="en-US" w:eastAsia="zh-CN" w:bidi="ar"/>
              </w:rPr>
              <w:t>供应商</w:t>
            </w:r>
            <w:r>
              <w:rPr>
                <w:rFonts w:hint="eastAsia" w:ascii="宋体" w:hAnsi="宋体" w:eastAsia="宋体" w:cs="宋体"/>
                <w:color w:val="auto"/>
                <w:spacing w:val="0"/>
                <w:kern w:val="0"/>
                <w:sz w:val="21"/>
                <w:szCs w:val="21"/>
                <w:highlight w:val="none"/>
                <w:lang w:val="en-US" w:eastAsia="zh-CN" w:bidi="ar"/>
              </w:rPr>
              <w:t>自身原因导致无法及时退还的除外）。</w:t>
            </w:r>
          </w:p>
          <w:p w14:paraId="1AA1AD2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cs="宋体"/>
                <w:color w:val="auto"/>
                <w:spacing w:val="0"/>
                <w:kern w:val="0"/>
                <w:sz w:val="21"/>
                <w:szCs w:val="21"/>
                <w:highlight w:val="none"/>
                <w:lang w:val="en-US" w:eastAsia="zh-CN" w:bidi="ar"/>
              </w:rPr>
              <w:t>响应</w:t>
            </w:r>
            <w:r>
              <w:rPr>
                <w:rFonts w:hint="eastAsia" w:ascii="宋体" w:hAnsi="宋体" w:eastAsia="宋体" w:cs="宋体"/>
                <w:color w:val="auto"/>
                <w:spacing w:val="0"/>
                <w:kern w:val="0"/>
                <w:sz w:val="21"/>
                <w:szCs w:val="21"/>
                <w:highlight w:val="none"/>
                <w:lang w:val="en-US" w:eastAsia="zh-CN" w:bidi="ar"/>
              </w:rPr>
              <w:t>保证金退还方式：凭保证金收据自行退还。</w:t>
            </w:r>
          </w:p>
          <w:p w14:paraId="0D146F8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4.下列情况，</w:t>
            </w:r>
            <w:r>
              <w:rPr>
                <w:rFonts w:hint="eastAsia" w:ascii="宋体" w:hAnsi="宋体" w:cs="宋体"/>
                <w:color w:val="auto"/>
                <w:spacing w:val="0"/>
                <w:kern w:val="0"/>
                <w:sz w:val="21"/>
                <w:szCs w:val="21"/>
                <w:highlight w:val="none"/>
                <w:lang w:val="en-US" w:eastAsia="zh-CN" w:bidi="ar"/>
              </w:rPr>
              <w:t>响应</w:t>
            </w:r>
            <w:r>
              <w:rPr>
                <w:rFonts w:hint="eastAsia" w:ascii="宋体" w:hAnsi="宋体" w:eastAsia="宋体" w:cs="宋体"/>
                <w:color w:val="auto"/>
                <w:spacing w:val="0"/>
                <w:kern w:val="0"/>
                <w:sz w:val="21"/>
                <w:szCs w:val="21"/>
                <w:highlight w:val="none"/>
                <w:lang w:val="en-US" w:eastAsia="zh-CN" w:bidi="ar"/>
              </w:rPr>
              <w:t>保证金将不予退还：</w:t>
            </w:r>
          </w:p>
          <w:p w14:paraId="4952308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（1）供应商在响应有效期内撤销</w:t>
            </w:r>
            <w:r>
              <w:rPr>
                <w:rFonts w:hint="eastAsia" w:ascii="宋体" w:hAnsi="宋体" w:cs="宋体"/>
                <w:color w:val="auto"/>
                <w:spacing w:val="0"/>
                <w:kern w:val="0"/>
                <w:sz w:val="21"/>
                <w:szCs w:val="21"/>
                <w:highlight w:val="none"/>
                <w:lang w:val="en-US" w:eastAsia="zh-CN" w:bidi="ar"/>
              </w:rPr>
              <w:t>响应</w:t>
            </w:r>
            <w:r>
              <w:rPr>
                <w:rFonts w:hint="eastAsia" w:ascii="宋体" w:hAnsi="宋体" w:eastAsia="宋体" w:cs="宋体"/>
                <w:color w:val="auto"/>
                <w:spacing w:val="0"/>
                <w:kern w:val="0"/>
                <w:sz w:val="21"/>
                <w:szCs w:val="21"/>
                <w:highlight w:val="none"/>
                <w:lang w:val="en-US" w:eastAsia="zh-CN" w:bidi="ar"/>
              </w:rPr>
              <w:t>文件的；</w:t>
            </w:r>
          </w:p>
          <w:p w14:paraId="1A3CAE2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（2）供应商未按规定签订合同或转让中标的；</w:t>
            </w:r>
          </w:p>
          <w:p w14:paraId="6F54557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（3）供应商在</w:t>
            </w:r>
            <w:r>
              <w:rPr>
                <w:rFonts w:hint="eastAsia" w:ascii="宋体" w:hAnsi="宋体" w:cs="宋体"/>
                <w:color w:val="auto"/>
                <w:spacing w:val="0"/>
                <w:kern w:val="0"/>
                <w:sz w:val="21"/>
                <w:szCs w:val="21"/>
                <w:highlight w:val="none"/>
                <w:lang w:val="en-US" w:eastAsia="zh-CN" w:bidi="ar"/>
              </w:rPr>
              <w:t>响应</w:t>
            </w:r>
            <w:r>
              <w:rPr>
                <w:rFonts w:hint="eastAsia" w:ascii="宋体" w:hAnsi="宋体" w:eastAsia="宋体" w:cs="宋体"/>
                <w:color w:val="auto"/>
                <w:spacing w:val="0"/>
                <w:kern w:val="0"/>
                <w:sz w:val="21"/>
                <w:szCs w:val="21"/>
                <w:highlight w:val="none"/>
                <w:lang w:val="en-US" w:eastAsia="zh-CN" w:bidi="ar"/>
              </w:rPr>
              <w:t>期间存在提供虚假材料、相互串通投标等违法违规行为的。</w:t>
            </w:r>
          </w:p>
        </w:tc>
      </w:tr>
      <w:tr w14:paraId="37AD7B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C01FA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BE426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A124E9">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1.成交供应商在成交通知书发出之日起七个工作日内，向采购代理机构交纳代理服务费；</w:t>
            </w:r>
          </w:p>
          <w:p w14:paraId="68F0ACF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供应商逾期支付代理服务费，须承担代理服务费每日百分之三的违约金，逾期十日未支付的，采购代理机构有权向杭州仲裁委员会对成交供应商提起仲裁，仲裁费用（包括仲裁受理费、仲裁处理费、律师费、保全保险费、差旅费、文印费等费用）均由成交供应商承担。</w:t>
            </w:r>
          </w:p>
          <w:p w14:paraId="7FB5F0F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2AA3C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5F321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4ADF3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96DB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▲1.供应商代表是法定代表人（单位负责人、自然人本人）的，须提供本人身份证明。</w:t>
            </w:r>
          </w:p>
          <w:p w14:paraId="6902EA6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▲2.供应商代表不是法定代表人（单位负责人、自然人本人）的，须提供授权委托书和授权代表社保缴纳证明（响应截止时间前【6】个月内任意一月）；</w:t>
            </w:r>
          </w:p>
          <w:p w14:paraId="14E1FFC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▲3.供应商委派不在本单位缴纳社保的人员作为授权代表的，应当在响应文件中，说明具体原因、授权代表缴纳社保的单位，并附列该授权代表缴纳社保清单。</w:t>
            </w:r>
          </w:p>
        </w:tc>
      </w:tr>
      <w:tr w14:paraId="7DF2F98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5855B">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2740D">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联合体响应</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B741E2">
            <w:pPr>
              <w:keepNext w:val="0"/>
              <w:keepLines w:val="0"/>
              <w:widowControl/>
              <w:suppressLineNumbers w:val="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1.本项目是否接受联合体响应：</w:t>
            </w:r>
            <w:r>
              <w:rPr>
                <w:rFonts w:hint="eastAsia" w:ascii="宋体" w:hAnsi="宋体" w:cs="宋体"/>
                <w:color w:val="auto"/>
                <w:spacing w:val="0"/>
                <w:kern w:val="0"/>
                <w:sz w:val="21"/>
                <w:szCs w:val="21"/>
                <w:highlight w:val="none"/>
                <w:lang w:val="en-US" w:eastAsia="zh-CN" w:bidi="ar"/>
              </w:rPr>
              <w:t>否。</w:t>
            </w:r>
          </w:p>
        </w:tc>
      </w:tr>
      <w:tr w14:paraId="44D896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452B5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A49227">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BEBCB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428E316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254DC7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0BA328">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D56C4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39F2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电子备份响应文件等资料（如有）邮寄信息：</w:t>
            </w:r>
          </w:p>
          <w:p w14:paraId="75DC740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资料内容、项目名称、项目编号、标项、供应商名称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54078A1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2D47A303">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特别说明：建议使用EMS或顺丰邮寄。寄出后将：快递单号、项目名称、项目编号、供应商名称、联系方式等相关信息发送至电子邮箱，以便查收。双休日和法定节假日不收件，供应商人自行承担邮寄风险。</w:t>
            </w:r>
          </w:p>
        </w:tc>
      </w:tr>
      <w:tr w14:paraId="608FBD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2A2B9A">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25668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6DEC4">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1.报价应按采购文件要求的格式编制、填写报价内容（可自行增行），未按采购文件要求编制、填写的响应文件可能被拒绝；</w:t>
            </w:r>
          </w:p>
          <w:p w14:paraId="15A958A8">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2.本次采购采用</w:t>
            </w:r>
            <w:r>
              <w:rPr>
                <w:rFonts w:hint="eastAsia" w:ascii="宋体" w:hAnsi="宋体" w:cs="宋体"/>
                <w:color w:val="auto"/>
                <w:spacing w:val="0"/>
                <w:kern w:val="0"/>
                <w:sz w:val="21"/>
                <w:szCs w:val="21"/>
                <w:highlight w:val="none"/>
                <w:lang w:val="en-US" w:eastAsia="zh-CN" w:bidi="ar"/>
              </w:rPr>
              <w:t>折扣报价</w:t>
            </w:r>
            <w:r>
              <w:rPr>
                <w:rFonts w:hint="eastAsia" w:ascii="宋体" w:hAnsi="宋体" w:eastAsia="宋体" w:cs="宋体"/>
                <w:color w:val="auto"/>
                <w:spacing w:val="0"/>
                <w:kern w:val="0"/>
                <w:sz w:val="21"/>
                <w:szCs w:val="21"/>
                <w:highlight w:val="none"/>
                <w:lang w:val="en-US" w:eastAsia="zh-CN" w:bidi="ar"/>
              </w:rPr>
              <w:t>；</w:t>
            </w:r>
          </w:p>
          <w:p w14:paraId="51A8E38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3.最后报价是履行合同的最终价格，有关本项目实施所涉及的一切费用均计入报价。总价不为零，分项报价中部分产品、服务单价为零的，视作已包含在总价中。</w:t>
            </w:r>
          </w:p>
          <w:p w14:paraId="09BDDBCE">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▲4.采购人将以合同形式有偿取得货物、工程和服务，不接受供应商给予的赠品、回扣或者与采购无关的其他商品、服务。</w:t>
            </w:r>
          </w:p>
        </w:tc>
      </w:tr>
      <w:tr w14:paraId="08D981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EA940">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F07D1">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1012E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▲从提交响应文件的截止之日起90天。在原响应有效期满之前，如果出现特殊情况，采购人或采购代理机构以书面形式通知供应商延长响应有效期。</w:t>
            </w:r>
          </w:p>
        </w:tc>
      </w:tr>
      <w:tr w14:paraId="5841AC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05C5E">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83AD35">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66DC">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根据要求，采购代理机构会对供应商信用记录进行查询并甄别，信用信息查询的截止时点：响应截止时间。</w:t>
            </w:r>
          </w:p>
          <w:p w14:paraId="2FEF8065">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38B3033A">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15BF8462">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（3）信用信息的使用规则：供应商被列入失信被执行人、重大税收违法案件当事人名单、政府采购严重违法失信行为记录名单的，拒绝其参与采购活动。</w:t>
            </w:r>
          </w:p>
        </w:tc>
      </w:tr>
      <w:tr w14:paraId="600ABE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E3782">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63B44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磋商</w:t>
            </w:r>
            <w:r>
              <w:rPr>
                <w:rFonts w:hint="eastAsia" w:ascii="宋体" w:hAnsi="宋体" w:eastAsia="宋体" w:cs="宋体"/>
                <w:b w:val="0"/>
                <w:bCs w:val="0"/>
                <w:color w:val="auto"/>
                <w:spacing w:val="0"/>
                <w:kern w:val="0"/>
                <w:sz w:val="21"/>
                <w:szCs w:val="21"/>
                <w:highlight w:val="none"/>
                <w:lang w:val="en-US" w:eastAsia="zh-CN" w:bidi="ar"/>
              </w:rPr>
              <w:t>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386FD">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供应商的磋商内容或最后报价应当在规定时间内（不少于30分钟）通过指定的方式提交。供应商超过规定时间未提交磋商记录或最后报价的，视为退出磋商。</w:t>
            </w:r>
          </w:p>
        </w:tc>
      </w:tr>
      <w:tr w14:paraId="17481AC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3E4B8F">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A4865C">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7C74B">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49144CB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供应商须知</w:t>
      </w:r>
    </w:p>
    <w:p w14:paraId="72C952FE">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一、总则</w:t>
      </w:r>
    </w:p>
    <w:p w14:paraId="43B1D4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72C0E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供应商应仔细阅读磋商文件的所有内容，按照磋商文件的要求提交响应文件，并对所提供的全部资料的真实性承担法律责任。</w:t>
      </w:r>
    </w:p>
    <w:p w14:paraId="7E9E88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1A4C15C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本磋商文件适用于本项目的磋商、评审、成交、验收、合同履约、付款等（法律、法规另有规定的，从其规定）。</w:t>
      </w:r>
    </w:p>
    <w:p w14:paraId="1F5EA4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4169D7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1.“采购人”系指采购公告中载明的本项目的采购人；</w:t>
      </w:r>
    </w:p>
    <w:p w14:paraId="40E901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2.“采购代理机构”系指组织本次竞争性磋商的浙江求是招标代理有限公司；</w:t>
      </w:r>
    </w:p>
    <w:p w14:paraId="58BFA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3.“供应商”系指响应磋商、参加竞争的法人、其他组织或者自然人；</w:t>
      </w:r>
    </w:p>
    <w:p w14:paraId="30B72F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A7784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响应文件”系指通过电子交易客户端（响应客户端）完成响应文件编制后生成并加密的数据电文形式的响应文件；“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p>
    <w:p w14:paraId="1267DE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磋商文件对响应文件签署、盖章的要求适用于电子签名。</w:t>
      </w:r>
    </w:p>
    <w:p w14:paraId="1879A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6.“▲”系指实质性要求条款，供应商应当做出实质性响应。</w:t>
      </w:r>
    </w:p>
    <w:p w14:paraId="269661D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46554E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供应商须知  前附表】。</w:t>
      </w:r>
    </w:p>
    <w:p w14:paraId="20690368">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（四）磋商费用</w:t>
      </w:r>
    </w:p>
    <w:p w14:paraId="0ACCD5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磋商保证金：详见【第三章  供应商须知  前附表】。</w:t>
      </w:r>
    </w:p>
    <w:p w14:paraId="169006B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供应商须知  前附表】。</w:t>
      </w:r>
    </w:p>
    <w:p w14:paraId="33C98937">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（五）竞争性磋商委托</w:t>
      </w:r>
    </w:p>
    <w:p w14:paraId="6CCC4A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E25F01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（六）联合体响应</w:t>
      </w:r>
    </w:p>
    <w:p w14:paraId="650514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详见【第三章  </w:t>
      </w:r>
      <w:r>
        <w:rPr>
          <w:rFonts w:hint="eastAsia" w:ascii="宋体" w:hAnsi="宋体" w:cs="宋体"/>
          <w:color w:val="auto"/>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须知  前附表】。</w:t>
      </w:r>
    </w:p>
    <w:p w14:paraId="16FDAF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6CFF673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2D474DC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7BAE6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4B0E45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2.供应商提出质疑应当提交质疑函和必要的证明材料，质疑函范本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59B347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5253F8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466AB0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784794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36A842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8CBF02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5443CA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供应商为自然人的，应当由本人签名；供应商为法人或者其他组织的，应当由法定代表人、主要负责人，或者其授权代表签名或者盖章，并加盖公章。</w:t>
      </w:r>
    </w:p>
    <w:p w14:paraId="51B526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3.提出质疑的供应商应当是参与本项目磋商响应活动的供应商。</w:t>
      </w:r>
      <w:r>
        <w:rPr>
          <w:rFonts w:hint="eastAsia" w:ascii="宋体" w:hAnsi="宋体" w:eastAsia="宋体" w:cs="宋体"/>
          <w:b/>
          <w:bCs/>
          <w:color w:val="auto"/>
          <w:spacing w:val="0"/>
          <w:kern w:val="0"/>
          <w:sz w:val="21"/>
          <w:szCs w:val="21"/>
          <w:highlight w:val="none"/>
          <w:lang w:val="en-US" w:eastAsia="zh-CN" w:bidi="ar"/>
        </w:rPr>
        <w:t>供应商在法定质疑期内应一次性提出针对同一采购程序环节的质疑。</w:t>
      </w:r>
    </w:p>
    <w:p w14:paraId="6AAD5AE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（九）采购项目需要落实的采购政策</w:t>
      </w:r>
    </w:p>
    <w:p w14:paraId="6F76DA1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1.支持中小企业发展</w:t>
      </w:r>
    </w:p>
    <w:p w14:paraId="0DE44FF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DED463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1.2 在采购活动中，供应商提供的服务符合下列情形的，享受中小企业扶持政策：</w:t>
      </w:r>
    </w:p>
    <w:p w14:paraId="5DC21875">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在服务采购项目中，服务由中小企业承接，即提供服务的人员为中小企业依照《中华人民共和国劳动合同法》订立劳动合同的从业人员。</w:t>
      </w:r>
    </w:p>
    <w:p w14:paraId="53C9DF0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1.3 对于联合体中由中小企业承担的部分，或者分包给中小企业的部分，必须全部由中小企业承接。</w:t>
      </w:r>
    </w:p>
    <w:p w14:paraId="77066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中小企业享受扶持政策获得采购合同的，小微企业不得将合同分包给大中型企业，中型企业不得将合同分包给大型企业。</w:t>
      </w:r>
    </w:p>
    <w:p w14:paraId="01EA76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1.4 以联合体形式参加采购活动，联合体各方均为中小企业的，联合体视同中小企业。其中，联合体各方均为小微企业的，联合体视同小微企业。</w:t>
      </w:r>
    </w:p>
    <w:p w14:paraId="5B6A79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2AEB28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1C7BE09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1.6 中小企业参加政府采购活动，应当出具本办法规定的《中小企业声明函》，否则不得享受相关中小企业扶持政策。</w:t>
      </w:r>
    </w:p>
    <w:p w14:paraId="3193D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32C7810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1.7 供应商提供《中小企业声明函》内容不实的，属于提供虚假材料谋取中标、成交，依照《中华人民共和国政府采购法》等国家有关规定追究相应责任。</w:t>
      </w:r>
    </w:p>
    <w:p w14:paraId="353ECEF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1.8 《中小企业声明函》填写要求与认定标准详见【第二章  采购需求】。</w:t>
      </w:r>
    </w:p>
    <w:p w14:paraId="7401DD8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2.支持监狱企业发展</w:t>
      </w:r>
    </w:p>
    <w:p w14:paraId="431B64D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31707F3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3.促进残疾人就业</w:t>
      </w:r>
    </w:p>
    <w:p w14:paraId="4C5EB5E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78B6EE4A">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6A3AF3A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4D2A5CC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（一）</w:t>
      </w:r>
      <w:r>
        <w:rPr>
          <w:rFonts w:hint="eastAsia" w:ascii="宋体" w:hAnsi="宋体" w:eastAsia="宋体" w:cs="宋体"/>
          <w:b/>
          <w:bCs/>
          <w:i w:val="0"/>
          <w:iCs w:val="0"/>
          <w:color w:val="auto"/>
          <w:spacing w:val="0"/>
          <w:kern w:val="0"/>
          <w:sz w:val="21"/>
          <w:szCs w:val="21"/>
          <w:highlight w:val="none"/>
          <w:lang w:val="en-US" w:eastAsia="zh-CN" w:bidi="ar"/>
        </w:rPr>
        <w:t>采购邀请</w:t>
      </w:r>
    </w:p>
    <w:p w14:paraId="17133C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本项目采用发布公告方式邀请供应商，同时上传磋商文件至电子交易平台，供社会公众查阅和潜在供应商获取。</w:t>
      </w:r>
    </w:p>
    <w:p w14:paraId="3438A5C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6F8068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采购组织机构对磋商文件进行澄清或修改的，以公告形式发布，并通过电子交易平台通知已获取磋商文件的潜在供应商，供应商应及时关注公告信息及电子交易平台发出的通知消息。</w:t>
      </w:r>
    </w:p>
    <w:p w14:paraId="4634B1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供应商响应</w:t>
      </w:r>
    </w:p>
    <w:p w14:paraId="2C0150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潜在供应商获取磋商文件前应当在电子交易平台上注册账号并登录。注册及客户端操作详见电子交易平台相关介绍。</w:t>
      </w:r>
    </w:p>
    <w:p w14:paraId="3465832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供应商进行电子交易应安装客户端软件，并按照磋商文件和电子交易平台的要求编制并加密响应文件。供应商未按规定加密的响应文件，电子交易平台将拒收并提示。</w:t>
      </w:r>
    </w:p>
    <w:p w14:paraId="7FC2C9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电子交易平台将拒收。</w:t>
      </w:r>
    </w:p>
    <w:p w14:paraId="56D45A7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电子交易平台收到响应文件，向供应商发出确认回执通知。在响应截止时间前，除供应商补充、修改或者撤回响应文件外，任何单位和个人不得解密或提取响应文件。</w:t>
      </w:r>
    </w:p>
    <w:p w14:paraId="089D95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供应商在电子交易平台传输递交响应文件后，还可以在响应截止时间前提交以介质存储的数据电文形式的备份响应文件，采购组织机构不强制要求供应商提交备份响应文件。</w:t>
      </w:r>
    </w:p>
    <w:p w14:paraId="2AE5981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提交备份响应文件应按电子交易平台设定制作、下载。</w:t>
      </w:r>
    </w:p>
    <w:p w14:paraId="20FB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▲供应商仅提交备份响应文件但未按要求在电子交易平台传输递交响应文件的，响应将被拒绝。</w:t>
      </w:r>
    </w:p>
    <w:p w14:paraId="5F5174C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66E525D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磋商文件规定的时间通过电子交易平台组织开标、开启响应文件，所有供应商均应当准时在线参加。供应商未在线参加开标、开启响应文件的，视同认可开标、开启结果。供应商在评标结束前离线的，存在对评标过程中发出的澄清、说明或者补正未按时回复的风险。</w:t>
      </w:r>
    </w:p>
    <w:p w14:paraId="0967DCC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开标、开启响应文件时，电子交易平台自动提取所有响应文件，提示采购组织机构和供应商按磋商文件规定的方式和时间在线解密。给予供应商在线解密的时间由磋商文件规定，但不少于30分钟。</w:t>
      </w:r>
    </w:p>
    <w:p w14:paraId="517C2A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特别提示：响应文件未按时解密，供应商提供了备份响应文件的，以备份响应文件作为依据，否则视为响应文件撤回。响应文件已按时解密的，备份响应文件自动失效。</w:t>
      </w:r>
    </w:p>
    <w:p w14:paraId="0F2E449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141CE04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3A93992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响应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4EB2FA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14BCB0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采购人通过电子交易平台确认成交候选供应商。</w:t>
      </w:r>
    </w:p>
    <w:p w14:paraId="2350BF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2B8A0E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5D3DEC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52066D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524D42C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0B1EF76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763224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20B9571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407C21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E88F23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w:t>
      </w:r>
    </w:p>
    <w:p w14:paraId="62A4B39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（一）磋商文件的构成</w:t>
      </w:r>
    </w:p>
    <w:p w14:paraId="7BE22F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本磋商文件由以下部分组成：</w:t>
      </w:r>
    </w:p>
    <w:p w14:paraId="59B371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1.采购邀请</w:t>
      </w:r>
    </w:p>
    <w:p w14:paraId="038B95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22074E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3.供应商须知</w:t>
      </w:r>
    </w:p>
    <w:p w14:paraId="665E56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4.评审方法和评审标准</w:t>
      </w:r>
    </w:p>
    <w:p w14:paraId="315809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16D858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6.响应文件格式</w:t>
      </w:r>
    </w:p>
    <w:p w14:paraId="4A9CFA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7.本项目磋商文件的澄清、答复、修改、补充的内容</w:t>
      </w:r>
    </w:p>
    <w:p w14:paraId="1C33225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（二）供应商的风险</w:t>
      </w:r>
    </w:p>
    <w:p w14:paraId="59A389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供应商没有按照磋商文件要求提供全部资料，或者供应商没有对磋商文件在各方面作出实质性响应是供应商的风险，并可能导致其响应被拒绝。</w:t>
      </w:r>
    </w:p>
    <w:p w14:paraId="73EE97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（三）磋商文件的澄清与修改</w:t>
      </w:r>
    </w:p>
    <w:p w14:paraId="0F4CCDD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1.提交首次响应文件截止之日前，采购人、采购代理机构可以对已发出的磋商文件进行必要的澄清或者修改，澄清或者修改的内容作为磋商文件的组成部分。</w:t>
      </w:r>
    </w:p>
    <w:p w14:paraId="6A0F8E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7AD7E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11EA9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3.磋商文件澄清、答复、修改、补充的内容为磋商文件的组成部分。当磋商文件与磋商文件的答复、澄清、修改、补充通知就同一内容的表述不一致时，以最后发出的书面形式文件为准。</w:t>
      </w:r>
    </w:p>
    <w:p w14:paraId="1658FE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4.磋商文件的澄清、答复、修改或补充都应该通过本采购代理机构以法定形式发布，采购人非通过本机构，不得擅自澄清、答复、修改或补充磋商文件。</w:t>
      </w:r>
    </w:p>
    <w:p w14:paraId="66A63F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6D6347B">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四、响应文件的编制</w:t>
      </w:r>
    </w:p>
    <w:p w14:paraId="13772A4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（一）响应文件的组成</w:t>
      </w:r>
    </w:p>
    <w:p w14:paraId="046D8B8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响应文件组成：详见【第六章  响应文件格式】。</w:t>
      </w:r>
    </w:p>
    <w:p w14:paraId="36692806">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（二）响应文件的编制</w:t>
      </w:r>
    </w:p>
    <w:p w14:paraId="3445D58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按照磋商文件和电子交易平台的要求，根据响应文件的组成规定的内容及顺序通过电子交易客户端（投标客户端）编制加密响应文件，响应文件内容不完整、编排混乱导致响应文件被误读、漏读或者查找不到相关内容的，是供应商的责任。</w:t>
      </w:r>
    </w:p>
    <w:p w14:paraId="2433D74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2.响应文件须由供应商在规定位置加盖公章，供应商应写全称。</w:t>
      </w:r>
    </w:p>
    <w:p w14:paraId="3B94E46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3.响应文件不得涂改，若有修改错漏处，须由供应商加盖公章，或者由供应商代表签名。响应文件因字迹潦草或表达不清所引起的后果由供应商承担。</w:t>
      </w:r>
    </w:p>
    <w:p w14:paraId="09B2F38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（三）响应文件提交</w:t>
      </w:r>
    </w:p>
    <w:p w14:paraId="33545F04">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1.供应商应当在磋商文件要求在响应文件提交截止时间前，将“电子加密响应文件”各部分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6D5C56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备份响应文件：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供应商可自行决定是否提交备份响应文件。提交备份响应文件的，应在响应文件提交截止时间前，密封提交给本项目采购组织机构。存储方式：移动存储介质（如：U盘等）。密封包装应标明：</w:t>
      </w:r>
      <w:r>
        <w:rPr>
          <w:rFonts w:hint="eastAsia" w:ascii="宋体" w:hAnsi="宋体" w:eastAsia="宋体" w:cs="宋体"/>
          <w:b w:val="0"/>
          <w:bCs w:val="0"/>
          <w:i w:val="0"/>
          <w:iCs w:val="0"/>
          <w:caps w:val="0"/>
          <w:color w:val="auto"/>
          <w:spacing w:val="0"/>
          <w:kern w:val="0"/>
          <w:sz w:val="21"/>
          <w:szCs w:val="21"/>
          <w:highlight w:val="none"/>
          <w:lang w:val="en-US" w:eastAsia="zh-CN" w:bidi="ar"/>
        </w:rPr>
        <w:t>项目名称、项目编号、标项、供应商名称</w:t>
      </w:r>
      <w:r>
        <w:rPr>
          <w:rFonts w:hint="eastAsia" w:ascii="宋体" w:hAnsi="宋体" w:eastAsia="宋体" w:cs="宋体"/>
          <w:color w:val="auto"/>
          <w:spacing w:val="0"/>
          <w:kern w:val="0"/>
          <w:sz w:val="21"/>
          <w:szCs w:val="21"/>
          <w:highlight w:val="none"/>
          <w:lang w:val="en-US" w:eastAsia="zh-CN" w:bidi="ar"/>
        </w:rPr>
        <w:t>并加盖公章。</w:t>
      </w:r>
    </w:p>
    <w:p w14:paraId="2ED6A5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供应商</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通过邮寄的方式提交备份响应文件</w:t>
      </w:r>
      <w:r>
        <w:rPr>
          <w:rFonts w:hint="eastAsia" w:ascii="宋体" w:hAnsi="宋体" w:eastAsia="宋体" w:cs="宋体"/>
          <w:color w:val="auto"/>
          <w:spacing w:val="0"/>
          <w:kern w:val="0"/>
          <w:sz w:val="21"/>
          <w:szCs w:val="21"/>
          <w:highlight w:val="none"/>
          <w:lang w:val="en-US" w:eastAsia="zh-CN" w:bidi="ar"/>
        </w:rPr>
        <w:t>。供应商应考虑物流等相关因素，合理计划邮寄时间，尽量在开标截止时间前一个工作日前送到指定地点。在响应文件提交截止时间后送达的，将被视为“逾期送达”，采购组织机构将予以拒收。</w:t>
      </w:r>
    </w:p>
    <w:p w14:paraId="1BCFC68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3.备份响应文件邮寄信息：详见【第三章  供应商须知  前附表】。</w:t>
      </w:r>
    </w:p>
    <w:p w14:paraId="7051ADD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4.备份响应文件未按要求密封或标记导致被误投或提前泄露，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供应商自行承担相关责任。</w:t>
      </w:r>
    </w:p>
    <w:p w14:paraId="7CBB514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（四）响应文件的修改和撤回</w:t>
      </w:r>
    </w:p>
    <w:p w14:paraId="5181DA4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响应文件的修改和撤回详见</w:t>
      </w:r>
      <w:r>
        <w:rPr>
          <w:rFonts w:hint="eastAsia" w:ascii="宋体" w:hAnsi="宋体" w:eastAsia="宋体" w:cs="宋体"/>
          <w:color w:val="auto"/>
          <w:spacing w:val="0"/>
          <w:kern w:val="0"/>
          <w:sz w:val="21"/>
          <w:szCs w:val="21"/>
          <w:highlight w:val="none"/>
          <w:lang w:val="en-US" w:eastAsia="zh-CN" w:bidi="ar"/>
        </w:rPr>
        <w:t xml:space="preserve">【第三章  供应商须知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5ADE45E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（五）响应文件的语言及计量</w:t>
      </w:r>
    </w:p>
    <w:p w14:paraId="4B146F2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以及供应商与采购人或采购代理机构就有关磋商事宜的所有来往函电，均应以中文汉语书写。除签名、盖章、专用名称等特殊情形外，以中文汉语以外的文字表述的响应文件视同未提供（有中文汉语说明的除外）。</w:t>
      </w:r>
    </w:p>
    <w:p w14:paraId="579B493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（六）响应报价</w:t>
      </w:r>
    </w:p>
    <w:p w14:paraId="2A29D6D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0DB7B73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（七）响应有效期</w:t>
      </w:r>
    </w:p>
    <w:p w14:paraId="6FDDFC5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D1503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F5632C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五、响应无效的情形</w:t>
      </w:r>
    </w:p>
    <w:p w14:paraId="5AF27D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详见【第四章  评审方法和评审标准】。</w:t>
      </w:r>
    </w:p>
    <w:p w14:paraId="24583E0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762927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六、响应文件开启</w:t>
      </w:r>
    </w:p>
    <w:p w14:paraId="58D269F6">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采购代理机构按照磋商文件规定的时间通过电子交易平台组织开启，所有供应商均应当准时在线参加。供应商不足3家的，不得开启。</w:t>
      </w:r>
    </w:p>
    <w:p w14:paraId="13263DE5">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开启时，电子交易平台按开启时间自动提取所有响应文件。采购人或代理机构依托电子交易平台发起开始解密指令，供应商按照平台提示和磋商文件的规定在半小时内完成在线解密。</w:t>
      </w:r>
    </w:p>
    <w:p w14:paraId="7AF492B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响应文件未按时解密，供应商提供了备份响应文件的，以备份响应文件作为依据，否则视为响应文件撤回。响应文件已按时解密的，备份响应文件自动失效。</w:t>
      </w:r>
    </w:p>
    <w:p w14:paraId="5909030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88656C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特别说明：如遇电子交易平台电子化开启或评审程序调整的，按调整后程序执行。</w:t>
      </w:r>
    </w:p>
    <w:p w14:paraId="4C8213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62CBF9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七、评审程序</w:t>
      </w:r>
    </w:p>
    <w:p w14:paraId="732721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9F20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磋商文件内容违反国家有关强制性规定的，磋商小组应当停止评审并向采购人或者采购代理机构说明情况。</w:t>
      </w:r>
    </w:p>
    <w:p w14:paraId="5AB6684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（一）资格审查</w:t>
      </w:r>
    </w:p>
    <w:p w14:paraId="2984E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开启后，磋商小组依据法律法规和磋商文件的规定，对供应商的资格条件进行审查。</w:t>
      </w:r>
    </w:p>
    <w:p w14:paraId="2A6D50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对未通过资格审查的供应商，磋商小组告知其未通过的原因。</w:t>
      </w:r>
    </w:p>
    <w:p w14:paraId="17D60B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通过资格审查的供应商不足3家的，不再评审。</w:t>
      </w:r>
    </w:p>
    <w:p w14:paraId="5A60E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（二）信用信息查询</w:t>
      </w:r>
    </w:p>
    <w:p w14:paraId="48E2FD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140A47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（三）符合性审查</w:t>
      </w:r>
    </w:p>
    <w:p w14:paraId="31E13F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磋商小组对符合资格的供应商的响应文件进行符合性审查，以确定其是否满足磋商文件的实质性要求。</w:t>
      </w:r>
    </w:p>
    <w:p w14:paraId="027F07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w:t>
      </w:r>
    </w:p>
    <w:p w14:paraId="14AC25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磋商小组所有成员应当集中与单一供应商分别进行磋商，并给予所有参加磋商的供应商平等的磋商机会。</w:t>
      </w:r>
    </w:p>
    <w:p w14:paraId="58908EB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在磋商过程中，磋商小组可以根据磋商文件和磋商情况实质性变动采购需求中的技术、服务要求以及合同草案条款，但不得变动磋商文件中的其他内容。实质性变动的内容，须经采购人代表确认。</w:t>
      </w:r>
    </w:p>
    <w:p w14:paraId="18C55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对磋商文件作出的实质性变动是磋商文件的有效组成部分，磋商小组通过电子交易平台以书面形式同时通知所有参加磋商的供应商。</w:t>
      </w:r>
    </w:p>
    <w:p w14:paraId="05F719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供应商应当按照磋商文件的变动情况和磋商小组的要求通过电子交易平台提交磋商记录，并由供应商代表签名或者加盖公章。</w:t>
      </w:r>
    </w:p>
    <w:p w14:paraId="76E2FA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磋商说明：详见【第三章  供应商须知  前附表】。</w:t>
      </w:r>
    </w:p>
    <w:p w14:paraId="234D3C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（五）最后报价</w:t>
      </w:r>
    </w:p>
    <w:p w14:paraId="7538D8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磋商文件能够详细列明采购标的的技术、服务要求的，磋商结束后，磋商小组应当要求所有实质性响应的供应商在规定时间内提交最后报价，提交最后报价的供应商不得少于3家。</w:t>
      </w:r>
    </w:p>
    <w:p w14:paraId="1DD0B7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F8D740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最后报价出现前后不一致的，按照下列规定修正：</w:t>
      </w:r>
    </w:p>
    <w:p w14:paraId="65FF57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（1）最后报价内容与响应文件中相应内容不一致的，以最后报价为准；</w:t>
      </w:r>
    </w:p>
    <w:p w14:paraId="3C955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AEAD5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（3）单价金额小数点或者百分比有明显错位的，以最后报价的总价为准，并修改单价；</w:t>
      </w:r>
    </w:p>
    <w:p w14:paraId="7F8D1C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310F54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同时出现两种以上不一致的，按照前款规定的顺序修正。修正后的报价经供应商电子签名（加盖公章）、法定代表人或授权代表签字确认后产生约束力，供应商不确认的，其响应无效。</w:t>
      </w:r>
    </w:p>
    <w:p w14:paraId="4572B14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评审中出现下列情形之一的，磋商应当启动异常低价响应审查程序：</w:t>
      </w:r>
    </w:p>
    <w:p w14:paraId="401C04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（1）最后报价低于全部通过符合性审查供应商最后报价平均值50%的，即最后报价&lt;全部通过符合性审查供应商最后报价平均值×50%；</w:t>
      </w:r>
    </w:p>
    <w:p w14:paraId="7A9DD5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（2）最后报价低于通过符合性审查的次低报价供应商最后报价50%的，即最后报价&lt;通过符合性审查的次低报价供应商最后报价×50%；</w:t>
      </w:r>
    </w:p>
    <w:p w14:paraId="54F82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（3）最后报价低于采购项目最高限价45%的，即最后报价&lt;采购项目最高限价×45%；</w:t>
      </w:r>
    </w:p>
    <w:p w14:paraId="192416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（4）磋商小组基于专业判断，认为供应商报价过低，有可能影响产品质量或者不能诚信履约的其他情形。</w:t>
      </w:r>
    </w:p>
    <w:p w14:paraId="467254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磋商小组启动异常低价投标审查后，属于前述第1项至第4项情形的，应当要求相关供应商在评审现场合理的时间内对</w:t>
      </w:r>
      <w:r>
        <w:rPr>
          <w:rFonts w:hint="eastAsia" w:ascii="宋体" w:hAnsi="宋体" w:cs="宋体"/>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价格作出解释，提供项目具体成本测算等与报价合理性相关的书面说明及必要的证明材料，包括但不限于人工成本、</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t>费用等，给予相关供应商的合理时间一般不少于30分钟。其中，属于第3项情形，供应商已随</w:t>
      </w:r>
      <w:r>
        <w:rPr>
          <w:rFonts w:hint="eastAsia" w:ascii="宋体" w:hAnsi="宋体" w:cs="宋体"/>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文件一并提交相关书面说明及必要的证明材料的，在评审现场可不再重复提交。</w:t>
      </w:r>
    </w:p>
    <w:p w14:paraId="1DFD1DF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依据专业经验，参考同类项目中标（成交）价格、类似服务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608F78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磋商小组在评审现场及时获取同类项目中标（成交）价格、类似服务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05BDB0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异常低价投标审查的启动原因、审查意见和审查结果应当在评审报告中记录，并随供应商提供的相关书面说明及证明材料，以及磋商小组有关互联网浏览、查询历史一并归档。</w:t>
      </w:r>
    </w:p>
    <w:p w14:paraId="6678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（六）综合评分</w:t>
      </w:r>
    </w:p>
    <w:p w14:paraId="671A9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经磋商确定最终采购需求和提交最后报价的供应商后，由磋商小组采用</w:t>
      </w:r>
      <w:r>
        <w:rPr>
          <w:rFonts w:hint="eastAsia" w:ascii="宋体" w:hAnsi="宋体" w:eastAsia="宋体" w:cs="宋体"/>
          <w:b/>
          <w:bCs/>
          <w:color w:val="auto"/>
          <w:spacing w:val="0"/>
          <w:kern w:val="0"/>
          <w:sz w:val="21"/>
          <w:szCs w:val="21"/>
          <w:highlight w:val="none"/>
          <w:lang w:val="en-US" w:eastAsia="zh-CN" w:bidi="ar"/>
        </w:rPr>
        <w:t>综合评分法</w:t>
      </w:r>
      <w:r>
        <w:rPr>
          <w:rFonts w:hint="eastAsia" w:ascii="宋体" w:hAnsi="宋体" w:eastAsia="宋体" w:cs="宋体"/>
          <w:color w:val="auto"/>
          <w:spacing w:val="0"/>
          <w:kern w:val="0"/>
          <w:sz w:val="21"/>
          <w:szCs w:val="21"/>
          <w:highlight w:val="none"/>
          <w:lang w:val="en-US" w:eastAsia="zh-CN" w:bidi="ar"/>
        </w:rPr>
        <w:t>对提交最后报价的供应商的响应文件和最后报价进行综合评分。</w:t>
      </w:r>
    </w:p>
    <w:p w14:paraId="2CF2FAF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综合评分法，是指响应文件满足磋商文件全部实质性要求且按评审因素的量化指标评审得分最高的供应商为成交候选供应商的评审方法。</w:t>
      </w:r>
    </w:p>
    <w:p w14:paraId="3F3DACD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（七）汇总商务技术得分</w:t>
      </w:r>
    </w:p>
    <w:p w14:paraId="5FD4E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磋商小组各成员独立对进入最后报价的供应商的商务和技术文件进行评价，并汇总商务技术得分情况。</w:t>
      </w:r>
    </w:p>
    <w:p w14:paraId="2D8F0B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01129D7">
      <w:pPr>
        <w:keepNext w:val="0"/>
        <w:keepLines w:val="0"/>
        <w:pageBreakBefore w:val="0"/>
        <w:widowControl/>
        <w:suppressLineNumbers w:val="0"/>
        <w:kinsoku/>
        <w:wordWrap/>
        <w:overflowPunct/>
        <w:topLinePunct w:val="0"/>
        <w:autoSpaceDE/>
        <w:autoSpaceDN/>
        <w:bidi w:val="0"/>
        <w:adjustRightInd/>
        <w:snapToGrid/>
        <w:spacing w:line="288" w:lineRule="auto"/>
        <w:ind w:left="0" w:firstLine="422" w:firstLineChars="200"/>
        <w:jc w:val="left"/>
        <w:textAlignment w:val="auto"/>
        <w:rPr>
          <w:rFonts w:hint="eastAsia" w:ascii="宋体" w:hAnsi="宋体" w:eastAsia="宋体" w:cs="宋体"/>
          <w:b/>
          <w:bCs/>
          <w:color w:val="auto"/>
          <w:spacing w:val="0"/>
          <w:kern w:val="0"/>
          <w:sz w:val="21"/>
          <w:szCs w:val="21"/>
          <w:highlight w:val="none"/>
          <w:lang w:val="en-US" w:eastAsia="zh-CN" w:bidi="ar"/>
        </w:rPr>
      </w:pPr>
      <w:r>
        <w:rPr>
          <w:rFonts w:hint="eastAsia" w:ascii="宋体" w:hAnsi="宋体" w:eastAsia="宋体" w:cs="宋体"/>
          <w:b/>
          <w:bCs/>
          <w:color w:val="auto"/>
          <w:spacing w:val="0"/>
          <w:kern w:val="0"/>
          <w:sz w:val="21"/>
          <w:szCs w:val="21"/>
          <w:highlight w:val="none"/>
          <w:lang w:val="en-US" w:eastAsia="zh-CN" w:bidi="ar"/>
        </w:rPr>
        <w:t>（八）排序与推荐</w:t>
      </w:r>
    </w:p>
    <w:p w14:paraId="6F29D6D0">
      <w:pPr>
        <w:keepNext w:val="0"/>
        <w:keepLines w:val="0"/>
        <w:pageBreakBefore w:val="0"/>
        <w:widowControl w:val="0"/>
        <w:suppressLineNumbers w:val="0"/>
        <w:kinsoku/>
        <w:wordWrap/>
        <w:overflowPunct/>
        <w:topLinePunct w:val="0"/>
        <w:autoSpaceDE/>
        <w:autoSpaceDN/>
        <w:bidi w:val="0"/>
        <w:adjustRightInd/>
        <w:snapToGrid/>
        <w:spacing w:line="288"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0B842B8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（九）编写评审报告</w:t>
      </w:r>
    </w:p>
    <w:p w14:paraId="406E1DE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ED0187E">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4B7161D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八、成交与合同</w:t>
      </w:r>
    </w:p>
    <w:p w14:paraId="54A8E8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（一）成交</w:t>
      </w:r>
    </w:p>
    <w:p w14:paraId="792F28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FE140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2.采购代理机构在成交供应商确定后2个工作日内公告成交结果，同时向成交供应商发出成交通知书，并将磋商文件随成交结果同时公告。</w:t>
      </w:r>
    </w:p>
    <w:p w14:paraId="2FE791C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3.评审结果公示媒体：详见【第三章  供应商须知  前附表】。</w:t>
      </w:r>
    </w:p>
    <w:p w14:paraId="28CEA9F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（二）合同授予</w:t>
      </w:r>
    </w:p>
    <w:p w14:paraId="07B05E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与成交供应商应当在成交通知书发出之日起30日内，按照采购文件确定的合同文本以及采购标的、规格型号、采购金额、采购数量、技术和服务要求等事项签订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393157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2.成交后无正当理由拒不与采购人签订采购合同，将被取消成交资格。</w:t>
      </w:r>
    </w:p>
    <w:p w14:paraId="061E1D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5C0E85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7046A7FC">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061281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采购人可以邀请参加本项目的其他供应商或者第三方机构参与验收。参与验收的供应商或者第三方机构的意见作为验收书的参考资料一并存档。</w:t>
      </w:r>
    </w:p>
    <w:p w14:paraId="34A91419">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C2397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47E9104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评审方法和评审标准</w:t>
      </w:r>
    </w:p>
    <w:p w14:paraId="412C116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一、评审方法</w:t>
      </w:r>
    </w:p>
    <w:p w14:paraId="116241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本次评审采用综合评分法，总分为100分。评分过程中采用四舍五入法，并保留小数2位。</w:t>
      </w:r>
    </w:p>
    <w:p w14:paraId="04D8CC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供应商评审综合得分=商务分+技术分+价格分</w:t>
      </w:r>
    </w:p>
    <w:p w14:paraId="45D8E3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5E59AE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EEEC5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二、评审标准</w:t>
      </w:r>
    </w:p>
    <w:tbl>
      <w:tblPr>
        <w:tblStyle w:val="9"/>
        <w:tblW w:w="4993"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281"/>
        <w:gridCol w:w="762"/>
        <w:gridCol w:w="7905"/>
      </w:tblGrid>
      <w:tr w14:paraId="267E37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311" w:hRule="atLeast"/>
          <w:jc w:val="center"/>
        </w:trPr>
        <w:tc>
          <w:tcPr>
            <w:tcW w:w="644" w:type="pct"/>
            <w:tcBorders>
              <w:tl2br w:val="nil"/>
              <w:tr2bl w:val="nil"/>
            </w:tcBorders>
            <w:noWrap w:val="0"/>
            <w:vAlign w:val="center"/>
          </w:tcPr>
          <w:p w14:paraId="61388E23">
            <w:pPr>
              <w:keepNext w:val="0"/>
              <w:keepLines w:val="0"/>
              <w:suppressLineNumbers w:val="0"/>
              <w:spacing w:before="0" w:beforeAutospacing="0" w:after="0" w:afterAutospacing="0"/>
              <w:ind w:left="0" w:right="0"/>
              <w:jc w:val="center"/>
              <w:rPr>
                <w:rFonts w:hint="eastAsia" w:ascii="宋体" w:hAnsi="宋体" w:eastAsia="宋体" w:cs="宋体"/>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SA"/>
              </w:rPr>
              <w:t>评审因素</w:t>
            </w:r>
          </w:p>
        </w:tc>
        <w:tc>
          <w:tcPr>
            <w:tcW w:w="383" w:type="pct"/>
            <w:tcBorders>
              <w:tl2br w:val="nil"/>
              <w:tr2bl w:val="nil"/>
            </w:tcBorders>
            <w:noWrap w:val="0"/>
            <w:vAlign w:val="center"/>
          </w:tcPr>
          <w:p w14:paraId="385950AE">
            <w:pPr>
              <w:keepNext w:val="0"/>
              <w:keepLines w:val="0"/>
              <w:suppressLineNumbers w:val="0"/>
              <w:spacing w:before="0" w:beforeAutospacing="0" w:after="0" w:afterAutospacing="0"/>
              <w:ind w:left="0" w:right="0"/>
              <w:jc w:val="center"/>
              <w:rPr>
                <w:rFonts w:hint="eastAsia" w:ascii="宋体" w:hAnsi="宋体" w:eastAsia="宋体" w:cs="宋体"/>
                <w:b/>
                <w:color w:val="auto"/>
                <w:spacing w:val="-6"/>
                <w:kern w:val="2"/>
                <w:sz w:val="21"/>
                <w:szCs w:val="21"/>
                <w:highlight w:val="none"/>
                <w:lang w:val="en-US" w:eastAsia="zh-CN" w:bidi="ar-SA"/>
              </w:rPr>
            </w:pPr>
            <w:r>
              <w:rPr>
                <w:rFonts w:hint="eastAsia" w:ascii="宋体" w:hAnsi="宋体" w:eastAsia="宋体" w:cs="宋体"/>
                <w:b/>
                <w:color w:val="auto"/>
                <w:spacing w:val="-6"/>
                <w:kern w:val="2"/>
                <w:sz w:val="21"/>
                <w:szCs w:val="21"/>
                <w:highlight w:val="none"/>
                <w:lang w:val="en-US" w:eastAsia="zh-CN" w:bidi="ar-SA"/>
              </w:rPr>
              <w:t>分值</w:t>
            </w:r>
          </w:p>
        </w:tc>
        <w:tc>
          <w:tcPr>
            <w:tcW w:w="3971" w:type="pct"/>
            <w:tcBorders>
              <w:tl2br w:val="nil"/>
              <w:tr2bl w:val="nil"/>
            </w:tcBorders>
            <w:noWrap w:val="0"/>
            <w:vAlign w:val="center"/>
          </w:tcPr>
          <w:p w14:paraId="0E6E94B7">
            <w:pPr>
              <w:pStyle w:val="12"/>
              <w:keepNext w:val="0"/>
              <w:keepLines w:val="0"/>
              <w:suppressLineNumbers w:val="0"/>
              <w:spacing w:before="0" w:beforeAutospacing="0" w:after="0" w:afterAutospacing="0" w:line="240" w:lineRule="auto"/>
              <w:ind w:left="0" w:right="0"/>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评分标准</w:t>
            </w:r>
          </w:p>
        </w:tc>
      </w:tr>
      <w:tr w14:paraId="2C2AF5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1" w:hRule="atLeast"/>
          <w:jc w:val="center"/>
        </w:trPr>
        <w:tc>
          <w:tcPr>
            <w:tcW w:w="5000" w:type="pct"/>
            <w:gridSpan w:val="3"/>
            <w:tcBorders>
              <w:tl2br w:val="nil"/>
              <w:tr2bl w:val="nil"/>
            </w:tcBorders>
            <w:noWrap w:val="0"/>
            <w:vAlign w:val="center"/>
          </w:tcPr>
          <w:p w14:paraId="7E5DDA62">
            <w:pPr>
              <w:pStyle w:val="12"/>
              <w:keepNext w:val="0"/>
              <w:keepLines w:val="0"/>
              <w:suppressLineNumbers w:val="0"/>
              <w:spacing w:before="0" w:beforeAutospacing="0" w:after="0" w:afterAutospacing="0" w:line="240" w:lineRule="auto"/>
              <w:ind w:left="0" w:right="0"/>
              <w:jc w:val="both"/>
              <w:rPr>
                <w:rFonts w:hint="eastAsia" w:ascii="宋体" w:hAnsi="宋体" w:eastAsia="宋体" w:cs="宋体"/>
                <w:b/>
                <w:color w:val="auto"/>
                <w:spacing w:val="-6"/>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价格分（10）</w:t>
            </w:r>
          </w:p>
        </w:tc>
      </w:tr>
      <w:tr w14:paraId="7B3316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8" w:hRule="atLeast"/>
          <w:jc w:val="center"/>
        </w:trPr>
        <w:tc>
          <w:tcPr>
            <w:tcW w:w="1281" w:type="dxa"/>
            <w:tcBorders>
              <w:tl2br w:val="nil"/>
              <w:tr2bl w:val="nil"/>
            </w:tcBorders>
            <w:noWrap w:val="0"/>
            <w:vAlign w:val="center"/>
          </w:tcPr>
          <w:p w14:paraId="66460A45">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pacing w:val="-6"/>
                <w:sz w:val="21"/>
                <w:szCs w:val="21"/>
                <w:highlight w:val="none"/>
              </w:rPr>
            </w:pPr>
            <w:r>
              <w:rPr>
                <w:rFonts w:hint="eastAsia" w:ascii="宋体" w:hAnsi="宋体" w:eastAsia="宋体" w:cs="宋体"/>
                <w:b/>
                <w:bCs/>
                <w:color w:val="auto"/>
                <w:kern w:val="0"/>
                <w:sz w:val="21"/>
                <w:szCs w:val="21"/>
                <w:highlight w:val="none"/>
                <w:lang w:val="en-US" w:eastAsia="zh-CN" w:bidi="ar"/>
              </w:rPr>
              <w:t>最后磋商报价</w:t>
            </w:r>
          </w:p>
        </w:tc>
        <w:tc>
          <w:tcPr>
            <w:tcW w:w="762" w:type="dxa"/>
            <w:tcBorders>
              <w:tl2br w:val="nil"/>
              <w:tr2bl w:val="nil"/>
            </w:tcBorders>
            <w:noWrap w:val="0"/>
            <w:vAlign w:val="center"/>
          </w:tcPr>
          <w:p w14:paraId="3DA60853">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pacing w:val="-6"/>
                <w:sz w:val="21"/>
                <w:szCs w:val="21"/>
                <w:highlight w:val="none"/>
              </w:rPr>
            </w:pPr>
            <w:r>
              <w:rPr>
                <w:rFonts w:hint="eastAsia" w:ascii="宋体" w:hAnsi="宋体" w:eastAsia="宋体" w:cs="宋体"/>
                <w:b/>
                <w:bCs/>
                <w:color w:val="auto"/>
                <w:kern w:val="0"/>
                <w:sz w:val="21"/>
                <w:szCs w:val="21"/>
                <w:highlight w:val="none"/>
                <w:lang w:val="en-US" w:eastAsia="zh-CN" w:bidi="ar"/>
              </w:rPr>
              <w:t>10</w:t>
            </w:r>
          </w:p>
        </w:tc>
        <w:tc>
          <w:tcPr>
            <w:tcW w:w="7905" w:type="dxa"/>
            <w:tcBorders>
              <w:tl2br w:val="nil"/>
              <w:tr2bl w:val="nil"/>
            </w:tcBorders>
            <w:noWrap w:val="0"/>
            <w:vAlign w:val="center"/>
          </w:tcPr>
          <w:p w14:paraId="0B3ADF1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价格分统一采用低价优先法计算，即满足磋商文件要求且最后报价最低的供应商的价格为磋商基准价，其价格分为满分。其他供应商的价格分统一按照下列公式计算：</w:t>
            </w:r>
          </w:p>
          <w:p w14:paraId="25EFD2BD">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b/>
                <w:color w:val="auto"/>
                <w:spacing w:val="-6"/>
                <w:sz w:val="21"/>
                <w:szCs w:val="21"/>
                <w:highlight w:val="none"/>
              </w:rPr>
            </w:pPr>
            <w:r>
              <w:rPr>
                <w:rFonts w:hint="eastAsia" w:ascii="宋体" w:hAnsi="宋体" w:eastAsia="宋体" w:cs="宋体"/>
                <w:color w:val="auto"/>
                <w:kern w:val="0"/>
                <w:sz w:val="21"/>
                <w:szCs w:val="21"/>
                <w:highlight w:val="none"/>
                <w:lang w:val="en-US" w:eastAsia="zh-CN" w:bidi="ar"/>
              </w:rPr>
              <w:t>磋商报价得分=（磋商基准价/最后磋商报价）×10%×100</w:t>
            </w:r>
          </w:p>
        </w:tc>
      </w:tr>
      <w:tr w14:paraId="5B00B0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73" w:hRule="atLeast"/>
          <w:jc w:val="center"/>
        </w:trPr>
        <w:tc>
          <w:tcPr>
            <w:tcW w:w="5000" w:type="pct"/>
            <w:gridSpan w:val="3"/>
            <w:tcBorders>
              <w:tl2br w:val="nil"/>
              <w:tr2bl w:val="nil"/>
            </w:tcBorders>
            <w:noWrap w:val="0"/>
            <w:vAlign w:val="center"/>
          </w:tcPr>
          <w:p w14:paraId="6B7DA31F">
            <w:pPr>
              <w:pStyle w:val="12"/>
              <w:keepNext w:val="0"/>
              <w:keepLines w:val="0"/>
              <w:suppressLineNumbers w:val="0"/>
              <w:spacing w:before="0" w:beforeAutospacing="0" w:after="0" w:afterAutospacing="0" w:line="240" w:lineRule="auto"/>
              <w:ind w:left="0" w:right="0"/>
              <w:jc w:val="both"/>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商务分（</w:t>
            </w:r>
            <w:r>
              <w:rPr>
                <w:rFonts w:hint="eastAsia" w:ascii="宋体" w:hAnsi="宋体" w:eastAsia="宋体" w:cs="宋体"/>
                <w:b/>
                <w:color w:val="auto"/>
                <w:spacing w:val="-6"/>
                <w:sz w:val="21"/>
                <w:szCs w:val="21"/>
                <w:highlight w:val="none"/>
                <w:lang w:val="en-US" w:eastAsia="zh-CN"/>
              </w:rPr>
              <w:t>4</w:t>
            </w:r>
            <w:r>
              <w:rPr>
                <w:rFonts w:hint="eastAsia" w:ascii="宋体" w:hAnsi="宋体" w:eastAsia="宋体" w:cs="宋体"/>
                <w:b/>
                <w:color w:val="auto"/>
                <w:spacing w:val="-6"/>
                <w:sz w:val="21"/>
                <w:szCs w:val="21"/>
                <w:highlight w:val="none"/>
              </w:rPr>
              <w:t>）</w:t>
            </w:r>
          </w:p>
        </w:tc>
      </w:tr>
      <w:tr w14:paraId="16CB73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44" w:type="pct"/>
            <w:tcBorders>
              <w:tl2br w:val="nil"/>
              <w:tr2bl w:val="nil"/>
            </w:tcBorders>
            <w:shd w:val="clear" w:color="auto" w:fill="auto"/>
            <w:noWrap w:val="0"/>
            <w:vAlign w:val="center"/>
          </w:tcPr>
          <w:p w14:paraId="71E017F0">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业绩</w:t>
            </w:r>
          </w:p>
        </w:tc>
        <w:tc>
          <w:tcPr>
            <w:tcW w:w="383" w:type="pct"/>
            <w:tcBorders>
              <w:tl2br w:val="nil"/>
              <w:tr2bl w:val="nil"/>
            </w:tcBorders>
            <w:shd w:val="clear" w:color="auto" w:fill="auto"/>
            <w:noWrap w:val="0"/>
            <w:vAlign w:val="center"/>
          </w:tcPr>
          <w:p w14:paraId="1FA19CAE">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1</w:t>
            </w:r>
          </w:p>
        </w:tc>
        <w:tc>
          <w:tcPr>
            <w:tcW w:w="3971" w:type="pct"/>
            <w:tcBorders>
              <w:tl2br w:val="nil"/>
              <w:tr2bl w:val="nil"/>
            </w:tcBorders>
            <w:shd w:val="clear" w:color="auto" w:fill="auto"/>
            <w:noWrap w:val="0"/>
            <w:vAlign w:val="center"/>
          </w:tcPr>
          <w:p w14:paraId="4A778361">
            <w:pPr>
              <w:keepNext w:val="0"/>
              <w:keepLines w:val="0"/>
              <w:suppressLineNumbers w:val="0"/>
              <w:spacing w:before="0" w:beforeAutospacing="0" w:after="0" w:afterAutospacing="0"/>
              <w:ind w:left="0" w:right="0"/>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【客观分】供应商自202</w:t>
            </w: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zh-CN" w:eastAsia="zh-CN" w:bidi="ar-SA"/>
              </w:rPr>
              <w:t>年1月1日以来（以合同签订时间为准）同类年度工程监理（服务期限不小于一年）合同业绩（以提供的合同扫描件为准）：每提供1份合同业绩得0.5分，最高得</w:t>
            </w: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zh-CN" w:eastAsia="zh-CN" w:bidi="ar-SA"/>
              </w:rPr>
              <w:t>分。</w:t>
            </w:r>
          </w:p>
        </w:tc>
      </w:tr>
      <w:tr w14:paraId="51D9AB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44" w:type="pct"/>
            <w:tcBorders>
              <w:tl2br w:val="nil"/>
              <w:tr2bl w:val="nil"/>
            </w:tcBorders>
            <w:noWrap w:val="0"/>
            <w:vAlign w:val="center"/>
          </w:tcPr>
          <w:p w14:paraId="4217D62D">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体系认证</w:t>
            </w:r>
          </w:p>
        </w:tc>
        <w:tc>
          <w:tcPr>
            <w:tcW w:w="383" w:type="pct"/>
            <w:tcBorders>
              <w:tl2br w:val="nil"/>
              <w:tr2bl w:val="nil"/>
            </w:tcBorders>
            <w:noWrap w:val="0"/>
            <w:vAlign w:val="center"/>
          </w:tcPr>
          <w:p w14:paraId="3773DE89">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3</w:t>
            </w:r>
          </w:p>
        </w:tc>
        <w:tc>
          <w:tcPr>
            <w:tcW w:w="3971" w:type="pct"/>
            <w:tcBorders>
              <w:tl2br w:val="nil"/>
              <w:tr2bl w:val="nil"/>
            </w:tcBorders>
            <w:noWrap w:val="0"/>
            <w:vAlign w:val="center"/>
          </w:tcPr>
          <w:p w14:paraId="1FCBF784">
            <w:pPr>
              <w:keepNext w:val="0"/>
              <w:keepLines w:val="0"/>
              <w:suppressLineNumbers w:val="0"/>
              <w:spacing w:before="0" w:beforeAutospacing="0" w:after="0" w:afterAutospacing="0"/>
              <w:ind w:left="0" w:right="0"/>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客观分</w:t>
            </w:r>
            <w:r>
              <w:rPr>
                <w:rFonts w:hint="eastAsia" w:ascii="宋体" w:hAnsi="宋体" w:eastAsia="宋体" w:cs="宋体"/>
                <w:color w:val="auto"/>
                <w:kern w:val="2"/>
                <w:sz w:val="21"/>
                <w:szCs w:val="21"/>
                <w:highlight w:val="none"/>
                <w:lang w:val="zh-CN" w:eastAsia="zh-CN" w:bidi="ar-SA"/>
              </w:rPr>
              <w:t>】供应商</w:t>
            </w:r>
            <w:r>
              <w:rPr>
                <w:rFonts w:hint="eastAsia" w:ascii="宋体" w:hAnsi="宋体" w:eastAsia="宋体" w:cs="宋体"/>
                <w:color w:val="auto"/>
                <w:kern w:val="2"/>
                <w:sz w:val="21"/>
                <w:szCs w:val="21"/>
                <w:highlight w:val="none"/>
                <w:lang w:val="en-US" w:eastAsia="zh-CN" w:bidi="ar-SA"/>
              </w:rPr>
              <w:t>具有有效的</w:t>
            </w:r>
            <w:r>
              <w:rPr>
                <w:rFonts w:hint="eastAsia" w:ascii="宋体" w:hAnsi="宋体" w:eastAsia="宋体" w:cs="宋体"/>
                <w:color w:val="auto"/>
                <w:kern w:val="2"/>
                <w:sz w:val="21"/>
                <w:szCs w:val="21"/>
                <w:highlight w:val="none"/>
                <w:lang w:val="zh-CN" w:eastAsia="zh-CN" w:bidi="ar-SA"/>
              </w:rPr>
              <w:t>质量管理</w:t>
            </w:r>
            <w:r>
              <w:rPr>
                <w:rFonts w:hint="eastAsia" w:ascii="宋体" w:hAnsi="宋体" w:eastAsia="宋体" w:cs="宋体"/>
                <w:color w:val="auto"/>
                <w:kern w:val="2"/>
                <w:sz w:val="21"/>
                <w:szCs w:val="21"/>
                <w:highlight w:val="none"/>
                <w:lang w:val="en-US" w:eastAsia="zh-CN" w:bidi="ar-SA"/>
              </w:rPr>
              <w:t>体系</w:t>
            </w:r>
            <w:r>
              <w:rPr>
                <w:rFonts w:hint="eastAsia" w:ascii="宋体" w:hAnsi="宋体" w:eastAsia="宋体" w:cs="宋体"/>
                <w:color w:val="auto"/>
                <w:kern w:val="2"/>
                <w:sz w:val="21"/>
                <w:szCs w:val="21"/>
                <w:highlight w:val="none"/>
                <w:lang w:val="zh-CN" w:eastAsia="zh-CN" w:bidi="ar-SA"/>
              </w:rPr>
              <w:t>、环境管理体系、职业健康安全管理体系认证</w:t>
            </w:r>
            <w:r>
              <w:rPr>
                <w:rFonts w:hint="eastAsia" w:ascii="宋体" w:hAnsi="宋体" w:eastAsia="宋体" w:cs="宋体"/>
                <w:color w:val="auto"/>
                <w:kern w:val="2"/>
                <w:sz w:val="21"/>
                <w:szCs w:val="21"/>
                <w:highlight w:val="none"/>
                <w:lang w:val="en-US" w:eastAsia="zh-CN" w:bidi="ar-SA"/>
              </w:rPr>
              <w:t>证书</w:t>
            </w:r>
            <w:r>
              <w:rPr>
                <w:rFonts w:hint="eastAsia" w:ascii="宋体" w:hAnsi="宋体" w:eastAsia="宋体" w:cs="宋体"/>
                <w:color w:val="auto"/>
                <w:kern w:val="2"/>
                <w:sz w:val="21"/>
                <w:szCs w:val="21"/>
                <w:highlight w:val="none"/>
                <w:lang w:val="zh-CN" w:eastAsia="zh-CN" w:bidi="ar-SA"/>
              </w:rPr>
              <w:t>的，每提供一份证书得1分，最高得3分（提供证书扫描件、国家认证认可监督管理委员会官网（http://www.cnca.gov.cn/）查询截图，不提供不得分）。</w:t>
            </w:r>
          </w:p>
        </w:tc>
      </w:tr>
      <w:tr w14:paraId="00C879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0" w:hRule="atLeast"/>
          <w:jc w:val="center"/>
        </w:trPr>
        <w:tc>
          <w:tcPr>
            <w:tcW w:w="5000" w:type="pct"/>
            <w:gridSpan w:val="3"/>
            <w:tcBorders>
              <w:tl2br w:val="nil"/>
              <w:tr2bl w:val="nil"/>
            </w:tcBorders>
            <w:noWrap w:val="0"/>
            <w:vAlign w:val="center"/>
          </w:tcPr>
          <w:p w14:paraId="306EF26D">
            <w:pPr>
              <w:pStyle w:val="6"/>
              <w:keepNext w:val="0"/>
              <w:keepLines w:val="0"/>
              <w:suppressLineNumbers w:val="0"/>
              <w:spacing w:before="0" w:beforeAutospacing="0" w:after="0" w:afterAutospacing="0" w:line="240" w:lineRule="auto"/>
              <w:ind w:left="0" w:right="0" w:firstLine="0"/>
              <w:jc w:val="both"/>
              <w:rPr>
                <w:rFonts w:hint="eastAsia" w:ascii="宋体" w:hAnsi="宋体" w:eastAsia="宋体" w:cs="宋体"/>
                <w:color w:val="auto"/>
                <w:spacing w:val="-6"/>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技术分（86）</w:t>
            </w:r>
          </w:p>
        </w:tc>
      </w:tr>
      <w:tr w14:paraId="0878A2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44" w:type="pct"/>
            <w:tcBorders>
              <w:tl2br w:val="nil"/>
              <w:tr2bl w:val="nil"/>
            </w:tcBorders>
            <w:noWrap w:val="0"/>
            <w:vAlign w:val="center"/>
          </w:tcPr>
          <w:p w14:paraId="67F49CA5">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响应程度</w:t>
            </w:r>
          </w:p>
        </w:tc>
        <w:tc>
          <w:tcPr>
            <w:tcW w:w="383" w:type="pct"/>
            <w:tcBorders>
              <w:tl2br w:val="nil"/>
              <w:tr2bl w:val="nil"/>
            </w:tcBorders>
            <w:noWrap w:val="0"/>
            <w:vAlign w:val="center"/>
          </w:tcPr>
          <w:p w14:paraId="6F65B176">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21</w:t>
            </w:r>
          </w:p>
        </w:tc>
        <w:tc>
          <w:tcPr>
            <w:tcW w:w="3971" w:type="pct"/>
            <w:tcBorders>
              <w:tl2br w:val="nil"/>
              <w:tr2bl w:val="nil"/>
            </w:tcBorders>
            <w:noWrap w:val="0"/>
            <w:vAlign w:val="center"/>
          </w:tcPr>
          <w:p w14:paraId="3F616570">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w:t>
            </w:r>
          </w:p>
          <w:p w14:paraId="4A29B6B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不符合（负偏离）服务要求中标注“▲”条款（不可偏离）的响应无效；</w:t>
            </w:r>
          </w:p>
          <w:p w14:paraId="4E417B4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满足采购文件明确的全部服务要求的该项得满分；</w:t>
            </w:r>
          </w:p>
          <w:p w14:paraId="33E6580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响应条款低于服务要求（负偏离）的每项扣3分；</w:t>
            </w:r>
          </w:p>
          <w:p w14:paraId="26672E3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负偏离7项及以上的，视为采购人不能接受的附加条件。</w:t>
            </w:r>
          </w:p>
        </w:tc>
      </w:tr>
      <w:tr w14:paraId="2EC8B6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44" w:type="pct"/>
            <w:vMerge w:val="restart"/>
            <w:tcBorders>
              <w:tl2br w:val="nil"/>
              <w:tr2bl w:val="nil"/>
            </w:tcBorders>
            <w:noWrap w:val="0"/>
            <w:vAlign w:val="center"/>
          </w:tcPr>
          <w:p w14:paraId="5AF84ABA">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项目团队</w:t>
            </w:r>
          </w:p>
        </w:tc>
        <w:tc>
          <w:tcPr>
            <w:tcW w:w="383" w:type="pct"/>
            <w:tcBorders>
              <w:tl2br w:val="nil"/>
              <w:tr2bl w:val="nil"/>
            </w:tcBorders>
            <w:noWrap w:val="0"/>
            <w:vAlign w:val="center"/>
          </w:tcPr>
          <w:p w14:paraId="69FD3AEE">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w:t>
            </w:r>
          </w:p>
        </w:tc>
        <w:tc>
          <w:tcPr>
            <w:tcW w:w="3971" w:type="pct"/>
            <w:tcBorders>
              <w:tl2br w:val="nil"/>
              <w:tr2bl w:val="nil"/>
            </w:tcBorders>
            <w:noWrap w:val="0"/>
            <w:vAlign w:val="center"/>
          </w:tcPr>
          <w:p w14:paraId="671C294A">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【客观分】拟派总监理工程师具有政府部门颁发的高级工程师职称的得2分（提供证书扫描件、响应截止时间前【6】个月内任意一月供应商本单位为其缴纳社保的证明材料，不提供不得分）。</w:t>
            </w:r>
          </w:p>
        </w:tc>
      </w:tr>
      <w:tr w14:paraId="0AC7C7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2" w:hRule="atLeast"/>
          <w:jc w:val="center"/>
        </w:trPr>
        <w:tc>
          <w:tcPr>
            <w:tcW w:w="644" w:type="pct"/>
            <w:vMerge w:val="continue"/>
            <w:tcBorders>
              <w:tl2br w:val="nil"/>
              <w:tr2bl w:val="nil"/>
            </w:tcBorders>
            <w:noWrap w:val="0"/>
            <w:vAlign w:val="center"/>
          </w:tcPr>
          <w:p w14:paraId="26C21700">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483A4375">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w:t>
            </w:r>
          </w:p>
        </w:tc>
        <w:tc>
          <w:tcPr>
            <w:tcW w:w="3971" w:type="pct"/>
            <w:tcBorders>
              <w:tl2br w:val="nil"/>
              <w:tr2bl w:val="nil"/>
            </w:tcBorders>
            <w:noWrap w:val="0"/>
            <w:vAlign w:val="center"/>
          </w:tcPr>
          <w:p w14:paraId="1BDBCF7C">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客观分】拟派服务团队人员中（总监理工程师除外）具有政府部门颁发的注册造价工程师、监理工程师（房屋建筑工程专业）、监理工程师（机电安装工程专业）和监理工程师（市政公用工程专业）证书的，每提供一类证书得1分，最高得4分（提供证书扫描件、响应截止时间前【6】个月内任意一月供应商本单位为其缴纳社保的证明材料，不提供不得分）。</w:t>
            </w:r>
          </w:p>
        </w:tc>
      </w:tr>
      <w:tr w14:paraId="23CBFA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44" w:type="pct"/>
            <w:vMerge w:val="continue"/>
            <w:tcBorders>
              <w:tl2br w:val="nil"/>
              <w:tr2bl w:val="nil"/>
            </w:tcBorders>
            <w:noWrap w:val="0"/>
            <w:vAlign w:val="center"/>
          </w:tcPr>
          <w:p w14:paraId="742FE24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4DE9D67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w:t>
            </w:r>
          </w:p>
        </w:tc>
        <w:tc>
          <w:tcPr>
            <w:tcW w:w="3971" w:type="pct"/>
            <w:tcBorders>
              <w:tl2br w:val="nil"/>
              <w:tr2bl w:val="nil"/>
            </w:tcBorders>
            <w:noWrap w:val="0"/>
            <w:vAlign w:val="center"/>
          </w:tcPr>
          <w:p w14:paraId="73D0E18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【主观分】拟派团队服务人员组织结构，监理工程师到位率及服务响应时间承诺的评价（评分范围：2,1,0.5,0）。</w:t>
            </w:r>
          </w:p>
        </w:tc>
      </w:tr>
      <w:tr w14:paraId="2990EC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4" w:hRule="atLeast"/>
          <w:jc w:val="center"/>
        </w:trPr>
        <w:tc>
          <w:tcPr>
            <w:tcW w:w="644" w:type="pct"/>
            <w:vMerge w:val="continue"/>
            <w:tcBorders>
              <w:tl2br w:val="nil"/>
              <w:tr2bl w:val="nil"/>
            </w:tcBorders>
            <w:noWrap w:val="0"/>
            <w:vAlign w:val="center"/>
          </w:tcPr>
          <w:p w14:paraId="570D753C">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4A53DE1B">
            <w:pPr>
              <w:keepNext w:val="0"/>
              <w:keepLines w:val="0"/>
              <w:suppressLineNumbers w:val="0"/>
              <w:spacing w:before="0" w:beforeAutospacing="0" w:after="0" w:afterAutospacing="0"/>
              <w:ind w:left="0" w:right="0"/>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w:t>
            </w:r>
          </w:p>
        </w:tc>
        <w:tc>
          <w:tcPr>
            <w:tcW w:w="3971" w:type="pct"/>
            <w:tcBorders>
              <w:tl2br w:val="nil"/>
              <w:tr2bl w:val="nil"/>
            </w:tcBorders>
            <w:noWrap w:val="0"/>
            <w:vAlign w:val="center"/>
          </w:tcPr>
          <w:p w14:paraId="18E8CF7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【主观分】供应商拟派项目服务团队人员岗位职责与分工情况。供应商应当根据本项目服务要求合理制定各个岗位的职责和分工并明确工作要求（评分范围：4,3,2,1,0）。</w:t>
            </w:r>
          </w:p>
        </w:tc>
      </w:tr>
      <w:tr w14:paraId="3D5E5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1" w:hRule="atLeast"/>
          <w:jc w:val="center"/>
        </w:trPr>
        <w:tc>
          <w:tcPr>
            <w:tcW w:w="644" w:type="pct"/>
            <w:vMerge w:val="restart"/>
            <w:tcBorders>
              <w:tl2br w:val="nil"/>
              <w:tr2bl w:val="nil"/>
            </w:tcBorders>
            <w:noWrap w:val="0"/>
            <w:vAlign w:val="center"/>
          </w:tcPr>
          <w:p w14:paraId="636855D7">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监理服务方案</w:t>
            </w:r>
          </w:p>
        </w:tc>
        <w:tc>
          <w:tcPr>
            <w:tcW w:w="383" w:type="pct"/>
            <w:tcBorders>
              <w:tl2br w:val="nil"/>
              <w:tr2bl w:val="nil"/>
            </w:tcBorders>
            <w:noWrap w:val="0"/>
            <w:vAlign w:val="center"/>
          </w:tcPr>
          <w:p w14:paraId="12BE0DE1">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3A96085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【主观分】针对本项目的监理工作制度、质量安全监督方案完善性，切实有效性（评分范围：5,4,3,2,1,0）。</w:t>
            </w:r>
          </w:p>
        </w:tc>
      </w:tr>
      <w:tr w14:paraId="5C460A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644" w:type="pct"/>
            <w:vMerge w:val="continue"/>
            <w:tcBorders>
              <w:tl2br w:val="nil"/>
              <w:tr2bl w:val="nil"/>
            </w:tcBorders>
            <w:noWrap w:val="0"/>
            <w:vAlign w:val="center"/>
          </w:tcPr>
          <w:p w14:paraId="7FE5049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7951B367">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675E18D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【主观分】对本项目监理人员的管理及考核、奖惩措施，合同执行期间的监理人员数量保障方案的可行性、可行性（评分范围：5,4,3,2,1,0）。</w:t>
            </w:r>
          </w:p>
        </w:tc>
      </w:tr>
      <w:tr w14:paraId="42EE4F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6" w:hRule="atLeast"/>
          <w:jc w:val="center"/>
        </w:trPr>
        <w:tc>
          <w:tcPr>
            <w:tcW w:w="644" w:type="pct"/>
            <w:vMerge w:val="continue"/>
            <w:tcBorders>
              <w:tl2br w:val="nil"/>
              <w:tr2bl w:val="nil"/>
            </w:tcBorders>
            <w:noWrap w:val="0"/>
            <w:vAlign w:val="center"/>
          </w:tcPr>
          <w:p w14:paraId="3732B150">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4980770E">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4</w:t>
            </w:r>
          </w:p>
        </w:tc>
        <w:tc>
          <w:tcPr>
            <w:tcW w:w="3971" w:type="pct"/>
            <w:tcBorders>
              <w:tl2br w:val="nil"/>
              <w:tr2bl w:val="nil"/>
            </w:tcBorders>
            <w:noWrap w:val="0"/>
            <w:vAlign w:val="center"/>
          </w:tcPr>
          <w:p w14:paraId="0BFF178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【主观分】针对本项目的难点、重点的分析及解决方法和措施的针对性、科学性（评分范围：4,3,2,1,0）。</w:t>
            </w:r>
          </w:p>
        </w:tc>
      </w:tr>
      <w:tr w14:paraId="640886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644" w:type="pct"/>
            <w:vMerge w:val="continue"/>
            <w:tcBorders>
              <w:tl2br w:val="nil"/>
              <w:tr2bl w:val="nil"/>
            </w:tcBorders>
            <w:noWrap w:val="0"/>
            <w:vAlign w:val="center"/>
          </w:tcPr>
          <w:p w14:paraId="16E84E92">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p>
        </w:tc>
        <w:tc>
          <w:tcPr>
            <w:tcW w:w="383" w:type="pct"/>
            <w:tcBorders>
              <w:tl2br w:val="nil"/>
              <w:tr2bl w:val="nil"/>
            </w:tcBorders>
            <w:noWrap w:val="0"/>
            <w:vAlign w:val="center"/>
          </w:tcPr>
          <w:p w14:paraId="6B8D74FA">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00E38C4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【主观分】项目关键点控制措施的评价，包括取样送检、旁站监理控制措施的科学性、合理性（评分范围：5,4,3,2,1,0）。</w:t>
            </w:r>
          </w:p>
        </w:tc>
      </w:tr>
      <w:tr w14:paraId="61293A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6" w:hRule="atLeast"/>
          <w:jc w:val="center"/>
        </w:trPr>
        <w:tc>
          <w:tcPr>
            <w:tcW w:w="644" w:type="pct"/>
            <w:vMerge w:val="continue"/>
            <w:tcBorders>
              <w:tl2br w:val="nil"/>
              <w:tr2bl w:val="nil"/>
            </w:tcBorders>
            <w:noWrap w:val="0"/>
            <w:vAlign w:val="center"/>
          </w:tcPr>
          <w:p w14:paraId="7AA59BEF">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p>
        </w:tc>
        <w:tc>
          <w:tcPr>
            <w:tcW w:w="383" w:type="pct"/>
            <w:tcBorders>
              <w:tl2br w:val="nil"/>
              <w:tr2bl w:val="nil"/>
            </w:tcBorders>
            <w:noWrap w:val="0"/>
            <w:vAlign w:val="center"/>
          </w:tcPr>
          <w:p w14:paraId="33A0DD3E">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056DA3B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【主观分】项目进度控制方案情况，目标是否清晰，控制手段和措施是否科学、可行（评分范围：5,4,3,2,1,0）。</w:t>
            </w:r>
          </w:p>
        </w:tc>
      </w:tr>
      <w:tr w14:paraId="1E36B1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7" w:hRule="atLeast"/>
          <w:jc w:val="center"/>
        </w:trPr>
        <w:tc>
          <w:tcPr>
            <w:tcW w:w="644" w:type="pct"/>
            <w:vMerge w:val="continue"/>
            <w:tcBorders>
              <w:tl2br w:val="nil"/>
              <w:tr2bl w:val="nil"/>
            </w:tcBorders>
            <w:noWrap w:val="0"/>
            <w:vAlign w:val="center"/>
          </w:tcPr>
          <w:p w14:paraId="684B3FA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377AF117">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138A1B8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【主观分】工程质量控制方案情况，目标是否清晰，控制手段和措施是否科学、可行（评分范围：5,4,3,2,1,0）。</w:t>
            </w:r>
          </w:p>
        </w:tc>
      </w:tr>
      <w:tr w14:paraId="50A60F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7" w:hRule="atLeast"/>
          <w:jc w:val="center"/>
        </w:trPr>
        <w:tc>
          <w:tcPr>
            <w:tcW w:w="644" w:type="pct"/>
            <w:vMerge w:val="continue"/>
            <w:tcBorders>
              <w:tl2br w:val="nil"/>
              <w:tr2bl w:val="nil"/>
            </w:tcBorders>
            <w:noWrap w:val="0"/>
            <w:vAlign w:val="center"/>
          </w:tcPr>
          <w:p w14:paraId="479E1EA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11E65266">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top"/>
          </w:tcPr>
          <w:p w14:paraId="401CB7BA">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【主观分】项目所投入的检测仪器设备的先进性、可靠性（评分范围：5,4,3,2,1,0）。</w:t>
            </w:r>
          </w:p>
        </w:tc>
      </w:tr>
      <w:tr w14:paraId="3E6479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7" w:hRule="atLeast"/>
          <w:jc w:val="center"/>
        </w:trPr>
        <w:tc>
          <w:tcPr>
            <w:tcW w:w="644" w:type="pct"/>
            <w:vMerge w:val="continue"/>
            <w:tcBorders>
              <w:tl2br w:val="nil"/>
              <w:tr2bl w:val="nil"/>
            </w:tcBorders>
            <w:noWrap w:val="0"/>
            <w:vAlign w:val="center"/>
          </w:tcPr>
          <w:p w14:paraId="41FED56B">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lang w:val="en-US" w:eastAsia="zh-CN" w:bidi="ar"/>
              </w:rPr>
            </w:pPr>
          </w:p>
        </w:tc>
        <w:tc>
          <w:tcPr>
            <w:tcW w:w="383" w:type="pct"/>
            <w:tcBorders>
              <w:tl2br w:val="nil"/>
              <w:tr2bl w:val="nil"/>
            </w:tcBorders>
            <w:noWrap w:val="0"/>
            <w:vAlign w:val="center"/>
          </w:tcPr>
          <w:p w14:paraId="43C6ECE2">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695129C2">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【主观分】施工各阶段监理工作程序流程的阐述是否清晰，流程是否科学合理（评分范围：5,4,3,2,1,0）。</w:t>
            </w:r>
          </w:p>
        </w:tc>
      </w:tr>
      <w:tr w14:paraId="40B6D0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8" w:hRule="atLeast"/>
          <w:jc w:val="center"/>
        </w:trPr>
        <w:tc>
          <w:tcPr>
            <w:tcW w:w="644" w:type="pct"/>
            <w:vMerge w:val="continue"/>
            <w:tcBorders>
              <w:tl2br w:val="nil"/>
              <w:tr2bl w:val="nil"/>
            </w:tcBorders>
            <w:noWrap w:val="0"/>
            <w:vAlign w:val="center"/>
          </w:tcPr>
          <w:p w14:paraId="27536BEF">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p>
        </w:tc>
        <w:tc>
          <w:tcPr>
            <w:tcW w:w="383" w:type="pct"/>
            <w:tcBorders>
              <w:tl2br w:val="nil"/>
              <w:tr2bl w:val="nil"/>
            </w:tcBorders>
            <w:noWrap w:val="0"/>
            <w:vAlign w:val="center"/>
          </w:tcPr>
          <w:p w14:paraId="35B23B3A">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08970AD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【主观分】工程日常和竣工信息资料管理及设计变更、索赔、争议等合同管理措施的科学性、合理性（评分范围：5,4,3,2,1,0）。</w:t>
            </w:r>
          </w:p>
        </w:tc>
      </w:tr>
      <w:tr w14:paraId="21E88E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1" w:hRule="atLeast"/>
          <w:jc w:val="center"/>
        </w:trPr>
        <w:tc>
          <w:tcPr>
            <w:tcW w:w="644" w:type="pct"/>
            <w:tcBorders>
              <w:tl2br w:val="nil"/>
              <w:tr2bl w:val="nil"/>
            </w:tcBorders>
            <w:noWrap w:val="0"/>
            <w:vAlign w:val="center"/>
          </w:tcPr>
          <w:p w14:paraId="542C5744">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安全文明施工监理措施</w:t>
            </w:r>
          </w:p>
        </w:tc>
        <w:tc>
          <w:tcPr>
            <w:tcW w:w="383" w:type="pct"/>
            <w:tcBorders>
              <w:tl2br w:val="nil"/>
              <w:tr2bl w:val="nil"/>
            </w:tcBorders>
            <w:noWrap w:val="0"/>
            <w:vAlign w:val="center"/>
          </w:tcPr>
          <w:p w14:paraId="6F42108F">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5</w:t>
            </w:r>
          </w:p>
        </w:tc>
        <w:tc>
          <w:tcPr>
            <w:tcW w:w="3971" w:type="pct"/>
            <w:tcBorders>
              <w:tl2br w:val="nil"/>
              <w:tr2bl w:val="nil"/>
            </w:tcBorders>
            <w:noWrap w:val="0"/>
            <w:vAlign w:val="center"/>
          </w:tcPr>
          <w:p w14:paraId="54B25438">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【主观分】供应商所提供的安全、环境保护及文明施工监理措施是否落到实处，所制订的相关措施是否科学、合理、切合实际（评分范围：5,4,3,2,1,0）。</w:t>
            </w:r>
          </w:p>
        </w:tc>
      </w:tr>
      <w:tr w14:paraId="4F2671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2" w:hRule="atLeast"/>
          <w:jc w:val="center"/>
        </w:trPr>
        <w:tc>
          <w:tcPr>
            <w:tcW w:w="644" w:type="pct"/>
            <w:tcBorders>
              <w:tl2br w:val="nil"/>
              <w:tr2bl w:val="nil"/>
            </w:tcBorders>
            <w:noWrap w:val="0"/>
            <w:vAlign w:val="center"/>
          </w:tcPr>
          <w:p w14:paraId="3431572B">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应急预案</w:t>
            </w:r>
          </w:p>
        </w:tc>
        <w:tc>
          <w:tcPr>
            <w:tcW w:w="383" w:type="pct"/>
            <w:tcBorders>
              <w:tl2br w:val="nil"/>
              <w:tr2bl w:val="nil"/>
            </w:tcBorders>
            <w:noWrap w:val="0"/>
            <w:vAlign w:val="center"/>
          </w:tcPr>
          <w:p w14:paraId="3AF10ACF">
            <w:pPr>
              <w:keepNext w:val="0"/>
              <w:keepLines w:val="0"/>
              <w:suppressLineNumbers w:val="0"/>
              <w:spacing w:before="0" w:beforeAutospacing="0" w:after="0" w:afterAutospacing="0"/>
              <w:ind w:left="0" w:right="0"/>
              <w:jc w:val="center"/>
              <w:rPr>
                <w:rFonts w:hint="eastAsia" w:ascii="宋体" w:hAnsi="宋体" w:eastAsia="宋体" w:cs="宋体"/>
                <w:b/>
                <w:bCs/>
                <w:color w:val="auto"/>
                <w:spacing w:val="-6"/>
                <w:kern w:val="2"/>
                <w:sz w:val="21"/>
                <w:szCs w:val="21"/>
                <w:highlight w:val="none"/>
                <w:lang w:val="en-US" w:eastAsia="zh-CN" w:bidi="ar-SA"/>
              </w:rPr>
            </w:pPr>
            <w:r>
              <w:rPr>
                <w:rFonts w:hint="eastAsia" w:ascii="宋体" w:hAnsi="宋体" w:eastAsia="宋体" w:cs="宋体"/>
                <w:b/>
                <w:bCs/>
                <w:color w:val="auto"/>
                <w:spacing w:val="-6"/>
                <w:kern w:val="2"/>
                <w:sz w:val="21"/>
                <w:szCs w:val="21"/>
                <w:highlight w:val="none"/>
                <w:lang w:val="en-US" w:eastAsia="zh-CN" w:bidi="ar-SA"/>
              </w:rPr>
              <w:t>4</w:t>
            </w:r>
          </w:p>
        </w:tc>
        <w:tc>
          <w:tcPr>
            <w:tcW w:w="3971" w:type="pct"/>
            <w:tcBorders>
              <w:tl2br w:val="nil"/>
              <w:tr2bl w:val="nil"/>
            </w:tcBorders>
            <w:noWrap w:val="0"/>
            <w:vAlign w:val="center"/>
          </w:tcPr>
          <w:p w14:paraId="3EF260B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【主观分】针对本项目制定的应急演练方案、应急处置预案情况，评价因素包括处理突发自然灾害、突发事故灾害、突发社会事件等方面，方案是否科学合理，可执行性强（评分范围：4,3,2,1,0）。</w:t>
            </w:r>
          </w:p>
        </w:tc>
      </w:tr>
    </w:tbl>
    <w:p w14:paraId="369BD3A3">
      <w:pPr>
        <w:keepNext w:val="0"/>
        <w:keepLines w:val="0"/>
        <w:widowControl/>
        <w:suppressLineNumbers w:val="0"/>
        <w:spacing w:line="288" w:lineRule="auto"/>
        <w:ind w:left="0" w:firstLine="422"/>
        <w:jc w:val="left"/>
        <w:rPr>
          <w:rFonts w:hint="eastAsia" w:ascii="宋体" w:hAnsi="宋体" w:eastAsia="宋体" w:cs="宋体"/>
          <w:b/>
          <w:bCs/>
          <w:color w:val="auto"/>
          <w:spacing w:val="0"/>
          <w:kern w:val="0"/>
          <w:sz w:val="21"/>
          <w:szCs w:val="21"/>
          <w:highlight w:val="none"/>
          <w:lang w:val="en-US" w:eastAsia="zh-CN" w:bidi="ar"/>
        </w:rPr>
      </w:pPr>
    </w:p>
    <w:p w14:paraId="7FB9779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三、响应无效的情形</w:t>
      </w:r>
    </w:p>
    <w:p w14:paraId="32D5BA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未响应磋商文件“▲”标记条款要求的，响应无效。</w:t>
      </w:r>
    </w:p>
    <w:p w14:paraId="19CB37B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1.在资格审查时，有下列情形之一的，资格审查不通过，响应无效：</w:t>
      </w:r>
    </w:p>
    <w:p w14:paraId="4BA8FD6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（1）资格证明材料不全的，或者不符合磋商文件要求；</w:t>
      </w:r>
    </w:p>
    <w:p w14:paraId="03D17B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（2）供应商不具备磋商文件中规定的资格要求；</w:t>
      </w:r>
    </w:p>
    <w:p w14:paraId="348F52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0BB0E3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2.在符合性审查时，有下列情形之一的，响应无效：</w:t>
      </w:r>
    </w:p>
    <w:p w14:paraId="53A4A3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899F3C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（2）未提供或未按要求提供响应函、授权委托书；</w:t>
      </w:r>
    </w:p>
    <w:p w14:paraId="62A566C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（3）委托授权代表参加采购活动但未提供符合要求的授权代表社保缴纳证明；</w:t>
      </w:r>
    </w:p>
    <w:p w14:paraId="3BE0B1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（4）未提供或未如实提供响应偏离表；</w:t>
      </w:r>
    </w:p>
    <w:p w14:paraId="49D7D0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（5）明显不符合磋商文件要求，或负偏离达到规定数目的，视为采购人不能接受的附加条件；</w:t>
      </w:r>
    </w:p>
    <w:p w14:paraId="231959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w:t>
      </w:r>
      <w:r>
        <w:rPr>
          <w:rFonts w:hint="eastAsia" w:ascii="宋体" w:hAnsi="宋体" w:cs="宋体"/>
          <w:color w:val="auto"/>
          <w:spacing w:val="0"/>
          <w:kern w:val="0"/>
          <w:sz w:val="21"/>
          <w:szCs w:val="21"/>
          <w:highlight w:val="none"/>
          <w:lang w:val="en-US" w:eastAsia="zh-CN" w:bidi="ar"/>
        </w:rPr>
        <w:t>服务</w:t>
      </w:r>
      <w:r>
        <w:rPr>
          <w:rFonts w:hint="eastAsia" w:ascii="宋体" w:hAnsi="宋体" w:eastAsia="宋体" w:cs="宋体"/>
          <w:color w:val="auto"/>
          <w:spacing w:val="0"/>
          <w:kern w:val="0"/>
          <w:sz w:val="21"/>
          <w:szCs w:val="21"/>
          <w:highlight w:val="none"/>
          <w:lang w:val="en-US" w:eastAsia="zh-CN" w:bidi="ar"/>
        </w:rPr>
        <w:t>方案不明确，存在一个或一个以上备选（替代）响应方案</w:t>
      </w:r>
      <w:r>
        <w:rPr>
          <w:rFonts w:hint="eastAsia" w:ascii="宋体" w:hAnsi="宋体" w:eastAsia="宋体" w:cs="宋体"/>
          <w:color w:val="auto"/>
          <w:spacing w:val="-6"/>
          <w:kern w:val="0"/>
          <w:sz w:val="21"/>
          <w:szCs w:val="21"/>
          <w:highlight w:val="none"/>
          <w:lang w:val="en-US" w:eastAsia="zh-CN" w:bidi="ar"/>
        </w:rPr>
        <w:t>，但磋商文件要求提交备选的除外；</w:t>
      </w:r>
    </w:p>
    <w:p w14:paraId="15C8F1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（7）响应文件含有采购人不能接受的附加条件；</w:t>
      </w:r>
    </w:p>
    <w:p w14:paraId="5DFF66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（8）最后报价超过磋商文件中规定的预算金额或最高限价；</w:t>
      </w:r>
    </w:p>
    <w:p w14:paraId="7A1E99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（9）最后报价具有选择性。</w:t>
      </w:r>
    </w:p>
    <w:p w14:paraId="67DB44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（10）未按规定提交磋商记录或最后报价的，视为退出磋商，响应无效。</w:t>
      </w:r>
    </w:p>
    <w:p w14:paraId="18D39EC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（11）法律、法规和磋商文件规定的其他无效情形。</w:t>
      </w:r>
    </w:p>
    <w:p w14:paraId="4DAC1A9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特别说明：磋商小组认为供应商的最后报价明显低于其他供应商最后报价，有可能影响</w:t>
      </w:r>
      <w:r>
        <w:rPr>
          <w:rFonts w:hint="eastAsia" w:ascii="宋体" w:hAnsi="宋体" w:cs="宋体"/>
          <w:color w:val="auto"/>
          <w:spacing w:val="0"/>
          <w:kern w:val="0"/>
          <w:sz w:val="21"/>
          <w:szCs w:val="21"/>
          <w:highlight w:val="none"/>
          <w:lang w:val="en-US" w:eastAsia="zh-CN" w:bidi="ar"/>
        </w:rPr>
        <w:t>服务</w:t>
      </w:r>
      <w:r>
        <w:rPr>
          <w:rFonts w:hint="eastAsia" w:ascii="宋体" w:hAnsi="宋体" w:eastAsia="宋体" w:cs="宋体"/>
          <w:color w:val="auto"/>
          <w:spacing w:val="0"/>
          <w:kern w:val="0"/>
          <w:sz w:val="21"/>
          <w:szCs w:val="21"/>
          <w:highlight w:val="none"/>
          <w:lang w:val="en-US" w:eastAsia="zh-CN" w:bidi="ar"/>
        </w:rPr>
        <w:t>质量或者不能诚信履约的，应当要求其在评审现场合理的时间内提供书面说明，必要时提交相关证明材料；供应商不能证明其最后报价合理性的，磋商小组应当将其作为无效响应处理。</w:t>
      </w:r>
    </w:p>
    <w:p w14:paraId="336D1B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3.有下列情形之一的，视为供应商串通，其响应无效：</w:t>
      </w:r>
    </w:p>
    <w:p w14:paraId="0701232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（1）不同供应商的响应文件由同一单位或者个人编制；</w:t>
      </w:r>
    </w:p>
    <w:p w14:paraId="33341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（2）不同供应商委托同一单位或者个人办理磋商事宜；</w:t>
      </w:r>
    </w:p>
    <w:p w14:paraId="73B9E3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（3）不同供应商的响应文件载明的项目管理成员或者联系人员为同一人；</w:t>
      </w:r>
    </w:p>
    <w:p w14:paraId="1F740B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（4）不同供应商的响应文件异常一致或者最后报价呈规律性差异；</w:t>
      </w:r>
    </w:p>
    <w:p w14:paraId="7EF5A9F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（5）不同供应商的响应文件相互混装。</w:t>
      </w:r>
    </w:p>
    <w:p w14:paraId="28C8268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4.参与同一个采购包（标项）的供应商存在下列情形之一且无法合理解释的，其响应文件无效：</w:t>
      </w:r>
    </w:p>
    <w:p w14:paraId="242B6F1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（1）不同供应商的电子响应文件上传计算机的网卡MAC地址或硬盘序列号等硬件信息相同的；</w:t>
      </w:r>
    </w:p>
    <w:p w14:paraId="5C95BC3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（2）上传的电子响应文件若出现使用本项目其他响应供应商的数字证书加密的，或者加盖本项目其他响应供应商的电子印章的；</w:t>
      </w:r>
    </w:p>
    <w:p w14:paraId="6B859B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（3）不同供应商的响应文件的内容存在3处（含）以上错误一致的；</w:t>
      </w:r>
    </w:p>
    <w:p w14:paraId="2B0C9BB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2E52662A">
      <w:pPr>
        <w:pStyle w:val="3"/>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kern w:val="0"/>
          <w:sz w:val="21"/>
          <w:szCs w:val="20"/>
          <w:highlight w:val="none"/>
          <w:u w:val="single"/>
          <w:lang w:val="en-US" w:eastAsia="zh-CN" w:bidi="ar-SA"/>
        </w:rPr>
        <w:t>30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eastAsia="宋体" w:cs="宋体"/>
          <w:color w:val="auto"/>
          <w:kern w:val="0"/>
          <w:sz w:val="21"/>
          <w:szCs w:val="20"/>
          <w:highlight w:val="none"/>
          <w:u w:val="single"/>
          <w:lang w:val="en-US" w:eastAsia="zh-CN" w:bidi="ar-SA"/>
        </w:rPr>
        <w:t>70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每个单项合同工程竣工验收完成，交清监理资料(包括影像资料及纸质资料)后凭发票一次性付清。</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末（月\季度\半年\年），合同生效、具备使用条件并经甲方验收合格并收到发票后 10个工作日内，甲方向乙方支付本期款项。</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3C84CF0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响应文件格式</w:t>
      </w:r>
    </w:p>
    <w:p w14:paraId="2F44F0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1E8176C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响应文件组成</w:t>
      </w:r>
    </w:p>
    <w:p w14:paraId="0F2FEC4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A75A91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评分索引表</w:t>
      </w:r>
    </w:p>
    <w:p w14:paraId="7AB3AB3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B0012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002B1D7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（一）符合参加采购活动应当具备的一般条件的承诺函</w:t>
      </w:r>
    </w:p>
    <w:p w14:paraId="2EE7C13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55B592B9">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（三）落实采购政策需满足的资格要求：《中小企业声明函》</w:t>
      </w:r>
    </w:p>
    <w:p w14:paraId="08619C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（四）本项目的特定资格要求：根据采购邀请“申请人的资格要求”提供。</w:t>
      </w:r>
    </w:p>
    <w:p w14:paraId="2F68D2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1DF96C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（一）响应函</w:t>
      </w:r>
    </w:p>
    <w:p w14:paraId="051937E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5CCA8AA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（三）响应标的清单</w:t>
      </w:r>
    </w:p>
    <w:p w14:paraId="5CBD878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（四）响应偏离表</w:t>
      </w:r>
    </w:p>
    <w:p w14:paraId="53CCFF6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（五）评审标准相应的商务和技术资料</w:t>
      </w:r>
    </w:p>
    <w:p w14:paraId="2D42B58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4D5AF6A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（一）初次报价一览表</w:t>
      </w:r>
    </w:p>
    <w:p w14:paraId="6B32781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（如有）报价情况说明</w:t>
      </w:r>
    </w:p>
    <w:p w14:paraId="1DBA4E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响应文件格式</w:t>
      </w:r>
    </w:p>
    <w:p w14:paraId="449749EF">
      <w:pPr>
        <w:pStyle w:val="5"/>
        <w:keepNext w:val="0"/>
        <w:keepLines w:val="0"/>
        <w:widowControl/>
        <w:suppressLineNumbers w:val="0"/>
        <w:spacing w:before="0" w:beforeAutospacing="1" w:after="0" w:afterAutospacing="1" w:line="288"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响应文件格式</w:t>
      </w:r>
    </w:p>
    <w:p w14:paraId="082F162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414C7A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C5FDE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1、供应商应按照采购文件规定</w:t>
      </w:r>
      <w:r>
        <w:rPr>
          <w:rFonts w:hint="eastAsia" w:ascii="宋体" w:hAnsi="宋体" w:eastAsia="宋体" w:cs="宋体"/>
          <w:color w:val="auto"/>
          <w:kern w:val="0"/>
          <w:sz w:val="21"/>
          <w:szCs w:val="21"/>
          <w:highlight w:val="none"/>
          <w:lang w:val="en-US" w:eastAsia="zh-CN" w:bidi="ar"/>
        </w:rPr>
        <w:t>的编制要求编制响应文件；</w:t>
      </w:r>
    </w:p>
    <w:p w14:paraId="255646E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2、响应文件编制应与响应情况、评审标准相对应，提供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4A04E416">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A1AEEC2">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0B33D6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3AC4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89B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0D48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0F891">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24865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评审标准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D7FB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FF2DC">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1B87CB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ECF8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48F4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F190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7E6C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00C5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46D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860C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CCF96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24924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5C6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09D0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2F77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98A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FEE5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E6F9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5EC249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B84EA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D3E1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DF7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141A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8F79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AA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3B89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946C8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BB93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D8EC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77F2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05FC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D5F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F786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FA2C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35EAE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77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B0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551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C535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AE613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B790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C7C71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22EA89B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CD1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0D08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5FD5A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C045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1F2B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92E6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8945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1AD21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AEE4B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7DE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7DAF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232F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FC7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6F8F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8BC3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737F6C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2A16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82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C39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ED0A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AE3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6C6E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7775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19A1C2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952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28C7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5AC2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2F66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E763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E76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B8B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0ACDAE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46F5A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1DA27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6AA1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FD241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10E3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1EA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3C3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48B5DA4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233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8620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5762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A04C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898A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B61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61B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bl>
    <w:p w14:paraId="4F72E0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备注：本表仅为方便评审使用，不作为判别响应文件是否有效的依据。</w:t>
      </w:r>
    </w:p>
    <w:p w14:paraId="28691D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482BCE8E">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1F0596B0">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7FA516C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（一）符合参加采购活动应当具备的一般条件的承诺函</w:t>
      </w:r>
    </w:p>
    <w:p w14:paraId="6CC8F91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1B4D44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0BBCFB0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维修改造项目年度施工监理定点服务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QSZBB260375FFCS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10D5078F">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3E60A11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7B4538C1">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3A2A589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1429675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0C1306B6">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5EE44533">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621CCA3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3F2127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433BA66E">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5603658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563E36C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6187E57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B6BF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959F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98F258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57725C62">
      <w:pPr>
        <w:keepNext w:val="0"/>
        <w:keepLines w:val="0"/>
        <w:widowControl/>
        <w:suppressLineNumbers w:val="0"/>
        <w:autoSpaceDE w:val="0"/>
        <w:autoSpaceDN/>
        <w:spacing w:line="288" w:lineRule="auto"/>
        <w:ind w:left="0" w:firstLine="396"/>
        <w:jc w:val="both"/>
        <w:rPr>
          <w:rFonts w:hint="eastAsia" w:ascii="宋体" w:hAnsi="宋体" w:eastAsia="宋体" w:cs="宋体"/>
          <w:color w:val="auto"/>
          <w:sz w:val="21"/>
          <w:szCs w:val="21"/>
          <w:highlight w:val="none"/>
        </w:rPr>
      </w:pPr>
    </w:p>
    <w:p w14:paraId="309DF44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200AC6C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523AB2A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BBFF50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2E977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59B6F0A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5998E8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32C204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3E327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根据响应邀请“申请人的资格要求”提供。</w:t>
      </w:r>
    </w:p>
    <w:p w14:paraId="15E912C7">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75E941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B18C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（一）响应函</w:t>
      </w:r>
    </w:p>
    <w:p w14:paraId="7CF1780D">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2ADA2D6F">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6FD7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维修改造项目年度施工监理定点服务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QSZBB260375FFCS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采购的有关活动，并对此项目进行响应。为此：</w:t>
      </w:r>
    </w:p>
    <w:p w14:paraId="0B8DF6B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（一）我方的响应文件包括资格文件、商务和技术文件、报价文件。</w:t>
      </w:r>
    </w:p>
    <w:p w14:paraId="1D213B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（二）我方承诺响应有效期从响应截止日起</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天（不少于90天），本响应文件在响应有效期满之前均具有约束力。</w:t>
      </w:r>
    </w:p>
    <w:p w14:paraId="6930506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（三）我方承诺除响应偏离表列出的偏离外，我方响应采购文件的全部要求。对响应文件中材料的真实性、合法性负责。</w:t>
      </w:r>
    </w:p>
    <w:p w14:paraId="16FAF12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（四）如我方成交，我方承诺：</w:t>
      </w:r>
    </w:p>
    <w:p w14:paraId="71AEFB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1、在收到成交通知书后，在成交通知书规定的期限内与你方签订合同；</w:t>
      </w:r>
    </w:p>
    <w:p w14:paraId="7854067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7914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3、按照采购文件要求交纳采购代理服务费等应付费用；</w:t>
      </w:r>
    </w:p>
    <w:p w14:paraId="25A4654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4、按照采购文件要求提交履约保证金；</w:t>
      </w:r>
    </w:p>
    <w:p w14:paraId="7FE1276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6CDE13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1592D6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             。</w:t>
      </w:r>
    </w:p>
    <w:p w14:paraId="0B9DA06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2400AF7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E29BF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9D8E0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7A25D1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CA4B8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8B5744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7C8184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DC65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75BAF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4C3028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B08E6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0433E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1D4F6B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2FD66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5593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0B0D9DA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132DA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601432D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19CDE5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DA512F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437176F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522252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7A24D28">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7F3EB2B3">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0266F8B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维修改造项目年度施工监理定点服务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QSZBB260375FFCS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采购响应有关的一切事项，其法律后果由我方承担。</w:t>
      </w:r>
    </w:p>
    <w:p w14:paraId="6D8DB7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2A7A263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1928BE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CBEC8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196782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696162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F75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0397A0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1、供应商委派不在本单位缴纳社保的人员作为授权代表的，应当在响应文件中，说明具体原因、授权代表缴纳社保的单位，并附列该授权代表缴纳社保清单。</w:t>
      </w:r>
    </w:p>
    <w:p w14:paraId="0CA90D4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ABDC220">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1B8650C">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本人参加响应</w:t>
      </w:r>
      <w:r>
        <w:rPr>
          <w:rFonts w:hint="eastAsia" w:ascii="宋体" w:hAnsi="宋体" w:eastAsia="宋体" w:cs="宋体"/>
          <w:color w:val="auto"/>
          <w:kern w:val="0"/>
          <w:sz w:val="21"/>
          <w:szCs w:val="21"/>
          <w:highlight w:val="none"/>
          <w:u w:val="single"/>
          <w:lang w:val="en-US" w:eastAsia="zh-CN" w:bidi="ar"/>
        </w:rPr>
        <w:t>）</w:t>
      </w:r>
    </w:p>
    <w:p w14:paraId="2A0ACC0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23841A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D13DF2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D1E78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31102E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628F7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261EC0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响应人须知】要求提供相关身份证明材料；</w:t>
      </w:r>
    </w:p>
    <w:p w14:paraId="174188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2.相关说明（如有）。</w:t>
      </w:r>
    </w:p>
    <w:p w14:paraId="19CC87E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（三）响应标的清单</w:t>
      </w:r>
    </w:p>
    <w:p w14:paraId="014ACBC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404D79E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维修改造项目年度施工监理定点服务</w:t>
      </w:r>
    </w:p>
    <w:p w14:paraId="17C9C7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QSZBB260375FFCS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54FE81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D46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AFB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15A5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34180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39F2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AF7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FEF4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9AB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357E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4B2417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910A1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2BB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D33F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9AE7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73CF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62F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AE2D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3195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6AC663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1965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A17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E339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9CA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1A7B5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693A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F725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0BEA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r w14:paraId="3C4707F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B7EF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3F50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48FC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34A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2812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2371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96A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83D8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r>
    </w:tbl>
    <w:p w14:paraId="0487B82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66D7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1DB981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70F5BBF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9763F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2883F1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2C1436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6B33990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548FCC5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（四）响应偏离表</w:t>
      </w:r>
    </w:p>
    <w:p w14:paraId="26682E4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维修改造项目年度施工监理定点服务</w:t>
      </w:r>
    </w:p>
    <w:p w14:paraId="2F9EFF7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QSZBB260375FFCS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522A5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EDBD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539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采购文件要求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581F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响应情况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782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AA2A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3A10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B72F33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DCB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2D53076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47E1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92D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DC980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7628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AF4D65">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6D7741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3346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A3173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BF08E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06682">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17144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246817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BFB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D4221B">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46C53">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C8D34">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15BEFF">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eastAsia" w:ascii="宋体" w:hAnsi="宋体" w:eastAsia="宋体" w:cs="宋体"/>
                <w:color w:val="auto"/>
                <w:sz w:val="21"/>
                <w:szCs w:val="21"/>
                <w:highlight w:val="none"/>
              </w:rPr>
            </w:pPr>
          </w:p>
        </w:tc>
      </w:tr>
      <w:tr w14:paraId="6F2343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7DB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服务</w:t>
            </w:r>
            <w:r>
              <w:rPr>
                <w:rFonts w:hint="eastAsia" w:ascii="宋体" w:hAnsi="宋体" w:eastAsia="宋体" w:cs="宋体"/>
                <w:b/>
                <w:bCs/>
                <w:color w:val="auto"/>
                <w:kern w:val="0"/>
                <w:sz w:val="21"/>
                <w:szCs w:val="21"/>
                <w:highlight w:val="none"/>
                <w:lang w:val="en-US" w:eastAsia="zh-CN" w:bidi="ar"/>
              </w:rPr>
              <w:t>要求</w:t>
            </w:r>
          </w:p>
        </w:tc>
      </w:tr>
      <w:tr w14:paraId="184EE7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0B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0D0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E588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368D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516D4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4A853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56EF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FED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A4B2E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8EB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686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r w14:paraId="5418FB5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F91CF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6228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C27A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A091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6572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ind w:left="0" w:firstLine="0"/>
              <w:jc w:val="left"/>
              <w:rPr>
                <w:rFonts w:hint="eastAsia" w:ascii="宋体" w:hAnsi="宋体" w:eastAsia="宋体" w:cs="宋体"/>
                <w:color w:val="auto"/>
                <w:sz w:val="21"/>
                <w:szCs w:val="21"/>
                <w:highlight w:val="none"/>
              </w:rPr>
            </w:pPr>
          </w:p>
        </w:tc>
      </w:tr>
    </w:tbl>
    <w:p w14:paraId="373C0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FC73A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B2A483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338AED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004E7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560EC8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1.供应商对采购文件要求有不同的响应的，应在响应偏离表中列明；</w:t>
      </w:r>
    </w:p>
    <w:p w14:paraId="727FB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或与其一致）。说明是指对采购文件要求存在不同之处的解释说明。</w:t>
      </w:r>
    </w:p>
    <w:p w14:paraId="58E774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3.如供应商提供的“响应偏离表”响应情况与产品技术支持材料、响应样品（如有）不一致，且无法合理解释的，视为与事实不符。</w:t>
      </w:r>
    </w:p>
    <w:p w14:paraId="181AB1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（五）评审标准相应的商务和技术资料</w:t>
      </w:r>
    </w:p>
    <w:p w14:paraId="040D90AB">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4A8FB6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4EE8313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按采购文件【第四章  评审方法和评审标准】及评审因素相应的内容，逐项提供商务和技术资料。</w:t>
      </w:r>
    </w:p>
    <w:p w14:paraId="463299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2、评审</w:t>
      </w:r>
      <w:r>
        <w:rPr>
          <w:rFonts w:hint="eastAsia" w:ascii="宋体" w:hAnsi="宋体" w:cs="宋体"/>
          <w:color w:val="auto"/>
          <w:kern w:val="0"/>
          <w:sz w:val="21"/>
          <w:szCs w:val="21"/>
          <w:highlight w:val="none"/>
          <w:lang w:val="en-US" w:eastAsia="zh-CN" w:bidi="ar"/>
        </w:rPr>
        <w:t>小组</w:t>
      </w:r>
      <w:r>
        <w:rPr>
          <w:rFonts w:hint="eastAsia" w:ascii="宋体" w:hAnsi="宋体" w:eastAsia="宋体" w:cs="宋体"/>
          <w:color w:val="auto"/>
          <w:kern w:val="0"/>
          <w:sz w:val="21"/>
          <w:szCs w:val="21"/>
          <w:highlight w:val="none"/>
          <w:lang w:val="en-US" w:eastAsia="zh-CN" w:bidi="ar"/>
        </w:rPr>
        <w:t>依据供应商在响应文件中提供的商务和技术资料进行商务和技术评分。</w:t>
      </w:r>
    </w:p>
    <w:p w14:paraId="206C989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5672F6E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05633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（一）初次报价一览表</w:t>
      </w:r>
    </w:p>
    <w:p w14:paraId="6096A8A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5CC8C41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维修改造项目年度施工监理定点服务</w:t>
      </w:r>
    </w:p>
    <w:p w14:paraId="3383DAC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QSZBB260375FFCS</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896"/>
      </w:tblGrid>
      <w:tr w14:paraId="1F5CC15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CADC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响应报价</w:t>
            </w:r>
            <w:r>
              <w:rPr>
                <w:rFonts w:hint="eastAsia" w:ascii="宋体" w:hAnsi="宋体" w:eastAsia="宋体" w:cs="宋体"/>
                <w:i w:val="0"/>
                <w:iCs w:val="0"/>
                <w:color w:val="auto"/>
                <w:kern w:val="0"/>
                <w:sz w:val="21"/>
                <w:szCs w:val="21"/>
                <w:highlight w:val="none"/>
                <w:lang w:val="en-US" w:eastAsia="zh-CN" w:bidi="ar"/>
              </w:rPr>
              <w:t>（计价单位：%）</w:t>
            </w:r>
          </w:p>
        </w:tc>
      </w:tr>
      <w:tr w14:paraId="541FD0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1655" w:hRule="atLeast"/>
        </w:trPr>
        <w:tc>
          <w:tcPr>
            <w:tcW w:w="989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1F4A4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小写：</w:t>
            </w:r>
            <w:r>
              <w:rPr>
                <w:rFonts w:hint="eastAsia" w:ascii="宋体" w:hAnsi="宋体" w:eastAsia="宋体" w:cs="宋体"/>
                <w:b/>
                <w:bCs/>
                <w:i w:val="0"/>
                <w:iCs w:val="0"/>
                <w:color w:val="auto"/>
                <w:kern w:val="0"/>
                <w:sz w:val="21"/>
                <w:szCs w:val="21"/>
                <w:highlight w:val="none"/>
                <w:u w:val="none"/>
                <w:lang w:val="en-US" w:eastAsia="zh-CN" w:bidi="ar"/>
              </w:rPr>
              <w:t>________________</w:t>
            </w:r>
          </w:p>
          <w:p w14:paraId="437427E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0B0668D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04258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5A3C4FA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76C58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73B5D35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1.供应商应按采购文件规定的要求填写；</w:t>
      </w:r>
    </w:p>
    <w:p w14:paraId="01DF224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2.“制造商”按单个标的整体的生产企业确定，与组成标的部件或材料制造商无关。</w:t>
      </w:r>
    </w:p>
    <w:p w14:paraId="4B39A19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8648EA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CDCA53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BF9FE9E">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▲供应商报价低于采购项目最高限价45%的，即响应报价&lt;采购项目最高限价×45%，提供书面说明及必要的证明材料，对响应价格作出解释。书面说明、证明材料主要是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E1779F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2"/>
          <w:sz w:val="21"/>
          <w:szCs w:val="21"/>
          <w:highlight w:val="none"/>
        </w:rPr>
        <w:br w:type="page"/>
      </w:r>
      <w:r>
        <w:rPr>
          <w:rFonts w:hint="eastAsia" w:ascii="宋体" w:hAnsi="宋体" w:eastAsia="宋体" w:cs="宋体"/>
          <w:color w:val="auto"/>
          <w:sz w:val="28"/>
          <w:szCs w:val="28"/>
          <w:highlight w:val="none"/>
        </w:rPr>
        <w:t>附件1：中小企业声明函</w:t>
      </w:r>
    </w:p>
    <w:p w14:paraId="7138B07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服务</w:t>
      </w:r>
      <w:r>
        <w:rPr>
          <w:rFonts w:hint="eastAsia" w:ascii="宋体" w:hAnsi="宋体" w:eastAsia="宋体" w:cs="宋体"/>
          <w:b/>
          <w:bCs/>
          <w:color w:val="auto"/>
          <w:spacing w:val="-6"/>
          <w:kern w:val="0"/>
          <w:sz w:val="21"/>
          <w:szCs w:val="21"/>
          <w:highlight w:val="none"/>
          <w:lang w:val="en-US" w:eastAsia="zh-CN" w:bidi="ar"/>
        </w:rPr>
        <w:t>）</w:t>
      </w:r>
    </w:p>
    <w:p w14:paraId="5387D5C2">
      <w:pPr>
        <w:keepNext w:val="0"/>
        <w:keepLines w:val="0"/>
        <w:widowControl/>
        <w:suppressLineNumbers w:val="0"/>
        <w:spacing w:line="288" w:lineRule="auto"/>
        <w:jc w:val="center"/>
        <w:rPr>
          <w:rFonts w:hint="eastAsia" w:ascii="宋体" w:hAnsi="宋体" w:eastAsia="宋体" w:cs="宋体"/>
          <w:b/>
          <w:bCs/>
          <w:color w:val="auto"/>
          <w:spacing w:val="-6"/>
          <w:sz w:val="21"/>
          <w:szCs w:val="21"/>
          <w:highlight w:val="none"/>
          <w:lang w:val="en-US" w:eastAsia="zh-CN"/>
        </w:rPr>
      </w:pPr>
    </w:p>
    <w:p w14:paraId="327CC93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eastAsia="宋体" w:cs="宋体"/>
          <w:i w:val="0"/>
          <w:iCs w:val="0"/>
          <w:color w:val="auto"/>
          <w:kern w:val="0"/>
          <w:sz w:val="21"/>
          <w:szCs w:val="21"/>
          <w:highlight w:val="none"/>
          <w:u w:val="single"/>
          <w:lang w:val="en-US" w:eastAsia="zh-CN" w:bidi="ar"/>
        </w:rPr>
        <w:t>维修改造项目年度施工监理定点服务</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服务全部由符合政策要求的中小企业承接。</w:t>
      </w:r>
    </w:p>
    <w:p w14:paraId="103BE66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402"/>
        <w:gridCol w:w="1240"/>
        <w:gridCol w:w="2101"/>
        <w:gridCol w:w="1171"/>
        <w:gridCol w:w="1160"/>
        <w:gridCol w:w="1160"/>
        <w:gridCol w:w="1150"/>
      </w:tblGrid>
      <w:tr w14:paraId="2464C1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E1F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4D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63B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F7AD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承接企业</w:t>
            </w:r>
          </w:p>
        </w:tc>
        <w:tc>
          <w:tcPr>
            <w:tcW w:w="11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72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3EC479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DA0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6F281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328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4B22E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5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637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1E2CEAE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C63A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CD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维修改造项目年度施工监理定点服务</w:t>
            </w:r>
          </w:p>
        </w:tc>
        <w:tc>
          <w:tcPr>
            <w:tcW w:w="12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DD2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其他未列明行业</w:t>
            </w:r>
          </w:p>
        </w:tc>
        <w:tc>
          <w:tcPr>
            <w:tcW w:w="21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37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7AD4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203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149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5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DFF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r>
    </w:tbl>
    <w:p w14:paraId="38CD8FE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0B40B43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53101D2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144B9F54">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1D0155F5">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6258A47">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85600F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2768AC4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6F5FF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5F12D21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3.承接企业：服务由中小企业承接，即提供服务的人员为中小企业依照《中华人民共和国劳动合同法》订立劳动合同的从业人员；</w:t>
      </w:r>
    </w:p>
    <w:p w14:paraId="44C745D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0BF5257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5.企业类型（包括新成立企业），按照《中小企业划型标准规定》（工信部联企业〔2011〕300号）规定和【采购需求】中明确的标的“所属行业”，选择“中型、小型、微型”其中之一。</w:t>
      </w:r>
    </w:p>
    <w:p w14:paraId="11B1E9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firstLine="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b/>
          <w:bCs/>
          <w:color w:val="auto"/>
          <w:kern w:val="0"/>
          <w:sz w:val="28"/>
          <w:szCs w:val="28"/>
          <w:highlight w:val="none"/>
          <w:lang w:val="en-US" w:eastAsia="zh-CN" w:bidi="ar"/>
        </w:rPr>
        <w:t>附件2：属于监狱企业的证明文件</w:t>
      </w:r>
    </w:p>
    <w:p w14:paraId="10F96D9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5E2819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08B7CF8C">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7BB18BB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9B7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69DE56A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6073F9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558C4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firstLine="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b/>
          <w:bCs/>
          <w:color w:val="auto"/>
          <w:kern w:val="0"/>
          <w:sz w:val="28"/>
          <w:szCs w:val="28"/>
          <w:highlight w:val="none"/>
          <w:lang w:val="en-US" w:eastAsia="zh-CN" w:bidi="ar"/>
        </w:rPr>
        <w:t>附件3：残疾人福利性单位声明函</w:t>
      </w:r>
    </w:p>
    <w:p w14:paraId="6F70E264">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711FE1B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2DA42C87">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，且本单位参加（采购人）单位的（项目名称）项目采购活动提供本单位服务。</w:t>
      </w:r>
    </w:p>
    <w:p w14:paraId="2F20B8DD">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0D1D3BBD">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20F07D0C">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35029B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F41A5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514C2B6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3A13294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2B08255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326899AB">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6C17B16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0164B84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6909159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896E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07FF8D3">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473D44C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4DBEB67D">
      <w:pPr>
        <w:keepNext w:val="0"/>
        <w:keepLines w:val="0"/>
        <w:pageBreakBefore w:val="0"/>
        <w:widowControl/>
        <w:suppressLineNumbers w:val="0"/>
        <w:kinsoku/>
        <w:wordWrap/>
        <w:overflowPunct/>
        <w:topLinePunct w:val="0"/>
        <w:autoSpaceDE/>
        <w:bidi w:val="0"/>
        <w:adjustRightInd/>
        <w:snapToGrid/>
        <w:spacing w:before="0" w:beforeAutospacing="0" w:after="0" w:afterAutospacing="0" w:line="288" w:lineRule="auto"/>
        <w:ind w:left="0" w:firstLine="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b/>
          <w:bCs/>
          <w:color w:val="auto"/>
          <w:kern w:val="0"/>
          <w:sz w:val="28"/>
          <w:szCs w:val="28"/>
          <w:highlight w:val="none"/>
          <w:lang w:val="en-US" w:eastAsia="zh-CN" w:bidi="ar"/>
        </w:rPr>
        <w:t>附件4：业务专用章使用说明函</w:t>
      </w:r>
    </w:p>
    <w:p w14:paraId="4F8BE006">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305956BC">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2D338541">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4972961">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eastAsia="宋体" w:cs="宋体"/>
          <w:i w:val="0"/>
          <w:iCs w:val="0"/>
          <w:color w:val="auto"/>
          <w:kern w:val="0"/>
          <w:sz w:val="21"/>
          <w:szCs w:val="21"/>
          <w:highlight w:val="none"/>
          <w:u w:val="single"/>
          <w:lang w:val="en-US" w:eastAsia="zh-CN" w:bidi="ar"/>
        </w:rPr>
        <w:t>维修改造项目年度施工监理定点服务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eastAsia="宋体" w:cs="宋体"/>
          <w:i w:val="0"/>
          <w:iCs w:val="0"/>
          <w:color w:val="auto"/>
          <w:kern w:val="0"/>
          <w:sz w:val="21"/>
          <w:szCs w:val="21"/>
          <w:highlight w:val="none"/>
          <w:u w:val="single"/>
          <w:lang w:val="en-US" w:eastAsia="zh-CN" w:bidi="ar"/>
        </w:rPr>
        <w:t>330000263030150000762-</w:t>
      </w:r>
      <w:r>
        <w:rPr>
          <w:rFonts w:hint="eastAsia" w:ascii="宋体" w:hAnsi="宋体" w:cs="宋体"/>
          <w:i w:val="0"/>
          <w:iCs w:val="0"/>
          <w:color w:val="auto"/>
          <w:kern w:val="0"/>
          <w:sz w:val="21"/>
          <w:szCs w:val="21"/>
          <w:highlight w:val="none"/>
          <w:u w:val="single"/>
          <w:lang w:val="en-US" w:eastAsia="zh-CN" w:bidi="ar"/>
        </w:rPr>
        <w:t>QSZBB260375FFCS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7F43F0A">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47B1F8EC">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6229EAC7">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746B143B">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FA7501A">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46847F3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0BA6544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58C21AA">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40B802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5954C2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49BC5D7">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3B524DA">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3118C36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62F26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firstLine="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b/>
          <w:bCs/>
          <w:color w:val="auto"/>
          <w:kern w:val="0"/>
          <w:sz w:val="28"/>
          <w:szCs w:val="28"/>
          <w:highlight w:val="none"/>
          <w:lang w:val="en-US" w:eastAsia="zh-CN" w:bidi="ar"/>
        </w:rPr>
        <w:t>附件5：质疑函范本及制作说明</w:t>
      </w:r>
    </w:p>
    <w:p w14:paraId="42388E4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3FAB566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496052A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187B281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2372C86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5362EAF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23952A6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5AA4CBF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1D8A371">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0859105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0A462A0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33A32F3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3078E9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1BA38A95">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C3F9DC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28E8C32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986A09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10F7398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0AFD3E9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3DCC63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096F82A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AC713FF">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548C8D5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03F4BFF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97CC00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0A38289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4CF809F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0A0D66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10C790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5BDA42B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CF5CC1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7B6B070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5A350D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5F70D9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4238CC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9"/>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FE43F7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56F88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548E04B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EC1B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5960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30A7DEF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A80B9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5573C52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30E9213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5916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54DF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9127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7187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ED18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F2A519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195B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0E7C6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308A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69EB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6B3B5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3712D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7391F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F7ED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569A41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0B5105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644B86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6A108B7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2B494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118D099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p w14:paraId="199BA7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2B8AF74A">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pgSz w:w="12240" w:h="15840"/>
      <w:pgMar w:top="1247" w:right="1247" w:bottom="1247" w:left="1247" w:header="0" w:footer="692"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5EC39">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232B7C">
                          <w:pPr>
                            <w:pStyle w:val="7"/>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49232B7C">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EEBC">
    <w:pPr>
      <w:pStyle w:val="8"/>
    </w:pPr>
    <w:r>
      <w:rPr>
        <w:rFonts w:hint="eastAsia" w:eastAsia="宋体"/>
        <w:lang w:eastAsia="zh-CN"/>
      </w:rPr>
      <w:drawing>
        <wp:inline distT="0" distB="0" distL="114300" distR="114300">
          <wp:extent cx="619252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619252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hdrShapeDefaults>
    <o:shapelayout v:ext="edit">
      <o:idmap v:ext="edit" data="3,4"/>
    </o:shapelayout>
  </w:hdrShapeDefault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4E00A7"/>
    <w:rsid w:val="0BCC40CC"/>
    <w:rsid w:val="0C1612E3"/>
    <w:rsid w:val="0D7B1FF8"/>
    <w:rsid w:val="10AA73F0"/>
    <w:rsid w:val="119169D7"/>
    <w:rsid w:val="11941BEF"/>
    <w:rsid w:val="122B3C9E"/>
    <w:rsid w:val="12D21EA0"/>
    <w:rsid w:val="1450316D"/>
    <w:rsid w:val="173A0638"/>
    <w:rsid w:val="1998697F"/>
    <w:rsid w:val="1F1C3BAF"/>
    <w:rsid w:val="20825C93"/>
    <w:rsid w:val="23A21C5C"/>
    <w:rsid w:val="243F0B22"/>
    <w:rsid w:val="24D45053"/>
    <w:rsid w:val="250C5C83"/>
    <w:rsid w:val="26B70DF8"/>
    <w:rsid w:val="29A84506"/>
    <w:rsid w:val="2A0A17FE"/>
    <w:rsid w:val="2BFA7812"/>
    <w:rsid w:val="2D3E70F9"/>
    <w:rsid w:val="2DA9350F"/>
    <w:rsid w:val="2DC376C0"/>
    <w:rsid w:val="2DE30AE0"/>
    <w:rsid w:val="2DF81E90"/>
    <w:rsid w:val="2EEB2B34"/>
    <w:rsid w:val="31BC7BC8"/>
    <w:rsid w:val="31C12394"/>
    <w:rsid w:val="343921CA"/>
    <w:rsid w:val="34AC4FAC"/>
    <w:rsid w:val="36FD6BCD"/>
    <w:rsid w:val="370D6478"/>
    <w:rsid w:val="3A2F1436"/>
    <w:rsid w:val="3CB23658"/>
    <w:rsid w:val="3DDF199F"/>
    <w:rsid w:val="3EFF1FC4"/>
    <w:rsid w:val="41183448"/>
    <w:rsid w:val="462F0118"/>
    <w:rsid w:val="464E4E14"/>
    <w:rsid w:val="50470343"/>
    <w:rsid w:val="51C0416F"/>
    <w:rsid w:val="535968C7"/>
    <w:rsid w:val="559B2D78"/>
    <w:rsid w:val="56DC2169"/>
    <w:rsid w:val="583E28C1"/>
    <w:rsid w:val="5BC8309E"/>
    <w:rsid w:val="5C9522CF"/>
    <w:rsid w:val="5EDE1386"/>
    <w:rsid w:val="601F1FA6"/>
    <w:rsid w:val="60657DF7"/>
    <w:rsid w:val="642252AC"/>
    <w:rsid w:val="643818CD"/>
    <w:rsid w:val="64F703F4"/>
    <w:rsid w:val="679E0363"/>
    <w:rsid w:val="67C1270F"/>
    <w:rsid w:val="70E02E85"/>
    <w:rsid w:val="730A01DC"/>
    <w:rsid w:val="78C71F36"/>
    <w:rsid w:val="7AA7568D"/>
    <w:rsid w:val="7B6D3955"/>
    <w:rsid w:val="7C003085"/>
    <w:rsid w:val="7E2E33C0"/>
    <w:rsid w:val="7E60679E"/>
    <w:rsid w:val="7F1A2E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next w:val="1"/>
    <w:qFormat/>
    <w:uiPriority w:val="0"/>
    <w:pPr>
      <w:widowControl w:val="0"/>
      <w:spacing w:line="200" w:lineRule="atLeast"/>
      <w:ind w:firstLine="420" w:firstLineChars="200"/>
      <w:jc w:val="both"/>
    </w:pPr>
    <w:rPr>
      <w:rFonts w:ascii="宋体" w:hAnsi="Courier New" w:eastAsia="宋体" w:cs="Times New Roman"/>
      <w:spacing w:val="-4"/>
      <w:kern w:val="2"/>
      <w:sz w:val="18"/>
      <w:szCs w:val="20"/>
      <w:lang w:val="en-US" w:eastAsia="zh-CN" w:bidi="ar-SA"/>
    </w:rPr>
  </w:style>
  <w:style w:type="paragraph" w:styleId="6">
    <w:name w:val="Body Text Indent"/>
    <w:next w:val="1"/>
    <w:qFormat/>
    <w:uiPriority w:val="0"/>
    <w:pPr>
      <w:widowControl w:val="0"/>
      <w:spacing w:line="200" w:lineRule="atLeast"/>
      <w:ind w:firstLine="301"/>
      <w:jc w:val="both"/>
    </w:pPr>
    <w:rPr>
      <w:rFonts w:ascii="宋体" w:hAnsi="Courier New" w:eastAsia="宋体" w:cs="Times New Roman"/>
      <w:spacing w:val="-4"/>
      <w:kern w:val="2"/>
      <w:sz w:val="18"/>
      <w:szCs w:val="20"/>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表内文字"/>
    <w:qFormat/>
    <w:uiPriority w:val="0"/>
    <w:pPr>
      <w:widowControl w:val="0"/>
      <w:tabs>
        <w:tab w:val="left" w:pos="1418"/>
      </w:tabs>
      <w:spacing w:line="360" w:lineRule="auto"/>
      <w:jc w:val="center"/>
    </w:pPr>
    <w:rPr>
      <w:rFonts w:hint="eastAsia" w:ascii="仿宋_GB2312" w:hAnsi="Times New Roman" w:eastAsia="仿宋_GB2312" w:cs="宋体"/>
      <w:spacing w:val="-20"/>
      <w:kern w:val="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5050</Words>
  <Characters>5544</Characters>
  <TotalTime>8</TotalTime>
  <ScaleCrop>false</ScaleCrop>
  <LinksUpToDate>false</LinksUpToDate>
  <CharactersWithSpaces>5567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2026-01-28T04:55:00Z</dcterms:created>
  <dc:creator>yubin</dc:creator>
  <cp:lastModifiedBy>俞炳</cp:lastModifiedBy>
  <dcterms:modified xsi:type="dcterms:W3CDTF">2026-09-17T07:17:09Z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2052-12.1.0.28505</vt:lpwstr>
  </property>
  <property fmtid="{D5CDD505-2E9C-101B-9397-08002B2CF9AE}" pid="4" name="ICV">
    <vt:lpwstr>08DF9CAA06384E7F8EA0C9E8A8C7691E_13</vt:lpwstr>
  </property>
</Properties>
</file>