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5EA2292">
      <w:pPr>
        <w:pStyle w:val="145"/>
        <w:widowControl w:val="0"/>
        <w:snapToGrid w:val="0"/>
        <w:spacing w:line="470" w:lineRule="atLeast"/>
        <w:ind w:firstLine="0"/>
        <w:jc w:val="center"/>
        <w:rPr>
          <w:rFonts w:ascii="黑体" w:hAnsi="宋体" w:eastAsia="黑体"/>
          <w:b w:val="0"/>
          <w:color w:val="auto"/>
          <w:sz w:val="32"/>
        </w:rPr>
      </w:pPr>
    </w:p>
    <w:p w14:paraId="4DB8FB61">
      <w:pPr>
        <w:pStyle w:val="145"/>
        <w:widowControl w:val="0"/>
        <w:snapToGrid w:val="0"/>
        <w:spacing w:line="470" w:lineRule="atLeast"/>
        <w:ind w:firstLine="0"/>
        <w:jc w:val="center"/>
        <w:rPr>
          <w:rFonts w:ascii="黑体" w:hAnsi="宋体" w:eastAsia="黑体"/>
          <w:b w:val="0"/>
          <w:color w:val="auto"/>
          <w:sz w:val="32"/>
        </w:rPr>
      </w:pPr>
    </w:p>
    <w:p w14:paraId="7473C046">
      <w:pPr>
        <w:pStyle w:val="145"/>
        <w:widowControl w:val="0"/>
        <w:snapToGrid w:val="0"/>
        <w:spacing w:after="156" w:afterLines="50" w:line="470" w:lineRule="atLeast"/>
        <w:ind w:firstLine="0"/>
        <w:jc w:val="center"/>
        <w:outlineLvl w:val="0"/>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14:paraId="5CBECC0B">
      <w:pPr>
        <w:pStyle w:val="145"/>
        <w:widowControl w:val="0"/>
        <w:snapToGrid w:val="0"/>
        <w:spacing w:line="470" w:lineRule="atLeast"/>
        <w:ind w:firstLine="0"/>
        <w:jc w:val="center"/>
        <w:outlineLvl w:val="0"/>
        <w:rPr>
          <w:rFonts w:ascii="黑体" w:hAnsi="宋体" w:eastAsia="黑体"/>
          <w:b w:val="0"/>
          <w:color w:val="auto"/>
          <w:sz w:val="48"/>
          <w:szCs w:val="48"/>
        </w:rPr>
      </w:pPr>
      <w:r>
        <w:rPr>
          <w:rFonts w:hint="eastAsia" w:ascii="黑体" w:hAnsi="宋体" w:eastAsia="黑体"/>
          <w:b w:val="0"/>
          <w:color w:val="auto"/>
          <w:sz w:val="48"/>
          <w:szCs w:val="48"/>
        </w:rPr>
        <w:t>“一生一档”学生学籍档案数据服务平台开发服务项目</w:t>
      </w:r>
    </w:p>
    <w:p w14:paraId="09A36AC1">
      <w:pPr>
        <w:pStyle w:val="145"/>
        <w:widowControl w:val="0"/>
        <w:snapToGrid w:val="0"/>
        <w:spacing w:line="470" w:lineRule="atLeast"/>
        <w:ind w:firstLine="0"/>
        <w:jc w:val="center"/>
        <w:rPr>
          <w:rFonts w:ascii="黑体" w:eastAsia="黑体"/>
          <w:b w:val="0"/>
          <w:color w:val="auto"/>
          <w:sz w:val="36"/>
          <w:szCs w:val="36"/>
        </w:rPr>
      </w:pPr>
    </w:p>
    <w:p w14:paraId="3A2E2497">
      <w:pPr>
        <w:pStyle w:val="145"/>
        <w:widowControl w:val="0"/>
        <w:snapToGrid w:val="0"/>
        <w:spacing w:line="470" w:lineRule="atLeast"/>
        <w:ind w:firstLine="0"/>
        <w:jc w:val="center"/>
        <w:rPr>
          <w:rFonts w:ascii="黑体" w:eastAsia="黑体"/>
          <w:b w:val="0"/>
          <w:color w:val="auto"/>
          <w:sz w:val="36"/>
        </w:rPr>
      </w:pPr>
    </w:p>
    <w:p w14:paraId="4A9F918F">
      <w:pPr>
        <w:pStyle w:val="145"/>
        <w:widowControl w:val="0"/>
        <w:snapToGrid w:val="0"/>
        <w:spacing w:line="470" w:lineRule="atLeast"/>
        <w:ind w:firstLine="0"/>
        <w:jc w:val="center"/>
        <w:rPr>
          <w:rFonts w:ascii="黑体" w:eastAsia="黑体"/>
          <w:b w:val="0"/>
          <w:color w:val="auto"/>
          <w:sz w:val="36"/>
        </w:rPr>
      </w:pPr>
    </w:p>
    <w:p w14:paraId="1D420C22">
      <w:pPr>
        <w:pStyle w:val="145"/>
        <w:widowControl w:val="0"/>
        <w:snapToGrid w:val="0"/>
        <w:spacing w:line="470" w:lineRule="atLeast"/>
        <w:ind w:firstLine="0"/>
        <w:jc w:val="center"/>
        <w:outlineLvl w:val="0"/>
        <w:rPr>
          <w:rFonts w:ascii="楷体" w:hAnsi="楷体" w:eastAsia="楷体" w:cs="楷体"/>
          <w:b w:val="0"/>
          <w:color w:val="auto"/>
          <w:sz w:val="72"/>
        </w:rPr>
      </w:pPr>
      <w:r>
        <w:rPr>
          <w:rFonts w:hint="eastAsia" w:ascii="楷体" w:hAnsi="楷体" w:eastAsia="楷体" w:cs="楷体"/>
          <w:b w:val="0"/>
          <w:color w:val="auto"/>
          <w:sz w:val="72"/>
        </w:rPr>
        <w:t>竞争性磋商文件</w:t>
      </w:r>
    </w:p>
    <w:p w14:paraId="2F47FCB9">
      <w:pPr>
        <w:pStyle w:val="145"/>
        <w:widowControl w:val="0"/>
        <w:snapToGrid w:val="0"/>
        <w:spacing w:line="470" w:lineRule="atLeast"/>
        <w:ind w:firstLine="0"/>
        <w:jc w:val="center"/>
        <w:outlineLvl w:val="0"/>
        <w:rPr>
          <w:rFonts w:ascii="黑体" w:hAnsi="宋体" w:eastAsia="黑体"/>
          <w:b w:val="0"/>
          <w:color w:val="auto"/>
          <w:sz w:val="32"/>
        </w:rPr>
      </w:pPr>
      <w:r>
        <w:rPr>
          <w:rFonts w:hint="eastAsia" w:ascii="楷体" w:hAnsi="楷体" w:eastAsia="楷体" w:cs="楷体"/>
          <w:bCs/>
          <w:color w:val="auto"/>
          <w:sz w:val="36"/>
          <w:szCs w:val="36"/>
        </w:rPr>
        <w:t>（线上电子交易）</w:t>
      </w:r>
    </w:p>
    <w:p w14:paraId="1D51CB0F">
      <w:pPr>
        <w:pStyle w:val="145"/>
        <w:widowControl w:val="0"/>
        <w:snapToGrid w:val="0"/>
        <w:spacing w:line="360" w:lineRule="auto"/>
        <w:ind w:firstLine="2400" w:firstLineChars="750"/>
        <w:rPr>
          <w:rFonts w:ascii="黑体" w:hAnsi="宋体" w:eastAsia="黑体"/>
          <w:b w:val="0"/>
          <w:color w:val="auto"/>
          <w:sz w:val="32"/>
        </w:rPr>
      </w:pPr>
    </w:p>
    <w:p w14:paraId="2BF99905">
      <w:pPr>
        <w:pStyle w:val="145"/>
        <w:widowControl w:val="0"/>
        <w:snapToGrid w:val="0"/>
        <w:spacing w:line="360" w:lineRule="auto"/>
        <w:ind w:firstLine="2400" w:firstLineChars="750"/>
        <w:outlineLvl w:val="1"/>
        <w:rPr>
          <w:rFonts w:hint="default" w:ascii="黑体" w:hAnsi="宋体" w:eastAsia="黑体"/>
          <w:b w:val="0"/>
          <w:color w:val="auto"/>
          <w:sz w:val="32"/>
          <w:u w:val="single"/>
          <w:lang w:val="en-US" w:eastAsia="zh-CN"/>
        </w:rPr>
      </w:pPr>
      <w:r>
        <w:rPr>
          <w:rFonts w:hint="eastAsia" w:ascii="黑体" w:hAnsi="宋体" w:eastAsia="黑体"/>
          <w:b w:val="0"/>
          <w:color w:val="auto"/>
          <w:sz w:val="32"/>
        </w:rPr>
        <w:t>项目编号：202</w:t>
      </w:r>
      <w:r>
        <w:rPr>
          <w:rFonts w:hint="eastAsia" w:ascii="黑体" w:hAnsi="宋体" w:eastAsia="黑体"/>
          <w:b w:val="0"/>
          <w:color w:val="auto"/>
          <w:sz w:val="32"/>
          <w:lang w:val="en-US" w:eastAsia="zh-CN"/>
        </w:rPr>
        <w:t>6</w:t>
      </w:r>
      <w:r>
        <w:rPr>
          <w:rFonts w:hint="eastAsia" w:ascii="黑体" w:hAnsi="宋体" w:eastAsia="黑体"/>
          <w:b w:val="0"/>
          <w:color w:val="auto"/>
          <w:sz w:val="32"/>
        </w:rPr>
        <w:t>-JH-CS</w:t>
      </w:r>
      <w:r>
        <w:rPr>
          <w:rFonts w:hint="eastAsia" w:ascii="黑体" w:hAnsi="宋体" w:eastAsia="黑体"/>
          <w:b w:val="0"/>
          <w:color w:val="auto"/>
          <w:sz w:val="32"/>
          <w:lang w:val="en-US" w:eastAsia="zh-CN"/>
        </w:rPr>
        <w:t>14</w:t>
      </w:r>
    </w:p>
    <w:p w14:paraId="2037242D">
      <w:pPr>
        <w:pStyle w:val="145"/>
        <w:widowControl w:val="0"/>
        <w:snapToGrid w:val="0"/>
        <w:spacing w:line="470" w:lineRule="atLeast"/>
        <w:ind w:firstLine="0"/>
        <w:jc w:val="center"/>
        <w:rPr>
          <w:color w:val="auto"/>
        </w:rPr>
      </w:pPr>
    </w:p>
    <w:p w14:paraId="799ACBEE">
      <w:pPr>
        <w:pStyle w:val="145"/>
        <w:widowControl w:val="0"/>
        <w:snapToGrid w:val="0"/>
        <w:spacing w:line="470" w:lineRule="atLeast"/>
        <w:ind w:firstLine="0"/>
        <w:jc w:val="center"/>
        <w:rPr>
          <w:color w:val="auto"/>
        </w:rPr>
      </w:pPr>
    </w:p>
    <w:p w14:paraId="49FB8120">
      <w:pPr>
        <w:pStyle w:val="145"/>
        <w:widowControl w:val="0"/>
        <w:snapToGrid w:val="0"/>
        <w:spacing w:line="470" w:lineRule="atLeast"/>
        <w:ind w:firstLine="0"/>
        <w:jc w:val="center"/>
        <w:rPr>
          <w:color w:val="auto"/>
        </w:rPr>
      </w:pPr>
    </w:p>
    <w:p w14:paraId="1E9E10C1">
      <w:pPr>
        <w:pStyle w:val="145"/>
        <w:widowControl w:val="0"/>
        <w:snapToGrid w:val="0"/>
        <w:spacing w:line="470" w:lineRule="atLeast"/>
        <w:ind w:firstLine="0"/>
        <w:jc w:val="center"/>
        <w:rPr>
          <w:color w:val="auto"/>
        </w:rPr>
      </w:pPr>
    </w:p>
    <w:p w14:paraId="1BE7C12B">
      <w:pPr>
        <w:pStyle w:val="145"/>
        <w:widowControl w:val="0"/>
        <w:snapToGrid w:val="0"/>
        <w:spacing w:line="470" w:lineRule="atLeast"/>
        <w:ind w:firstLine="0"/>
        <w:jc w:val="center"/>
        <w:rPr>
          <w:color w:val="auto"/>
        </w:rPr>
      </w:pPr>
    </w:p>
    <w:p w14:paraId="72C83D5F">
      <w:pPr>
        <w:pStyle w:val="145"/>
        <w:widowControl w:val="0"/>
        <w:snapToGrid w:val="0"/>
        <w:spacing w:line="470" w:lineRule="atLeast"/>
        <w:ind w:firstLine="0"/>
        <w:jc w:val="center"/>
        <w:rPr>
          <w:color w:val="auto"/>
        </w:rPr>
      </w:pPr>
    </w:p>
    <w:p w14:paraId="2AC3E6C2">
      <w:pPr>
        <w:pStyle w:val="145"/>
        <w:widowControl w:val="0"/>
        <w:snapToGrid w:val="0"/>
        <w:spacing w:line="470" w:lineRule="atLeast"/>
        <w:ind w:firstLine="0"/>
        <w:jc w:val="center"/>
        <w:rPr>
          <w:color w:val="auto"/>
        </w:rPr>
      </w:pPr>
    </w:p>
    <w:p w14:paraId="381874BB">
      <w:pPr>
        <w:pStyle w:val="145"/>
        <w:widowControl w:val="0"/>
        <w:snapToGrid w:val="0"/>
        <w:spacing w:line="470" w:lineRule="atLeast"/>
        <w:ind w:firstLine="0"/>
        <w:jc w:val="center"/>
        <w:rPr>
          <w:color w:val="auto"/>
        </w:rPr>
      </w:pPr>
    </w:p>
    <w:p w14:paraId="25C7CF24">
      <w:pPr>
        <w:pStyle w:val="145"/>
        <w:spacing w:line="480" w:lineRule="auto"/>
        <w:ind w:firstLine="0"/>
        <w:jc w:val="center"/>
        <w:outlineLvl w:val="1"/>
        <w:rPr>
          <w:rFonts w:eastAsia="黑体"/>
          <w:b w:val="0"/>
          <w:color w:val="auto"/>
          <w:sz w:val="32"/>
        </w:rPr>
      </w:pPr>
      <w:r>
        <w:rPr>
          <w:rFonts w:hint="eastAsia" w:eastAsia="黑体"/>
          <w:b w:val="0"/>
          <w:color w:val="auto"/>
          <w:sz w:val="32"/>
        </w:rPr>
        <w:t>杭州电子科技大学采购中心</w:t>
      </w:r>
    </w:p>
    <w:p w14:paraId="3C19EB36">
      <w:pPr>
        <w:pStyle w:val="145"/>
        <w:widowControl w:val="0"/>
        <w:snapToGrid w:val="0"/>
        <w:spacing w:line="700" w:lineRule="exact"/>
        <w:ind w:firstLine="0"/>
        <w:jc w:val="center"/>
        <w:outlineLvl w:val="1"/>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auto"/>
          <w:sz w:val="32"/>
          <w:szCs w:val="32"/>
        </w:rPr>
        <w:t>202</w:t>
      </w:r>
      <w:r>
        <w:rPr>
          <w:rFonts w:hint="eastAsia" w:ascii="黑体" w:eastAsia="黑体"/>
          <w:b w:val="0"/>
          <w:color w:val="auto"/>
          <w:sz w:val="32"/>
          <w:szCs w:val="32"/>
          <w:lang w:val="en-US" w:eastAsia="zh-CN"/>
        </w:rPr>
        <w:t>6</w:t>
      </w:r>
      <w:r>
        <w:rPr>
          <w:rFonts w:hint="eastAsia" w:ascii="黑体" w:eastAsia="黑体"/>
          <w:b w:val="0"/>
          <w:color w:val="auto"/>
          <w:sz w:val="32"/>
          <w:szCs w:val="32"/>
        </w:rPr>
        <w:t>年</w:t>
      </w:r>
      <w:r>
        <w:rPr>
          <w:rFonts w:hint="default" w:ascii="黑体" w:eastAsia="黑体"/>
          <w:b w:val="0"/>
          <w:color w:val="auto"/>
          <w:sz w:val="32"/>
          <w:szCs w:val="32"/>
          <w:woUserID w:val="1"/>
        </w:rPr>
        <w:t>9</w:t>
      </w:r>
      <w:r>
        <w:rPr>
          <w:rFonts w:hint="eastAsia" w:ascii="黑体" w:eastAsia="黑体"/>
          <w:b w:val="0"/>
          <w:color w:val="auto"/>
          <w:sz w:val="32"/>
          <w:szCs w:val="32"/>
        </w:rPr>
        <w:t>月</w:t>
      </w:r>
      <w:r>
        <w:rPr>
          <w:rFonts w:hint="default" w:ascii="黑体" w:eastAsia="黑体"/>
          <w:b w:val="0"/>
          <w:color w:val="auto"/>
          <w:sz w:val="32"/>
          <w:szCs w:val="32"/>
          <w:woUserID w:val="1"/>
        </w:rPr>
        <w:t>28</w:t>
      </w:r>
      <w:r>
        <w:rPr>
          <w:rFonts w:hint="eastAsia" w:ascii="黑体" w:eastAsia="黑体"/>
          <w:b w:val="0"/>
          <w:color w:val="auto"/>
          <w:sz w:val="32"/>
          <w:szCs w:val="32"/>
        </w:rPr>
        <w:t>日</w:t>
      </w:r>
    </w:p>
    <w:p w14:paraId="53EE44CC">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4BC8E202">
      <w:pPr>
        <w:pStyle w:val="145"/>
        <w:widowControl w:val="0"/>
        <w:snapToGrid w:val="0"/>
        <w:spacing w:line="442" w:lineRule="atLeast"/>
        <w:ind w:right="-176" w:rightChars="-84" w:firstLine="0"/>
        <w:jc w:val="center"/>
        <w:outlineLvl w:val="0"/>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sdt>
      <w:sdtPr>
        <w:rPr>
          <w:rFonts w:ascii="宋体" w:hAnsi="宋体" w:eastAsia="宋体" w:cs="Times New Roman"/>
          <w:color w:val="auto"/>
          <w:sz w:val="21"/>
          <w:lang w:val="en-US" w:eastAsia="zh-CN" w:bidi="ar-SA"/>
        </w:rPr>
        <w:id w:val="333713394"/>
        <w:docPartObj>
          <w:docPartGallery w:val="Table of Contents"/>
          <w:docPartUnique/>
        </w:docPartObj>
      </w:sdtPr>
      <w:sdtEndPr>
        <w:rPr>
          <w:rFonts w:ascii="Calibri" w:hAnsi="Calibri" w:eastAsia="宋体" w:cs="Times New Roman"/>
          <w:color w:val="auto"/>
          <w:sz w:val="20"/>
          <w:szCs w:val="20"/>
          <w:lang w:val="en-US" w:eastAsia="zh-CN" w:bidi="ar-SA"/>
        </w:rPr>
      </w:sdtEndPr>
      <w:sdtContent>
        <w:p w14:paraId="72C42981">
          <w:pPr>
            <w:spacing w:before="0" w:beforeLines="0" w:after="0" w:afterLines="0" w:line="240" w:lineRule="auto"/>
            <w:ind w:left="0" w:leftChars="0" w:right="0" w:rightChars="0" w:firstLine="0" w:firstLineChars="0"/>
            <w:jc w:val="center"/>
            <w:rPr>
              <w:color w:val="auto"/>
            </w:rPr>
          </w:pPr>
          <w:bookmarkStart w:id="0" w:name="_Toc8820_WPSOffice_Type1"/>
        </w:p>
        <w:p w14:paraId="235DC40F">
          <w:pPr>
            <w:pStyle w:val="196"/>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8"/>
              <w:szCs w:val="28"/>
            </w:rPr>
          </w:pPr>
          <w:r>
            <w:rPr>
              <w:color w:val="auto"/>
              <w:sz w:val="28"/>
              <w:szCs w:val="28"/>
            </w:rPr>
            <w:fldChar w:fldCharType="begin"/>
          </w:r>
          <w:r>
            <w:rPr>
              <w:color w:val="auto"/>
              <w:sz w:val="28"/>
              <w:szCs w:val="28"/>
            </w:rPr>
            <w:instrText xml:space="preserve"> HYPERLINK \l _Toc23312_WPSOffice_Level1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147452954"/>
              <w:placeholder>
                <w:docPart w:val="{c8d84b5c-fdc4-4a93-8bde-4aa05c94e18d}"/>
              </w:placeholder>
            </w:sdtPr>
            <w:sdtEndPr>
              <w:rPr>
                <w:rFonts w:ascii="Times New Roman" w:hAnsi="Times New Roman" w:eastAsia="宋体" w:cs="Times New Roman"/>
                <w:color w:val="auto"/>
                <w:sz w:val="28"/>
                <w:szCs w:val="28"/>
                <w:lang w:val="en-US" w:eastAsia="zh-CN" w:bidi="ar-SA"/>
              </w:rPr>
            </w:sdtEndPr>
            <w:sdtContent>
              <w:r>
                <w:rPr>
                  <w:rFonts w:hint="eastAsia" w:ascii="Times New Roman" w:hAnsi="Times New Roman" w:eastAsia="黑体" w:cs="Times New Roman"/>
                  <w:color w:val="auto"/>
                  <w:sz w:val="28"/>
                  <w:szCs w:val="28"/>
                </w:rPr>
                <w:t>第一部分</w:t>
              </w:r>
              <w:r>
                <w:rPr>
                  <w:rFonts w:ascii="Times New Roman" w:hAnsi="Times New Roman" w:eastAsia="黑体" w:cs="Times New Roman"/>
                  <w:color w:val="auto"/>
                  <w:sz w:val="28"/>
                  <w:szCs w:val="28"/>
                </w:rPr>
                <w:t xml:space="preserve"> </w:t>
              </w:r>
              <w:r>
                <w:rPr>
                  <w:rFonts w:hint="eastAsia" w:ascii="Times New Roman" w:hAnsi="Times New Roman" w:eastAsia="黑体" w:cs="Times New Roman"/>
                  <w:color w:val="auto"/>
                  <w:sz w:val="28"/>
                  <w:szCs w:val="28"/>
                </w:rPr>
                <w:t>竞争性磋商公告</w:t>
              </w:r>
            </w:sdtContent>
          </w:sdt>
          <w:r>
            <w:rPr>
              <w:color w:val="auto"/>
              <w:sz w:val="28"/>
              <w:szCs w:val="28"/>
            </w:rPr>
            <w:tab/>
          </w:r>
          <w:bookmarkStart w:id="1" w:name="_Toc23312_WPSOffice_Level1Page"/>
          <w:r>
            <w:rPr>
              <w:color w:val="auto"/>
              <w:sz w:val="28"/>
              <w:szCs w:val="28"/>
            </w:rPr>
            <w:t>3</w:t>
          </w:r>
          <w:bookmarkEnd w:id="1"/>
          <w:r>
            <w:rPr>
              <w:color w:val="auto"/>
              <w:sz w:val="28"/>
              <w:szCs w:val="28"/>
            </w:rPr>
            <w:fldChar w:fldCharType="end"/>
          </w:r>
        </w:p>
        <w:p w14:paraId="78830FE0">
          <w:pPr>
            <w:pStyle w:val="196"/>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8"/>
              <w:szCs w:val="28"/>
            </w:rPr>
          </w:pPr>
          <w:r>
            <w:rPr>
              <w:color w:val="auto"/>
              <w:sz w:val="28"/>
              <w:szCs w:val="28"/>
            </w:rPr>
            <w:fldChar w:fldCharType="begin"/>
          </w:r>
          <w:r>
            <w:rPr>
              <w:color w:val="auto"/>
              <w:sz w:val="28"/>
              <w:szCs w:val="28"/>
            </w:rPr>
            <w:instrText xml:space="preserve"> HYPERLINK \l _Toc8820_WPSOffice_Level1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577504390"/>
              <w:placeholder>
                <w:docPart w:val="{bdf87fdb-bcb7-45a5-87f9-ed6349d97aea}"/>
              </w:placeholder>
            </w:sdtPr>
            <w:sdtEndPr>
              <w:rPr>
                <w:rFonts w:ascii="Times New Roman" w:hAnsi="Times New Roman" w:eastAsia="宋体" w:cs="Times New Roman"/>
                <w:color w:val="auto"/>
                <w:sz w:val="28"/>
                <w:szCs w:val="28"/>
                <w:lang w:val="en-US" w:eastAsia="zh-CN" w:bidi="ar-SA"/>
              </w:rPr>
            </w:sdtEndPr>
            <w:sdtContent>
              <w:r>
                <w:rPr>
                  <w:rFonts w:hint="eastAsia" w:ascii="Times New Roman" w:hAnsi="Times New Roman" w:eastAsia="黑体" w:cs="Times New Roman"/>
                  <w:color w:val="auto"/>
                  <w:sz w:val="28"/>
                  <w:szCs w:val="28"/>
                </w:rPr>
                <w:t>第二部分 响应方须知</w:t>
              </w:r>
            </w:sdtContent>
          </w:sdt>
          <w:r>
            <w:rPr>
              <w:color w:val="auto"/>
              <w:sz w:val="28"/>
              <w:szCs w:val="28"/>
            </w:rPr>
            <w:tab/>
          </w:r>
          <w:bookmarkStart w:id="2" w:name="_Toc8820_WPSOffice_Level1Page"/>
          <w:r>
            <w:rPr>
              <w:color w:val="auto"/>
              <w:sz w:val="28"/>
              <w:szCs w:val="28"/>
            </w:rPr>
            <w:t>5</w:t>
          </w:r>
          <w:bookmarkEnd w:id="2"/>
          <w:r>
            <w:rPr>
              <w:color w:val="auto"/>
              <w:sz w:val="28"/>
              <w:szCs w:val="28"/>
            </w:rPr>
            <w:fldChar w:fldCharType="end"/>
          </w:r>
        </w:p>
        <w:p w14:paraId="7777C800">
          <w:pPr>
            <w:pStyle w:val="196"/>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8"/>
              <w:szCs w:val="28"/>
            </w:rPr>
          </w:pPr>
          <w:r>
            <w:rPr>
              <w:color w:val="auto"/>
              <w:sz w:val="28"/>
              <w:szCs w:val="28"/>
            </w:rPr>
            <w:fldChar w:fldCharType="begin"/>
          </w:r>
          <w:r>
            <w:rPr>
              <w:color w:val="auto"/>
              <w:sz w:val="28"/>
              <w:szCs w:val="28"/>
            </w:rPr>
            <w:instrText xml:space="preserve"> HYPERLINK \l _Toc2433_WPSOffice_Level1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734037081"/>
              <w:placeholder>
                <w:docPart w:val="{45fdce17-ef40-494e-bc31-6d8dd4d1af7d}"/>
              </w:placeholder>
            </w:sdtPr>
            <w:sdtEndPr>
              <w:rPr>
                <w:rFonts w:ascii="Times New Roman" w:hAnsi="Times New Roman" w:eastAsia="宋体" w:cs="Times New Roman"/>
                <w:color w:val="auto"/>
                <w:sz w:val="28"/>
                <w:szCs w:val="28"/>
                <w:lang w:val="en-US" w:eastAsia="zh-CN" w:bidi="ar-SA"/>
              </w:rPr>
            </w:sdtEndPr>
            <w:sdtContent>
              <w:r>
                <w:rPr>
                  <w:rFonts w:hint="eastAsia" w:ascii="Times New Roman" w:hAnsi="Times New Roman" w:eastAsia="黑体" w:cs="Times New Roman"/>
                  <w:color w:val="auto"/>
                  <w:sz w:val="28"/>
                  <w:szCs w:val="28"/>
                </w:rPr>
                <w:t>第三部分 采购需求</w:t>
              </w:r>
            </w:sdtContent>
          </w:sdt>
          <w:r>
            <w:rPr>
              <w:color w:val="auto"/>
              <w:sz w:val="28"/>
              <w:szCs w:val="28"/>
            </w:rPr>
            <w:tab/>
          </w:r>
          <w:bookmarkStart w:id="3" w:name="_Toc2433_WPSOffice_Level1Page"/>
          <w:r>
            <w:rPr>
              <w:color w:val="auto"/>
              <w:sz w:val="28"/>
              <w:szCs w:val="28"/>
            </w:rPr>
            <w:t>15</w:t>
          </w:r>
          <w:bookmarkEnd w:id="3"/>
          <w:r>
            <w:rPr>
              <w:color w:val="auto"/>
              <w:sz w:val="28"/>
              <w:szCs w:val="28"/>
            </w:rPr>
            <w:fldChar w:fldCharType="end"/>
          </w:r>
        </w:p>
        <w:p w14:paraId="57FA8FCD">
          <w:pPr>
            <w:pStyle w:val="196"/>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8"/>
              <w:szCs w:val="28"/>
            </w:rPr>
          </w:pPr>
          <w:r>
            <w:rPr>
              <w:color w:val="auto"/>
              <w:sz w:val="28"/>
              <w:szCs w:val="28"/>
            </w:rPr>
            <w:fldChar w:fldCharType="begin"/>
          </w:r>
          <w:r>
            <w:rPr>
              <w:color w:val="auto"/>
              <w:sz w:val="28"/>
              <w:szCs w:val="28"/>
            </w:rPr>
            <w:instrText xml:space="preserve"> HYPERLINK \l _Toc18783_WPSOffice_Level1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113509047"/>
              <w:placeholder>
                <w:docPart w:val="{f9089bba-9e5c-4afb-b2c4-04a536f2f5fb}"/>
              </w:placeholder>
            </w:sdtPr>
            <w:sdtEndPr>
              <w:rPr>
                <w:rFonts w:ascii="Times New Roman" w:hAnsi="Times New Roman" w:eastAsia="宋体" w:cs="Times New Roman"/>
                <w:color w:val="auto"/>
                <w:sz w:val="28"/>
                <w:szCs w:val="28"/>
                <w:lang w:val="en-US" w:eastAsia="zh-CN" w:bidi="ar-SA"/>
              </w:rPr>
            </w:sdtEndPr>
            <w:sdtContent>
              <w:r>
                <w:rPr>
                  <w:rFonts w:hint="eastAsia" w:ascii="Times New Roman" w:hAnsi="Times New Roman" w:eastAsia="黑体" w:cs="Times New Roman"/>
                  <w:color w:val="auto"/>
                  <w:sz w:val="28"/>
                  <w:szCs w:val="28"/>
                </w:rPr>
                <w:t>第四部分 评审办法与评分标准</w:t>
              </w:r>
            </w:sdtContent>
          </w:sdt>
          <w:r>
            <w:rPr>
              <w:color w:val="auto"/>
              <w:sz w:val="28"/>
              <w:szCs w:val="28"/>
            </w:rPr>
            <w:tab/>
          </w:r>
          <w:bookmarkStart w:id="4" w:name="_Toc18783_WPSOffice_Level1Page"/>
          <w:r>
            <w:rPr>
              <w:color w:val="auto"/>
              <w:sz w:val="28"/>
              <w:szCs w:val="28"/>
            </w:rPr>
            <w:t>19</w:t>
          </w:r>
          <w:bookmarkEnd w:id="4"/>
          <w:r>
            <w:rPr>
              <w:color w:val="auto"/>
              <w:sz w:val="28"/>
              <w:szCs w:val="28"/>
            </w:rPr>
            <w:fldChar w:fldCharType="end"/>
          </w:r>
        </w:p>
        <w:p w14:paraId="183682B9">
          <w:pPr>
            <w:pStyle w:val="196"/>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8"/>
              <w:szCs w:val="28"/>
            </w:rPr>
          </w:pPr>
          <w:r>
            <w:rPr>
              <w:color w:val="auto"/>
              <w:sz w:val="28"/>
              <w:szCs w:val="28"/>
            </w:rPr>
            <w:fldChar w:fldCharType="begin"/>
          </w:r>
          <w:r>
            <w:rPr>
              <w:color w:val="auto"/>
              <w:sz w:val="28"/>
              <w:szCs w:val="28"/>
            </w:rPr>
            <w:instrText xml:space="preserve"> HYPERLINK \l _Toc28450_WPSOffice_Level1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287099723"/>
              <w:placeholder>
                <w:docPart w:val="{c0bb8c38-7da5-4066-ba3f-5dabb7623320}"/>
              </w:placeholder>
            </w:sdtPr>
            <w:sdtEndPr>
              <w:rPr>
                <w:rFonts w:ascii="Times New Roman" w:hAnsi="Times New Roman" w:eastAsia="宋体" w:cs="Times New Roman"/>
                <w:color w:val="auto"/>
                <w:sz w:val="28"/>
                <w:szCs w:val="28"/>
                <w:lang w:val="en-US" w:eastAsia="zh-CN" w:bidi="ar-SA"/>
              </w:rPr>
            </w:sdtEndPr>
            <w:sdtContent>
              <w:r>
                <w:rPr>
                  <w:rFonts w:hint="eastAsia" w:ascii="Times New Roman" w:hAnsi="Times New Roman" w:eastAsia="黑体" w:cs="Times New Roman"/>
                  <w:color w:val="auto"/>
                  <w:sz w:val="28"/>
                  <w:szCs w:val="28"/>
                </w:rPr>
                <w:t>第五部分 合同基本条款</w:t>
              </w:r>
            </w:sdtContent>
          </w:sdt>
          <w:r>
            <w:rPr>
              <w:color w:val="auto"/>
              <w:sz w:val="28"/>
              <w:szCs w:val="28"/>
            </w:rPr>
            <w:tab/>
          </w:r>
          <w:bookmarkStart w:id="5" w:name="_Toc28450_WPSOffice_Level1Page"/>
          <w:r>
            <w:rPr>
              <w:color w:val="auto"/>
              <w:sz w:val="28"/>
              <w:szCs w:val="28"/>
            </w:rPr>
            <w:t>21</w:t>
          </w:r>
          <w:bookmarkEnd w:id="5"/>
          <w:r>
            <w:rPr>
              <w:color w:val="auto"/>
              <w:sz w:val="28"/>
              <w:szCs w:val="28"/>
            </w:rPr>
            <w:fldChar w:fldCharType="end"/>
          </w:r>
        </w:p>
        <w:p w14:paraId="05E82393">
          <w:pPr>
            <w:pStyle w:val="196"/>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8"/>
              <w:szCs w:val="28"/>
            </w:rPr>
          </w:pPr>
          <w:r>
            <w:rPr>
              <w:color w:val="auto"/>
              <w:sz w:val="28"/>
              <w:szCs w:val="28"/>
            </w:rPr>
            <w:fldChar w:fldCharType="begin"/>
          </w:r>
          <w:r>
            <w:rPr>
              <w:color w:val="auto"/>
              <w:sz w:val="28"/>
              <w:szCs w:val="28"/>
            </w:rPr>
            <w:instrText xml:space="preserve"> HYPERLINK \l _Toc16498_WPSOffice_Level1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285811055"/>
              <w:placeholder>
                <w:docPart w:val="{8ded1eb7-b10b-40d8-8872-75ee7e5cbc62}"/>
              </w:placeholder>
            </w:sdtPr>
            <w:sdtEndPr>
              <w:rPr>
                <w:rFonts w:ascii="Times New Roman" w:hAnsi="Times New Roman" w:eastAsia="宋体" w:cs="Times New Roman"/>
                <w:color w:val="auto"/>
                <w:sz w:val="28"/>
                <w:szCs w:val="28"/>
                <w:lang w:val="en-US" w:eastAsia="zh-CN" w:bidi="ar-SA"/>
              </w:rPr>
            </w:sdtEndPr>
            <w:sdtContent>
              <w:r>
                <w:rPr>
                  <w:rFonts w:hint="eastAsia" w:ascii="Times New Roman" w:hAnsi="Times New Roman" w:eastAsia="黑体" w:cs="Times New Roman"/>
                  <w:color w:val="auto"/>
                  <w:sz w:val="28"/>
                  <w:szCs w:val="28"/>
                </w:rPr>
                <w:t>第六部分</w:t>
              </w:r>
              <w:r>
                <w:rPr>
                  <w:rFonts w:ascii="Times New Roman" w:hAnsi="Times New Roman" w:eastAsia="黑体" w:cs="Times New Roman"/>
                  <w:color w:val="auto"/>
                  <w:sz w:val="28"/>
                  <w:szCs w:val="28"/>
                </w:rPr>
                <w:t xml:space="preserve"> </w:t>
              </w:r>
              <w:r>
                <w:rPr>
                  <w:rFonts w:hint="eastAsia" w:ascii="Times New Roman" w:hAnsi="Times New Roman" w:eastAsia="黑体" w:cs="Times New Roman"/>
                  <w:color w:val="auto"/>
                  <w:sz w:val="28"/>
                  <w:szCs w:val="28"/>
                </w:rPr>
                <w:t>响应文件格式</w:t>
              </w:r>
            </w:sdtContent>
          </w:sdt>
          <w:r>
            <w:rPr>
              <w:color w:val="auto"/>
              <w:sz w:val="28"/>
              <w:szCs w:val="28"/>
            </w:rPr>
            <w:tab/>
          </w:r>
          <w:bookmarkStart w:id="6" w:name="_Toc16498_WPSOffice_Level1Page"/>
          <w:r>
            <w:rPr>
              <w:color w:val="auto"/>
              <w:sz w:val="28"/>
              <w:szCs w:val="28"/>
            </w:rPr>
            <w:t>25</w:t>
          </w:r>
          <w:bookmarkEnd w:id="6"/>
          <w:r>
            <w:rPr>
              <w:color w:val="auto"/>
              <w:sz w:val="28"/>
              <w:szCs w:val="28"/>
            </w:rPr>
            <w:fldChar w:fldCharType="end"/>
          </w:r>
        </w:p>
        <w:p w14:paraId="3B4D5B71">
          <w:pPr>
            <w:pStyle w:val="196"/>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8"/>
              <w:szCs w:val="28"/>
            </w:rPr>
          </w:pPr>
          <w:r>
            <w:rPr>
              <w:color w:val="auto"/>
              <w:sz w:val="28"/>
              <w:szCs w:val="28"/>
            </w:rPr>
            <w:fldChar w:fldCharType="begin"/>
          </w:r>
          <w:r>
            <w:rPr>
              <w:color w:val="auto"/>
              <w:sz w:val="28"/>
              <w:szCs w:val="28"/>
            </w:rPr>
            <w:instrText xml:space="preserve"> HYPERLINK \l _Toc7671_WPSOffice_Level1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388278989"/>
              <w:placeholder>
                <w:docPart w:val="{08ddf5a9-fd1c-4bc1-a786-097da3dc01d9}"/>
              </w:placeholder>
            </w:sdtPr>
            <w:sdtEndPr>
              <w:rPr>
                <w:rFonts w:ascii="Times New Roman" w:hAnsi="Times New Roman" w:eastAsia="宋体" w:cs="Times New Roman"/>
                <w:color w:val="auto"/>
                <w:sz w:val="28"/>
                <w:szCs w:val="28"/>
                <w:lang w:val="en-US" w:eastAsia="zh-CN" w:bidi="ar-SA"/>
              </w:rPr>
            </w:sdtEndPr>
            <w:sdtContent>
              <w:r>
                <w:rPr>
                  <w:rFonts w:hint="eastAsia" w:ascii="Times New Roman" w:hAnsi="Times New Roman" w:eastAsia="宋体" w:cs="Times New Roman"/>
                  <w:color w:val="auto"/>
                  <w:sz w:val="28"/>
                  <w:szCs w:val="28"/>
                </w:rPr>
                <w:t>资格文件</w:t>
              </w:r>
            </w:sdtContent>
          </w:sdt>
          <w:r>
            <w:rPr>
              <w:color w:val="auto"/>
              <w:sz w:val="28"/>
              <w:szCs w:val="28"/>
            </w:rPr>
            <w:tab/>
          </w:r>
          <w:bookmarkStart w:id="7" w:name="_Toc7671_WPSOffice_Level1Page"/>
          <w:r>
            <w:rPr>
              <w:color w:val="auto"/>
              <w:sz w:val="28"/>
              <w:szCs w:val="28"/>
            </w:rPr>
            <w:t>26</w:t>
          </w:r>
          <w:bookmarkEnd w:id="7"/>
          <w:r>
            <w:rPr>
              <w:color w:val="auto"/>
              <w:sz w:val="28"/>
              <w:szCs w:val="28"/>
            </w:rPr>
            <w:fldChar w:fldCharType="end"/>
          </w:r>
        </w:p>
        <w:p w14:paraId="6D1A70FB">
          <w:pPr>
            <w:pStyle w:val="196"/>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585" w:firstLineChars="209"/>
            <w:textAlignment w:val="auto"/>
            <w:rPr>
              <w:color w:val="auto"/>
              <w:sz w:val="28"/>
              <w:szCs w:val="28"/>
            </w:rPr>
          </w:pPr>
          <w:r>
            <w:rPr>
              <w:color w:val="auto"/>
              <w:sz w:val="28"/>
              <w:szCs w:val="28"/>
            </w:rPr>
            <w:fldChar w:fldCharType="begin"/>
          </w:r>
          <w:r>
            <w:rPr>
              <w:color w:val="auto"/>
              <w:sz w:val="28"/>
              <w:szCs w:val="28"/>
            </w:rPr>
            <w:instrText xml:space="preserve"> HYPERLINK \l _Toc20664_WPSOffice_Level1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428954323"/>
              <w:placeholder>
                <w:docPart w:val="{c17ac0ae-1c87-4ee4-835d-a6566b392cff}"/>
              </w:placeholder>
            </w:sdtPr>
            <w:sdtEndPr>
              <w:rPr>
                <w:rFonts w:ascii="Times New Roman" w:hAnsi="Times New Roman" w:eastAsia="宋体" w:cs="Times New Roman"/>
                <w:color w:val="auto"/>
                <w:sz w:val="28"/>
                <w:szCs w:val="28"/>
                <w:lang w:val="en-US" w:eastAsia="zh-CN" w:bidi="ar-SA"/>
              </w:rPr>
            </w:sdtEndPr>
            <w:sdtContent>
              <w:r>
                <w:rPr>
                  <w:rFonts w:hint="eastAsia" w:ascii="宋体" w:hAnsi="Times New Roman" w:eastAsia="宋体" w:cs="Times New Roman"/>
                  <w:color w:val="auto"/>
                  <w:sz w:val="28"/>
                  <w:szCs w:val="28"/>
                </w:rPr>
                <w:t>1）</w:t>
              </w:r>
              <w:r>
                <w:rPr>
                  <w:rFonts w:hint="eastAsia" w:ascii="宋体" w:hAnsi="Times New Roman" w:eastAsia="宋体" w:cs="Times New Roman"/>
                  <w:color w:val="auto"/>
                  <w:sz w:val="24"/>
                  <w:szCs w:val="24"/>
                </w:rPr>
                <w:t>有效的法人或者其他组织的营业执照等证明文件，自然人的身份证明</w:t>
              </w:r>
            </w:sdtContent>
          </w:sdt>
          <w:r>
            <w:rPr>
              <w:color w:val="auto"/>
              <w:sz w:val="28"/>
              <w:szCs w:val="28"/>
            </w:rPr>
            <w:tab/>
          </w:r>
          <w:bookmarkStart w:id="8" w:name="_Toc20664_WPSOffice_Level1Page"/>
          <w:r>
            <w:rPr>
              <w:color w:val="auto"/>
              <w:sz w:val="28"/>
              <w:szCs w:val="28"/>
            </w:rPr>
            <w:t>26</w:t>
          </w:r>
          <w:bookmarkEnd w:id="8"/>
          <w:r>
            <w:rPr>
              <w:color w:val="auto"/>
              <w:sz w:val="28"/>
              <w:szCs w:val="28"/>
            </w:rPr>
            <w:fldChar w:fldCharType="end"/>
          </w:r>
        </w:p>
        <w:p w14:paraId="0F79244C">
          <w:pPr>
            <w:pStyle w:val="196"/>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585" w:firstLineChars="209"/>
            <w:textAlignment w:val="auto"/>
            <w:rPr>
              <w:color w:val="auto"/>
              <w:sz w:val="28"/>
              <w:szCs w:val="28"/>
            </w:rPr>
          </w:pPr>
          <w:r>
            <w:rPr>
              <w:color w:val="auto"/>
              <w:sz w:val="28"/>
              <w:szCs w:val="28"/>
            </w:rPr>
            <w:fldChar w:fldCharType="begin"/>
          </w:r>
          <w:r>
            <w:rPr>
              <w:color w:val="auto"/>
              <w:sz w:val="28"/>
              <w:szCs w:val="28"/>
            </w:rPr>
            <w:instrText xml:space="preserve"> HYPERLINK \l _Toc11305_WPSOffice_Level1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106166385"/>
              <w:placeholder>
                <w:docPart w:val="{ae431b9c-69e9-4d46-aa98-4ccefc57ebec}"/>
              </w:placeholder>
            </w:sdtPr>
            <w:sdtEndPr>
              <w:rPr>
                <w:rFonts w:ascii="Times New Roman" w:hAnsi="Times New Roman" w:eastAsia="宋体" w:cs="Times New Roman"/>
                <w:color w:val="auto"/>
                <w:sz w:val="28"/>
                <w:szCs w:val="28"/>
                <w:lang w:val="en-US" w:eastAsia="zh-CN" w:bidi="ar-SA"/>
              </w:rPr>
            </w:sdtEndPr>
            <w:sdtContent>
              <w:r>
                <w:rPr>
                  <w:rFonts w:hint="eastAsia" w:ascii="宋体" w:hAnsi="Times New Roman" w:eastAsia="宋体" w:cs="Times New Roman"/>
                  <w:color w:val="auto"/>
                  <w:sz w:val="28"/>
                  <w:szCs w:val="28"/>
                </w:rPr>
                <w:t>2）资格条件承诺函</w:t>
              </w:r>
            </w:sdtContent>
          </w:sdt>
          <w:r>
            <w:rPr>
              <w:color w:val="auto"/>
              <w:sz w:val="28"/>
              <w:szCs w:val="28"/>
            </w:rPr>
            <w:tab/>
          </w:r>
          <w:bookmarkStart w:id="9" w:name="_Toc11305_WPSOffice_Level1Page"/>
          <w:r>
            <w:rPr>
              <w:color w:val="auto"/>
              <w:sz w:val="28"/>
              <w:szCs w:val="28"/>
            </w:rPr>
            <w:t>27</w:t>
          </w:r>
          <w:bookmarkEnd w:id="9"/>
          <w:r>
            <w:rPr>
              <w:color w:val="auto"/>
              <w:sz w:val="28"/>
              <w:szCs w:val="28"/>
            </w:rPr>
            <w:fldChar w:fldCharType="end"/>
          </w:r>
        </w:p>
        <w:p w14:paraId="537789A5">
          <w:pPr>
            <w:pStyle w:val="196"/>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585" w:firstLineChars="209"/>
            <w:textAlignment w:val="auto"/>
            <w:rPr>
              <w:color w:val="auto"/>
              <w:sz w:val="28"/>
              <w:szCs w:val="28"/>
            </w:rPr>
          </w:pPr>
          <w:r>
            <w:rPr>
              <w:color w:val="auto"/>
              <w:sz w:val="28"/>
              <w:szCs w:val="28"/>
            </w:rPr>
            <w:fldChar w:fldCharType="begin"/>
          </w:r>
          <w:r>
            <w:rPr>
              <w:color w:val="auto"/>
              <w:sz w:val="28"/>
              <w:szCs w:val="28"/>
            </w:rPr>
            <w:instrText xml:space="preserve"> HYPERLINK \l _Toc23239_WPSOffice_Level1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372023712"/>
              <w:placeholder>
                <w:docPart w:val="{56bfa9eb-2b9f-4577-9b50-5da65bb50ebe}"/>
              </w:placeholder>
            </w:sdtPr>
            <w:sdtEndPr>
              <w:rPr>
                <w:rFonts w:ascii="Times New Roman" w:hAnsi="Times New Roman" w:eastAsia="宋体" w:cs="Times New Roman"/>
                <w:color w:val="auto"/>
                <w:sz w:val="28"/>
                <w:szCs w:val="28"/>
                <w:lang w:val="en-US" w:eastAsia="zh-CN" w:bidi="ar-SA"/>
              </w:rPr>
            </w:sdtEndPr>
            <w:sdtContent>
              <w:r>
                <w:rPr>
                  <w:rFonts w:hint="eastAsia" w:ascii="宋体" w:hAnsi="Times New Roman" w:eastAsia="宋体" w:cs="Times New Roman"/>
                  <w:color w:val="auto"/>
                  <w:sz w:val="28"/>
                  <w:szCs w:val="28"/>
                </w:rPr>
                <w:t>3）落实政府采购政策需满足的资格要求：中小企业声明函</w:t>
              </w:r>
            </w:sdtContent>
          </w:sdt>
          <w:r>
            <w:rPr>
              <w:color w:val="auto"/>
              <w:sz w:val="28"/>
              <w:szCs w:val="28"/>
            </w:rPr>
            <w:tab/>
          </w:r>
          <w:bookmarkStart w:id="10" w:name="_Toc23239_WPSOffice_Level1Page"/>
          <w:r>
            <w:rPr>
              <w:color w:val="auto"/>
              <w:sz w:val="28"/>
              <w:szCs w:val="28"/>
            </w:rPr>
            <w:t>27</w:t>
          </w:r>
          <w:bookmarkEnd w:id="10"/>
          <w:r>
            <w:rPr>
              <w:color w:val="auto"/>
              <w:sz w:val="28"/>
              <w:szCs w:val="28"/>
            </w:rPr>
            <w:fldChar w:fldCharType="end"/>
          </w:r>
        </w:p>
        <w:p w14:paraId="0526FFED">
          <w:pPr>
            <w:pStyle w:val="196"/>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8"/>
              <w:szCs w:val="28"/>
            </w:rPr>
          </w:pPr>
          <w:r>
            <w:rPr>
              <w:color w:val="auto"/>
              <w:sz w:val="28"/>
              <w:szCs w:val="28"/>
            </w:rPr>
            <w:fldChar w:fldCharType="begin"/>
          </w:r>
          <w:r>
            <w:rPr>
              <w:color w:val="auto"/>
              <w:sz w:val="28"/>
              <w:szCs w:val="28"/>
            </w:rPr>
            <w:instrText xml:space="preserve"> HYPERLINK \l _Toc18828_WPSOffice_Level1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422034018"/>
              <w:placeholder>
                <w:docPart w:val="{3f7b6af1-8a1e-417e-93cc-20ff45e86242}"/>
              </w:placeholder>
            </w:sdtPr>
            <w:sdtEndPr>
              <w:rPr>
                <w:rFonts w:ascii="Times New Roman" w:hAnsi="Times New Roman" w:eastAsia="宋体" w:cs="Times New Roman"/>
                <w:color w:val="auto"/>
                <w:sz w:val="28"/>
                <w:szCs w:val="28"/>
                <w:lang w:val="en-US" w:eastAsia="zh-CN" w:bidi="ar-SA"/>
              </w:rPr>
            </w:sdtEndPr>
            <w:sdtContent>
              <w:r>
                <w:rPr>
                  <w:rFonts w:hint="eastAsia" w:ascii="Times New Roman" w:hAnsi="Times New Roman" w:eastAsia="宋体" w:cs="Times New Roman"/>
                  <w:color w:val="auto"/>
                  <w:sz w:val="28"/>
                  <w:szCs w:val="28"/>
                </w:rPr>
                <w:t>报价文件</w:t>
              </w:r>
            </w:sdtContent>
          </w:sdt>
          <w:r>
            <w:rPr>
              <w:color w:val="auto"/>
              <w:sz w:val="28"/>
              <w:szCs w:val="28"/>
            </w:rPr>
            <w:tab/>
          </w:r>
          <w:bookmarkStart w:id="11" w:name="_Toc18828_WPSOffice_Level1Page"/>
          <w:r>
            <w:rPr>
              <w:color w:val="auto"/>
              <w:sz w:val="28"/>
              <w:szCs w:val="28"/>
            </w:rPr>
            <w:t>32</w:t>
          </w:r>
          <w:bookmarkEnd w:id="11"/>
          <w:r>
            <w:rPr>
              <w:color w:val="auto"/>
              <w:sz w:val="28"/>
              <w:szCs w:val="28"/>
            </w:rPr>
            <w:fldChar w:fldCharType="end"/>
          </w:r>
        </w:p>
        <w:p w14:paraId="14A72278">
          <w:pPr>
            <w:pStyle w:val="196"/>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585" w:firstLineChars="209"/>
            <w:textAlignment w:val="auto"/>
            <w:rPr>
              <w:color w:val="auto"/>
              <w:sz w:val="28"/>
              <w:szCs w:val="28"/>
            </w:rPr>
          </w:pPr>
          <w:r>
            <w:rPr>
              <w:color w:val="auto"/>
              <w:sz w:val="28"/>
              <w:szCs w:val="28"/>
            </w:rPr>
            <w:fldChar w:fldCharType="begin"/>
          </w:r>
          <w:r>
            <w:rPr>
              <w:color w:val="auto"/>
              <w:sz w:val="28"/>
              <w:szCs w:val="28"/>
            </w:rPr>
            <w:instrText xml:space="preserve"> HYPERLINK \l _Toc5395_WPSOffice_Level1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211866466"/>
              <w:placeholder>
                <w:docPart w:val="{c99ea11b-09e3-4daf-80f4-eb6d8c169ef7}"/>
              </w:placeholder>
            </w:sdtPr>
            <w:sdtEndPr>
              <w:rPr>
                <w:rFonts w:ascii="Times New Roman" w:hAnsi="Times New Roman" w:eastAsia="宋体" w:cs="Times New Roman"/>
                <w:color w:val="auto"/>
                <w:sz w:val="28"/>
                <w:szCs w:val="28"/>
                <w:lang w:val="en-US" w:eastAsia="zh-CN" w:bidi="ar-SA"/>
              </w:rPr>
            </w:sdtEndPr>
            <w:sdtContent>
              <w:r>
                <w:rPr>
                  <w:rFonts w:hint="eastAsia" w:ascii="宋体" w:hAnsi="Times New Roman" w:eastAsia="宋体" w:cs="Times New Roman"/>
                  <w:color w:val="auto"/>
                  <w:sz w:val="28"/>
                  <w:szCs w:val="28"/>
                </w:rPr>
                <w:t>（1）初次报价一览表</w:t>
              </w:r>
            </w:sdtContent>
          </w:sdt>
          <w:r>
            <w:rPr>
              <w:color w:val="auto"/>
              <w:sz w:val="28"/>
              <w:szCs w:val="28"/>
            </w:rPr>
            <w:tab/>
          </w:r>
          <w:bookmarkStart w:id="12" w:name="_Toc5395_WPSOffice_Level1Page"/>
          <w:r>
            <w:rPr>
              <w:color w:val="auto"/>
              <w:sz w:val="28"/>
              <w:szCs w:val="28"/>
            </w:rPr>
            <w:t>32</w:t>
          </w:r>
          <w:bookmarkEnd w:id="12"/>
          <w:r>
            <w:rPr>
              <w:color w:val="auto"/>
              <w:sz w:val="28"/>
              <w:szCs w:val="28"/>
            </w:rPr>
            <w:fldChar w:fldCharType="end"/>
          </w:r>
        </w:p>
        <w:p w14:paraId="54B2D671">
          <w:pPr>
            <w:pStyle w:val="196"/>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8"/>
              <w:szCs w:val="28"/>
            </w:rPr>
          </w:pPr>
          <w:r>
            <w:rPr>
              <w:color w:val="auto"/>
              <w:sz w:val="28"/>
              <w:szCs w:val="28"/>
            </w:rPr>
            <w:fldChar w:fldCharType="begin"/>
          </w:r>
          <w:r>
            <w:rPr>
              <w:color w:val="auto"/>
              <w:sz w:val="28"/>
              <w:szCs w:val="28"/>
            </w:rPr>
            <w:instrText xml:space="preserve"> HYPERLINK \l _Toc5100_WPSOffice_Level1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319218664"/>
              <w:placeholder>
                <w:docPart w:val="{5db7875b-aca0-4ff4-a2ce-3dca5ad8e0ea}"/>
              </w:placeholder>
            </w:sdtPr>
            <w:sdtEndPr>
              <w:rPr>
                <w:rFonts w:ascii="Times New Roman" w:hAnsi="Times New Roman" w:eastAsia="宋体" w:cs="Times New Roman"/>
                <w:color w:val="auto"/>
                <w:sz w:val="28"/>
                <w:szCs w:val="28"/>
                <w:lang w:val="en-US" w:eastAsia="zh-CN" w:bidi="ar-SA"/>
              </w:rPr>
            </w:sdtEndPr>
            <w:sdtContent>
              <w:r>
                <w:rPr>
                  <w:rFonts w:hint="eastAsia" w:ascii="Times New Roman" w:hAnsi="Times New Roman" w:eastAsia="宋体" w:cs="Times New Roman"/>
                  <w:color w:val="auto"/>
                  <w:sz w:val="28"/>
                  <w:szCs w:val="28"/>
                </w:rPr>
                <w:t>商务和技术文件</w:t>
              </w:r>
            </w:sdtContent>
          </w:sdt>
          <w:r>
            <w:rPr>
              <w:color w:val="auto"/>
              <w:sz w:val="28"/>
              <w:szCs w:val="28"/>
            </w:rPr>
            <w:tab/>
          </w:r>
          <w:bookmarkStart w:id="13" w:name="_Toc5100_WPSOffice_Level1Page"/>
          <w:r>
            <w:rPr>
              <w:color w:val="auto"/>
              <w:sz w:val="28"/>
              <w:szCs w:val="28"/>
            </w:rPr>
            <w:t>33</w:t>
          </w:r>
          <w:bookmarkEnd w:id="13"/>
          <w:r>
            <w:rPr>
              <w:color w:val="auto"/>
              <w:sz w:val="28"/>
              <w:szCs w:val="28"/>
            </w:rPr>
            <w:fldChar w:fldCharType="end"/>
          </w:r>
        </w:p>
        <w:p w14:paraId="5CD11FCB">
          <w:pPr>
            <w:pStyle w:val="196"/>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585" w:firstLineChars="209"/>
            <w:textAlignment w:val="auto"/>
            <w:rPr>
              <w:color w:val="auto"/>
              <w:sz w:val="28"/>
              <w:szCs w:val="28"/>
            </w:rPr>
          </w:pPr>
          <w:r>
            <w:rPr>
              <w:color w:val="auto"/>
              <w:sz w:val="28"/>
              <w:szCs w:val="28"/>
            </w:rPr>
            <w:fldChar w:fldCharType="begin"/>
          </w:r>
          <w:r>
            <w:rPr>
              <w:color w:val="auto"/>
              <w:sz w:val="28"/>
              <w:szCs w:val="28"/>
            </w:rPr>
            <w:instrText xml:space="preserve"> HYPERLINK \l _Toc14403_WPSOffice_Level1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780551449"/>
              <w:placeholder>
                <w:docPart w:val="{477f0753-f2dc-4141-b55e-ec62ec95400e}"/>
              </w:placeholder>
            </w:sdtPr>
            <w:sdtEndPr>
              <w:rPr>
                <w:rFonts w:ascii="Times New Roman" w:hAnsi="Times New Roman" w:eastAsia="宋体" w:cs="Times New Roman"/>
                <w:color w:val="auto"/>
                <w:sz w:val="28"/>
                <w:szCs w:val="28"/>
                <w:lang w:val="en-US" w:eastAsia="zh-CN" w:bidi="ar-SA"/>
              </w:rPr>
            </w:sdtEndPr>
            <w:sdtContent>
              <w:r>
                <w:rPr>
                  <w:rFonts w:hint="eastAsia" w:ascii="宋体" w:hAnsi="Times New Roman" w:eastAsia="宋体" w:cs="Times New Roman"/>
                  <w:color w:val="auto"/>
                  <w:sz w:val="28"/>
                  <w:szCs w:val="28"/>
                </w:rPr>
                <w:t>（1）磋商响应函</w:t>
              </w:r>
            </w:sdtContent>
          </w:sdt>
          <w:r>
            <w:rPr>
              <w:color w:val="auto"/>
              <w:sz w:val="28"/>
              <w:szCs w:val="28"/>
            </w:rPr>
            <w:tab/>
          </w:r>
          <w:bookmarkStart w:id="14" w:name="_Toc14403_WPSOffice_Level1Page"/>
          <w:r>
            <w:rPr>
              <w:color w:val="auto"/>
              <w:sz w:val="28"/>
              <w:szCs w:val="28"/>
            </w:rPr>
            <w:t>33</w:t>
          </w:r>
          <w:bookmarkEnd w:id="14"/>
          <w:r>
            <w:rPr>
              <w:color w:val="auto"/>
              <w:sz w:val="28"/>
              <w:szCs w:val="28"/>
            </w:rPr>
            <w:fldChar w:fldCharType="end"/>
          </w:r>
        </w:p>
        <w:p w14:paraId="0B8E7E05">
          <w:pPr>
            <w:pStyle w:val="196"/>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585" w:firstLineChars="209"/>
            <w:textAlignment w:val="auto"/>
            <w:rPr>
              <w:color w:val="auto"/>
              <w:sz w:val="28"/>
              <w:szCs w:val="28"/>
            </w:rPr>
          </w:pPr>
          <w:r>
            <w:rPr>
              <w:color w:val="auto"/>
              <w:sz w:val="28"/>
              <w:szCs w:val="28"/>
            </w:rPr>
            <w:fldChar w:fldCharType="begin"/>
          </w:r>
          <w:r>
            <w:rPr>
              <w:color w:val="auto"/>
              <w:sz w:val="28"/>
              <w:szCs w:val="28"/>
            </w:rPr>
            <w:instrText xml:space="preserve"> HYPERLINK \l _Toc22793_WPSOffice_Level1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956029583"/>
              <w:placeholder>
                <w:docPart w:val="{f1419b14-2d42-4ee3-85be-d3c2ff8b6c47}"/>
              </w:placeholder>
            </w:sdtPr>
            <w:sdtEndPr>
              <w:rPr>
                <w:rFonts w:ascii="Times New Roman" w:hAnsi="Times New Roman" w:eastAsia="宋体" w:cs="Times New Roman"/>
                <w:color w:val="auto"/>
                <w:sz w:val="28"/>
                <w:szCs w:val="28"/>
                <w:lang w:val="en-US" w:eastAsia="zh-CN" w:bidi="ar-SA"/>
              </w:rPr>
            </w:sdtEndPr>
            <w:sdtContent>
              <w:r>
                <w:rPr>
                  <w:rFonts w:hint="eastAsia" w:ascii="宋体" w:hAnsi="Times New Roman" w:eastAsia="宋体" w:cs="Times New Roman"/>
                  <w:color w:val="auto"/>
                  <w:sz w:val="28"/>
                  <w:szCs w:val="28"/>
                </w:rPr>
                <w:t>（2）法定代表人授权书（非法定代表人参加时提供）</w:t>
              </w:r>
            </w:sdtContent>
          </w:sdt>
          <w:r>
            <w:rPr>
              <w:color w:val="auto"/>
              <w:sz w:val="28"/>
              <w:szCs w:val="28"/>
            </w:rPr>
            <w:tab/>
          </w:r>
          <w:bookmarkStart w:id="15" w:name="_Toc22793_WPSOffice_Level1Page"/>
          <w:r>
            <w:rPr>
              <w:color w:val="auto"/>
              <w:sz w:val="28"/>
              <w:szCs w:val="28"/>
            </w:rPr>
            <w:t>34</w:t>
          </w:r>
          <w:bookmarkEnd w:id="15"/>
          <w:r>
            <w:rPr>
              <w:color w:val="auto"/>
              <w:sz w:val="28"/>
              <w:szCs w:val="28"/>
            </w:rPr>
            <w:fldChar w:fldCharType="end"/>
          </w:r>
        </w:p>
        <w:p w14:paraId="3F60F0A8">
          <w:pPr>
            <w:pStyle w:val="196"/>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585" w:firstLineChars="209"/>
            <w:textAlignment w:val="auto"/>
            <w:rPr>
              <w:color w:val="auto"/>
              <w:sz w:val="28"/>
              <w:szCs w:val="28"/>
            </w:rPr>
          </w:pPr>
          <w:r>
            <w:rPr>
              <w:color w:val="auto"/>
              <w:sz w:val="28"/>
              <w:szCs w:val="28"/>
            </w:rPr>
            <w:fldChar w:fldCharType="begin"/>
          </w:r>
          <w:r>
            <w:rPr>
              <w:color w:val="auto"/>
              <w:sz w:val="28"/>
              <w:szCs w:val="28"/>
            </w:rPr>
            <w:instrText xml:space="preserve"> HYPERLINK \l _Toc15363_WPSOffice_Level1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908951173"/>
              <w:placeholder>
                <w:docPart w:val="{6f049473-9e7d-47ca-aed4-9738cccb0359}"/>
              </w:placeholder>
            </w:sdtPr>
            <w:sdtEndPr>
              <w:rPr>
                <w:rFonts w:ascii="Times New Roman" w:hAnsi="Times New Roman" w:eastAsia="宋体" w:cs="Times New Roman"/>
                <w:color w:val="auto"/>
                <w:sz w:val="28"/>
                <w:szCs w:val="28"/>
                <w:lang w:val="en-US" w:eastAsia="zh-CN" w:bidi="ar-SA"/>
              </w:rPr>
            </w:sdtEndPr>
            <w:sdtContent>
              <w:r>
                <w:rPr>
                  <w:rFonts w:hint="eastAsia" w:ascii="宋体" w:hAnsi="Times New Roman" w:eastAsia="宋体" w:cs="Times New Roman"/>
                  <w:color w:val="auto"/>
                  <w:sz w:val="28"/>
                  <w:szCs w:val="28"/>
                </w:rPr>
                <w:t>（3）授权代表社保缴纳证明</w:t>
              </w:r>
            </w:sdtContent>
          </w:sdt>
          <w:r>
            <w:rPr>
              <w:color w:val="auto"/>
              <w:sz w:val="28"/>
              <w:szCs w:val="28"/>
            </w:rPr>
            <w:tab/>
          </w:r>
          <w:bookmarkStart w:id="16" w:name="_Toc15363_WPSOffice_Level1Page"/>
          <w:r>
            <w:rPr>
              <w:color w:val="auto"/>
              <w:sz w:val="28"/>
              <w:szCs w:val="28"/>
            </w:rPr>
            <w:t>35</w:t>
          </w:r>
          <w:bookmarkEnd w:id="16"/>
          <w:r>
            <w:rPr>
              <w:color w:val="auto"/>
              <w:sz w:val="28"/>
              <w:szCs w:val="28"/>
            </w:rPr>
            <w:fldChar w:fldCharType="end"/>
          </w:r>
        </w:p>
        <w:p w14:paraId="3BFD00F3">
          <w:pPr>
            <w:pStyle w:val="196"/>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585" w:firstLineChars="209"/>
            <w:textAlignment w:val="auto"/>
            <w:rPr>
              <w:color w:val="auto"/>
              <w:sz w:val="28"/>
              <w:szCs w:val="28"/>
            </w:rPr>
          </w:pPr>
          <w:r>
            <w:rPr>
              <w:color w:val="auto"/>
              <w:sz w:val="28"/>
              <w:szCs w:val="28"/>
            </w:rPr>
            <w:fldChar w:fldCharType="begin"/>
          </w:r>
          <w:r>
            <w:rPr>
              <w:color w:val="auto"/>
              <w:sz w:val="28"/>
              <w:szCs w:val="28"/>
            </w:rPr>
            <w:instrText xml:space="preserve"> HYPERLINK \l _Toc14112_WPSOffice_Level1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998476832"/>
              <w:placeholder>
                <w:docPart w:val="{ca09eef4-3c74-495a-8500-611ca1e4d190}"/>
              </w:placeholder>
            </w:sdtPr>
            <w:sdtEndPr>
              <w:rPr>
                <w:rFonts w:ascii="Times New Roman" w:hAnsi="Times New Roman" w:eastAsia="宋体" w:cs="Times New Roman"/>
                <w:color w:val="auto"/>
                <w:sz w:val="28"/>
                <w:szCs w:val="28"/>
                <w:lang w:val="en-US" w:eastAsia="zh-CN" w:bidi="ar-SA"/>
              </w:rPr>
            </w:sdtEndPr>
            <w:sdtContent>
              <w:r>
                <w:rPr>
                  <w:rFonts w:hint="eastAsia" w:ascii="宋体" w:hAnsi="Times New Roman" w:eastAsia="宋体" w:cs="Times New Roman"/>
                  <w:color w:val="auto"/>
                  <w:sz w:val="28"/>
                  <w:szCs w:val="28"/>
                </w:rPr>
                <w:t>（4）法定代表人资格证明书（法定代表人参加时提供）</w:t>
              </w:r>
            </w:sdtContent>
          </w:sdt>
          <w:r>
            <w:rPr>
              <w:color w:val="auto"/>
              <w:sz w:val="28"/>
              <w:szCs w:val="28"/>
            </w:rPr>
            <w:tab/>
          </w:r>
          <w:bookmarkStart w:id="17" w:name="_Toc14112_WPSOffice_Level1Page"/>
          <w:r>
            <w:rPr>
              <w:color w:val="auto"/>
              <w:sz w:val="28"/>
              <w:szCs w:val="28"/>
            </w:rPr>
            <w:t>36</w:t>
          </w:r>
          <w:bookmarkEnd w:id="17"/>
          <w:r>
            <w:rPr>
              <w:color w:val="auto"/>
              <w:sz w:val="28"/>
              <w:szCs w:val="28"/>
            </w:rPr>
            <w:fldChar w:fldCharType="end"/>
          </w:r>
        </w:p>
        <w:p w14:paraId="29AF3360">
          <w:pPr>
            <w:pStyle w:val="196"/>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585" w:firstLineChars="209"/>
            <w:textAlignment w:val="auto"/>
            <w:rPr>
              <w:color w:val="auto"/>
              <w:sz w:val="28"/>
              <w:szCs w:val="28"/>
            </w:rPr>
          </w:pPr>
          <w:r>
            <w:rPr>
              <w:color w:val="auto"/>
              <w:sz w:val="28"/>
              <w:szCs w:val="28"/>
            </w:rPr>
            <w:fldChar w:fldCharType="begin"/>
          </w:r>
          <w:r>
            <w:rPr>
              <w:color w:val="auto"/>
              <w:sz w:val="28"/>
              <w:szCs w:val="28"/>
            </w:rPr>
            <w:instrText xml:space="preserve"> HYPERLINK \l _Toc15831_WPSOffice_Level1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799670745"/>
              <w:placeholder>
                <w:docPart w:val="{a5958c2c-12eb-4951-944c-fb7d04a51382}"/>
              </w:placeholder>
            </w:sdtPr>
            <w:sdtEndPr>
              <w:rPr>
                <w:rFonts w:ascii="Times New Roman" w:hAnsi="Times New Roman" w:eastAsia="宋体" w:cs="Times New Roman"/>
                <w:color w:val="auto"/>
                <w:sz w:val="28"/>
                <w:szCs w:val="28"/>
                <w:lang w:val="en-US" w:eastAsia="zh-CN" w:bidi="ar-SA"/>
              </w:rPr>
            </w:sdtEndPr>
            <w:sdtContent>
              <w:r>
                <w:rPr>
                  <w:rFonts w:hint="eastAsia" w:ascii="宋体" w:hAnsi="Times New Roman" w:eastAsia="宋体" w:cs="Times New Roman"/>
                  <w:color w:val="auto"/>
                  <w:sz w:val="28"/>
                  <w:szCs w:val="28"/>
                </w:rPr>
                <w:t>（5）采购需求偏离表</w:t>
              </w:r>
            </w:sdtContent>
          </w:sdt>
          <w:r>
            <w:rPr>
              <w:color w:val="auto"/>
              <w:sz w:val="28"/>
              <w:szCs w:val="28"/>
            </w:rPr>
            <w:tab/>
          </w:r>
          <w:bookmarkStart w:id="18" w:name="_Toc15831_WPSOffice_Level1Page"/>
          <w:r>
            <w:rPr>
              <w:color w:val="auto"/>
              <w:sz w:val="28"/>
              <w:szCs w:val="28"/>
            </w:rPr>
            <w:t>37</w:t>
          </w:r>
          <w:bookmarkEnd w:id="18"/>
          <w:r>
            <w:rPr>
              <w:color w:val="auto"/>
              <w:sz w:val="28"/>
              <w:szCs w:val="28"/>
            </w:rPr>
            <w:fldChar w:fldCharType="end"/>
          </w:r>
        </w:p>
        <w:p w14:paraId="10379DD6">
          <w:pPr>
            <w:pStyle w:val="196"/>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585" w:firstLineChars="209"/>
            <w:textAlignment w:val="auto"/>
            <w:rPr>
              <w:color w:val="auto"/>
              <w:sz w:val="28"/>
              <w:szCs w:val="28"/>
            </w:rPr>
          </w:pPr>
          <w:r>
            <w:rPr>
              <w:color w:val="auto"/>
              <w:sz w:val="28"/>
              <w:szCs w:val="28"/>
            </w:rPr>
            <w:fldChar w:fldCharType="begin"/>
          </w:r>
          <w:r>
            <w:rPr>
              <w:color w:val="auto"/>
              <w:sz w:val="28"/>
              <w:szCs w:val="28"/>
            </w:rPr>
            <w:instrText xml:space="preserve"> HYPERLINK \l _Toc21752_WPSOffice_Level1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694309294"/>
              <w:placeholder>
                <w:docPart w:val="{431606aa-abb9-4156-92bb-f97ff1a66fd5}"/>
              </w:placeholder>
            </w:sdtPr>
            <w:sdtEndPr>
              <w:rPr>
                <w:rFonts w:ascii="Times New Roman" w:hAnsi="Times New Roman" w:eastAsia="宋体" w:cs="Times New Roman"/>
                <w:color w:val="auto"/>
                <w:sz w:val="28"/>
                <w:szCs w:val="28"/>
                <w:lang w:val="en-US" w:eastAsia="zh-CN" w:bidi="ar-SA"/>
              </w:rPr>
            </w:sdtEndPr>
            <w:sdtContent>
              <w:r>
                <w:rPr>
                  <w:rFonts w:hint="eastAsia" w:ascii="宋体" w:hAnsi="Times New Roman" w:eastAsia="宋体" w:cs="Times New Roman"/>
                  <w:color w:val="auto"/>
                  <w:sz w:val="28"/>
                  <w:szCs w:val="28"/>
                </w:rPr>
                <w:t>（6）响应方基本情况表</w:t>
              </w:r>
            </w:sdtContent>
          </w:sdt>
          <w:r>
            <w:rPr>
              <w:color w:val="auto"/>
              <w:sz w:val="28"/>
              <w:szCs w:val="28"/>
            </w:rPr>
            <w:tab/>
          </w:r>
          <w:bookmarkStart w:id="19" w:name="_Toc21752_WPSOffice_Level1Page"/>
          <w:r>
            <w:rPr>
              <w:color w:val="auto"/>
              <w:sz w:val="28"/>
              <w:szCs w:val="28"/>
            </w:rPr>
            <w:t>38</w:t>
          </w:r>
          <w:bookmarkEnd w:id="19"/>
          <w:r>
            <w:rPr>
              <w:color w:val="auto"/>
              <w:sz w:val="28"/>
              <w:szCs w:val="28"/>
            </w:rPr>
            <w:fldChar w:fldCharType="end"/>
          </w:r>
        </w:p>
        <w:p w14:paraId="3038E038">
          <w:pPr>
            <w:pStyle w:val="196"/>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585" w:firstLineChars="209"/>
            <w:textAlignment w:val="auto"/>
            <w:rPr>
              <w:color w:val="auto"/>
              <w:sz w:val="28"/>
              <w:szCs w:val="28"/>
            </w:rPr>
          </w:pPr>
          <w:r>
            <w:rPr>
              <w:color w:val="auto"/>
              <w:sz w:val="28"/>
              <w:szCs w:val="28"/>
            </w:rPr>
            <w:fldChar w:fldCharType="begin"/>
          </w:r>
          <w:r>
            <w:rPr>
              <w:color w:val="auto"/>
              <w:sz w:val="28"/>
              <w:szCs w:val="28"/>
            </w:rPr>
            <w:instrText xml:space="preserve"> HYPERLINK \l _Toc4980_WPSOffice_Level1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899079579"/>
              <w:placeholder>
                <w:docPart w:val="{51dd69ef-e312-4e96-af01-f1a4dc42842d}"/>
              </w:placeholder>
            </w:sdtPr>
            <w:sdtEndPr>
              <w:rPr>
                <w:rFonts w:ascii="Times New Roman" w:hAnsi="Times New Roman" w:eastAsia="宋体" w:cs="Times New Roman"/>
                <w:color w:val="auto"/>
                <w:sz w:val="28"/>
                <w:szCs w:val="28"/>
                <w:lang w:val="en-US" w:eastAsia="zh-CN" w:bidi="ar-SA"/>
              </w:rPr>
            </w:sdtEndPr>
            <w:sdtContent>
              <w:r>
                <w:rPr>
                  <w:rFonts w:hint="eastAsia" w:ascii="宋体" w:hAnsi="Times New Roman" w:eastAsia="宋体" w:cs="Times New Roman"/>
                  <w:color w:val="auto"/>
                  <w:sz w:val="28"/>
                  <w:szCs w:val="28"/>
                </w:rPr>
                <w:t>（7）供应商同类合同一览表</w:t>
              </w:r>
            </w:sdtContent>
          </w:sdt>
          <w:r>
            <w:rPr>
              <w:color w:val="auto"/>
              <w:sz w:val="28"/>
              <w:szCs w:val="28"/>
            </w:rPr>
            <w:tab/>
          </w:r>
          <w:bookmarkStart w:id="20" w:name="_Toc4980_WPSOffice_Level1Page"/>
          <w:r>
            <w:rPr>
              <w:color w:val="auto"/>
              <w:sz w:val="28"/>
              <w:szCs w:val="28"/>
            </w:rPr>
            <w:t>39</w:t>
          </w:r>
          <w:bookmarkEnd w:id="20"/>
          <w:r>
            <w:rPr>
              <w:color w:val="auto"/>
              <w:sz w:val="28"/>
              <w:szCs w:val="28"/>
            </w:rPr>
            <w:fldChar w:fldCharType="end"/>
          </w:r>
        </w:p>
        <w:p w14:paraId="717E9201">
          <w:pPr>
            <w:pStyle w:val="196"/>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585" w:firstLineChars="209"/>
            <w:textAlignment w:val="auto"/>
            <w:rPr>
              <w:color w:val="auto"/>
              <w:sz w:val="28"/>
              <w:szCs w:val="28"/>
            </w:rPr>
          </w:pPr>
          <w:r>
            <w:rPr>
              <w:color w:val="auto"/>
              <w:sz w:val="28"/>
              <w:szCs w:val="28"/>
            </w:rPr>
            <w:fldChar w:fldCharType="begin"/>
          </w:r>
          <w:r>
            <w:rPr>
              <w:color w:val="auto"/>
              <w:sz w:val="28"/>
              <w:szCs w:val="28"/>
            </w:rPr>
            <w:instrText xml:space="preserve"> HYPERLINK \l _Toc31572_WPSOffice_Level1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73325279"/>
              <w:placeholder>
                <w:docPart w:val="{540a9bd7-920e-4aa6-b49b-11d5c2638a84}"/>
              </w:placeholder>
            </w:sdtPr>
            <w:sdtEndPr>
              <w:rPr>
                <w:rFonts w:ascii="Times New Roman" w:hAnsi="Times New Roman" w:eastAsia="宋体" w:cs="Times New Roman"/>
                <w:color w:val="auto"/>
                <w:sz w:val="28"/>
                <w:szCs w:val="28"/>
                <w:lang w:val="en-US" w:eastAsia="zh-CN" w:bidi="ar-SA"/>
              </w:rPr>
            </w:sdtEndPr>
            <w:sdtContent>
              <w:r>
                <w:rPr>
                  <w:rFonts w:hint="eastAsia" w:ascii="宋体" w:hAnsi="Times New Roman" w:eastAsia="宋体" w:cs="Times New Roman"/>
                  <w:color w:val="auto"/>
                  <w:sz w:val="28"/>
                  <w:szCs w:val="28"/>
                </w:rPr>
                <w:t>（8）详细技术和服务方案</w:t>
              </w:r>
            </w:sdtContent>
          </w:sdt>
          <w:r>
            <w:rPr>
              <w:color w:val="auto"/>
              <w:sz w:val="28"/>
              <w:szCs w:val="28"/>
            </w:rPr>
            <w:tab/>
          </w:r>
          <w:bookmarkStart w:id="21" w:name="_Toc31572_WPSOffice_Level1Page"/>
          <w:r>
            <w:rPr>
              <w:color w:val="auto"/>
              <w:sz w:val="28"/>
              <w:szCs w:val="28"/>
            </w:rPr>
            <w:t>40</w:t>
          </w:r>
          <w:bookmarkEnd w:id="21"/>
          <w:r>
            <w:rPr>
              <w:color w:val="auto"/>
              <w:sz w:val="28"/>
              <w:szCs w:val="28"/>
            </w:rPr>
            <w:fldChar w:fldCharType="end"/>
          </w:r>
        </w:p>
        <w:p w14:paraId="52E567C8">
          <w:pPr>
            <w:pStyle w:val="196"/>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585" w:firstLineChars="209"/>
            <w:textAlignment w:val="auto"/>
            <w:rPr>
              <w:color w:val="auto"/>
              <w:sz w:val="28"/>
              <w:szCs w:val="28"/>
            </w:rPr>
          </w:pPr>
          <w:r>
            <w:rPr>
              <w:color w:val="auto"/>
              <w:sz w:val="28"/>
              <w:szCs w:val="28"/>
            </w:rPr>
            <w:fldChar w:fldCharType="begin"/>
          </w:r>
          <w:r>
            <w:rPr>
              <w:color w:val="auto"/>
              <w:sz w:val="28"/>
              <w:szCs w:val="28"/>
            </w:rPr>
            <w:instrText xml:space="preserve"> HYPERLINK \l _Toc3307_WPSOffice_Level1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974610943"/>
              <w:placeholder>
                <w:docPart w:val="{d57b43dc-5eb0-4419-8832-e824feb7a6d3}"/>
              </w:placeholder>
            </w:sdtPr>
            <w:sdtEndPr>
              <w:rPr>
                <w:rFonts w:ascii="Times New Roman" w:hAnsi="Times New Roman" w:eastAsia="宋体" w:cs="Times New Roman"/>
                <w:color w:val="auto"/>
                <w:sz w:val="28"/>
                <w:szCs w:val="28"/>
                <w:lang w:val="en-US" w:eastAsia="zh-CN" w:bidi="ar-SA"/>
              </w:rPr>
            </w:sdtEndPr>
            <w:sdtContent>
              <w:r>
                <w:rPr>
                  <w:rFonts w:hint="eastAsia" w:ascii="宋体" w:hAnsi="Times New Roman" w:eastAsia="宋体" w:cs="Times New Roman"/>
                  <w:color w:val="auto"/>
                  <w:sz w:val="28"/>
                  <w:szCs w:val="28"/>
                </w:rPr>
                <w:t>（9）项目组成员一览表</w:t>
              </w:r>
            </w:sdtContent>
          </w:sdt>
          <w:r>
            <w:rPr>
              <w:color w:val="auto"/>
              <w:sz w:val="28"/>
              <w:szCs w:val="28"/>
            </w:rPr>
            <w:tab/>
          </w:r>
          <w:bookmarkStart w:id="22" w:name="_Toc3307_WPSOffice_Level1Page"/>
          <w:r>
            <w:rPr>
              <w:color w:val="auto"/>
              <w:sz w:val="28"/>
              <w:szCs w:val="28"/>
            </w:rPr>
            <w:t>40</w:t>
          </w:r>
          <w:bookmarkEnd w:id="22"/>
          <w:r>
            <w:rPr>
              <w:color w:val="auto"/>
              <w:sz w:val="28"/>
              <w:szCs w:val="28"/>
            </w:rPr>
            <w:fldChar w:fldCharType="end"/>
          </w:r>
        </w:p>
        <w:p w14:paraId="4752E0A7">
          <w:pPr>
            <w:pStyle w:val="196"/>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585" w:firstLineChars="209"/>
            <w:textAlignment w:val="auto"/>
            <w:rPr>
              <w:color w:val="auto"/>
              <w:sz w:val="28"/>
              <w:szCs w:val="28"/>
            </w:rPr>
          </w:pPr>
          <w:r>
            <w:rPr>
              <w:color w:val="auto"/>
              <w:sz w:val="28"/>
              <w:szCs w:val="28"/>
            </w:rPr>
            <w:fldChar w:fldCharType="begin"/>
          </w:r>
          <w:r>
            <w:rPr>
              <w:color w:val="auto"/>
              <w:sz w:val="28"/>
              <w:szCs w:val="28"/>
            </w:rPr>
            <w:instrText xml:space="preserve"> HYPERLINK \l _Toc8944_WPSOffice_Level1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126779359"/>
              <w:placeholder>
                <w:docPart w:val="{2175a4a7-db8d-4281-9ccc-baf6056b47ff}"/>
              </w:placeholder>
            </w:sdtPr>
            <w:sdtEndPr>
              <w:rPr>
                <w:rFonts w:ascii="Times New Roman" w:hAnsi="Times New Roman" w:eastAsia="宋体" w:cs="Times New Roman"/>
                <w:color w:val="auto"/>
                <w:sz w:val="28"/>
                <w:szCs w:val="28"/>
                <w:lang w:val="en-US" w:eastAsia="zh-CN" w:bidi="ar-SA"/>
              </w:rPr>
            </w:sdtEndPr>
            <w:sdtContent>
              <w:r>
                <w:rPr>
                  <w:rFonts w:hint="eastAsia" w:ascii="宋体" w:hAnsi="Times New Roman" w:eastAsia="宋体" w:cs="Times New Roman"/>
                  <w:color w:val="auto"/>
                  <w:sz w:val="28"/>
                  <w:szCs w:val="28"/>
                </w:rPr>
                <w:t>（10）关于对磋商文件中有关条款的拒绝声明(如有)</w:t>
              </w:r>
            </w:sdtContent>
          </w:sdt>
          <w:r>
            <w:rPr>
              <w:color w:val="auto"/>
              <w:sz w:val="28"/>
              <w:szCs w:val="28"/>
            </w:rPr>
            <w:tab/>
          </w:r>
          <w:bookmarkStart w:id="23" w:name="_Toc8944_WPSOffice_Level1Page"/>
          <w:r>
            <w:rPr>
              <w:color w:val="auto"/>
              <w:sz w:val="28"/>
              <w:szCs w:val="28"/>
            </w:rPr>
            <w:t>40</w:t>
          </w:r>
          <w:bookmarkEnd w:id="23"/>
          <w:r>
            <w:rPr>
              <w:color w:val="auto"/>
              <w:sz w:val="28"/>
              <w:szCs w:val="28"/>
            </w:rPr>
            <w:fldChar w:fldCharType="end"/>
          </w:r>
        </w:p>
        <w:p w14:paraId="3606D9C8">
          <w:pPr>
            <w:pStyle w:val="196"/>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8"/>
              <w:szCs w:val="28"/>
            </w:rPr>
          </w:pPr>
          <w:r>
            <w:rPr>
              <w:color w:val="auto"/>
              <w:sz w:val="28"/>
              <w:szCs w:val="28"/>
            </w:rPr>
            <w:fldChar w:fldCharType="begin"/>
          </w:r>
          <w:r>
            <w:rPr>
              <w:color w:val="auto"/>
              <w:sz w:val="28"/>
              <w:szCs w:val="28"/>
            </w:rPr>
            <w:instrText xml:space="preserve"> HYPERLINK \l _Toc19759_WPSOffice_Level1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693443860"/>
              <w:placeholder>
                <w:docPart w:val="{7f394106-1fb3-4a5c-9378-80d909b4e623}"/>
              </w:placeholder>
            </w:sdtPr>
            <w:sdtEndPr>
              <w:rPr>
                <w:rFonts w:ascii="Times New Roman" w:hAnsi="Times New Roman" w:eastAsia="宋体" w:cs="Times New Roman"/>
                <w:color w:val="auto"/>
                <w:sz w:val="28"/>
                <w:szCs w:val="28"/>
                <w:lang w:val="en-US" w:eastAsia="zh-CN" w:bidi="ar-SA"/>
              </w:rPr>
            </w:sdtEndPr>
            <w:sdtContent>
              <w:r>
                <w:rPr>
                  <w:rFonts w:hint="eastAsia" w:ascii="宋体" w:hAnsi="Times New Roman" w:eastAsia="宋体" w:cs="Times New Roman"/>
                  <w:color w:val="auto"/>
                  <w:sz w:val="28"/>
                  <w:szCs w:val="28"/>
                </w:rPr>
                <w:t>评分标准索引表</w:t>
              </w:r>
            </w:sdtContent>
          </w:sdt>
          <w:r>
            <w:rPr>
              <w:color w:val="auto"/>
              <w:sz w:val="28"/>
              <w:szCs w:val="28"/>
            </w:rPr>
            <w:tab/>
          </w:r>
          <w:bookmarkStart w:id="24" w:name="_Toc19759_WPSOffice_Level1Page"/>
          <w:r>
            <w:rPr>
              <w:color w:val="auto"/>
              <w:sz w:val="28"/>
              <w:szCs w:val="28"/>
            </w:rPr>
            <w:t>41</w:t>
          </w:r>
          <w:bookmarkEnd w:id="24"/>
          <w:r>
            <w:rPr>
              <w:color w:val="auto"/>
              <w:sz w:val="28"/>
              <w:szCs w:val="28"/>
            </w:rPr>
            <w:fldChar w:fldCharType="end"/>
          </w:r>
        </w:p>
        <w:bookmarkEnd w:id="0"/>
        <w:p w14:paraId="3DD7207F">
          <w:pPr>
            <w:pStyle w:val="196"/>
            <w:tabs>
              <w:tab w:val="right" w:leader="dot" w:pos="9413"/>
            </w:tabs>
            <w:rPr>
              <w:color w:val="auto"/>
            </w:rPr>
          </w:pPr>
        </w:p>
      </w:sdtContent>
    </w:sdt>
    <w:p w14:paraId="057D58D8">
      <w:pPr>
        <w:pStyle w:val="26"/>
        <w:tabs>
          <w:tab w:val="right" w:leader="dot" w:pos="9413"/>
        </w:tabs>
        <w:rPr>
          <w:color w:val="auto"/>
          <w:sz w:val="28"/>
          <w:szCs w:val="28"/>
        </w:rPr>
      </w:pPr>
      <w:r>
        <w:rPr>
          <w:color w:val="auto"/>
          <w:sz w:val="28"/>
          <w:szCs w:val="28"/>
        </w:rPr>
        <w:fldChar w:fldCharType="begin"/>
      </w:r>
      <w:r>
        <w:rPr>
          <w:color w:val="auto"/>
          <w:sz w:val="28"/>
          <w:szCs w:val="28"/>
        </w:rPr>
        <w:instrText xml:space="preserve">TOC \o "1-3" \h \u </w:instrText>
      </w:r>
      <w:r>
        <w:rPr>
          <w:color w:val="auto"/>
          <w:sz w:val="28"/>
          <w:szCs w:val="28"/>
        </w:rPr>
        <w:fldChar w:fldCharType="separate"/>
      </w:r>
    </w:p>
    <w:p w14:paraId="2735BF6D">
      <w:pPr>
        <w:rPr>
          <w:color w:val="auto"/>
        </w:rPr>
      </w:pPr>
      <w:r>
        <w:rPr>
          <w:color w:val="auto"/>
          <w:sz w:val="28"/>
          <w:szCs w:val="28"/>
        </w:rPr>
        <w:fldChar w:fldCharType="end"/>
      </w:r>
    </w:p>
    <w:p w14:paraId="145DD87E">
      <w:pPr>
        <w:pStyle w:val="4"/>
        <w:tabs>
          <w:tab w:val="right" w:leader="dot" w:pos="9000"/>
        </w:tabs>
        <w:snapToGrid w:val="0"/>
        <w:spacing w:before="0" w:after="0"/>
        <w:outlineLvl w:val="0"/>
        <w:rPr>
          <w:rStyle w:val="55"/>
          <w:b/>
          <w:color w:val="auto"/>
        </w:rPr>
      </w:pPr>
      <w:r>
        <w:rPr>
          <w:color w:val="auto"/>
          <w:sz w:val="24"/>
        </w:rPr>
        <w:br w:type="page"/>
      </w:r>
      <w:bookmarkStart w:id="25" w:name="_Toc118516209"/>
      <w:bookmarkStart w:id="26" w:name="_Toc171394907"/>
      <w:bookmarkStart w:id="27" w:name="_Toc25143"/>
      <w:bookmarkStart w:id="28" w:name="_Toc7321"/>
      <w:bookmarkStart w:id="29" w:name="_Toc27478"/>
      <w:bookmarkStart w:id="30" w:name="_Toc440"/>
      <w:bookmarkStart w:id="31" w:name="_Toc7090"/>
      <w:bookmarkStart w:id="32" w:name="_Toc10391"/>
      <w:bookmarkStart w:id="33" w:name="_Toc938"/>
      <w:bookmarkStart w:id="34" w:name="_Toc25841"/>
      <w:bookmarkStart w:id="35" w:name="_Toc433537961"/>
      <w:bookmarkStart w:id="36" w:name="_Toc14280"/>
      <w:bookmarkStart w:id="37" w:name="_Toc24330"/>
      <w:bookmarkStart w:id="38" w:name="_Toc32381"/>
      <w:bookmarkStart w:id="39" w:name="_Toc4547"/>
      <w:bookmarkStart w:id="40" w:name="_Toc4488"/>
      <w:bookmarkStart w:id="41" w:name="_Toc12840"/>
      <w:bookmarkStart w:id="42" w:name="_Toc20259"/>
      <w:bookmarkStart w:id="43" w:name="_Toc17969"/>
      <w:bookmarkStart w:id="44" w:name="_Toc9372"/>
      <w:bookmarkStart w:id="45" w:name="_Toc3034"/>
      <w:bookmarkStart w:id="46" w:name="_Toc23298"/>
      <w:bookmarkStart w:id="47" w:name="_Toc6441"/>
      <w:bookmarkStart w:id="48" w:name="_Toc15311"/>
      <w:bookmarkStart w:id="49" w:name="_Toc29876"/>
      <w:bookmarkStart w:id="50" w:name="_Toc12082_WPSOffice_Level1"/>
      <w:bookmarkStart w:id="51" w:name="_Toc16674"/>
      <w:bookmarkStart w:id="52" w:name="_Toc14546"/>
      <w:bookmarkStart w:id="53" w:name="_Toc9769"/>
      <w:bookmarkStart w:id="54" w:name="_Toc12052"/>
      <w:bookmarkStart w:id="55" w:name="_Toc23312_WPSOffice_Level1"/>
      <w:bookmarkStart w:id="56" w:name="_Toc13062"/>
      <w:bookmarkStart w:id="57" w:name="_Toc3154"/>
      <w:bookmarkStart w:id="58" w:name="_Toc32496"/>
      <w:bookmarkStart w:id="59" w:name="_Toc9280"/>
      <w:bookmarkStart w:id="60" w:name="_Toc10026"/>
      <w:bookmarkStart w:id="61" w:name="_Toc29438"/>
      <w:r>
        <w:rPr>
          <w:rStyle w:val="55"/>
          <w:rFonts w:hint="eastAsia"/>
          <w:b/>
          <w:color w:val="auto"/>
        </w:rPr>
        <w:t>第一部分</w:t>
      </w:r>
      <w:bookmarkEnd w:id="25"/>
      <w:r>
        <w:rPr>
          <w:rStyle w:val="55"/>
          <w:b/>
          <w:color w:val="auto"/>
        </w:rPr>
        <w:t xml:space="preserve"> </w:t>
      </w:r>
      <w:r>
        <w:rPr>
          <w:rStyle w:val="55"/>
          <w:rFonts w:hint="eastAsia"/>
          <w:b/>
          <w:color w:val="auto"/>
        </w:rPr>
        <w:t>竞争性磋商</w:t>
      </w:r>
      <w:bookmarkEnd w:id="26"/>
      <w:r>
        <w:rPr>
          <w:rStyle w:val="55"/>
          <w:rFonts w:hint="eastAsia"/>
          <w:b/>
          <w:color w:val="auto"/>
        </w:rPr>
        <w:t>公告</w:t>
      </w:r>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14:paraId="248121A8">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62" w:name="_Toc171394908"/>
      <w:bookmarkStart w:id="63" w:name="_Toc171394910"/>
      <w:bookmarkStart w:id="64" w:name="_Toc309064919"/>
      <w:r>
        <w:rPr>
          <w:rFonts w:hint="eastAsia" w:asciiTheme="minorEastAsia" w:hAnsiTheme="minorEastAsia" w:eastAsiaTheme="minorEastAsia" w:cstheme="minorEastAsia"/>
          <w:color w:val="auto"/>
          <w:sz w:val="24"/>
          <w:szCs w:val="24"/>
        </w:rPr>
        <w:t>根据杭州电子科技大学采购管理办法，参照《中华人民共和国政府采购法》、《中华</w:t>
      </w:r>
      <w:r>
        <w:rPr>
          <w:rFonts w:hint="eastAsia" w:asciiTheme="minorEastAsia" w:hAnsiTheme="minorEastAsia" w:eastAsiaTheme="minorEastAsia" w:cstheme="minorEastAsia"/>
          <w:color w:val="auto"/>
          <w:sz w:val="24"/>
          <w:szCs w:val="24"/>
        </w:rPr>
        <w:t>人民共和国政府采购法实施条例》、《政府采购竞争性磋商采购方式管理暂行办法》、《浙江省政府采购活动现场组织管理办法》等法律法规部分相关条款，现就杭州电子科技大学“一生一档”学生学籍档案数据服务平台开发服务项目进行竞争性磋商(简称磋商)采购，欢迎国内合格的供应商前来参加。</w:t>
      </w:r>
    </w:p>
    <w:p w14:paraId="6C4D3ABC">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default" w:asciiTheme="minorEastAsia" w:hAnsiTheme="minorEastAsia" w:eastAsiaTheme="minorEastAsia" w:cstheme="minorEastAsia"/>
          <w:color w:val="auto"/>
          <w:sz w:val="24"/>
          <w:szCs w:val="24"/>
          <w:lang w:val="en-US" w:eastAsia="zh-CN"/>
        </w:rPr>
      </w:pPr>
      <w:bookmarkStart w:id="65" w:name="_Toc12969"/>
      <w:bookmarkStart w:id="66" w:name="_Toc25225"/>
      <w:bookmarkStart w:id="67" w:name="_Toc6517"/>
      <w:bookmarkStart w:id="68" w:name="_Toc28017"/>
      <w:bookmarkStart w:id="69" w:name="_Toc19591"/>
      <w:bookmarkStart w:id="70" w:name="_Toc21083"/>
      <w:bookmarkStart w:id="71" w:name="_Toc10031"/>
      <w:bookmarkStart w:id="72" w:name="_Toc433537963"/>
      <w:bookmarkStart w:id="73" w:name="_Toc183786415"/>
      <w:r>
        <w:rPr>
          <w:rFonts w:hint="eastAsia" w:asciiTheme="minorEastAsia" w:hAnsiTheme="minorEastAsia" w:eastAsiaTheme="minorEastAsia" w:cstheme="minorEastAsia"/>
          <w:b/>
          <w:bCs/>
          <w:color w:val="auto"/>
          <w:sz w:val="24"/>
          <w:szCs w:val="24"/>
        </w:rPr>
        <w:t>一、</w:t>
      </w:r>
      <w:bookmarkEnd w:id="62"/>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：202</w:t>
      </w: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rPr>
        <w:t>-JH-CS</w:t>
      </w:r>
      <w:r>
        <w:rPr>
          <w:rFonts w:hint="eastAsia" w:asciiTheme="minorEastAsia" w:hAnsiTheme="minorEastAsia" w:eastAsiaTheme="minorEastAsia" w:cstheme="minorEastAsia"/>
          <w:color w:val="auto"/>
          <w:sz w:val="24"/>
          <w:szCs w:val="24"/>
          <w:lang w:val="en-US" w:eastAsia="zh-CN"/>
        </w:rPr>
        <w:t>14</w:t>
      </w:r>
    </w:p>
    <w:p w14:paraId="415B4A5D">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14:paraId="3C008B12">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5"/>
        <w:tblW w:w="93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
        <w:gridCol w:w="2805"/>
        <w:gridCol w:w="4530"/>
        <w:gridCol w:w="1245"/>
      </w:tblGrid>
      <w:tr w14:paraId="4F1B7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84" w:type="dxa"/>
            <w:vAlign w:val="center"/>
          </w:tcPr>
          <w:p w14:paraId="6664D945">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序号</w:t>
            </w:r>
          </w:p>
        </w:tc>
        <w:tc>
          <w:tcPr>
            <w:tcW w:w="2805" w:type="dxa"/>
            <w:tcBorders>
              <w:right w:val="single" w:color="000000" w:sz="4" w:space="0"/>
            </w:tcBorders>
            <w:vAlign w:val="center"/>
          </w:tcPr>
          <w:p w14:paraId="12F1F967">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项目名称</w:t>
            </w:r>
          </w:p>
        </w:tc>
        <w:tc>
          <w:tcPr>
            <w:tcW w:w="4530" w:type="dxa"/>
            <w:tcBorders>
              <w:right w:val="single" w:color="000000" w:sz="4" w:space="0"/>
            </w:tcBorders>
            <w:vAlign w:val="center"/>
          </w:tcPr>
          <w:p w14:paraId="42B26440">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简述</w:t>
            </w:r>
          </w:p>
        </w:tc>
        <w:tc>
          <w:tcPr>
            <w:tcW w:w="1245" w:type="dxa"/>
            <w:vAlign w:val="center"/>
          </w:tcPr>
          <w:p w14:paraId="68CC9A86">
            <w:pPr>
              <w:spacing w:line="400" w:lineRule="exact"/>
              <w:ind w:firstLine="211"/>
              <w:jc w:val="center"/>
              <w:rPr>
                <w:rFonts w:ascii="宋体" w:hAnsi="宋体" w:cs="宋体"/>
                <w:bCs/>
                <w:color w:val="auto"/>
                <w:spacing w:val="-6"/>
                <w:sz w:val="24"/>
                <w:szCs w:val="24"/>
              </w:rPr>
            </w:pPr>
            <w:r>
              <w:rPr>
                <w:rFonts w:hint="eastAsia" w:ascii="宋体" w:hAnsi="宋体" w:cs="宋体"/>
                <w:bCs/>
                <w:color w:val="auto"/>
                <w:spacing w:val="-6"/>
                <w:sz w:val="24"/>
                <w:szCs w:val="24"/>
              </w:rPr>
              <w:t>预算</w:t>
            </w:r>
          </w:p>
        </w:tc>
      </w:tr>
      <w:tr w14:paraId="3C6DD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7" w:hRule="atLeast"/>
        </w:trPr>
        <w:tc>
          <w:tcPr>
            <w:tcW w:w="784" w:type="dxa"/>
            <w:vAlign w:val="center"/>
          </w:tcPr>
          <w:p w14:paraId="132F52CD">
            <w:pPr>
              <w:spacing w:line="420" w:lineRule="exact"/>
              <w:jc w:val="center"/>
              <w:rPr>
                <w:rFonts w:ascii="宋体" w:hAnsi="宋体"/>
                <w:color w:val="auto"/>
                <w:sz w:val="24"/>
                <w:szCs w:val="24"/>
              </w:rPr>
            </w:pPr>
            <w:r>
              <w:rPr>
                <w:rFonts w:hint="eastAsia" w:ascii="宋体" w:hAnsi="宋体"/>
                <w:color w:val="auto"/>
                <w:sz w:val="24"/>
                <w:szCs w:val="24"/>
              </w:rPr>
              <w:t>1</w:t>
            </w:r>
          </w:p>
        </w:tc>
        <w:tc>
          <w:tcPr>
            <w:tcW w:w="2805" w:type="dxa"/>
            <w:tcBorders>
              <w:right w:val="single" w:color="000000" w:sz="4" w:space="0"/>
            </w:tcBorders>
            <w:vAlign w:val="center"/>
          </w:tcPr>
          <w:p w14:paraId="0DB3B8BD">
            <w:pPr>
              <w:spacing w:line="420" w:lineRule="exact"/>
              <w:jc w:val="center"/>
              <w:rPr>
                <w:rFonts w:ascii="宋体" w:hAnsi="宋体"/>
                <w:color w:val="auto"/>
                <w:sz w:val="24"/>
                <w:szCs w:val="24"/>
              </w:rPr>
            </w:pPr>
            <w:r>
              <w:rPr>
                <w:rFonts w:hint="eastAsia" w:ascii="宋体" w:hAnsi="宋体"/>
                <w:color w:val="auto"/>
                <w:sz w:val="24"/>
                <w:szCs w:val="24"/>
                <w:lang w:val="en-US" w:eastAsia="zh-CN"/>
              </w:rPr>
              <w:t>杭州电子科技大学</w:t>
            </w:r>
            <w:r>
              <w:rPr>
                <w:rFonts w:hint="eastAsia" w:ascii="宋体" w:hAnsi="宋体"/>
                <w:color w:val="auto"/>
                <w:sz w:val="24"/>
                <w:szCs w:val="24"/>
              </w:rPr>
              <w:t>“一生一档”学生学籍档案数据服务平台开发服务</w:t>
            </w:r>
          </w:p>
        </w:tc>
        <w:tc>
          <w:tcPr>
            <w:tcW w:w="4530" w:type="dxa"/>
            <w:tcBorders>
              <w:right w:val="single" w:color="000000" w:sz="4" w:space="0"/>
            </w:tcBorders>
            <w:vAlign w:val="center"/>
          </w:tcPr>
          <w:p w14:paraId="54DD1FD7">
            <w:pPr>
              <w:spacing w:line="420" w:lineRule="exact"/>
              <w:jc w:val="center"/>
              <w:rPr>
                <w:rFonts w:ascii="宋体" w:hAnsi="宋体"/>
                <w:color w:val="auto"/>
                <w:sz w:val="24"/>
                <w:szCs w:val="24"/>
              </w:rPr>
            </w:pPr>
            <w:r>
              <w:rPr>
                <w:rFonts w:hint="eastAsia" w:ascii="宋体" w:hAnsi="宋体" w:cs="宋体"/>
                <w:color w:val="auto"/>
                <w:sz w:val="24"/>
              </w:rPr>
              <w:t>平台搭建、历史学籍数据归集治理、图文档案关联、档案库搭建全流程服务，建成稳定可用校级学生数字档案管理系统</w:t>
            </w:r>
          </w:p>
        </w:tc>
        <w:tc>
          <w:tcPr>
            <w:tcW w:w="1245" w:type="dxa"/>
            <w:vAlign w:val="center"/>
          </w:tcPr>
          <w:p w14:paraId="68E245B0">
            <w:pPr>
              <w:spacing w:line="420" w:lineRule="exact"/>
              <w:jc w:val="center"/>
              <w:rPr>
                <w:rFonts w:hint="eastAsia" w:ascii="宋体" w:hAnsi="宋体" w:eastAsia="宋体"/>
                <w:color w:val="auto"/>
                <w:sz w:val="24"/>
                <w:szCs w:val="24"/>
                <w:lang w:val="en-US" w:eastAsia="zh-CN"/>
              </w:rPr>
            </w:pPr>
            <w:r>
              <w:rPr>
                <w:rFonts w:hint="eastAsia" w:ascii="宋体" w:hAnsi="宋体" w:cs="宋体"/>
                <w:color w:val="auto"/>
                <w:sz w:val="24"/>
              </w:rPr>
              <w:t>150000</w:t>
            </w:r>
            <w:r>
              <w:rPr>
                <w:rFonts w:hint="eastAsia" w:ascii="宋体" w:hAnsi="宋体" w:cs="宋体"/>
                <w:color w:val="auto"/>
                <w:sz w:val="24"/>
                <w:lang w:val="en-US" w:eastAsia="zh-CN"/>
              </w:rPr>
              <w:t>元</w:t>
            </w:r>
          </w:p>
        </w:tc>
      </w:tr>
    </w:tbl>
    <w:p w14:paraId="022AB020">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63"/>
      <w:bookmarkEnd w:id="64"/>
    </w:p>
    <w:p w14:paraId="5680B089">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4DA49550">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74" w:name="_Toc171394913"/>
      <w:r>
        <w:rPr>
          <w:rFonts w:hint="eastAsia" w:ascii="宋体" w:hAnsi="宋体"/>
          <w:color w:val="auto"/>
          <w:sz w:val="24"/>
          <w:szCs w:val="24"/>
        </w:rPr>
        <w:t>2.落实政府采购政策需满足的资格要求：</w:t>
      </w:r>
      <w:r>
        <w:rPr>
          <w:rFonts w:hint="eastAsia" w:ascii="宋体" w:hAnsi="宋体"/>
          <w:b/>
          <w:bCs/>
          <w:color w:val="auto"/>
          <w:sz w:val="24"/>
          <w:szCs w:val="24"/>
          <w:lang w:val="en-US" w:eastAsia="zh-CN"/>
        </w:rPr>
        <w:t>本项目整体专门面向中小企业采购</w:t>
      </w:r>
      <w:r>
        <w:rPr>
          <w:rFonts w:hint="eastAsia" w:ascii="宋体" w:hAnsi="宋体"/>
          <w:color w:val="auto"/>
          <w:sz w:val="24"/>
          <w:szCs w:val="24"/>
          <w:lang w:val="en-US" w:eastAsia="zh-CN"/>
        </w:rPr>
        <w:t>。监狱企业、残疾人福利性单位视同小型、微型企业</w:t>
      </w:r>
      <w:r>
        <w:rPr>
          <w:rFonts w:hint="eastAsia" w:ascii="宋体" w:hAnsi="宋体"/>
          <w:color w:val="auto"/>
          <w:sz w:val="24"/>
          <w:szCs w:val="24"/>
        </w:rPr>
        <w:t>。</w:t>
      </w:r>
    </w:p>
    <w:p w14:paraId="1969F4CF">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3.本项目的特定资格要求：无。</w:t>
      </w:r>
    </w:p>
    <w:p w14:paraId="2D47A452">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四、竞争性磋商文件的获取：</w:t>
      </w:r>
    </w:p>
    <w:p w14:paraId="4A050060">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w:t>
      </w: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9</w:t>
      </w:r>
      <w:r>
        <w:rPr>
          <w:rFonts w:hint="eastAsia" w:ascii="宋体" w:hAnsi="宋体"/>
          <w:color w:val="auto"/>
          <w:sz w:val="24"/>
          <w:szCs w:val="24"/>
        </w:rPr>
        <w:t>月</w:t>
      </w:r>
      <w:r>
        <w:rPr>
          <w:rFonts w:hint="default" w:ascii="宋体" w:hAnsi="宋体"/>
          <w:color w:val="auto"/>
          <w:sz w:val="24"/>
          <w:szCs w:val="24"/>
          <w:woUserID w:val="1"/>
        </w:rPr>
        <w:t>28</w:t>
      </w:r>
      <w:r>
        <w:rPr>
          <w:rFonts w:hint="eastAsia" w:ascii="宋体" w:hAnsi="宋体"/>
          <w:color w:val="auto"/>
          <w:sz w:val="24"/>
          <w:szCs w:val="24"/>
        </w:rPr>
        <w:t>日至202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10</w:t>
      </w:r>
      <w:r>
        <w:rPr>
          <w:rFonts w:hint="eastAsia" w:ascii="宋体" w:hAnsi="宋体"/>
          <w:color w:val="auto"/>
          <w:sz w:val="24"/>
          <w:szCs w:val="24"/>
        </w:rPr>
        <w:t>月</w:t>
      </w:r>
      <w:r>
        <w:rPr>
          <w:rFonts w:hint="default" w:ascii="宋体" w:hAnsi="宋体"/>
          <w:color w:val="auto"/>
          <w:sz w:val="24"/>
          <w:szCs w:val="24"/>
          <w:woUserID w:val="1"/>
        </w:rPr>
        <w:t>13</w:t>
      </w:r>
      <w:r>
        <w:rPr>
          <w:rFonts w:hint="eastAsia" w:ascii="宋体" w:hAnsi="宋体"/>
          <w:color w:val="auto"/>
          <w:sz w:val="24"/>
          <w:szCs w:val="24"/>
        </w:rPr>
        <w:t>日</w:t>
      </w:r>
      <w:r>
        <w:rPr>
          <w:rFonts w:hint="eastAsia" w:ascii="宋体" w:hAnsi="宋体"/>
          <w:color w:val="auto"/>
          <w:sz w:val="24"/>
          <w:szCs w:val="24"/>
        </w:rPr>
        <w:t>，上午00:00至12:00，下午12:00至23:59（北京时间，线上获取法定节假日均可，线下获取双休日及法定节假日除外）。</w:t>
      </w:r>
    </w:p>
    <w:p w14:paraId="31CBC12B">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14:paraId="3F48CA9E">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3.方式：供应商登录政采云平台（https://www.zcygov.cn）在线申请获取采购文件（进入“项目采购”应</w:t>
      </w:r>
      <w:r>
        <w:rPr>
          <w:rFonts w:hint="eastAsia" w:ascii="宋体" w:hAnsi="宋体"/>
          <w:color w:val="auto"/>
          <w:sz w:val="24"/>
          <w:szCs w:val="24"/>
        </w:rPr>
        <w:t>用，在获取采购文件菜单中选择项目，申请获取采购文件。</w:t>
      </w:r>
    </w:p>
    <w:p w14:paraId="0F939F1E">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4、获取文件联系人：</w:t>
      </w:r>
      <w:r>
        <w:rPr>
          <w:rFonts w:hint="eastAsia" w:ascii="宋体" w:hAnsi="宋体"/>
          <w:color w:val="auto"/>
          <w:sz w:val="24"/>
          <w:szCs w:val="24"/>
          <w:lang w:val="en-US" w:eastAsia="zh-CN"/>
        </w:rPr>
        <w:t>施</w:t>
      </w:r>
      <w:r>
        <w:rPr>
          <w:rFonts w:hint="eastAsia" w:ascii="宋体" w:hAnsi="宋体"/>
          <w:color w:val="auto"/>
          <w:sz w:val="24"/>
          <w:szCs w:val="24"/>
        </w:rPr>
        <w:t>老师；联系方式：0571-87713548。</w:t>
      </w:r>
    </w:p>
    <w:p w14:paraId="41BD3487">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w:t>
      </w:r>
      <w:r>
        <w:rPr>
          <w:rFonts w:hint="eastAsia" w:ascii="宋体" w:hAnsi="宋体"/>
          <w:color w:val="auto"/>
          <w:sz w:val="24"/>
          <w:szCs w:val="24"/>
          <w:lang w:val="en-US" w:eastAsia="zh-CN"/>
        </w:rPr>
        <w:t>响应方</w:t>
      </w:r>
      <w:r>
        <w:rPr>
          <w:rFonts w:hint="eastAsia" w:ascii="宋体" w:hAnsi="宋体"/>
          <w:color w:val="auto"/>
          <w:sz w:val="24"/>
          <w:szCs w:val="24"/>
        </w:rPr>
        <w:t>未按照本公告规定的方式获取文件的，</w:t>
      </w:r>
      <w:r>
        <w:rPr>
          <w:rFonts w:hint="eastAsia" w:ascii="宋体" w:hAnsi="宋体"/>
          <w:color w:val="auto"/>
          <w:sz w:val="24"/>
          <w:szCs w:val="24"/>
          <w:lang w:val="en-US" w:eastAsia="zh-CN"/>
        </w:rPr>
        <w:t>响应</w:t>
      </w:r>
      <w:r>
        <w:rPr>
          <w:rFonts w:hint="eastAsia" w:ascii="宋体" w:hAnsi="宋体"/>
          <w:color w:val="auto"/>
          <w:sz w:val="24"/>
          <w:szCs w:val="24"/>
        </w:rPr>
        <w:t>文件将被拒绝。</w:t>
      </w:r>
    </w:p>
    <w:p w14:paraId="607E78DA">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b w:val="0"/>
          <w:bCs w:val="0"/>
          <w:color w:val="auto"/>
          <w:sz w:val="24"/>
          <w:szCs w:val="24"/>
        </w:rPr>
        <w:t>0元。</w:t>
      </w:r>
    </w:p>
    <w:p w14:paraId="112AAE37">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六、响应文件提交（上传）</w:t>
      </w:r>
    </w:p>
    <w:p w14:paraId="41C63FC4">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b/>
          <w:bCs/>
          <w:color w:val="auto"/>
          <w:sz w:val="24"/>
          <w:szCs w:val="24"/>
        </w:rPr>
      </w:pPr>
      <w:r>
        <w:rPr>
          <w:rFonts w:hint="eastAsia" w:ascii="宋体" w:hAnsi="宋体"/>
          <w:color w:val="auto"/>
          <w:sz w:val="24"/>
          <w:szCs w:val="24"/>
        </w:rPr>
        <w:t>截止时间：</w:t>
      </w:r>
      <w:r>
        <w:rPr>
          <w:rFonts w:hint="eastAsia" w:ascii="宋体" w:hAnsi="宋体"/>
          <w:b/>
          <w:bCs/>
          <w:color w:val="auto"/>
          <w:sz w:val="24"/>
          <w:szCs w:val="24"/>
        </w:rPr>
        <w:t>202</w:t>
      </w:r>
      <w:r>
        <w:rPr>
          <w:rFonts w:hint="eastAsia" w:ascii="宋体" w:hAnsi="宋体"/>
          <w:b/>
          <w:bCs/>
          <w:color w:val="auto"/>
          <w:sz w:val="24"/>
          <w:szCs w:val="24"/>
          <w:lang w:val="en-US" w:eastAsia="zh-CN"/>
        </w:rPr>
        <w:t>6</w:t>
      </w:r>
      <w:r>
        <w:rPr>
          <w:rFonts w:hint="eastAsia" w:ascii="宋体" w:hAnsi="宋体"/>
          <w:b/>
          <w:bCs/>
          <w:color w:val="auto"/>
          <w:sz w:val="24"/>
          <w:szCs w:val="24"/>
        </w:rPr>
        <w:t>年</w:t>
      </w:r>
      <w:r>
        <w:rPr>
          <w:rFonts w:hint="default" w:ascii="宋体" w:hAnsi="宋体"/>
          <w:b/>
          <w:bCs/>
          <w:color w:val="auto"/>
          <w:sz w:val="24"/>
          <w:szCs w:val="24"/>
          <w:woUserID w:val="1"/>
        </w:rPr>
        <w:t>10</w:t>
      </w:r>
      <w:r>
        <w:rPr>
          <w:rFonts w:hint="eastAsia" w:ascii="宋体" w:hAnsi="宋体"/>
          <w:b/>
          <w:bCs/>
          <w:color w:val="auto"/>
          <w:sz w:val="24"/>
          <w:szCs w:val="24"/>
        </w:rPr>
        <w:t>月</w:t>
      </w:r>
      <w:r>
        <w:rPr>
          <w:rFonts w:hint="default" w:ascii="宋体" w:hAnsi="宋体"/>
          <w:b/>
          <w:bCs/>
          <w:color w:val="auto"/>
          <w:sz w:val="24"/>
          <w:szCs w:val="24"/>
          <w:woUserID w:val="1"/>
        </w:rPr>
        <w:t>13</w:t>
      </w:r>
      <w:r>
        <w:rPr>
          <w:rFonts w:hint="eastAsia" w:ascii="宋体" w:hAnsi="宋体"/>
          <w:b/>
          <w:bCs/>
          <w:color w:val="auto"/>
          <w:sz w:val="24"/>
          <w:szCs w:val="24"/>
        </w:rPr>
        <w:t>日</w:t>
      </w:r>
      <w:r>
        <w:rPr>
          <w:rFonts w:hint="eastAsia" w:ascii="宋体" w:hAnsi="宋体"/>
          <w:b/>
          <w:bCs/>
          <w:color w:val="auto"/>
          <w:sz w:val="24"/>
          <w:szCs w:val="24"/>
        </w:rPr>
        <w:t xml:space="preserve">上午9时整 </w:t>
      </w:r>
    </w:p>
    <w:p w14:paraId="32A8214D">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地点（网址）：政府采购云平台（https://login.zcygov.cn）</w:t>
      </w:r>
    </w:p>
    <w:p w14:paraId="2C0E8677">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七、响应文件开启</w:t>
      </w:r>
    </w:p>
    <w:p w14:paraId="74B88503">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开启时间：</w:t>
      </w:r>
      <w:r>
        <w:rPr>
          <w:rFonts w:hint="eastAsia" w:ascii="宋体" w:hAnsi="宋体"/>
          <w:b/>
          <w:bCs/>
          <w:color w:val="auto"/>
          <w:sz w:val="24"/>
          <w:szCs w:val="24"/>
          <w:lang w:val="en-US" w:eastAsia="zh-CN"/>
        </w:rPr>
        <w:t>2026年</w:t>
      </w:r>
      <w:r>
        <w:rPr>
          <w:rFonts w:hint="default" w:ascii="宋体" w:hAnsi="宋体"/>
          <w:b/>
          <w:bCs/>
          <w:color w:val="auto"/>
          <w:sz w:val="24"/>
          <w:szCs w:val="24"/>
          <w:lang w:eastAsia="zh-CN"/>
          <w:woUserID w:val="1"/>
        </w:rPr>
        <w:t>10</w:t>
      </w:r>
      <w:r>
        <w:rPr>
          <w:rFonts w:hint="eastAsia" w:ascii="宋体" w:hAnsi="宋体"/>
          <w:b/>
          <w:bCs/>
          <w:color w:val="auto"/>
          <w:sz w:val="24"/>
          <w:szCs w:val="24"/>
          <w:lang w:val="en-US" w:eastAsia="zh-CN"/>
        </w:rPr>
        <w:t>月</w:t>
      </w:r>
      <w:r>
        <w:rPr>
          <w:rFonts w:hint="default" w:ascii="宋体" w:hAnsi="宋体"/>
          <w:b/>
          <w:bCs/>
          <w:color w:val="auto"/>
          <w:sz w:val="24"/>
          <w:szCs w:val="24"/>
          <w:lang w:eastAsia="zh-CN"/>
          <w:woUserID w:val="1"/>
        </w:rPr>
        <w:t>13</w:t>
      </w:r>
      <w:r>
        <w:rPr>
          <w:rFonts w:hint="eastAsia" w:ascii="宋体" w:hAnsi="宋体"/>
          <w:b/>
          <w:bCs/>
          <w:color w:val="auto"/>
          <w:sz w:val="24"/>
          <w:szCs w:val="24"/>
          <w:lang w:val="en-US" w:eastAsia="zh-CN"/>
        </w:rPr>
        <w:t>日</w:t>
      </w:r>
      <w:r>
        <w:rPr>
          <w:rFonts w:hint="eastAsia" w:ascii="宋体" w:hAnsi="宋体"/>
          <w:b/>
          <w:bCs/>
          <w:color w:val="auto"/>
          <w:sz w:val="24"/>
          <w:szCs w:val="24"/>
          <w:lang w:val="en-US" w:eastAsia="zh-CN"/>
        </w:rPr>
        <w:t xml:space="preserve">上午9时整 </w:t>
      </w:r>
    </w:p>
    <w:p w14:paraId="537A79D1">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地点（网址）：</w:t>
      </w:r>
      <w:r>
        <w:rPr>
          <w:rFonts w:hint="eastAsia" w:asciiTheme="minorEastAsia" w:hAnsiTheme="minorEastAsia" w:eastAsiaTheme="minorEastAsia" w:cstheme="minorEastAsia"/>
          <w:color w:val="auto"/>
          <w:sz w:val="24"/>
          <w:szCs w:val="24"/>
        </w:rPr>
        <w:t>政府采购云平台（https://login.zcygov.cn）/杭州电子科技大学下沙校区行政楼 805开标室（杭州下沙高教园区二号大街1158号，2号路和3号路交界）</w:t>
      </w:r>
    </w:p>
    <w:p w14:paraId="635F2FB1">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rPr>
        <w:t>、</w:t>
      </w:r>
      <w:bookmarkStart w:id="75" w:name="OLE_LINK5"/>
      <w:r>
        <w:rPr>
          <w:rFonts w:hint="eastAsia" w:asciiTheme="minorEastAsia" w:hAnsiTheme="minorEastAsia" w:eastAsiaTheme="minorEastAsia" w:cstheme="minorEastAsia"/>
          <w:b/>
          <w:bCs/>
          <w:color w:val="auto"/>
          <w:sz w:val="24"/>
          <w:szCs w:val="24"/>
        </w:rPr>
        <w:t>公告</w:t>
      </w:r>
      <w:r>
        <w:rPr>
          <w:rFonts w:hint="eastAsia" w:asciiTheme="minorEastAsia" w:hAnsiTheme="minorEastAsia" w:eastAsiaTheme="minorEastAsia" w:cstheme="minorEastAsia"/>
          <w:b/>
          <w:bCs/>
          <w:color w:val="auto"/>
          <w:sz w:val="24"/>
          <w:szCs w:val="24"/>
        </w:rPr>
        <w:t>期限</w:t>
      </w:r>
      <w:bookmarkEnd w:id="75"/>
    </w:p>
    <w:p w14:paraId="0B3D8CC1">
      <w:pPr>
        <w:widowControl/>
        <w:spacing w:line="288" w:lineRule="auto"/>
        <w:ind w:firstLine="480" w:firstLineChars="200"/>
        <w:jc w:val="left"/>
        <w:rPr>
          <w:rFonts w:hint="eastAsia" w:ascii="宋体" w:hAnsi="宋体"/>
          <w:color w:val="auto"/>
          <w:sz w:val="24"/>
          <w:szCs w:val="24"/>
        </w:rPr>
      </w:pPr>
      <w:r>
        <w:rPr>
          <w:rFonts w:hint="eastAsia" w:ascii="宋体" w:hAnsi="宋体"/>
          <w:color w:val="auto"/>
          <w:sz w:val="24"/>
          <w:szCs w:val="24"/>
        </w:rPr>
        <w:t>自本公告发布之日起3个工作日。</w:t>
      </w:r>
    </w:p>
    <w:p w14:paraId="589FAF77">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九</w:t>
      </w:r>
      <w:r>
        <w:rPr>
          <w:rFonts w:hint="eastAsia" w:asciiTheme="minorEastAsia" w:hAnsiTheme="minorEastAsia" w:eastAsiaTheme="minorEastAsia" w:cstheme="minorEastAsia"/>
          <w:b/>
          <w:bCs/>
          <w:color w:val="auto"/>
          <w:sz w:val="24"/>
          <w:szCs w:val="24"/>
        </w:rPr>
        <w:t>、联系方式</w:t>
      </w:r>
    </w:p>
    <w:p w14:paraId="3777D4E6">
      <w:pPr>
        <w:widowControl/>
        <w:spacing w:line="288" w:lineRule="auto"/>
        <w:ind w:firstLine="480" w:firstLineChars="200"/>
        <w:jc w:val="left"/>
        <w:rPr>
          <w:rFonts w:hint="default" w:ascii="宋体" w:eastAsia="宋体"/>
          <w:color w:val="auto"/>
          <w:sz w:val="24"/>
          <w:szCs w:val="24"/>
          <w:lang w:val="en-US" w:eastAsia="zh-CN"/>
        </w:rPr>
      </w:pPr>
      <w:r>
        <w:rPr>
          <w:rFonts w:hint="eastAsia" w:ascii="宋体" w:hAnsi="宋体"/>
          <w:color w:val="auto"/>
          <w:sz w:val="24"/>
          <w:szCs w:val="24"/>
        </w:rPr>
        <w:t>采购人用户部门：杭州电子科技大学</w:t>
      </w:r>
      <w:r>
        <w:rPr>
          <w:rFonts w:hint="eastAsia" w:ascii="宋体" w:hAnsi="宋体"/>
          <w:color w:val="auto"/>
          <w:sz w:val="24"/>
          <w:szCs w:val="24"/>
          <w:lang w:val="en-US" w:eastAsia="zh-CN"/>
        </w:rPr>
        <w:t>档案馆</w:t>
      </w:r>
    </w:p>
    <w:p w14:paraId="0EDA4AE6">
      <w:pPr>
        <w:widowControl/>
        <w:spacing w:line="288" w:lineRule="auto"/>
        <w:ind w:firstLine="480" w:firstLineChars="200"/>
        <w:jc w:val="left"/>
        <w:rPr>
          <w:rFonts w:hint="eastAsia" w:ascii="宋体" w:eastAsia="宋体"/>
          <w:color w:val="auto"/>
          <w:sz w:val="24"/>
          <w:szCs w:val="24"/>
          <w:lang w:val="en-US" w:eastAsia="zh-CN"/>
        </w:rPr>
      </w:pPr>
      <w:r>
        <w:rPr>
          <w:rFonts w:hint="eastAsia" w:ascii="宋体" w:hAnsi="宋体"/>
          <w:color w:val="auto"/>
          <w:sz w:val="24"/>
          <w:szCs w:val="24"/>
        </w:rPr>
        <w:t>采购需求联系人：</w:t>
      </w:r>
      <w:r>
        <w:rPr>
          <w:rFonts w:hint="eastAsia"/>
          <w:color w:val="auto"/>
          <w:sz w:val="24"/>
          <w:u w:val="single"/>
        </w:rPr>
        <w:t xml:space="preserve"> 林老师</w:t>
      </w:r>
      <w:r>
        <w:rPr>
          <w:rFonts w:hint="eastAsia" w:ascii="宋体" w:hAnsi="宋体"/>
          <w:color w:val="auto"/>
          <w:sz w:val="24"/>
          <w:szCs w:val="24"/>
          <w:u w:val="single"/>
        </w:rPr>
        <w:t xml:space="preserve"> </w:t>
      </w:r>
      <w:r>
        <w:rPr>
          <w:rFonts w:hint="eastAsia" w:ascii="宋体" w:hAnsi="宋体"/>
          <w:color w:val="auto"/>
          <w:sz w:val="24"/>
          <w:szCs w:val="24"/>
        </w:rPr>
        <w:t xml:space="preserve"> ， 电话：</w:t>
      </w:r>
      <w:r>
        <w:rPr>
          <w:rFonts w:hint="eastAsia" w:ascii="宋体" w:hAnsi="宋体"/>
          <w:color w:val="auto"/>
          <w:sz w:val="24"/>
          <w:szCs w:val="24"/>
          <w:u w:val="single"/>
        </w:rPr>
        <w:t xml:space="preserve">  0571-86915146</w:t>
      </w:r>
      <w:r>
        <w:rPr>
          <w:rFonts w:hint="eastAsia" w:ascii="宋体" w:hAnsi="宋体"/>
          <w:color w:val="auto"/>
          <w:sz w:val="24"/>
          <w:szCs w:val="24"/>
          <w:u w:val="single"/>
          <w:lang w:val="en-US" w:eastAsia="zh-CN"/>
        </w:rPr>
        <w:t xml:space="preserve"> </w:t>
      </w:r>
    </w:p>
    <w:p w14:paraId="2847830A">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448B021C">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lang w:val="en-US" w:eastAsia="zh-CN"/>
        </w:rPr>
        <w:t>08、913</w:t>
      </w:r>
      <w:r>
        <w:rPr>
          <w:rFonts w:hint="eastAsia" w:ascii="宋体" w:hAnsi="宋体"/>
          <w:color w:val="auto"/>
          <w:sz w:val="24"/>
          <w:szCs w:val="24"/>
        </w:rPr>
        <w:t>室</w:t>
      </w:r>
      <w:r>
        <w:rPr>
          <w:rFonts w:ascii="宋体" w:hAnsi="宋体"/>
          <w:color w:val="auto"/>
          <w:sz w:val="24"/>
          <w:szCs w:val="24"/>
        </w:rPr>
        <w:t xml:space="preserve"> </w:t>
      </w:r>
    </w:p>
    <w:p w14:paraId="01800F2F">
      <w:pPr>
        <w:widowControl/>
        <w:spacing w:line="288" w:lineRule="auto"/>
        <w:ind w:firstLine="480" w:firstLineChars="200"/>
        <w:jc w:val="left"/>
        <w:rPr>
          <w:rFonts w:hint="default" w:ascii="宋体" w:hAnsi="宋体" w:eastAsia="宋体"/>
          <w:color w:val="auto"/>
          <w:sz w:val="24"/>
          <w:szCs w:val="24"/>
          <w:u w:val="single"/>
          <w:lang w:val="en-US" w:eastAsia="zh-CN"/>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施</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lang w:val="en-US" w:eastAsia="zh-CN"/>
        </w:rPr>
        <w:t>87713548</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908</w:t>
      </w:r>
      <w:r>
        <w:rPr>
          <w:rFonts w:hint="eastAsia" w:ascii="宋体" w:hAnsi="宋体"/>
          <w:color w:val="auto"/>
          <w:sz w:val="24"/>
          <w:szCs w:val="24"/>
          <w:u w:val="none"/>
          <w:lang w:val="en-US" w:eastAsia="zh-CN"/>
        </w:rPr>
        <w:t>室。</w:t>
      </w:r>
    </w:p>
    <w:p w14:paraId="5E465C91">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许</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lang w:val="en-US" w:eastAsia="zh-CN"/>
        </w:rPr>
        <w:t>7713573</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913</w:t>
      </w:r>
      <w:r>
        <w:rPr>
          <w:rFonts w:hint="eastAsia" w:ascii="宋体" w:hAnsi="宋体"/>
          <w:color w:val="auto"/>
          <w:sz w:val="24"/>
          <w:szCs w:val="24"/>
          <w:u w:val="none"/>
          <w:lang w:val="en-US" w:eastAsia="zh-CN"/>
        </w:rPr>
        <w:t>室。</w:t>
      </w:r>
    </w:p>
    <w:p w14:paraId="45810375">
      <w:pPr>
        <w:pStyle w:val="53"/>
        <w:rPr>
          <w:color w:val="auto"/>
        </w:rPr>
      </w:pPr>
    </w:p>
    <w:p w14:paraId="53E6A871">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w:t>
      </w:r>
      <w:r>
        <w:rPr>
          <w:rFonts w:hint="eastAsia" w:ascii="宋体" w:hAnsi="宋体"/>
          <w:color w:val="auto"/>
          <w:sz w:val="24"/>
          <w:szCs w:val="24"/>
        </w:rPr>
        <w:t>81-7190获取热线服务帮助。</w:t>
      </w:r>
    </w:p>
    <w:p w14:paraId="1298F9EB">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14:paraId="6FBA5369">
      <w:pPr>
        <w:pStyle w:val="2"/>
        <w:rPr>
          <w:color w:val="auto"/>
        </w:rPr>
      </w:pPr>
    </w:p>
    <w:p w14:paraId="151D1B45">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14:paraId="60AE0A8C">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9</w:t>
      </w:r>
      <w:r>
        <w:rPr>
          <w:rFonts w:hint="eastAsia" w:ascii="宋体" w:hAnsi="宋体"/>
          <w:color w:val="auto"/>
          <w:sz w:val="24"/>
          <w:szCs w:val="24"/>
        </w:rPr>
        <w:t>月</w:t>
      </w:r>
      <w:r>
        <w:rPr>
          <w:rFonts w:hint="default" w:ascii="宋体" w:hAnsi="宋体"/>
          <w:color w:val="auto"/>
          <w:sz w:val="24"/>
          <w:szCs w:val="24"/>
          <w:woUserID w:val="1"/>
        </w:rPr>
        <w:t>28</w:t>
      </w:r>
      <w:r>
        <w:rPr>
          <w:rFonts w:hint="eastAsia" w:ascii="宋体" w:hAnsi="宋体"/>
          <w:color w:val="auto"/>
          <w:sz w:val="24"/>
          <w:szCs w:val="24"/>
        </w:rPr>
        <w:t>日</w:t>
      </w:r>
    </w:p>
    <w:p w14:paraId="0CE9D189">
      <w:pPr>
        <w:wordWrap w:val="0"/>
        <w:adjustRightInd w:val="0"/>
        <w:snapToGrid w:val="0"/>
        <w:spacing w:line="420" w:lineRule="exact"/>
        <w:ind w:left="31" w:right="480" w:hanging="31" w:hangingChars="13"/>
        <w:jc w:val="right"/>
        <w:rPr>
          <w:rFonts w:ascii="宋体"/>
          <w:color w:val="auto"/>
          <w:sz w:val="24"/>
          <w:szCs w:val="24"/>
        </w:rPr>
      </w:pPr>
    </w:p>
    <w:p w14:paraId="5FE5A1DB">
      <w:pPr>
        <w:adjustRightInd w:val="0"/>
        <w:snapToGrid w:val="0"/>
        <w:spacing w:before="120" w:beforeLines="50" w:after="120" w:afterLines="50" w:line="420" w:lineRule="exact"/>
        <w:ind w:right="480"/>
        <w:jc w:val="center"/>
        <w:outlineLvl w:val="0"/>
        <w:rPr>
          <w:rFonts w:hint="eastAsia" w:ascii="Times New Roman" w:hAnsi="Times New Roman" w:eastAsia="黑体" w:cs="Times New Roman"/>
          <w:b/>
          <w:color w:val="auto"/>
          <w:kern w:val="44"/>
          <w:sz w:val="36"/>
          <w:szCs w:val="22"/>
          <w:lang w:val="en-US" w:eastAsia="zh-CN" w:bidi="ar-SA"/>
        </w:rPr>
      </w:pPr>
      <w:r>
        <w:rPr>
          <w:rStyle w:val="111"/>
          <w:b w:val="0"/>
          <w:snapToGrid/>
          <w:color w:val="auto"/>
          <w:sz w:val="24"/>
          <w:szCs w:val="24"/>
        </w:rPr>
        <w:br w:type="page"/>
      </w:r>
      <w:bookmarkStart w:id="76" w:name="_Toc23060_WPSOffice_Level1"/>
      <w:bookmarkStart w:id="77" w:name="_Toc8820_WPSOffice_Level1"/>
      <w:bookmarkStart w:id="78" w:name="_Toc7205"/>
      <w:bookmarkStart w:id="79" w:name="_Toc31424"/>
      <w:bookmarkStart w:id="80" w:name="_Toc21096"/>
      <w:bookmarkStart w:id="81" w:name="_Toc5412"/>
      <w:bookmarkStart w:id="82" w:name="_Toc20175"/>
      <w:bookmarkStart w:id="83" w:name="_Toc27007"/>
      <w:bookmarkStart w:id="84" w:name="_Toc30939"/>
      <w:bookmarkStart w:id="85" w:name="_Toc8774"/>
      <w:bookmarkStart w:id="86" w:name="_Toc27564"/>
      <w:bookmarkStart w:id="87" w:name="_Toc9474"/>
      <w:bookmarkStart w:id="88" w:name="_Toc25493"/>
      <w:bookmarkStart w:id="89" w:name="_Toc13468"/>
      <w:bookmarkStart w:id="90" w:name="_Toc19935"/>
      <w:bookmarkStart w:id="91" w:name="_Toc14371"/>
      <w:bookmarkStart w:id="92" w:name="_Toc11189"/>
      <w:bookmarkStart w:id="93" w:name="_Toc8413"/>
      <w:bookmarkStart w:id="94" w:name="_Toc25903"/>
      <w:bookmarkStart w:id="95" w:name="_Toc15380"/>
      <w:bookmarkStart w:id="96" w:name="_Toc6139"/>
      <w:bookmarkStart w:id="97" w:name="_Toc30864"/>
      <w:bookmarkStart w:id="98" w:name="_Toc20151"/>
      <w:bookmarkStart w:id="99" w:name="_Toc30984"/>
      <w:bookmarkStart w:id="100" w:name="_Toc14615"/>
      <w:bookmarkStart w:id="101" w:name="_Toc14015"/>
      <w:bookmarkStart w:id="102" w:name="_Toc10682"/>
      <w:bookmarkStart w:id="103" w:name="_Toc18447"/>
      <w:bookmarkStart w:id="104" w:name="_Toc13359"/>
      <w:bookmarkStart w:id="105" w:name="_Toc16190"/>
      <w:bookmarkStart w:id="106" w:name="_Toc8923"/>
      <w:bookmarkStart w:id="107" w:name="_Toc31392"/>
      <w:bookmarkStart w:id="108" w:name="_Toc31607"/>
      <w:bookmarkStart w:id="109" w:name="_Toc28369"/>
      <w:r>
        <w:rPr>
          <w:rFonts w:hint="eastAsia" w:ascii="Times New Roman" w:hAnsi="Times New Roman" w:eastAsia="黑体" w:cs="Times New Roman"/>
          <w:b/>
          <w:color w:val="auto"/>
          <w:kern w:val="44"/>
          <w:sz w:val="36"/>
          <w:szCs w:val="22"/>
          <w:lang w:val="en-US" w:eastAsia="zh-CN" w:bidi="ar-SA"/>
        </w:rPr>
        <w:t>第二部分 响应方须知</w:t>
      </w:r>
      <w:bookmarkEnd w:id="76"/>
      <w:bookmarkEnd w:id="77"/>
    </w:p>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14:paraId="12370D8C">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110" w:name="_Toc10518"/>
      <w:bookmarkStart w:id="111" w:name="_Toc23420"/>
      <w:bookmarkStart w:id="112" w:name="_Toc10414"/>
      <w:bookmarkStart w:id="113" w:name="_Toc22339"/>
      <w:bookmarkStart w:id="114" w:name="_Toc16998"/>
      <w:bookmarkStart w:id="115" w:name="_Toc31880"/>
      <w:bookmarkStart w:id="116" w:name="_Toc6715"/>
      <w:bookmarkStart w:id="117" w:name="_Toc23155"/>
      <w:bookmarkStart w:id="118" w:name="_Toc20565"/>
      <w:bookmarkStart w:id="119" w:name="_Toc23359"/>
      <w:bookmarkStart w:id="120" w:name="_Toc29793"/>
      <w:bookmarkStart w:id="121" w:name="_Toc32596"/>
      <w:bookmarkStart w:id="122" w:name="_Toc483"/>
      <w:bookmarkStart w:id="123" w:name="_Toc26025"/>
      <w:bookmarkStart w:id="124" w:name="_Toc12644"/>
      <w:bookmarkStart w:id="125" w:name="_Toc9123"/>
      <w:bookmarkStart w:id="126" w:name="_Toc17697"/>
      <w:bookmarkStart w:id="127" w:name="_Toc27500"/>
      <w:bookmarkStart w:id="128" w:name="_Toc29458"/>
      <w:bookmarkStart w:id="129" w:name="_Toc20573"/>
      <w:bookmarkStart w:id="130" w:name="_Toc6421"/>
      <w:bookmarkStart w:id="131" w:name="_Toc26073"/>
      <w:bookmarkStart w:id="132" w:name="_Toc1714"/>
      <w:bookmarkStart w:id="133" w:name="_Toc4505"/>
      <w:bookmarkStart w:id="134" w:name="_Toc10657"/>
      <w:bookmarkStart w:id="135" w:name="_Toc30159"/>
      <w:bookmarkStart w:id="136" w:name="_Toc3269"/>
      <w:bookmarkStart w:id="137" w:name="_Toc1743"/>
      <w:bookmarkStart w:id="138" w:name="_Toc26853"/>
      <w:bookmarkStart w:id="139" w:name="_Toc28079"/>
      <w:bookmarkStart w:id="140" w:name="_Toc28026"/>
      <w:bookmarkStart w:id="141" w:name="_Toc9778"/>
      <w:r>
        <w:rPr>
          <w:rFonts w:hint="eastAsia" w:ascii="楷体" w:hAnsi="楷体" w:eastAsia="楷体" w:cs="楷体"/>
          <w:snapToGrid w:val="0"/>
          <w:color w:val="auto"/>
          <w:kern w:val="44"/>
          <w:sz w:val="32"/>
          <w:szCs w:val="32"/>
        </w:rPr>
        <w:t>前附表</w:t>
      </w:r>
      <w:bookmarkEnd w:id="74"/>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Start w:id="142" w:name="_Toc183786414"/>
    </w:p>
    <w:tbl>
      <w:tblPr>
        <w:tblStyle w:val="4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40FCD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11E2E4D2">
            <w:pPr>
              <w:rPr>
                <w:rFonts w:ascii="宋体"/>
                <w:b/>
                <w:color w:val="auto"/>
                <w:sz w:val="24"/>
                <w:szCs w:val="24"/>
              </w:rPr>
            </w:pPr>
            <w:r>
              <w:rPr>
                <w:rFonts w:hint="eastAsia" w:ascii="宋体" w:hAnsi="宋体"/>
                <w:b/>
                <w:color w:val="auto"/>
                <w:sz w:val="24"/>
                <w:szCs w:val="24"/>
              </w:rPr>
              <w:t>序号</w:t>
            </w:r>
          </w:p>
        </w:tc>
        <w:tc>
          <w:tcPr>
            <w:tcW w:w="2043" w:type="dxa"/>
            <w:vAlign w:val="center"/>
          </w:tcPr>
          <w:p w14:paraId="6336DD2C">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14:paraId="63BAD458">
            <w:pPr>
              <w:jc w:val="center"/>
              <w:rPr>
                <w:rFonts w:ascii="宋体"/>
                <w:b/>
                <w:color w:val="auto"/>
                <w:sz w:val="24"/>
                <w:szCs w:val="24"/>
              </w:rPr>
            </w:pPr>
            <w:r>
              <w:rPr>
                <w:rFonts w:hint="eastAsia" w:ascii="宋体" w:hAnsi="宋体"/>
                <w:b/>
                <w:color w:val="auto"/>
                <w:sz w:val="24"/>
                <w:szCs w:val="24"/>
              </w:rPr>
              <w:t>内容</w:t>
            </w:r>
          </w:p>
        </w:tc>
      </w:tr>
      <w:tr w14:paraId="32AEE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937C9C2">
            <w:pPr>
              <w:pStyle w:val="181"/>
              <w:adjustRightInd/>
              <w:spacing w:line="240" w:lineRule="auto"/>
              <w:rPr>
                <w:color w:val="auto"/>
                <w:szCs w:val="24"/>
              </w:rPr>
            </w:pPr>
            <w:r>
              <w:rPr>
                <w:rFonts w:hint="eastAsia"/>
                <w:color w:val="auto"/>
                <w:szCs w:val="24"/>
              </w:rPr>
              <w:t>1</w:t>
            </w:r>
          </w:p>
        </w:tc>
        <w:tc>
          <w:tcPr>
            <w:tcW w:w="2043" w:type="dxa"/>
            <w:vAlign w:val="center"/>
          </w:tcPr>
          <w:p w14:paraId="5F683089">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77B35048">
            <w:pPr>
              <w:rPr>
                <w:rFonts w:ascii="宋体"/>
                <w:color w:val="auto"/>
                <w:sz w:val="24"/>
                <w:szCs w:val="24"/>
              </w:rPr>
            </w:pPr>
            <w:r>
              <w:rPr>
                <w:rFonts w:hint="eastAsia" w:ascii="宋体" w:hAnsi="宋体"/>
                <w:color w:val="auto"/>
                <w:sz w:val="24"/>
                <w:szCs w:val="24"/>
              </w:rPr>
              <w:t>杭州电子科技大学“一生一档”学生学籍档案数据服务平台开发服务</w:t>
            </w:r>
          </w:p>
        </w:tc>
      </w:tr>
      <w:tr w14:paraId="04982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E4A5322">
            <w:pPr>
              <w:jc w:val="center"/>
              <w:rPr>
                <w:rFonts w:ascii="宋体" w:hAnsi="宋体"/>
                <w:color w:val="auto"/>
                <w:sz w:val="24"/>
                <w:szCs w:val="24"/>
              </w:rPr>
            </w:pPr>
          </w:p>
        </w:tc>
        <w:tc>
          <w:tcPr>
            <w:tcW w:w="2043" w:type="dxa"/>
            <w:vAlign w:val="center"/>
          </w:tcPr>
          <w:p w14:paraId="350383ED">
            <w:pPr>
              <w:jc w:val="center"/>
              <w:rPr>
                <w:rFonts w:ascii="宋体" w:hAnsi="宋体"/>
                <w:color w:val="auto"/>
                <w:sz w:val="24"/>
                <w:szCs w:val="24"/>
              </w:rPr>
            </w:pPr>
            <w:r>
              <w:rPr>
                <w:rFonts w:hint="eastAsia" w:ascii="宋体" w:hAnsi="宋体"/>
                <w:color w:val="auto"/>
                <w:sz w:val="24"/>
                <w:szCs w:val="24"/>
              </w:rPr>
              <w:t>行业类型</w:t>
            </w:r>
          </w:p>
        </w:tc>
        <w:tc>
          <w:tcPr>
            <w:tcW w:w="6348" w:type="dxa"/>
            <w:vAlign w:val="center"/>
          </w:tcPr>
          <w:p w14:paraId="3659EBD9">
            <w:pPr>
              <w:rPr>
                <w:rFonts w:ascii="宋体" w:hAnsi="宋体"/>
                <w:color w:val="auto"/>
                <w:sz w:val="24"/>
                <w:szCs w:val="24"/>
              </w:rPr>
            </w:pPr>
            <w:r>
              <w:rPr>
                <w:rFonts w:hint="eastAsia" w:ascii="宋体" w:hAnsi="宋体" w:cs="宋体"/>
                <w:color w:val="auto"/>
                <w:szCs w:val="21"/>
              </w:rPr>
              <w:t>本项目对应的中小企业划分标准所属行业为：</w:t>
            </w:r>
            <w:bookmarkStart w:id="143" w:name="OLE_LINK8"/>
            <w:r>
              <w:rPr>
                <w:rFonts w:hint="eastAsia" w:ascii="宋体" w:hAnsi="宋体" w:cs="宋体"/>
                <w:b/>
                <w:bCs/>
                <w:color w:val="auto"/>
                <w:szCs w:val="21"/>
                <w:u w:val="single"/>
              </w:rPr>
              <w:t>软件和信息技术服务业。</w:t>
            </w:r>
            <w:bookmarkEnd w:id="143"/>
            <w:r>
              <w:rPr>
                <w:rFonts w:hint="eastAsia" w:ascii="宋体" w:hAnsi="宋体" w:cs="宋体"/>
                <w:b/>
                <w:bCs/>
                <w:color w:val="auto"/>
                <w:szCs w:val="21"/>
              </w:rPr>
              <w:t>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14:paraId="7C38E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81CE86B">
            <w:pPr>
              <w:jc w:val="center"/>
              <w:rPr>
                <w:rFonts w:ascii="宋体"/>
                <w:color w:val="auto"/>
                <w:sz w:val="24"/>
                <w:szCs w:val="24"/>
              </w:rPr>
            </w:pPr>
            <w:r>
              <w:rPr>
                <w:rFonts w:hint="eastAsia" w:ascii="宋体" w:hAnsi="宋体"/>
                <w:color w:val="auto"/>
                <w:sz w:val="24"/>
                <w:szCs w:val="24"/>
              </w:rPr>
              <w:t>2</w:t>
            </w:r>
          </w:p>
        </w:tc>
        <w:tc>
          <w:tcPr>
            <w:tcW w:w="2043" w:type="dxa"/>
            <w:vAlign w:val="center"/>
          </w:tcPr>
          <w:p w14:paraId="65904231">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2B7AF960">
            <w:pPr>
              <w:rPr>
                <w:rFonts w:hint="default" w:ascii="宋体" w:eastAsia="宋体"/>
                <w:color w:val="auto"/>
                <w:sz w:val="24"/>
                <w:szCs w:val="24"/>
                <w:lang w:val="en-US" w:eastAsia="zh-CN"/>
              </w:rPr>
            </w:pP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-JH-CS</w:t>
            </w:r>
            <w:r>
              <w:rPr>
                <w:rFonts w:hint="eastAsia" w:ascii="宋体" w:hAnsi="宋体"/>
                <w:color w:val="auto"/>
                <w:sz w:val="24"/>
                <w:szCs w:val="24"/>
                <w:lang w:val="en-US" w:eastAsia="zh-CN"/>
              </w:rPr>
              <w:t>14</w:t>
            </w:r>
          </w:p>
        </w:tc>
      </w:tr>
      <w:tr w14:paraId="2348D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5C4F02F">
            <w:pPr>
              <w:jc w:val="center"/>
              <w:rPr>
                <w:rFonts w:ascii="宋体"/>
                <w:color w:val="auto"/>
                <w:sz w:val="24"/>
                <w:szCs w:val="24"/>
              </w:rPr>
            </w:pPr>
          </w:p>
        </w:tc>
        <w:tc>
          <w:tcPr>
            <w:tcW w:w="2043" w:type="dxa"/>
            <w:vAlign w:val="center"/>
          </w:tcPr>
          <w:p w14:paraId="0BC21819">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570182AD">
            <w:pPr>
              <w:pStyle w:val="28"/>
              <w:ind w:left="0" w:leftChars="0"/>
              <w:rPr>
                <w:color w:val="auto"/>
                <w:szCs w:val="24"/>
              </w:rPr>
            </w:pPr>
            <w:r>
              <w:rPr>
                <w:rFonts w:hint="eastAsia"/>
                <w:color w:val="auto"/>
                <w:szCs w:val="24"/>
              </w:rPr>
              <w:t>竞争性磋商</w:t>
            </w:r>
            <w:r>
              <w:rPr>
                <w:rFonts w:hint="eastAsia"/>
                <w:b/>
                <w:bCs/>
                <w:color w:val="auto"/>
                <w:szCs w:val="24"/>
              </w:rPr>
              <w:t>（线上电子交易）</w:t>
            </w:r>
          </w:p>
        </w:tc>
      </w:tr>
      <w:tr w14:paraId="1CB8C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B86A968">
            <w:pPr>
              <w:jc w:val="center"/>
              <w:rPr>
                <w:rFonts w:ascii="宋体"/>
                <w:color w:val="auto"/>
                <w:sz w:val="24"/>
                <w:szCs w:val="24"/>
              </w:rPr>
            </w:pPr>
            <w:r>
              <w:rPr>
                <w:rFonts w:hint="eastAsia" w:ascii="宋体" w:hAnsi="宋体"/>
                <w:color w:val="auto"/>
                <w:sz w:val="24"/>
                <w:szCs w:val="24"/>
              </w:rPr>
              <w:t>3</w:t>
            </w:r>
          </w:p>
        </w:tc>
        <w:tc>
          <w:tcPr>
            <w:tcW w:w="2043" w:type="dxa"/>
            <w:vAlign w:val="center"/>
          </w:tcPr>
          <w:p w14:paraId="48461A53">
            <w:pPr>
              <w:jc w:val="center"/>
              <w:rPr>
                <w:rFonts w:ascii="宋体"/>
                <w:color w:val="auto"/>
                <w:sz w:val="24"/>
                <w:szCs w:val="24"/>
              </w:rPr>
            </w:pPr>
            <w:r>
              <w:rPr>
                <w:rFonts w:hint="eastAsia" w:ascii="宋体" w:hAnsi="宋体"/>
                <w:color w:val="auto"/>
                <w:sz w:val="24"/>
                <w:szCs w:val="24"/>
              </w:rPr>
              <w:t>采购人用户部门</w:t>
            </w:r>
          </w:p>
        </w:tc>
        <w:tc>
          <w:tcPr>
            <w:tcW w:w="6348" w:type="dxa"/>
            <w:vAlign w:val="center"/>
          </w:tcPr>
          <w:p w14:paraId="5E28D538">
            <w:pPr>
              <w:pStyle w:val="28"/>
              <w:ind w:left="0" w:leftChars="0"/>
              <w:rPr>
                <w:rFonts w:hint="default" w:eastAsia="宋体"/>
                <w:color w:val="auto"/>
                <w:szCs w:val="24"/>
                <w:lang w:val="en-US" w:eastAsia="zh-CN"/>
              </w:rPr>
            </w:pPr>
            <w:r>
              <w:rPr>
                <w:rFonts w:hint="eastAsia"/>
                <w:color w:val="auto"/>
                <w:szCs w:val="24"/>
              </w:rPr>
              <w:t>杭州电子科技大学</w:t>
            </w:r>
            <w:r>
              <w:rPr>
                <w:rFonts w:hint="eastAsia"/>
                <w:color w:val="auto"/>
                <w:kern w:val="0"/>
                <w:szCs w:val="24"/>
                <w:lang w:val="en-US" w:eastAsia="zh-CN"/>
              </w:rPr>
              <w:t>档案馆</w:t>
            </w:r>
          </w:p>
        </w:tc>
      </w:tr>
      <w:tr w14:paraId="1AAE9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A760DB3">
            <w:pPr>
              <w:jc w:val="center"/>
              <w:rPr>
                <w:rFonts w:ascii="宋体"/>
                <w:color w:val="auto"/>
                <w:sz w:val="24"/>
                <w:szCs w:val="24"/>
              </w:rPr>
            </w:pPr>
            <w:r>
              <w:rPr>
                <w:rFonts w:hint="eastAsia" w:ascii="宋体" w:hAnsi="宋体"/>
                <w:color w:val="auto"/>
                <w:sz w:val="24"/>
                <w:szCs w:val="24"/>
              </w:rPr>
              <w:t>4</w:t>
            </w:r>
          </w:p>
        </w:tc>
        <w:tc>
          <w:tcPr>
            <w:tcW w:w="2043" w:type="dxa"/>
            <w:vAlign w:val="center"/>
          </w:tcPr>
          <w:p w14:paraId="43AAC994">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14:paraId="435CFDB4">
            <w:pPr>
              <w:rPr>
                <w:rFonts w:ascii="宋体"/>
                <w:color w:val="auto"/>
                <w:sz w:val="24"/>
                <w:szCs w:val="24"/>
              </w:rPr>
            </w:pPr>
            <w:r>
              <w:rPr>
                <w:rFonts w:hint="eastAsia" w:ascii="宋体" w:hAnsi="宋体"/>
                <w:color w:val="auto"/>
                <w:sz w:val="24"/>
                <w:szCs w:val="24"/>
              </w:rPr>
              <w:t>详见第三部分采购需求</w:t>
            </w:r>
          </w:p>
        </w:tc>
      </w:tr>
      <w:tr w14:paraId="6A796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94694D7">
            <w:pPr>
              <w:jc w:val="center"/>
              <w:rPr>
                <w:rFonts w:ascii="宋体"/>
                <w:color w:val="auto"/>
                <w:sz w:val="24"/>
                <w:szCs w:val="24"/>
              </w:rPr>
            </w:pPr>
            <w:r>
              <w:rPr>
                <w:rFonts w:hint="eastAsia" w:ascii="宋体" w:hAnsi="宋体"/>
                <w:color w:val="auto"/>
                <w:sz w:val="24"/>
                <w:szCs w:val="24"/>
              </w:rPr>
              <w:t>5</w:t>
            </w:r>
          </w:p>
        </w:tc>
        <w:tc>
          <w:tcPr>
            <w:tcW w:w="2043" w:type="dxa"/>
            <w:vAlign w:val="center"/>
          </w:tcPr>
          <w:p w14:paraId="734C2535">
            <w:pPr>
              <w:jc w:val="center"/>
              <w:rPr>
                <w:color w:val="auto"/>
                <w:sz w:val="24"/>
              </w:rPr>
            </w:pPr>
            <w:r>
              <w:rPr>
                <w:rFonts w:hint="eastAsia"/>
                <w:color w:val="auto"/>
                <w:sz w:val="24"/>
              </w:rPr>
              <w:t>磋商报价及费用</w:t>
            </w:r>
          </w:p>
        </w:tc>
        <w:tc>
          <w:tcPr>
            <w:tcW w:w="6348" w:type="dxa"/>
            <w:vAlign w:val="center"/>
          </w:tcPr>
          <w:p w14:paraId="1DF705ED">
            <w:pPr>
              <w:rPr>
                <w:color w:val="auto"/>
                <w:sz w:val="24"/>
              </w:rPr>
            </w:pPr>
            <w:r>
              <w:rPr>
                <w:rFonts w:hint="eastAsia"/>
                <w:color w:val="auto"/>
                <w:sz w:val="24"/>
              </w:rPr>
              <w:t>详见采购文件第二部分第三节第（三）点报价内容。</w:t>
            </w:r>
          </w:p>
        </w:tc>
      </w:tr>
      <w:tr w14:paraId="16714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0F749A5">
            <w:pPr>
              <w:jc w:val="center"/>
              <w:rPr>
                <w:rFonts w:ascii="宋体"/>
                <w:color w:val="auto"/>
                <w:sz w:val="24"/>
                <w:szCs w:val="24"/>
              </w:rPr>
            </w:pPr>
            <w:r>
              <w:rPr>
                <w:rFonts w:hint="eastAsia" w:ascii="宋体" w:hAnsi="宋体"/>
                <w:color w:val="auto"/>
                <w:sz w:val="24"/>
                <w:szCs w:val="24"/>
              </w:rPr>
              <w:t>6</w:t>
            </w:r>
          </w:p>
        </w:tc>
        <w:tc>
          <w:tcPr>
            <w:tcW w:w="2043" w:type="dxa"/>
            <w:vAlign w:val="center"/>
          </w:tcPr>
          <w:p w14:paraId="1333AEB7">
            <w:pPr>
              <w:jc w:val="center"/>
              <w:rPr>
                <w:rFonts w:ascii="宋体"/>
                <w:color w:val="auto"/>
                <w:sz w:val="24"/>
                <w:szCs w:val="24"/>
              </w:rPr>
            </w:pPr>
            <w:r>
              <w:rPr>
                <w:rFonts w:hint="eastAsia"/>
                <w:color w:val="auto"/>
                <w:sz w:val="24"/>
              </w:rPr>
              <w:t>磋商响应有效期</w:t>
            </w:r>
          </w:p>
        </w:tc>
        <w:tc>
          <w:tcPr>
            <w:tcW w:w="6348" w:type="dxa"/>
            <w:vAlign w:val="center"/>
          </w:tcPr>
          <w:p w14:paraId="46980147">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14:paraId="298BD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9FAD0EF">
            <w:pPr>
              <w:jc w:val="center"/>
              <w:rPr>
                <w:rFonts w:ascii="宋体"/>
                <w:color w:val="auto"/>
                <w:sz w:val="24"/>
                <w:szCs w:val="24"/>
              </w:rPr>
            </w:pPr>
            <w:r>
              <w:rPr>
                <w:rFonts w:hint="eastAsia" w:ascii="宋体" w:hAnsi="宋体"/>
                <w:color w:val="auto"/>
                <w:sz w:val="24"/>
                <w:szCs w:val="24"/>
              </w:rPr>
              <w:t>7</w:t>
            </w:r>
          </w:p>
        </w:tc>
        <w:tc>
          <w:tcPr>
            <w:tcW w:w="2043" w:type="dxa"/>
            <w:vAlign w:val="center"/>
          </w:tcPr>
          <w:p w14:paraId="6B25A965">
            <w:pPr>
              <w:jc w:val="center"/>
              <w:rPr>
                <w:rFonts w:ascii="宋体"/>
                <w:color w:val="auto"/>
                <w:sz w:val="24"/>
                <w:szCs w:val="24"/>
              </w:rPr>
            </w:pPr>
            <w:r>
              <w:rPr>
                <w:rFonts w:hint="eastAsia"/>
                <w:color w:val="auto"/>
                <w:sz w:val="24"/>
              </w:rPr>
              <w:t>磋商文件答疑</w:t>
            </w:r>
          </w:p>
        </w:tc>
        <w:tc>
          <w:tcPr>
            <w:tcW w:w="6348" w:type="dxa"/>
            <w:vAlign w:val="center"/>
          </w:tcPr>
          <w:p w14:paraId="7E7426A0">
            <w:pPr>
              <w:jc w:val="left"/>
              <w:rPr>
                <w:rFonts w:ascii="宋体"/>
                <w:color w:val="auto"/>
                <w:sz w:val="24"/>
                <w:szCs w:val="24"/>
              </w:rPr>
            </w:pPr>
            <w:r>
              <w:rPr>
                <w:rFonts w:hint="eastAsia"/>
                <w:color w:val="auto"/>
                <w:sz w:val="24"/>
              </w:rPr>
              <w:t>各供应商如对磋商文件有疑问，请以书面形式于</w:t>
            </w:r>
            <w:r>
              <w:rPr>
                <w:rFonts w:hint="eastAsia"/>
                <w:color w:val="auto"/>
                <w:sz w:val="24"/>
                <w:u w:val="single"/>
              </w:rPr>
              <w:t>202</w:t>
            </w:r>
            <w:r>
              <w:rPr>
                <w:rFonts w:hint="eastAsia"/>
                <w:color w:val="auto"/>
                <w:sz w:val="24"/>
                <w:u w:val="single"/>
                <w:lang w:val="en-US" w:eastAsia="zh-CN"/>
              </w:rPr>
              <w:t>6</w:t>
            </w:r>
            <w:r>
              <w:rPr>
                <w:rFonts w:hint="eastAsia"/>
                <w:color w:val="auto"/>
                <w:sz w:val="24"/>
                <w:u w:val="single"/>
              </w:rPr>
              <w:t>年</w:t>
            </w:r>
            <w:r>
              <w:rPr>
                <w:rFonts w:hint="default"/>
                <w:color w:val="auto"/>
                <w:sz w:val="24"/>
                <w:u w:val="single"/>
                <w:woUserID w:val="1"/>
              </w:rPr>
              <w:t>10</w:t>
            </w:r>
            <w:r>
              <w:rPr>
                <w:rFonts w:hint="eastAsia"/>
                <w:color w:val="auto"/>
                <w:sz w:val="24"/>
                <w:u w:val="single"/>
              </w:rPr>
              <w:t>月</w:t>
            </w:r>
            <w:r>
              <w:rPr>
                <w:rFonts w:hint="default"/>
                <w:color w:val="auto"/>
                <w:sz w:val="24"/>
                <w:u w:val="single"/>
                <w:woUserID w:val="1"/>
              </w:rPr>
              <w:t>12</w:t>
            </w:r>
            <w:r>
              <w:rPr>
                <w:rFonts w:hint="eastAsia"/>
                <w:color w:val="auto"/>
                <w:sz w:val="24"/>
                <w:u w:val="single"/>
              </w:rPr>
              <w:t>日</w:t>
            </w:r>
            <w:r>
              <w:rPr>
                <w:color w:val="auto"/>
                <w:sz w:val="24"/>
                <w:u w:val="single"/>
              </w:rPr>
              <w:t xml:space="preserve"> 9</w:t>
            </w:r>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auto"/>
                <w:sz w:val="24"/>
                <w:u w:val="single"/>
              </w:rPr>
              <w:t>202</w:t>
            </w:r>
            <w:r>
              <w:rPr>
                <w:rFonts w:hint="eastAsia"/>
                <w:color w:val="auto"/>
                <w:sz w:val="24"/>
                <w:u w:val="single"/>
                <w:lang w:val="en-US" w:eastAsia="zh-CN"/>
              </w:rPr>
              <w:t>6</w:t>
            </w:r>
            <w:r>
              <w:rPr>
                <w:rFonts w:hint="eastAsia"/>
                <w:color w:val="auto"/>
                <w:sz w:val="24"/>
                <w:u w:val="single"/>
              </w:rPr>
              <w:t>年</w:t>
            </w:r>
            <w:r>
              <w:rPr>
                <w:rFonts w:hint="default"/>
                <w:color w:val="auto"/>
                <w:sz w:val="24"/>
                <w:u w:val="single"/>
                <w:woUserID w:val="1"/>
              </w:rPr>
              <w:t>10</w:t>
            </w:r>
            <w:r>
              <w:rPr>
                <w:rFonts w:hint="eastAsia"/>
                <w:color w:val="auto"/>
                <w:sz w:val="24"/>
                <w:u w:val="single"/>
              </w:rPr>
              <w:t>月</w:t>
            </w:r>
            <w:r>
              <w:rPr>
                <w:rFonts w:hint="default"/>
                <w:color w:val="auto"/>
                <w:sz w:val="24"/>
                <w:u w:val="single"/>
                <w:woUserID w:val="1"/>
              </w:rPr>
              <w:t>12</w:t>
            </w:r>
            <w:r>
              <w:rPr>
                <w:rFonts w:hint="eastAsia"/>
                <w:color w:val="auto"/>
                <w:sz w:val="24"/>
                <w:u w:val="single"/>
              </w:rPr>
              <w:t>日17：</w:t>
            </w:r>
            <w:r>
              <w:rPr>
                <w:color w:val="auto"/>
                <w:sz w:val="24"/>
                <w:u w:val="single"/>
              </w:rPr>
              <w:t xml:space="preserve">00 </w:t>
            </w:r>
            <w:r>
              <w:rPr>
                <w:rFonts w:hint="eastAsia"/>
                <w:color w:val="auto"/>
                <w:sz w:val="24"/>
              </w:rPr>
              <w:t>前给予答复。</w:t>
            </w:r>
            <w:r>
              <w:rPr>
                <w:rFonts w:hint="eastAsia" w:ascii="宋体"/>
                <w:color w:val="auto"/>
                <w:sz w:val="24"/>
                <w:szCs w:val="24"/>
              </w:rPr>
              <w:t>联</w:t>
            </w:r>
            <w:r>
              <w:rPr>
                <w:rFonts w:hint="eastAsia" w:ascii="宋体"/>
                <w:color w:val="auto"/>
                <w:sz w:val="24"/>
                <w:szCs w:val="24"/>
              </w:rPr>
              <w:t>系人：</w:t>
            </w:r>
            <w:r>
              <w:rPr>
                <w:rFonts w:hint="eastAsia" w:ascii="宋体"/>
                <w:color w:val="auto"/>
                <w:sz w:val="24"/>
                <w:szCs w:val="24"/>
                <w:u w:val="single"/>
              </w:rPr>
              <w:t xml:space="preserve"> 许老师 </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cnxjh@hdu.edu.cn</w:t>
            </w:r>
            <w:r>
              <w:rPr>
                <w:rFonts w:hint="eastAsia" w:ascii="宋体"/>
                <w:color w:val="auto"/>
                <w:sz w:val="24"/>
                <w:szCs w:val="24"/>
                <w:u w:val="single"/>
              </w:rPr>
              <w:t>。</w:t>
            </w:r>
          </w:p>
        </w:tc>
      </w:tr>
      <w:tr w14:paraId="601F0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5362C56">
            <w:pPr>
              <w:jc w:val="center"/>
              <w:rPr>
                <w:rFonts w:ascii="宋体"/>
                <w:color w:val="auto"/>
                <w:sz w:val="24"/>
                <w:szCs w:val="24"/>
              </w:rPr>
            </w:pPr>
            <w:r>
              <w:rPr>
                <w:rFonts w:hint="eastAsia" w:ascii="宋体" w:hAnsi="宋体"/>
                <w:color w:val="auto"/>
                <w:sz w:val="24"/>
                <w:szCs w:val="24"/>
              </w:rPr>
              <w:t>8</w:t>
            </w:r>
          </w:p>
        </w:tc>
        <w:tc>
          <w:tcPr>
            <w:tcW w:w="2043" w:type="dxa"/>
            <w:vAlign w:val="center"/>
          </w:tcPr>
          <w:p w14:paraId="69247686">
            <w:pPr>
              <w:jc w:val="center"/>
              <w:rPr>
                <w:rFonts w:ascii="宋体"/>
                <w:color w:val="auto"/>
                <w:sz w:val="24"/>
                <w:szCs w:val="24"/>
              </w:rPr>
            </w:pPr>
            <w:r>
              <w:rPr>
                <w:rFonts w:hint="eastAsia"/>
                <w:color w:val="auto"/>
                <w:sz w:val="24"/>
              </w:rPr>
              <w:t>响应文件份数</w:t>
            </w:r>
            <w:r>
              <w:rPr>
                <w:rFonts w:hint="eastAsia"/>
                <w:color w:val="auto"/>
                <w:sz w:val="24"/>
                <w:lang w:val="en-US" w:eastAsia="zh-CN"/>
              </w:rPr>
              <w:t>和</w:t>
            </w:r>
            <w:r>
              <w:rPr>
                <w:rFonts w:hint="eastAsia"/>
                <w:b/>
                <w:bCs/>
                <w:color w:val="auto"/>
                <w:sz w:val="24"/>
                <w:lang w:val="en-US" w:eastAsia="zh-CN"/>
              </w:rPr>
              <w:t>演示视频（如有）</w:t>
            </w:r>
          </w:p>
        </w:tc>
        <w:tc>
          <w:tcPr>
            <w:tcW w:w="6348" w:type="dxa"/>
            <w:vAlign w:val="center"/>
          </w:tcPr>
          <w:p w14:paraId="6073016A">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政府采购云平台在线上传一份；备份响应文件（自主选择是否递交）</w:t>
            </w:r>
            <w:r>
              <w:rPr>
                <w:rFonts w:hint="eastAsia"/>
                <w:b/>
                <w:bCs/>
                <w:color w:val="auto"/>
                <w:sz w:val="24"/>
                <w:lang w:eastAsia="zh-CN"/>
              </w:rPr>
              <w:t>、</w:t>
            </w:r>
            <w:r>
              <w:rPr>
                <w:rFonts w:hint="eastAsia"/>
                <w:b/>
                <w:bCs/>
                <w:color w:val="auto"/>
                <w:sz w:val="24"/>
                <w:lang w:val="en-US" w:eastAsia="zh-CN"/>
              </w:rPr>
              <w:t>演示视频</w:t>
            </w:r>
            <w:r>
              <w:rPr>
                <w:rFonts w:hint="default"/>
                <w:b/>
                <w:bCs/>
                <w:color w:val="auto"/>
                <w:sz w:val="24"/>
                <w:szCs w:val="20"/>
                <w:lang w:eastAsia="zh-CN"/>
              </w:rPr>
              <w:t>（如有）</w:t>
            </w:r>
            <w:r>
              <w:rPr>
                <w:rFonts w:hint="eastAsia"/>
                <w:b/>
                <w:bCs/>
                <w:color w:val="auto"/>
                <w:sz w:val="24"/>
              </w:rPr>
              <w:t>：密封包装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（邮寄地址：</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ascii="宋体" w:hAnsi="宋体"/>
                <w:color w:val="auto"/>
                <w:sz w:val="24"/>
                <w:szCs w:val="24"/>
                <w:lang w:val="en-US" w:eastAsia="zh-CN"/>
              </w:rPr>
              <w:t>40368</w:t>
            </w:r>
            <w:r>
              <w:rPr>
                <w:rFonts w:hint="eastAsia"/>
                <w:color w:val="auto"/>
                <w:sz w:val="24"/>
              </w:rPr>
              <w:t>@hdu.edu.cn，以便查收）。</w:t>
            </w:r>
          </w:p>
          <w:p w14:paraId="6BC09AA5">
            <w:pPr>
              <w:jc w:val="left"/>
              <w:rPr>
                <w:rFonts w:ascii="宋体"/>
                <w:color w:val="auto"/>
                <w:sz w:val="24"/>
                <w:szCs w:val="24"/>
              </w:rPr>
            </w:pPr>
            <w:r>
              <w:rPr>
                <w:rFonts w:hint="eastAsia"/>
                <w:b/>
                <w:bCs/>
                <w:color w:val="auto"/>
                <w:sz w:val="24"/>
              </w:rPr>
              <w:t>特别说明：</w:t>
            </w:r>
            <w:r>
              <w:rPr>
                <w:rFonts w:hint="eastAsia"/>
                <w:color w:val="auto"/>
                <w:sz w:val="24"/>
              </w:rPr>
              <w:t>双休日和法定节假日不收件，供应商自行承担邮寄风险。）</w:t>
            </w:r>
          </w:p>
        </w:tc>
      </w:tr>
      <w:tr w14:paraId="3C2B2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7901BFB">
            <w:pPr>
              <w:jc w:val="center"/>
              <w:rPr>
                <w:rFonts w:ascii="宋体"/>
                <w:color w:val="auto"/>
                <w:sz w:val="24"/>
                <w:szCs w:val="24"/>
              </w:rPr>
            </w:pPr>
            <w:r>
              <w:rPr>
                <w:rFonts w:hint="eastAsia" w:ascii="宋体" w:hAnsi="宋体"/>
                <w:color w:val="auto"/>
                <w:sz w:val="24"/>
                <w:szCs w:val="24"/>
              </w:rPr>
              <w:t>9</w:t>
            </w:r>
          </w:p>
        </w:tc>
        <w:tc>
          <w:tcPr>
            <w:tcW w:w="2043" w:type="dxa"/>
            <w:vAlign w:val="center"/>
          </w:tcPr>
          <w:p w14:paraId="2A329DA0">
            <w:pPr>
              <w:jc w:val="center"/>
              <w:rPr>
                <w:rFonts w:ascii="宋体"/>
                <w:color w:val="auto"/>
                <w:sz w:val="24"/>
                <w:szCs w:val="24"/>
              </w:rPr>
            </w:pPr>
            <w:r>
              <w:rPr>
                <w:rFonts w:hint="eastAsia" w:ascii="宋体" w:hAnsi="宋体"/>
                <w:color w:val="auto"/>
                <w:sz w:val="24"/>
                <w:szCs w:val="24"/>
              </w:rPr>
              <w:t>磋商地点</w:t>
            </w:r>
          </w:p>
        </w:tc>
        <w:tc>
          <w:tcPr>
            <w:tcW w:w="6348" w:type="dxa"/>
            <w:vAlign w:val="center"/>
          </w:tcPr>
          <w:p w14:paraId="38365307">
            <w:pPr>
              <w:jc w:val="left"/>
              <w:rPr>
                <w:color w:val="auto"/>
                <w:sz w:val="24"/>
              </w:rPr>
            </w:pPr>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r>
              <w:rPr>
                <w:rFonts w:hint="eastAsia"/>
                <w:color w:val="auto"/>
                <w:sz w:val="24"/>
              </w:rPr>
              <w:t>杭州电子科技大学行政楼805开标室。</w:t>
            </w:r>
          </w:p>
        </w:tc>
      </w:tr>
      <w:tr w14:paraId="5F3E5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5896984">
            <w:pPr>
              <w:jc w:val="center"/>
              <w:rPr>
                <w:rFonts w:ascii="宋体"/>
                <w:color w:val="auto"/>
                <w:sz w:val="24"/>
                <w:szCs w:val="24"/>
              </w:rPr>
            </w:pPr>
            <w:r>
              <w:rPr>
                <w:rFonts w:hint="eastAsia" w:ascii="宋体" w:hAnsi="宋体"/>
                <w:color w:val="auto"/>
                <w:sz w:val="24"/>
                <w:szCs w:val="24"/>
              </w:rPr>
              <w:t>10</w:t>
            </w:r>
          </w:p>
        </w:tc>
        <w:tc>
          <w:tcPr>
            <w:tcW w:w="2043" w:type="dxa"/>
            <w:vAlign w:val="center"/>
          </w:tcPr>
          <w:p w14:paraId="655F077C">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14:paraId="47412706">
            <w:pPr>
              <w:jc w:val="left"/>
              <w:rPr>
                <w:rFonts w:ascii="宋体"/>
                <w:color w:val="auto"/>
                <w:sz w:val="24"/>
                <w:szCs w:val="24"/>
              </w:rPr>
            </w:pPr>
            <w:r>
              <w:rPr>
                <w:rFonts w:hint="eastAsia"/>
                <w:color w:val="auto"/>
                <w:sz w:val="24"/>
              </w:rPr>
              <w:t>综合评分法</w:t>
            </w:r>
          </w:p>
        </w:tc>
      </w:tr>
      <w:tr w14:paraId="3124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6B72AC9">
            <w:pPr>
              <w:jc w:val="center"/>
              <w:rPr>
                <w:rFonts w:ascii="宋体"/>
                <w:color w:val="auto"/>
                <w:sz w:val="24"/>
                <w:szCs w:val="24"/>
              </w:rPr>
            </w:pPr>
            <w:r>
              <w:rPr>
                <w:rFonts w:hint="eastAsia" w:ascii="宋体" w:hAnsi="宋体"/>
                <w:color w:val="auto"/>
                <w:sz w:val="24"/>
                <w:szCs w:val="24"/>
              </w:rPr>
              <w:t>11</w:t>
            </w:r>
          </w:p>
        </w:tc>
        <w:tc>
          <w:tcPr>
            <w:tcW w:w="2043" w:type="dxa"/>
            <w:vAlign w:val="center"/>
          </w:tcPr>
          <w:p w14:paraId="05755ECE">
            <w:pPr>
              <w:jc w:val="center"/>
              <w:rPr>
                <w:rFonts w:hint="default" w:ascii="宋体" w:eastAsia="宋体"/>
                <w:color w:val="auto"/>
                <w:sz w:val="24"/>
                <w:szCs w:val="24"/>
                <w:lang w:val="en-US" w:eastAsia="zh-CN"/>
              </w:rPr>
            </w:pPr>
            <w:r>
              <w:rPr>
                <w:rFonts w:hint="eastAsia"/>
                <w:color w:val="auto"/>
                <w:sz w:val="24"/>
                <w:lang w:val="en-US" w:eastAsia="zh-CN"/>
              </w:rPr>
              <w:t>公告媒体</w:t>
            </w:r>
          </w:p>
        </w:tc>
        <w:tc>
          <w:tcPr>
            <w:tcW w:w="6348" w:type="dxa"/>
            <w:vAlign w:val="center"/>
          </w:tcPr>
          <w:p w14:paraId="67EC61D6">
            <w:pPr>
              <w:jc w:val="left"/>
              <w:rPr>
                <w:rFonts w:hint="default" w:ascii="宋体" w:eastAsia="宋体"/>
                <w:color w:val="auto"/>
                <w:sz w:val="24"/>
                <w:szCs w:val="24"/>
                <w:lang w:val="en-US" w:eastAsia="zh-CN"/>
              </w:rPr>
            </w:pPr>
            <w:r>
              <w:rPr>
                <w:rFonts w:hint="eastAsia"/>
                <w:color w:val="auto"/>
                <w:sz w:val="24"/>
                <w:lang w:val="en-US" w:eastAsia="zh-CN"/>
              </w:rPr>
              <w:t>杭州电子科技大学采购中心网站</w:t>
            </w:r>
          </w:p>
        </w:tc>
      </w:tr>
      <w:tr w14:paraId="2FA6B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4FDD5A7">
            <w:pPr>
              <w:jc w:val="center"/>
              <w:rPr>
                <w:rFonts w:ascii="宋体"/>
                <w:color w:val="auto"/>
                <w:sz w:val="24"/>
                <w:szCs w:val="24"/>
              </w:rPr>
            </w:pPr>
            <w:r>
              <w:rPr>
                <w:rFonts w:hint="eastAsia" w:ascii="宋体" w:hAnsi="宋体"/>
                <w:color w:val="auto"/>
                <w:sz w:val="24"/>
                <w:szCs w:val="24"/>
              </w:rPr>
              <w:t>12</w:t>
            </w:r>
          </w:p>
        </w:tc>
        <w:tc>
          <w:tcPr>
            <w:tcW w:w="2043" w:type="dxa"/>
            <w:vAlign w:val="center"/>
          </w:tcPr>
          <w:p w14:paraId="2A13795D">
            <w:pPr>
              <w:jc w:val="center"/>
              <w:rPr>
                <w:rFonts w:ascii="宋体"/>
                <w:color w:val="auto"/>
                <w:sz w:val="24"/>
                <w:szCs w:val="24"/>
              </w:rPr>
            </w:pPr>
            <w:r>
              <w:rPr>
                <w:rFonts w:hint="eastAsia"/>
                <w:color w:val="auto"/>
                <w:sz w:val="24"/>
              </w:rPr>
              <w:t>解释</w:t>
            </w:r>
          </w:p>
        </w:tc>
        <w:tc>
          <w:tcPr>
            <w:tcW w:w="6348" w:type="dxa"/>
            <w:vAlign w:val="center"/>
          </w:tcPr>
          <w:p w14:paraId="5DD88469">
            <w:pPr>
              <w:jc w:val="left"/>
              <w:rPr>
                <w:rFonts w:ascii="宋体"/>
                <w:color w:val="auto"/>
                <w:sz w:val="24"/>
                <w:szCs w:val="24"/>
              </w:rPr>
            </w:pPr>
            <w:r>
              <w:rPr>
                <w:rFonts w:hint="eastAsia"/>
                <w:color w:val="auto"/>
                <w:sz w:val="24"/>
              </w:rPr>
              <w:t>本磋商文件的解释权属于杭州电子科技大学采购中心。采购文件中未尽事宜，杭州电子科技大学采购中心有权参照政府采购法相关法律法规作出解释并执行。</w:t>
            </w:r>
          </w:p>
        </w:tc>
      </w:tr>
    </w:tbl>
    <w:p w14:paraId="2C29DEDF">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Ansi="宋体"/>
          <w:color w:val="auto"/>
          <w:sz w:val="32"/>
        </w:rPr>
        <w:br w:type="page"/>
      </w:r>
      <w:bookmarkEnd w:id="142"/>
      <w:bookmarkStart w:id="144" w:name="_Toc3922"/>
      <w:bookmarkStart w:id="145" w:name="_Toc26898"/>
      <w:bookmarkStart w:id="146" w:name="_Toc11749"/>
      <w:bookmarkStart w:id="147" w:name="_Toc11583"/>
      <w:bookmarkStart w:id="148" w:name="_Toc12127"/>
      <w:bookmarkStart w:id="149" w:name="_Toc15091"/>
      <w:bookmarkStart w:id="150" w:name="_Toc20897"/>
      <w:bookmarkStart w:id="151" w:name="_Toc14022"/>
      <w:bookmarkStart w:id="152" w:name="_Toc15936"/>
      <w:bookmarkStart w:id="153" w:name="_Toc7875"/>
      <w:bookmarkStart w:id="154" w:name="_Toc19879"/>
      <w:bookmarkStart w:id="155" w:name="_Toc1492"/>
      <w:bookmarkStart w:id="156" w:name="_Toc7947"/>
      <w:bookmarkStart w:id="157" w:name="_Toc6934"/>
      <w:bookmarkStart w:id="158" w:name="_Toc24333"/>
      <w:bookmarkStart w:id="159" w:name="_Toc27769"/>
      <w:bookmarkStart w:id="160" w:name="_Toc689"/>
      <w:bookmarkStart w:id="161" w:name="_Toc18182"/>
      <w:bookmarkStart w:id="162" w:name="_Toc30371"/>
      <w:bookmarkStart w:id="163" w:name="_Toc9017"/>
      <w:bookmarkStart w:id="164" w:name="_Toc6501"/>
      <w:bookmarkStart w:id="165" w:name="_Toc67"/>
      <w:bookmarkStart w:id="166" w:name="_Toc3209"/>
      <w:bookmarkStart w:id="167" w:name="_Toc6802"/>
      <w:bookmarkStart w:id="168" w:name="_Toc6841"/>
      <w:bookmarkStart w:id="169" w:name="_Toc18556"/>
      <w:bookmarkStart w:id="170" w:name="_Toc24686"/>
      <w:bookmarkStart w:id="171" w:name="_Toc19375"/>
      <w:bookmarkStart w:id="172" w:name="_Toc23407"/>
      <w:bookmarkStart w:id="173" w:name="_Toc2257"/>
      <w:bookmarkStart w:id="174" w:name="_Toc15369"/>
      <w:bookmarkStart w:id="175" w:name="_Toc1408"/>
      <w:bookmarkStart w:id="176" w:name="_Toc22060"/>
      <w:bookmarkStart w:id="177" w:name="_Toc20458"/>
      <w:bookmarkStart w:id="178" w:name="_Toc6991"/>
      <w:r>
        <w:rPr>
          <w:rFonts w:hint="eastAsia" w:ascii="楷体" w:hAnsi="楷体" w:eastAsia="楷体" w:cs="楷体"/>
          <w:snapToGrid w:val="0"/>
          <w:color w:val="auto"/>
          <w:kern w:val="44"/>
          <w:sz w:val="32"/>
          <w:szCs w:val="32"/>
        </w:rPr>
        <w:t>一、磋商说明</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14:paraId="5EBBE329">
      <w:pPr>
        <w:spacing w:before="120" w:beforeLines="50" w:after="120" w:afterLines="50" w:line="288" w:lineRule="auto"/>
        <w:ind w:firstLine="248" w:firstLineChars="103"/>
        <w:outlineLvl w:val="2"/>
        <w:rPr>
          <w:b/>
          <w:bCs/>
          <w:color w:val="auto"/>
          <w:sz w:val="24"/>
        </w:rPr>
      </w:pPr>
      <w:r>
        <w:rPr>
          <w:rFonts w:hint="eastAsia"/>
          <w:b/>
          <w:bCs/>
          <w:color w:val="auto"/>
          <w:sz w:val="24"/>
        </w:rPr>
        <w:t>（一）总则</w:t>
      </w:r>
      <w:r>
        <w:rPr>
          <w:b/>
          <w:bCs/>
          <w:color w:val="auto"/>
          <w:sz w:val="24"/>
        </w:rPr>
        <w:t xml:space="preserve"> </w:t>
      </w:r>
    </w:p>
    <w:p w14:paraId="70973FDF">
      <w:pPr>
        <w:numPr>
          <w:ilvl w:val="0"/>
          <w:numId w:val="1"/>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14:paraId="2009543F">
      <w:pPr>
        <w:numPr>
          <w:ilvl w:val="0"/>
          <w:numId w:val="1"/>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14:paraId="4AA67785">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14:paraId="1FD75D86">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3D5F7366">
      <w:pPr>
        <w:spacing w:line="288" w:lineRule="auto"/>
        <w:ind w:firstLine="420" w:firstLineChars="175"/>
        <w:rPr>
          <w:color w:val="auto"/>
          <w:sz w:val="24"/>
        </w:rPr>
      </w:pPr>
      <w:r>
        <w:rPr>
          <w:rFonts w:hint="eastAsia"/>
          <w:color w:val="auto"/>
          <w:sz w:val="24"/>
        </w:rPr>
        <w:t>（1）产品质量、服务等不符合国家有关规定和响应文件承诺的标准的；</w:t>
      </w:r>
    </w:p>
    <w:p w14:paraId="76FAFA21">
      <w:pPr>
        <w:spacing w:line="288" w:lineRule="auto"/>
        <w:ind w:firstLine="420" w:firstLineChars="175"/>
        <w:rPr>
          <w:color w:val="auto"/>
          <w:sz w:val="24"/>
        </w:rPr>
      </w:pPr>
      <w:r>
        <w:rPr>
          <w:rFonts w:hint="eastAsia"/>
          <w:color w:val="auto"/>
          <w:sz w:val="24"/>
        </w:rPr>
        <w:t>（2）被质疑投诉，经证实情况严重的；</w:t>
      </w:r>
    </w:p>
    <w:p w14:paraId="422BD322">
      <w:pPr>
        <w:spacing w:line="288" w:lineRule="auto"/>
        <w:ind w:firstLine="420" w:firstLineChars="175"/>
        <w:rPr>
          <w:color w:val="auto"/>
          <w:sz w:val="24"/>
        </w:rPr>
      </w:pPr>
      <w:r>
        <w:rPr>
          <w:rFonts w:hint="eastAsia"/>
          <w:color w:val="auto"/>
          <w:sz w:val="24"/>
        </w:rPr>
        <w:t>（3）使用不正当竞争手段，影响采购人正常采购活动的；</w:t>
      </w:r>
    </w:p>
    <w:p w14:paraId="707396B9">
      <w:pPr>
        <w:spacing w:line="288" w:lineRule="auto"/>
        <w:ind w:firstLine="420" w:firstLineChars="175"/>
        <w:rPr>
          <w:color w:val="auto"/>
          <w:sz w:val="24"/>
        </w:rPr>
      </w:pPr>
      <w:r>
        <w:rPr>
          <w:rFonts w:hint="eastAsia"/>
          <w:color w:val="auto"/>
          <w:sz w:val="24"/>
        </w:rPr>
        <w:t>（4）响应方串通投标的；</w:t>
      </w:r>
    </w:p>
    <w:p w14:paraId="1884780F">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14:paraId="716F4E08">
      <w:pPr>
        <w:spacing w:line="288" w:lineRule="auto"/>
        <w:ind w:firstLine="420" w:firstLineChars="175"/>
        <w:rPr>
          <w:color w:val="auto"/>
          <w:sz w:val="24"/>
        </w:rPr>
      </w:pPr>
      <w:r>
        <w:rPr>
          <w:rFonts w:hint="eastAsia"/>
          <w:color w:val="auto"/>
          <w:sz w:val="24"/>
        </w:rPr>
        <w:t>（6）响应方在投标中弄虚作假，提供虚假材料的；</w:t>
      </w:r>
    </w:p>
    <w:p w14:paraId="512D6772">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14:paraId="44361BA7">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14:paraId="0F0F294D">
      <w:pPr>
        <w:spacing w:line="288" w:lineRule="auto"/>
        <w:ind w:firstLine="420" w:firstLineChars="175"/>
        <w:rPr>
          <w:color w:val="auto"/>
          <w:sz w:val="24"/>
        </w:rPr>
      </w:pPr>
      <w:r>
        <w:rPr>
          <w:rFonts w:hint="eastAsia"/>
          <w:color w:val="auto"/>
          <w:sz w:val="24"/>
        </w:rPr>
        <w:t>（9）其他严重扰乱磋商程序的；</w:t>
      </w:r>
    </w:p>
    <w:p w14:paraId="2785D5C2">
      <w:pPr>
        <w:spacing w:line="288" w:lineRule="auto"/>
        <w:ind w:firstLine="420" w:firstLineChars="175"/>
        <w:rPr>
          <w:color w:val="auto"/>
          <w:sz w:val="24"/>
        </w:rPr>
      </w:pPr>
      <w:r>
        <w:rPr>
          <w:rFonts w:hint="eastAsia"/>
          <w:color w:val="auto"/>
          <w:sz w:val="24"/>
        </w:rPr>
        <w:t>（10）未成交供应商恶意质疑、投诉的。</w:t>
      </w:r>
    </w:p>
    <w:p w14:paraId="08E01BBC">
      <w:pPr>
        <w:spacing w:line="288" w:lineRule="auto"/>
        <w:ind w:firstLine="420" w:firstLineChars="175"/>
        <w:rPr>
          <w:color w:val="auto"/>
          <w:sz w:val="24"/>
        </w:rPr>
      </w:pPr>
      <w:r>
        <w:rPr>
          <w:rFonts w:hint="eastAsia"/>
          <w:color w:val="auto"/>
          <w:sz w:val="24"/>
        </w:rPr>
        <w:t>（11）违反法律法规和合同约定的其他情形的。</w:t>
      </w:r>
    </w:p>
    <w:p w14:paraId="7E5F859A">
      <w:pPr>
        <w:spacing w:line="288" w:lineRule="auto"/>
        <w:ind w:firstLine="477" w:firstLineChars="199"/>
        <w:rPr>
          <w:color w:val="auto"/>
          <w:sz w:val="24"/>
        </w:rPr>
      </w:pPr>
      <w:r>
        <w:rPr>
          <w:rFonts w:hint="eastAsia"/>
          <w:color w:val="auto"/>
          <w:sz w:val="24"/>
          <w:lang w:val="en-US" w:eastAsia="zh-CN"/>
        </w:rPr>
        <w:t>5</w:t>
      </w:r>
      <w:r>
        <w:rPr>
          <w:rFonts w:hint="eastAsia"/>
          <w:color w:val="auto"/>
          <w:sz w:val="24"/>
        </w:rPr>
        <w:t>、在本次磋商采购过程中，如果出现采购人利益损失、当事人违法违规或学校政策变更等情况，采购人有权终止本次磋商采购，供应商需自行承担相应的风险和损失。</w:t>
      </w:r>
    </w:p>
    <w:p w14:paraId="25D6F185">
      <w:pPr>
        <w:spacing w:before="120" w:beforeLines="50" w:after="120" w:afterLines="50" w:line="288" w:lineRule="auto"/>
        <w:ind w:firstLine="248" w:firstLineChars="103"/>
        <w:outlineLvl w:val="2"/>
        <w:rPr>
          <w:b/>
          <w:bCs/>
          <w:color w:val="auto"/>
          <w:sz w:val="24"/>
        </w:rPr>
      </w:pPr>
      <w:r>
        <w:rPr>
          <w:rFonts w:hint="eastAsia"/>
          <w:b/>
          <w:bCs/>
          <w:color w:val="auto"/>
          <w:sz w:val="24"/>
        </w:rPr>
        <w:t>（二）释义说明</w:t>
      </w:r>
    </w:p>
    <w:p w14:paraId="080225E0">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w:t>
      </w:r>
    </w:p>
    <w:p w14:paraId="397DF200">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14:paraId="788AFF9D">
      <w:pPr>
        <w:spacing w:line="288" w:lineRule="auto"/>
        <w:ind w:firstLine="477" w:firstLineChars="199"/>
        <w:rPr>
          <w:color w:val="auto"/>
          <w:sz w:val="24"/>
        </w:rPr>
      </w:pPr>
      <w:r>
        <w:rPr>
          <w:color w:val="auto"/>
          <w:sz w:val="24"/>
        </w:rPr>
        <w:t>3</w:t>
      </w:r>
      <w:r>
        <w:rPr>
          <w:rFonts w:hint="eastAsia"/>
          <w:color w:val="auto"/>
          <w:sz w:val="24"/>
        </w:rPr>
        <w:t>、“乙方”</w:t>
      </w:r>
      <w:r>
        <w:rPr>
          <w:rFonts w:hint="eastAsia"/>
          <w:color w:val="auto"/>
          <w:sz w:val="24"/>
          <w:lang w:eastAsia="zh-CN"/>
        </w:rPr>
        <w:t>“</w:t>
      </w:r>
      <w:r>
        <w:rPr>
          <w:rFonts w:hint="eastAsia"/>
          <w:color w:val="auto"/>
          <w:sz w:val="24"/>
          <w:lang w:val="en-US" w:eastAsia="zh-CN"/>
        </w:rPr>
        <w:t>成交人</w:t>
      </w:r>
      <w:r>
        <w:rPr>
          <w:rFonts w:hint="eastAsia"/>
          <w:color w:val="auto"/>
          <w:sz w:val="24"/>
          <w:lang w:eastAsia="zh-CN"/>
        </w:rPr>
        <w:t>”</w:t>
      </w:r>
      <w:r>
        <w:rPr>
          <w:rFonts w:hint="eastAsia"/>
          <w:color w:val="auto"/>
          <w:sz w:val="24"/>
        </w:rPr>
        <w:t>“成交方”“中标人”“</w:t>
      </w:r>
      <w:r>
        <w:rPr>
          <w:rFonts w:hint="eastAsia"/>
          <w:color w:val="auto"/>
          <w:sz w:val="24"/>
          <w:lang w:val="en-US" w:eastAsia="zh-CN"/>
        </w:rPr>
        <w:t>中标</w:t>
      </w:r>
      <w:r>
        <w:rPr>
          <w:rFonts w:hint="eastAsia"/>
          <w:color w:val="auto"/>
          <w:sz w:val="24"/>
        </w:rPr>
        <w:t>方”指本次磋商的成交供应商。</w:t>
      </w:r>
    </w:p>
    <w:p w14:paraId="701BFBF5">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、“货物”、“产品”指响应方按磋商文件规定，须向采购人提供的一切设备、保险、税金、备品备件、工具、手册及其它有关技术资料和材料。</w:t>
      </w:r>
    </w:p>
    <w:p w14:paraId="14F7C666">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14:paraId="6E341DCB">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14:paraId="0E555D34">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0D13FC90">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5803F264">
      <w:pPr>
        <w:spacing w:line="288" w:lineRule="auto"/>
        <w:ind w:firstLine="477" w:firstLineChars="199"/>
        <w:rPr>
          <w:color w:val="auto"/>
          <w:sz w:val="24"/>
        </w:rPr>
      </w:pPr>
      <w:r>
        <w:rPr>
          <w:rFonts w:hint="eastAsia"/>
          <w:color w:val="auto"/>
          <w:sz w:val="24"/>
        </w:rPr>
        <w:t>磋商文件对响应文件签署、盖章的要求适用于电子签名。</w:t>
      </w:r>
    </w:p>
    <w:p w14:paraId="5C98BBBA">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14:paraId="7DD96875">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179" w:name="_Toc12939"/>
      <w:bookmarkStart w:id="180" w:name="_Toc16259"/>
      <w:bookmarkStart w:id="181" w:name="_Toc23441"/>
      <w:bookmarkStart w:id="182" w:name="_Toc14905"/>
      <w:bookmarkStart w:id="183" w:name="_Toc11863"/>
      <w:bookmarkStart w:id="184" w:name="_Toc6681"/>
      <w:bookmarkStart w:id="185" w:name="_Toc17921"/>
      <w:bookmarkStart w:id="186" w:name="_Toc30651"/>
      <w:bookmarkStart w:id="187" w:name="_Toc30356"/>
      <w:bookmarkStart w:id="188" w:name="_Toc15004"/>
      <w:bookmarkStart w:id="189" w:name="_Toc13352"/>
      <w:bookmarkStart w:id="190" w:name="_Toc4054"/>
      <w:bookmarkStart w:id="191" w:name="_Toc25249"/>
      <w:bookmarkStart w:id="192" w:name="_Toc10503"/>
      <w:bookmarkStart w:id="193" w:name="_Toc4587"/>
      <w:bookmarkStart w:id="194" w:name="_Toc10460"/>
      <w:bookmarkStart w:id="195" w:name="_Toc12746"/>
      <w:bookmarkStart w:id="196" w:name="_Toc23883"/>
      <w:bookmarkStart w:id="197" w:name="_Toc14339"/>
      <w:bookmarkStart w:id="198" w:name="_Toc17024"/>
      <w:bookmarkStart w:id="199" w:name="_Toc25478"/>
      <w:bookmarkStart w:id="200" w:name="_Toc32029"/>
      <w:bookmarkStart w:id="201" w:name="_Toc16623"/>
      <w:bookmarkStart w:id="202" w:name="_Toc7225"/>
      <w:bookmarkStart w:id="203" w:name="_Toc12934"/>
      <w:bookmarkStart w:id="204" w:name="_Toc2692"/>
      <w:bookmarkStart w:id="205" w:name="_Toc29315"/>
      <w:r>
        <w:rPr>
          <w:rFonts w:hint="eastAsia" w:ascii="楷体" w:hAnsi="楷体" w:eastAsia="楷体" w:cs="楷体"/>
          <w:snapToGrid w:val="0"/>
          <w:color w:val="auto"/>
          <w:kern w:val="44"/>
          <w:sz w:val="32"/>
          <w:szCs w:val="32"/>
        </w:rPr>
        <w:t>二、磋商文件</w:t>
      </w:r>
      <w:bookmarkEnd w:id="65"/>
      <w:bookmarkEnd w:id="66"/>
      <w:bookmarkEnd w:id="67"/>
      <w:bookmarkEnd w:id="68"/>
      <w:bookmarkEnd w:id="69"/>
      <w:bookmarkEnd w:id="70"/>
      <w:bookmarkEnd w:id="71"/>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74BECD20">
      <w:pPr>
        <w:spacing w:line="288" w:lineRule="auto"/>
        <w:outlineLvl w:val="2"/>
        <w:rPr>
          <w:color w:val="auto"/>
          <w:sz w:val="24"/>
        </w:rPr>
      </w:pPr>
      <w:r>
        <w:rPr>
          <w:rFonts w:hint="eastAsia"/>
          <w:b/>
          <w:bCs/>
          <w:color w:val="auto"/>
          <w:sz w:val="24"/>
        </w:rPr>
        <w:t>（一）磋商文件的构成。</w:t>
      </w:r>
      <w:r>
        <w:rPr>
          <w:rFonts w:hint="eastAsia"/>
          <w:color w:val="auto"/>
          <w:sz w:val="24"/>
        </w:rPr>
        <w:t>本磋商文件由以下部分组成：</w:t>
      </w:r>
    </w:p>
    <w:p w14:paraId="16C43859">
      <w:pPr>
        <w:spacing w:line="288" w:lineRule="auto"/>
        <w:ind w:firstLine="360" w:firstLineChars="150"/>
        <w:rPr>
          <w:color w:val="auto"/>
          <w:sz w:val="24"/>
        </w:rPr>
      </w:pPr>
      <w:r>
        <w:rPr>
          <w:color w:val="auto"/>
          <w:sz w:val="24"/>
        </w:rPr>
        <w:t>1</w:t>
      </w:r>
      <w:r>
        <w:rPr>
          <w:rFonts w:hint="eastAsia"/>
          <w:color w:val="auto"/>
          <w:sz w:val="24"/>
        </w:rPr>
        <w:t>、磋商公告</w:t>
      </w:r>
    </w:p>
    <w:p w14:paraId="2F4080ED">
      <w:pPr>
        <w:spacing w:line="288" w:lineRule="auto"/>
        <w:ind w:firstLine="360" w:firstLineChars="150"/>
        <w:rPr>
          <w:color w:val="auto"/>
          <w:sz w:val="24"/>
        </w:rPr>
      </w:pPr>
      <w:r>
        <w:rPr>
          <w:color w:val="auto"/>
          <w:sz w:val="24"/>
        </w:rPr>
        <w:t>2</w:t>
      </w:r>
      <w:r>
        <w:rPr>
          <w:rFonts w:hint="eastAsia"/>
          <w:color w:val="auto"/>
          <w:sz w:val="24"/>
        </w:rPr>
        <w:t>、响应方须知</w:t>
      </w:r>
    </w:p>
    <w:p w14:paraId="6452FE3E">
      <w:pPr>
        <w:spacing w:line="288" w:lineRule="auto"/>
        <w:ind w:firstLine="360" w:firstLineChars="150"/>
        <w:rPr>
          <w:color w:val="auto"/>
          <w:sz w:val="24"/>
        </w:rPr>
      </w:pPr>
      <w:r>
        <w:rPr>
          <w:color w:val="auto"/>
          <w:sz w:val="24"/>
        </w:rPr>
        <w:t>3</w:t>
      </w:r>
      <w:r>
        <w:rPr>
          <w:rFonts w:hint="eastAsia"/>
          <w:color w:val="auto"/>
          <w:sz w:val="24"/>
        </w:rPr>
        <w:t>、采购要求</w:t>
      </w:r>
    </w:p>
    <w:p w14:paraId="22BFC47F">
      <w:pPr>
        <w:spacing w:line="288" w:lineRule="auto"/>
        <w:ind w:firstLine="360" w:firstLineChars="150"/>
        <w:rPr>
          <w:color w:val="auto"/>
          <w:sz w:val="24"/>
        </w:rPr>
      </w:pPr>
      <w:r>
        <w:rPr>
          <w:color w:val="auto"/>
          <w:sz w:val="24"/>
        </w:rPr>
        <w:t>4</w:t>
      </w:r>
      <w:r>
        <w:rPr>
          <w:rFonts w:hint="eastAsia"/>
          <w:color w:val="auto"/>
          <w:sz w:val="24"/>
        </w:rPr>
        <w:t>、评审办法及评分标准</w:t>
      </w:r>
    </w:p>
    <w:p w14:paraId="61AAB214">
      <w:pPr>
        <w:spacing w:line="288" w:lineRule="auto"/>
        <w:ind w:firstLine="360" w:firstLineChars="150"/>
        <w:rPr>
          <w:color w:val="auto"/>
          <w:sz w:val="24"/>
        </w:rPr>
      </w:pPr>
      <w:r>
        <w:rPr>
          <w:color w:val="auto"/>
          <w:sz w:val="24"/>
        </w:rPr>
        <w:t>5</w:t>
      </w:r>
      <w:r>
        <w:rPr>
          <w:rFonts w:hint="eastAsia"/>
          <w:color w:val="auto"/>
          <w:sz w:val="24"/>
        </w:rPr>
        <w:t>、合同主要条款</w:t>
      </w:r>
    </w:p>
    <w:p w14:paraId="3F6470B1">
      <w:pPr>
        <w:spacing w:line="288" w:lineRule="auto"/>
        <w:ind w:firstLine="360" w:firstLineChars="150"/>
        <w:rPr>
          <w:color w:val="auto"/>
          <w:sz w:val="24"/>
        </w:rPr>
      </w:pPr>
      <w:r>
        <w:rPr>
          <w:color w:val="auto"/>
          <w:sz w:val="24"/>
        </w:rPr>
        <w:t>6</w:t>
      </w:r>
      <w:r>
        <w:rPr>
          <w:rFonts w:hint="eastAsia"/>
          <w:color w:val="auto"/>
          <w:sz w:val="24"/>
        </w:rPr>
        <w:t>、响应文件格式</w:t>
      </w:r>
    </w:p>
    <w:p w14:paraId="48CE37B1">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14:paraId="2DD9325D">
      <w:pPr>
        <w:spacing w:line="288" w:lineRule="auto"/>
        <w:outlineLvl w:val="2"/>
        <w:rPr>
          <w:b/>
          <w:bCs/>
          <w:color w:val="auto"/>
          <w:sz w:val="24"/>
        </w:rPr>
      </w:pPr>
      <w:r>
        <w:rPr>
          <w:rFonts w:hint="eastAsia"/>
          <w:b/>
          <w:bCs/>
          <w:color w:val="auto"/>
          <w:sz w:val="24"/>
        </w:rPr>
        <w:t>（二）磋商文件的澄清与修改</w:t>
      </w:r>
      <w:r>
        <w:rPr>
          <w:b/>
          <w:bCs/>
          <w:color w:val="auto"/>
          <w:sz w:val="24"/>
        </w:rPr>
        <w:t xml:space="preserve"> </w:t>
      </w:r>
    </w:p>
    <w:p w14:paraId="7A7E08C0">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0778EE00">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346166FA">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14:paraId="21392E8D">
      <w:pPr>
        <w:numPr>
          <w:ilvl w:val="0"/>
          <w:numId w:val="2"/>
        </w:numPr>
        <w:spacing w:line="288" w:lineRule="auto"/>
        <w:ind w:firstLine="480"/>
        <w:rPr>
          <w:color w:val="auto"/>
          <w:sz w:val="24"/>
        </w:rPr>
      </w:pPr>
      <w:r>
        <w:rPr>
          <w:rFonts w:hint="eastAsia"/>
          <w:color w:val="auto"/>
          <w:sz w:val="24"/>
        </w:rPr>
        <w:t>磋商文件的澄清、答复、修改或补充都应该通过采购机构以法定形式发布。</w:t>
      </w:r>
    </w:p>
    <w:p w14:paraId="09E5A8C1">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06" w:name="_Toc21890"/>
      <w:bookmarkStart w:id="207" w:name="_Toc28201"/>
      <w:bookmarkStart w:id="208" w:name="_Toc15797"/>
      <w:bookmarkStart w:id="209" w:name="_Toc6322"/>
      <w:bookmarkStart w:id="210" w:name="_Toc30772"/>
      <w:bookmarkStart w:id="211" w:name="_Toc16752"/>
      <w:bookmarkStart w:id="212" w:name="_Toc11900"/>
      <w:bookmarkStart w:id="213" w:name="_Toc17035"/>
      <w:bookmarkStart w:id="214" w:name="_Toc25933"/>
      <w:bookmarkStart w:id="215" w:name="_Toc2334"/>
      <w:bookmarkStart w:id="216" w:name="_Toc24465"/>
      <w:bookmarkStart w:id="217" w:name="_Toc6503"/>
      <w:bookmarkStart w:id="218" w:name="_Toc28569"/>
      <w:bookmarkStart w:id="219" w:name="_Toc26634"/>
      <w:bookmarkStart w:id="220" w:name="_Toc789"/>
      <w:bookmarkStart w:id="221" w:name="_Toc15772"/>
      <w:bookmarkStart w:id="222" w:name="_Toc22140"/>
      <w:bookmarkStart w:id="223" w:name="_Toc4837"/>
      <w:bookmarkStart w:id="224" w:name="_Toc4055"/>
      <w:bookmarkStart w:id="225" w:name="_Toc8035"/>
      <w:bookmarkStart w:id="226" w:name="_Toc14673"/>
      <w:bookmarkStart w:id="227" w:name="_Toc3328"/>
      <w:bookmarkStart w:id="228" w:name="_Toc13358"/>
      <w:bookmarkStart w:id="229" w:name="_Toc10605"/>
      <w:bookmarkStart w:id="230" w:name="_Toc32051"/>
      <w:bookmarkStart w:id="231" w:name="_Toc21501"/>
      <w:bookmarkStart w:id="232" w:name="_Toc22572"/>
      <w:bookmarkStart w:id="233" w:name="_Toc7450"/>
      <w:bookmarkStart w:id="234" w:name="_Toc7515"/>
      <w:bookmarkStart w:id="235" w:name="_Toc32494"/>
      <w:bookmarkStart w:id="236" w:name="_Toc805"/>
      <w:bookmarkStart w:id="237" w:name="_Toc25502"/>
      <w:bookmarkStart w:id="238" w:name="_Toc9434"/>
      <w:bookmarkStart w:id="239" w:name="_Toc19339"/>
      <w:r>
        <w:rPr>
          <w:rFonts w:hint="eastAsia" w:ascii="楷体" w:hAnsi="楷体" w:eastAsia="楷体" w:cs="楷体"/>
          <w:snapToGrid w:val="0"/>
          <w:color w:val="auto"/>
          <w:kern w:val="44"/>
          <w:sz w:val="32"/>
          <w:szCs w:val="32"/>
        </w:rPr>
        <w:t>三、响应文件</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r>
        <w:rPr>
          <w:rFonts w:hint="eastAsia" w:ascii="楷体" w:hAnsi="楷体" w:eastAsia="楷体" w:cs="楷体"/>
          <w:snapToGrid w:val="0"/>
          <w:color w:val="auto"/>
          <w:kern w:val="44"/>
          <w:sz w:val="32"/>
          <w:szCs w:val="32"/>
        </w:rPr>
        <w:t>的编制</w:t>
      </w:r>
    </w:p>
    <w:p w14:paraId="66072F59">
      <w:pPr>
        <w:spacing w:line="288" w:lineRule="auto"/>
        <w:outlineLvl w:val="2"/>
        <w:rPr>
          <w:b/>
          <w:bCs/>
          <w:color w:val="auto"/>
          <w:sz w:val="24"/>
        </w:rPr>
      </w:pPr>
      <w:r>
        <w:rPr>
          <w:rFonts w:hint="eastAsia"/>
          <w:b/>
          <w:bCs/>
          <w:color w:val="auto"/>
          <w:sz w:val="24"/>
        </w:rPr>
        <w:t>（一）响应文件的组成</w:t>
      </w:r>
    </w:p>
    <w:p w14:paraId="52478D8B">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w:t>
      </w:r>
      <w:r>
        <w:rPr>
          <w:rFonts w:hint="eastAsia"/>
          <w:color w:val="auto"/>
          <w:sz w:val="24"/>
          <w:lang w:val="en-US" w:eastAsia="zh-CN"/>
        </w:rPr>
        <w:t>部分</w:t>
      </w:r>
      <w:r>
        <w:rPr>
          <w:rFonts w:hint="eastAsia"/>
          <w:color w:val="auto"/>
          <w:sz w:val="24"/>
        </w:rPr>
        <w:t>）。供应商应将响应文件各部分</w:t>
      </w:r>
      <w:r>
        <w:rPr>
          <w:rFonts w:hint="eastAsia"/>
          <w:b/>
          <w:bCs/>
          <w:color w:val="auto"/>
          <w:sz w:val="24"/>
        </w:rPr>
        <w:t>分别上传</w:t>
      </w:r>
      <w:r>
        <w:rPr>
          <w:rFonts w:hint="eastAsia"/>
          <w:color w:val="auto"/>
          <w:sz w:val="24"/>
        </w:rPr>
        <w:t>至政府采购云平台指定位置。</w:t>
      </w:r>
    </w:p>
    <w:p w14:paraId="753615CF">
      <w:pPr>
        <w:spacing w:line="288" w:lineRule="auto"/>
        <w:ind w:firstLine="422" w:firstLineChars="175"/>
        <w:rPr>
          <w:color w:val="auto"/>
          <w:sz w:val="24"/>
        </w:rPr>
      </w:pPr>
      <w:r>
        <w:rPr>
          <w:rFonts w:hint="eastAsia"/>
          <w:b/>
          <w:bCs/>
          <w:color w:val="auto"/>
          <w:sz w:val="24"/>
        </w:rPr>
        <w:t>响应文件组成：详见“第六部分  响应文件格式”目录</w:t>
      </w:r>
    </w:p>
    <w:p w14:paraId="28B0E8A4">
      <w:pPr>
        <w:spacing w:line="288" w:lineRule="auto"/>
        <w:outlineLvl w:val="2"/>
        <w:rPr>
          <w:b/>
          <w:bCs/>
          <w:color w:val="auto"/>
          <w:sz w:val="24"/>
        </w:rPr>
      </w:pPr>
      <w:r>
        <w:rPr>
          <w:rFonts w:hint="eastAsia"/>
          <w:b/>
          <w:bCs/>
          <w:color w:val="auto"/>
          <w:sz w:val="24"/>
        </w:rPr>
        <w:t>（二）响应文件的签署和份数</w:t>
      </w:r>
    </w:p>
    <w:p w14:paraId="18C55168">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15AEB2FB">
      <w:pPr>
        <w:spacing w:line="288" w:lineRule="auto"/>
        <w:ind w:firstLine="420" w:firstLineChars="175"/>
        <w:rPr>
          <w:color w:val="auto"/>
          <w:sz w:val="24"/>
        </w:rPr>
      </w:pPr>
      <w:r>
        <w:rPr>
          <w:rFonts w:hint="eastAsia"/>
          <w:color w:val="auto"/>
          <w:sz w:val="24"/>
        </w:rPr>
        <w:t>2.响应文件须由供应商在规定位置加盖公章</w:t>
      </w:r>
      <w:bookmarkStart w:id="240" w:name="_Hlk96329193"/>
      <w:r>
        <w:rPr>
          <w:rFonts w:hint="eastAsia"/>
          <w:color w:val="auto"/>
          <w:sz w:val="24"/>
        </w:rPr>
        <w:t>，供应商应写全称。</w:t>
      </w:r>
      <w:bookmarkEnd w:id="240"/>
    </w:p>
    <w:p w14:paraId="5E73C2D0">
      <w:pPr>
        <w:spacing w:line="288" w:lineRule="auto"/>
        <w:ind w:firstLine="420" w:firstLineChars="175"/>
        <w:rPr>
          <w:color w:val="auto"/>
          <w:sz w:val="24"/>
        </w:rPr>
      </w:pPr>
      <w:r>
        <w:rPr>
          <w:rFonts w:hint="eastAsia"/>
          <w:color w:val="auto"/>
          <w:sz w:val="24"/>
        </w:rPr>
        <w:t>3.响应文件不得涂改，若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084979B9">
      <w:pPr>
        <w:spacing w:line="288" w:lineRule="auto"/>
        <w:ind w:firstLine="420" w:firstLineChars="175"/>
        <w:rPr>
          <w:color w:val="auto"/>
          <w:sz w:val="24"/>
        </w:rPr>
      </w:pPr>
      <w:r>
        <w:rPr>
          <w:rFonts w:hint="eastAsia"/>
          <w:color w:val="auto"/>
          <w:sz w:val="24"/>
        </w:rPr>
        <w:t>4.响应文件份数：</w:t>
      </w:r>
    </w:p>
    <w:p w14:paraId="281654B2">
      <w:pPr>
        <w:spacing w:line="288" w:lineRule="auto"/>
        <w:ind w:firstLine="422" w:firstLineChars="175"/>
        <w:rPr>
          <w:color w:val="auto"/>
          <w:sz w:val="24"/>
        </w:rPr>
      </w:pPr>
      <w:r>
        <w:rPr>
          <w:rFonts w:hint="eastAsia"/>
          <w:b/>
          <w:bCs/>
          <w:color w:val="auto"/>
          <w:sz w:val="24"/>
        </w:rPr>
        <w:t>电子加密响应文件：政府采购云平台在线上传一份；备份响应文件（自主选择是否递交）：密封包装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w:t>
      </w:r>
      <w:r>
        <w:rPr>
          <w:rFonts w:hint="eastAsia"/>
          <w:b/>
          <w:bCs/>
          <w:color w:val="auto"/>
          <w:sz w:val="24"/>
        </w:rPr>
        <w:t>邮寄地址</w:t>
      </w:r>
      <w:r>
        <w:rPr>
          <w:rFonts w:hint="eastAsia"/>
          <w:color w:val="auto"/>
          <w:sz w:val="24"/>
        </w:rPr>
        <w:t>：</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color w:val="auto"/>
          <w:sz w:val="24"/>
          <w:lang w:val="en-US" w:eastAsia="zh-CN"/>
        </w:rPr>
        <w:t>40368</w:t>
      </w:r>
      <w:r>
        <w:rPr>
          <w:rFonts w:hint="eastAsia"/>
          <w:color w:val="auto"/>
          <w:sz w:val="24"/>
        </w:rPr>
        <w:t>@hdu.edu.cn，以便查收）。</w:t>
      </w:r>
    </w:p>
    <w:p w14:paraId="07D9E405">
      <w:pPr>
        <w:spacing w:line="288" w:lineRule="auto"/>
        <w:ind w:firstLine="422" w:firstLineChars="175"/>
        <w:rPr>
          <w:b/>
          <w:bCs/>
          <w:color w:val="auto"/>
          <w:sz w:val="24"/>
        </w:rPr>
      </w:pPr>
      <w:r>
        <w:rPr>
          <w:rFonts w:hint="eastAsia"/>
          <w:b/>
          <w:bCs/>
          <w:color w:val="auto"/>
          <w:sz w:val="24"/>
        </w:rPr>
        <w:t>特别说明：双休日和法定节假日不收件，供应商自行承担邮寄风险。</w:t>
      </w:r>
    </w:p>
    <w:p w14:paraId="06681E78">
      <w:pPr>
        <w:spacing w:line="288" w:lineRule="auto"/>
        <w:outlineLvl w:val="2"/>
        <w:rPr>
          <w:b/>
          <w:bCs/>
          <w:color w:val="auto"/>
          <w:sz w:val="24"/>
        </w:rPr>
      </w:pPr>
      <w:r>
        <w:rPr>
          <w:rFonts w:hint="eastAsia"/>
          <w:b/>
          <w:bCs/>
          <w:color w:val="auto"/>
          <w:sz w:val="24"/>
        </w:rPr>
        <w:t>（三）响应文件的上传、递交、修改和撤回</w:t>
      </w:r>
    </w:p>
    <w:p w14:paraId="573131D6">
      <w:pPr>
        <w:spacing w:line="288" w:lineRule="auto"/>
        <w:ind w:firstLine="422" w:firstLineChars="175"/>
        <w:rPr>
          <w:b/>
          <w:bCs/>
          <w:color w:val="auto"/>
          <w:sz w:val="24"/>
        </w:rPr>
      </w:pPr>
      <w:r>
        <w:rPr>
          <w:rFonts w:hint="eastAsia"/>
          <w:b/>
          <w:bCs/>
          <w:color w:val="auto"/>
          <w:sz w:val="24"/>
        </w:rPr>
        <w:t>1.响应文件的上传、递交：</w:t>
      </w:r>
    </w:p>
    <w:p w14:paraId="75122698">
      <w:pPr>
        <w:spacing w:line="288" w:lineRule="auto"/>
        <w:ind w:firstLine="420" w:firstLineChars="175"/>
        <w:rPr>
          <w:color w:val="auto"/>
          <w:sz w:val="24"/>
        </w:rPr>
      </w:pPr>
      <w:r>
        <w:rPr>
          <w:rFonts w:hint="eastAsia"/>
          <w:color w:val="auto"/>
          <w:sz w:val="24"/>
        </w:rPr>
        <w:t>（1）电子加密响应文件的上传：</w:t>
      </w:r>
    </w:p>
    <w:p w14:paraId="5374A9A9">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389DE652">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1BB454B0">
      <w:pPr>
        <w:spacing w:line="288" w:lineRule="auto"/>
        <w:ind w:firstLine="420" w:firstLineChars="175"/>
        <w:rPr>
          <w:color w:val="auto"/>
          <w:sz w:val="24"/>
        </w:rPr>
      </w:pPr>
      <w:r>
        <w:rPr>
          <w:rFonts w:hint="eastAsia"/>
          <w:color w:val="auto"/>
          <w:sz w:val="24"/>
        </w:rPr>
        <w:t>（2）备份响应文件的密封包装、递交：</w:t>
      </w:r>
    </w:p>
    <w:p w14:paraId="3F919BC5">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14:paraId="2F09C0D3">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14:paraId="6A746339">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w:t>
      </w:r>
    </w:p>
    <w:p w14:paraId="54839C9A">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14:paraId="17F10562">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2DBB3B39">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62799A57">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14:paraId="33103E7E">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002CB6AF">
      <w:pPr>
        <w:spacing w:line="288" w:lineRule="auto"/>
        <w:outlineLvl w:val="2"/>
        <w:rPr>
          <w:b/>
          <w:bCs/>
          <w:color w:val="auto"/>
          <w:sz w:val="24"/>
        </w:rPr>
      </w:pPr>
      <w:r>
        <w:rPr>
          <w:rFonts w:hint="eastAsia"/>
          <w:b/>
          <w:bCs/>
          <w:color w:val="auto"/>
          <w:sz w:val="24"/>
        </w:rPr>
        <w:t>（四）响应文件的语言及计量</w:t>
      </w:r>
    </w:p>
    <w:p w14:paraId="3A595591">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39D7F47D">
      <w:pPr>
        <w:spacing w:line="288" w:lineRule="auto"/>
        <w:outlineLvl w:val="2"/>
        <w:rPr>
          <w:b/>
          <w:bCs/>
          <w:color w:val="auto"/>
          <w:sz w:val="24"/>
        </w:rPr>
      </w:pPr>
      <w:r>
        <w:rPr>
          <w:rFonts w:hint="eastAsia"/>
          <w:b/>
          <w:bCs/>
          <w:color w:val="auto"/>
          <w:sz w:val="24"/>
        </w:rPr>
        <w:t>（五）磋商报价</w:t>
      </w:r>
    </w:p>
    <w:p w14:paraId="497C94FF">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13EF213A">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w:t>
      </w:r>
      <w:r>
        <w:rPr>
          <w:rFonts w:hint="eastAsia"/>
          <w:color w:val="auto"/>
          <w:sz w:val="24"/>
          <w:lang w:val="en-US" w:eastAsia="zh-CN"/>
        </w:rPr>
        <w:t>响应</w:t>
      </w:r>
      <w:r>
        <w:rPr>
          <w:rFonts w:hint="eastAsia"/>
          <w:color w:val="auto"/>
          <w:sz w:val="24"/>
        </w:rPr>
        <w:t>文件可能被拒绝。</w:t>
      </w:r>
    </w:p>
    <w:p w14:paraId="2C9C47E1">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344A4B50">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4011A310">
      <w:pPr>
        <w:spacing w:line="288" w:lineRule="auto"/>
        <w:outlineLvl w:val="2"/>
        <w:rPr>
          <w:b/>
          <w:bCs/>
          <w:color w:val="auto"/>
          <w:sz w:val="24"/>
        </w:rPr>
      </w:pPr>
      <w:r>
        <w:rPr>
          <w:rFonts w:hint="eastAsia"/>
          <w:b/>
          <w:bCs/>
          <w:color w:val="auto"/>
          <w:sz w:val="24"/>
        </w:rPr>
        <w:t>（六）响应有效期</w:t>
      </w:r>
    </w:p>
    <w:p w14:paraId="1854913D">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19975731">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rPr>
        <w:t>四、响应无效的情形</w:t>
      </w:r>
    </w:p>
    <w:p w14:paraId="78ABBD17">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1、以下情况认定响应无效：</w:t>
      </w:r>
    </w:p>
    <w:p w14:paraId="294E09F0">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14:paraId="0ADC34C9">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14:paraId="2F96557F">
      <w:pPr>
        <w:adjustRightInd w:val="0"/>
        <w:snapToGrid w:val="0"/>
        <w:spacing w:line="288" w:lineRule="auto"/>
        <w:ind w:firstLine="456" w:firstLineChars="200"/>
        <w:rPr>
          <w:rFonts w:hint="eastAsia" w:ascii="宋体" w:hAnsi="宋体" w:eastAsia="宋体"/>
          <w:color w:val="auto"/>
          <w:spacing w:val="-6"/>
          <w:sz w:val="24"/>
          <w:szCs w:val="24"/>
          <w:lang w:eastAsia="zh-CN"/>
        </w:rPr>
      </w:pPr>
      <w:r>
        <w:rPr>
          <w:rFonts w:hint="eastAsia" w:ascii="宋体" w:hAnsi="宋体"/>
          <w:color w:val="auto"/>
          <w:spacing w:val="-6"/>
          <w:sz w:val="24"/>
          <w:szCs w:val="24"/>
          <w:lang w:val="en-US" w:eastAsia="zh-CN"/>
        </w:rPr>
        <w:t>3</w:t>
      </w:r>
      <w:r>
        <w:rPr>
          <w:rFonts w:hint="eastAsia" w:ascii="宋体" w:hAnsi="宋体"/>
          <w:color w:val="auto"/>
          <w:spacing w:val="-6"/>
          <w:sz w:val="24"/>
          <w:szCs w:val="24"/>
        </w:rPr>
        <w:t>）被拒绝的响应文件</w:t>
      </w:r>
      <w:r>
        <w:rPr>
          <w:rFonts w:hint="eastAsia" w:ascii="宋体" w:hAnsi="宋体"/>
          <w:color w:val="auto"/>
          <w:spacing w:val="-6"/>
          <w:sz w:val="24"/>
          <w:szCs w:val="24"/>
          <w:lang w:val="en-US" w:eastAsia="zh-CN"/>
        </w:rPr>
        <w:t>；</w:t>
      </w:r>
    </w:p>
    <w:p w14:paraId="7F424C95">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lang w:val="en-US" w:eastAsia="zh-CN"/>
        </w:rPr>
        <w:t>4</w:t>
      </w:r>
      <w:r>
        <w:rPr>
          <w:rFonts w:hint="eastAsia" w:ascii="宋体" w:hAnsi="宋体"/>
          <w:color w:val="auto"/>
          <w:spacing w:val="-6"/>
          <w:sz w:val="24"/>
          <w:szCs w:val="24"/>
        </w:rPr>
        <w:t>）法律、法规和磋商文件规定的其他无效情形。</w:t>
      </w:r>
    </w:p>
    <w:p w14:paraId="4AC3BF80">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14:paraId="23D53897">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14:paraId="66D75B3F">
      <w:pPr>
        <w:adjustRightInd w:val="0"/>
        <w:snapToGrid w:val="0"/>
        <w:spacing w:line="288" w:lineRule="auto"/>
        <w:ind w:firstLine="456" w:firstLineChars="200"/>
        <w:rPr>
          <w:rFonts w:hint="eastAsia"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14:paraId="3537005A">
      <w:pPr>
        <w:adjustRightInd w:val="0"/>
        <w:snapToGrid w:val="0"/>
        <w:spacing w:line="288" w:lineRule="auto"/>
        <w:ind w:firstLine="456" w:firstLineChars="200"/>
        <w:rPr>
          <w:rFonts w:hint="default" w:ascii="宋体" w:hAnsi="宋体"/>
          <w:color w:val="auto"/>
          <w:spacing w:val="-6"/>
          <w:sz w:val="24"/>
          <w:szCs w:val="24"/>
          <w:lang w:val="en-US" w:eastAsia="zh-CN"/>
        </w:rPr>
      </w:pPr>
      <w:r>
        <w:rPr>
          <w:rFonts w:hint="eastAsia" w:ascii="宋体" w:hAnsi="宋体"/>
          <w:color w:val="auto"/>
          <w:spacing w:val="-6"/>
          <w:sz w:val="24"/>
          <w:szCs w:val="24"/>
          <w:lang w:val="en-US" w:eastAsia="zh-CN"/>
        </w:rPr>
        <w:t>3）根据电子评标程序规则的需要，资格证明材料必须放在资格文件中，若放在其它地方，采购机构或评审小组有权认定其</w:t>
      </w:r>
      <w:r>
        <w:rPr>
          <w:rFonts w:hint="eastAsia" w:ascii="宋体" w:hAnsi="宋体"/>
          <w:b w:val="0"/>
          <w:bCs/>
          <w:color w:val="auto"/>
          <w:spacing w:val="-6"/>
          <w:sz w:val="24"/>
          <w:szCs w:val="24"/>
        </w:rPr>
        <w:t>资格审查不通过</w:t>
      </w:r>
      <w:r>
        <w:rPr>
          <w:rFonts w:hint="eastAsia" w:ascii="宋体" w:hAnsi="宋体"/>
          <w:color w:val="auto"/>
          <w:spacing w:val="-6"/>
          <w:sz w:val="24"/>
          <w:szCs w:val="24"/>
          <w:lang w:val="en-US" w:eastAsia="zh-CN"/>
        </w:rPr>
        <w:t>。</w:t>
      </w:r>
    </w:p>
    <w:p w14:paraId="50D70B2C">
      <w:pPr>
        <w:adjustRightInd w:val="0"/>
        <w:snapToGrid w:val="0"/>
        <w:spacing w:line="288" w:lineRule="auto"/>
        <w:ind w:firstLine="458" w:firstLineChars="200"/>
        <w:outlineLvl w:val="2"/>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14:paraId="74FC6809">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14:paraId="6797FBA1">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33C959CE">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20BBE20B">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472C6C49">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14:paraId="26751151">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70D1F148">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14:paraId="21720F5C">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w:t>
      </w:r>
      <w:r>
        <w:rPr>
          <w:rFonts w:hint="eastAsia" w:ascii="宋体" w:hAnsi="宋体"/>
          <w:color w:val="auto"/>
          <w:spacing w:val="-6"/>
          <w:sz w:val="24"/>
          <w:szCs w:val="24"/>
          <w:lang w:eastAsia="zh-CN"/>
        </w:rPr>
        <w:t>（</w:t>
      </w:r>
      <w:r>
        <w:rPr>
          <w:rFonts w:hint="eastAsia" w:ascii="宋体" w:hAnsi="宋体"/>
          <w:color w:val="auto"/>
          <w:spacing w:val="-6"/>
          <w:sz w:val="24"/>
          <w:szCs w:val="24"/>
        </w:rPr>
        <w:t>最高限价</w:t>
      </w:r>
      <w:r>
        <w:rPr>
          <w:rFonts w:hint="eastAsia" w:ascii="宋体" w:hAnsi="宋体"/>
          <w:color w:val="auto"/>
          <w:spacing w:val="-6"/>
          <w:sz w:val="24"/>
          <w:szCs w:val="24"/>
          <w:lang w:eastAsia="zh-CN"/>
        </w:rPr>
        <w:t>）</w:t>
      </w:r>
      <w:r>
        <w:rPr>
          <w:rFonts w:hint="eastAsia" w:ascii="宋体" w:hAnsi="宋体"/>
          <w:color w:val="auto"/>
          <w:spacing w:val="-6"/>
          <w:sz w:val="24"/>
          <w:szCs w:val="24"/>
        </w:rPr>
        <w:t>的；</w:t>
      </w:r>
    </w:p>
    <w:p w14:paraId="2343B62F">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14:paraId="321F3D48">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5）最终报价出现以下异常低价情形之一，且未提供项目具体成本测算等与报价合理性相关的书面</w:t>
      </w:r>
      <w:r>
        <w:rPr>
          <w:rFonts w:hint="eastAsia" w:ascii="宋体" w:hAnsi="宋体"/>
          <w:color w:val="auto"/>
          <w:spacing w:val="-6"/>
          <w:sz w:val="24"/>
          <w:szCs w:val="24"/>
          <w:lang w:val="en-US" w:eastAsia="zh-CN"/>
        </w:rPr>
        <w:t>说明及必要的证明材料的，或者其提供的说明和材料不能证明其报价合理性，经评审委员会认定有可能影响产品质量或者不能诚信履约的，响应无效。</w:t>
      </w:r>
    </w:p>
    <w:p w14:paraId="2FF29D4A">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①</w:t>
      </w:r>
      <w:r>
        <w:rPr>
          <w:rFonts w:hint="eastAsia" w:ascii="宋体" w:hAnsi="宋体"/>
          <w:color w:val="auto"/>
          <w:spacing w:val="-6"/>
          <w:sz w:val="24"/>
          <w:szCs w:val="24"/>
          <w:lang w:val="en-US" w:eastAsia="zh-CN"/>
        </w:rPr>
        <w:t>投标（响应）报价低于全部通过符合性审查供应商投标（响应）报价平均值50%的，即投标（响应）报价&lt;全部通过符合性审查供应商投标（响应）报价平均值×50%； </w:t>
      </w:r>
    </w:p>
    <w:p w14:paraId="0F5EA988">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②</w:t>
      </w:r>
      <w:r>
        <w:rPr>
          <w:rFonts w:hint="eastAsia" w:ascii="宋体" w:hAnsi="宋体"/>
          <w:color w:val="auto"/>
          <w:spacing w:val="-6"/>
          <w:sz w:val="24"/>
          <w:szCs w:val="24"/>
          <w:lang w:val="en-US" w:eastAsia="zh-CN"/>
        </w:rPr>
        <w:t>投标（响应）报价低于通过符合性审查的次低报价供应商投标（响应）报价50%的，即投标（响应）报价&lt;通过符合性审查的次低报价供应商投标（响应）报价×50%； </w:t>
      </w:r>
    </w:p>
    <w:p w14:paraId="3F631314">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③</w:t>
      </w:r>
      <w:r>
        <w:rPr>
          <w:rFonts w:hint="eastAsia" w:ascii="宋体" w:hAnsi="宋体"/>
          <w:color w:val="auto"/>
          <w:spacing w:val="-6"/>
          <w:sz w:val="24"/>
          <w:szCs w:val="24"/>
          <w:lang w:val="en-US" w:eastAsia="zh-CN"/>
        </w:rPr>
        <w:t>投标（响应）报价低于采购项目最高限价45%的，即投标（响应）报价&lt;采购项目最高限价×45%；</w:t>
      </w:r>
    </w:p>
    <w:p w14:paraId="127FCBE9">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④</w:t>
      </w:r>
      <w:r>
        <w:rPr>
          <w:rFonts w:hint="eastAsia" w:ascii="宋体" w:hAnsi="宋体"/>
          <w:color w:val="auto"/>
          <w:spacing w:val="-6"/>
          <w:sz w:val="24"/>
          <w:szCs w:val="24"/>
          <w:lang w:val="en-US" w:eastAsia="zh-CN"/>
        </w:rPr>
        <w:t>评审委员会基于专业判</w:t>
      </w:r>
      <w:r>
        <w:rPr>
          <w:rFonts w:hint="eastAsia" w:ascii="宋体" w:hAnsi="宋体"/>
          <w:color w:val="auto"/>
          <w:spacing w:val="-6"/>
          <w:sz w:val="24"/>
          <w:szCs w:val="24"/>
          <w:lang w:val="en-US" w:eastAsia="zh-CN"/>
        </w:rPr>
        <w:t>断，认为供应商报价过低，有可能影响产品质量或者不能诚信履约的其他情形。</w:t>
      </w:r>
    </w:p>
    <w:p w14:paraId="4789C71A">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w:t>
      </w:r>
      <w:r>
        <w:rPr>
          <w:rFonts w:hint="eastAsia" w:ascii="宋体" w:hAnsi="宋体"/>
          <w:b/>
          <w:color w:val="auto"/>
          <w:spacing w:val="-6"/>
          <w:sz w:val="24"/>
          <w:szCs w:val="24"/>
          <w:lang w:val="en-US" w:eastAsia="zh-CN"/>
        </w:rPr>
        <w:t>，无法合理解释的，</w:t>
      </w:r>
      <w:r>
        <w:rPr>
          <w:rFonts w:hint="eastAsia" w:ascii="宋体" w:hAnsi="宋体" w:eastAsia="宋体" w:cs="Times New Roman"/>
          <w:b/>
          <w:color w:val="auto"/>
          <w:spacing w:val="-6"/>
          <w:sz w:val="24"/>
          <w:szCs w:val="24"/>
          <w:highlight w:val="none"/>
        </w:rPr>
        <w:t>视为投标人串通投标，</w:t>
      </w:r>
      <w:r>
        <w:rPr>
          <w:rFonts w:hint="eastAsia" w:ascii="宋体" w:hAnsi="宋体"/>
          <w:b/>
          <w:color w:val="auto"/>
          <w:spacing w:val="-6"/>
          <w:sz w:val="24"/>
          <w:szCs w:val="24"/>
        </w:rPr>
        <w:t>其响应无效</w:t>
      </w:r>
      <w:r>
        <w:rPr>
          <w:rFonts w:hint="eastAsia" w:ascii="宋体" w:hAnsi="宋体"/>
          <w:b/>
          <w:color w:val="auto"/>
          <w:spacing w:val="-6"/>
          <w:sz w:val="24"/>
          <w:szCs w:val="24"/>
          <w:lang w:eastAsia="zh-CN"/>
        </w:rPr>
        <w:t>。</w:t>
      </w:r>
    </w:p>
    <w:p w14:paraId="5CB8C240">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757EF619">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771D2A45">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14:paraId="34B06AF2">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14:paraId="3C628F01">
      <w:pPr>
        <w:widowControl/>
        <w:adjustRightInd w:val="0"/>
        <w:snapToGrid w:val="0"/>
        <w:spacing w:line="288" w:lineRule="auto"/>
        <w:ind w:firstLine="456" w:firstLineChars="200"/>
        <w:jc w:val="left"/>
        <w:rPr>
          <w:rFonts w:hint="eastAsia" w:ascii="宋体" w:hAnsi="宋体" w:eastAsia="宋体"/>
          <w:color w:val="auto"/>
          <w:spacing w:val="-6"/>
          <w:sz w:val="24"/>
          <w:szCs w:val="24"/>
          <w:lang w:val="en-US" w:eastAsia="zh-CN"/>
        </w:rPr>
      </w:pPr>
      <w:r>
        <w:rPr>
          <w:rFonts w:hint="eastAsia" w:ascii="宋体" w:hAnsi="宋体"/>
          <w:color w:val="auto"/>
          <w:spacing w:val="-6"/>
          <w:sz w:val="24"/>
          <w:szCs w:val="24"/>
        </w:rPr>
        <w:t>5）不同响应方的响应文件相互混装</w:t>
      </w:r>
      <w:r>
        <w:rPr>
          <w:rFonts w:hint="eastAsia" w:ascii="宋体" w:hAnsi="宋体"/>
          <w:color w:val="auto"/>
          <w:spacing w:val="-6"/>
          <w:sz w:val="24"/>
          <w:szCs w:val="24"/>
          <w:lang w:val="en-US" w:eastAsia="zh-CN"/>
        </w:rPr>
        <w:t>；</w:t>
      </w:r>
    </w:p>
    <w:p w14:paraId="552BFCFB">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6</w:t>
      </w:r>
      <w:r>
        <w:rPr>
          <w:rFonts w:hint="eastAsia" w:ascii="宋体" w:hAnsi="宋体"/>
          <w:color w:val="auto"/>
          <w:spacing w:val="-6"/>
          <w:sz w:val="24"/>
          <w:szCs w:val="24"/>
        </w:rPr>
        <w:t>）不同供应商的电子投标（响应）文件上传计算机的网卡MAC地址或硬盘序列号等硬件信息相</w:t>
      </w:r>
      <w:r>
        <w:rPr>
          <w:rFonts w:hint="eastAsia" w:ascii="宋体" w:hAnsi="宋体"/>
          <w:color w:val="auto"/>
          <w:spacing w:val="-6"/>
          <w:sz w:val="24"/>
          <w:szCs w:val="24"/>
          <w:lang w:val="en-US" w:eastAsia="zh-CN"/>
        </w:rPr>
        <w:t>同的；</w:t>
      </w:r>
    </w:p>
    <w:p w14:paraId="29A76ED5">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7）上传的电子投标（响应）文件若出现使用本项目其他投标（响应）供应商的数字证书加密</w:t>
      </w:r>
      <w:r>
        <w:rPr>
          <w:rFonts w:hint="eastAsia" w:ascii="宋体" w:hAnsi="宋体"/>
          <w:color w:val="auto"/>
          <w:spacing w:val="-6"/>
          <w:sz w:val="24"/>
          <w:szCs w:val="24"/>
        </w:rPr>
        <w:t>的，或者加盖本项目其他投标（响应）供应商的电子印章的；</w:t>
      </w:r>
    </w:p>
    <w:p w14:paraId="296C7AA0">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8）</w:t>
      </w:r>
      <w:r>
        <w:rPr>
          <w:rFonts w:hint="eastAsia" w:ascii="宋体" w:hAnsi="宋体"/>
          <w:color w:val="auto"/>
          <w:spacing w:val="-6"/>
          <w:sz w:val="24"/>
          <w:szCs w:val="24"/>
        </w:rPr>
        <w:t>不同供应商的投标（响应）文件的内容存在3处（含）以上错误一致的；</w:t>
      </w:r>
    </w:p>
    <w:p w14:paraId="0F43A54B">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9）</w:t>
      </w:r>
      <w:r>
        <w:rPr>
          <w:rFonts w:hint="eastAsia" w:ascii="宋体" w:hAnsi="宋体"/>
          <w:color w:val="auto"/>
          <w:spacing w:val="-6"/>
          <w:sz w:val="24"/>
          <w:szCs w:val="24"/>
        </w:rPr>
        <w:t>不同供应商联系人为同一人或不同联系人的联系电话一致的。</w:t>
      </w:r>
    </w:p>
    <w:bookmarkEnd w:id="72"/>
    <w:bookmarkEnd w:id="73"/>
    <w:p w14:paraId="01290DAB">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41" w:name="_Toc20980"/>
      <w:bookmarkStart w:id="242" w:name="_Toc32590"/>
      <w:bookmarkStart w:id="243" w:name="_Toc11859"/>
      <w:bookmarkStart w:id="244" w:name="_Toc6013"/>
      <w:bookmarkStart w:id="245" w:name="_Toc433537967"/>
      <w:bookmarkStart w:id="246" w:name="_Toc30706"/>
      <w:bookmarkStart w:id="247" w:name="_Toc23374"/>
      <w:bookmarkStart w:id="248" w:name="_Toc17194"/>
      <w:bookmarkStart w:id="249" w:name="_Toc9444"/>
      <w:bookmarkStart w:id="250" w:name="_Toc25705"/>
      <w:bookmarkStart w:id="251" w:name="_Toc6009"/>
      <w:bookmarkStart w:id="252" w:name="_Toc20654"/>
      <w:bookmarkStart w:id="253" w:name="_Toc8571"/>
      <w:bookmarkStart w:id="254" w:name="_Toc12201"/>
      <w:bookmarkStart w:id="255" w:name="_Toc6290"/>
      <w:bookmarkStart w:id="256" w:name="_Toc6184"/>
      <w:bookmarkStart w:id="257" w:name="_Toc200"/>
      <w:bookmarkStart w:id="258" w:name="_Toc24793"/>
      <w:bookmarkStart w:id="259" w:name="_Toc11828"/>
      <w:bookmarkStart w:id="260" w:name="_Toc14837"/>
      <w:bookmarkStart w:id="261" w:name="_Toc24390"/>
      <w:bookmarkStart w:id="262" w:name="_Toc26820"/>
      <w:bookmarkStart w:id="263" w:name="_Toc8275"/>
      <w:bookmarkStart w:id="264" w:name="_Toc28358"/>
      <w:bookmarkStart w:id="265" w:name="_Toc14125"/>
      <w:bookmarkStart w:id="266" w:name="_Toc207550884"/>
      <w:bookmarkStart w:id="267" w:name="_Toc11365"/>
      <w:bookmarkStart w:id="268" w:name="_Toc22208"/>
      <w:bookmarkStart w:id="269" w:name="_Toc13917"/>
      <w:bookmarkStart w:id="270" w:name="_Toc467"/>
      <w:bookmarkStart w:id="271" w:name="_Toc8057"/>
      <w:bookmarkStart w:id="272" w:name="_Toc27001"/>
      <w:bookmarkStart w:id="273" w:name="_Toc4601"/>
      <w:bookmarkStart w:id="274" w:name="_Toc183786419"/>
      <w:r>
        <w:rPr>
          <w:rFonts w:hint="eastAsia" w:ascii="楷体" w:hAnsi="楷体" w:eastAsia="楷体" w:cs="楷体"/>
          <w:snapToGrid w:val="0"/>
          <w:color w:val="auto"/>
          <w:kern w:val="44"/>
          <w:sz w:val="32"/>
          <w:szCs w:val="32"/>
        </w:rPr>
        <w:t>五、开启响应文件</w:t>
      </w:r>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14:paraId="7B62AD5E">
      <w:pPr>
        <w:spacing w:line="288" w:lineRule="auto"/>
        <w:ind w:firstLine="482"/>
        <w:rPr>
          <w:color w:val="auto"/>
          <w:sz w:val="24"/>
        </w:rPr>
      </w:pPr>
      <w:bookmarkStart w:id="275" w:name="_Toc841"/>
      <w:bookmarkStart w:id="276" w:name="_Toc12629"/>
      <w:bookmarkStart w:id="277" w:name="_Toc26833"/>
      <w:bookmarkStart w:id="278" w:name="_Toc22094"/>
      <w:bookmarkStart w:id="279" w:name="_Toc30360"/>
      <w:bookmarkStart w:id="280" w:name="_Toc4789"/>
      <w:bookmarkStart w:id="281" w:name="_Toc5075"/>
      <w:bookmarkStart w:id="282" w:name="_Toc6558"/>
      <w:bookmarkStart w:id="283" w:name="_Toc29181"/>
      <w:bookmarkStart w:id="284" w:name="_Toc30679"/>
      <w:bookmarkStart w:id="285" w:name="_Toc32220"/>
      <w:bookmarkStart w:id="286" w:name="_Toc20003"/>
      <w:bookmarkStart w:id="287" w:name="_Toc667"/>
      <w:bookmarkStart w:id="288" w:name="_Toc650"/>
      <w:bookmarkStart w:id="289" w:name="_Toc18007"/>
      <w:bookmarkStart w:id="290" w:name="_Toc13314"/>
      <w:bookmarkStart w:id="291" w:name="_Toc10811"/>
      <w:bookmarkStart w:id="292" w:name="_Toc26778"/>
      <w:bookmarkStart w:id="293" w:name="_Toc18579"/>
      <w:bookmarkStart w:id="294" w:name="_Toc15608"/>
      <w:bookmarkStart w:id="295" w:name="_Toc8052"/>
      <w:bookmarkStart w:id="296" w:name="_Toc11659"/>
      <w:bookmarkStart w:id="297" w:name="_Toc12021"/>
      <w:bookmarkStart w:id="298" w:name="_Toc8181"/>
      <w:bookmarkStart w:id="299" w:name="_Toc9028"/>
      <w:bookmarkStart w:id="300" w:name="_Toc22017"/>
      <w:bookmarkStart w:id="301" w:name="_Toc29445"/>
      <w:bookmarkStart w:id="302" w:name="_Toc10251"/>
      <w:bookmarkStart w:id="303" w:name="_Toc902"/>
      <w:bookmarkStart w:id="304" w:name="_Toc10561"/>
      <w:bookmarkStart w:id="305" w:name="_Toc28057"/>
      <w:bookmarkStart w:id="306" w:name="_Toc7609"/>
      <w:bookmarkStart w:id="307" w:name="_Toc27046"/>
      <w:bookmarkStart w:id="308" w:name="_Toc25227"/>
      <w:r>
        <w:rPr>
          <w:rFonts w:hint="eastAsia"/>
          <w:color w:val="auto"/>
          <w:sz w:val="24"/>
        </w:rPr>
        <w:t>采购机构按照磋商文件规定的时间通过电子交易平台组织开启，所有供应商均应当准时在线参加。供应商不足3家的，不得开启。</w:t>
      </w:r>
    </w:p>
    <w:p w14:paraId="6E44041C">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14:paraId="33143CB4">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14:paraId="7D246E49">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6F968C08">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rPr>
        <w:t>六、</w:t>
      </w:r>
      <w:bookmarkEnd w:id="275"/>
      <w:bookmarkEnd w:id="276"/>
      <w:bookmarkEnd w:id="277"/>
      <w:r>
        <w:rPr>
          <w:rFonts w:hint="eastAsia" w:ascii="楷体" w:hAnsi="楷体" w:eastAsia="楷体" w:cs="楷体"/>
          <w:snapToGrid w:val="0"/>
          <w:color w:val="auto"/>
          <w:kern w:val="44"/>
          <w:sz w:val="32"/>
          <w:szCs w:val="32"/>
        </w:rPr>
        <w:t>评审和磋商</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6CA9AC82">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（一）磋商小组</w:t>
      </w:r>
    </w:p>
    <w:p w14:paraId="657DC0E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0"/>
        <w:textAlignment w:val="auto"/>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14:paraId="2788B44E">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（二）响应文件实质性响应的确定</w:t>
      </w:r>
    </w:p>
    <w:p w14:paraId="70B9EF2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color w:val="auto"/>
          <w:sz w:val="24"/>
        </w:rPr>
        <w:t>1</w:t>
      </w:r>
      <w:r>
        <w:rPr>
          <w:rFonts w:hint="eastAsia"/>
          <w:color w:val="auto"/>
          <w:sz w:val="24"/>
        </w:rPr>
        <w:t>、无效的响应文件不再进入下一步磋商程序；</w:t>
      </w:r>
    </w:p>
    <w:p w14:paraId="3B35291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color w:val="auto"/>
          <w:sz w:val="24"/>
        </w:rPr>
        <w:t>2</w:t>
      </w:r>
      <w:r>
        <w:rPr>
          <w:rFonts w:hint="eastAsia"/>
          <w:color w:val="auto"/>
          <w:sz w:val="24"/>
        </w:rPr>
        <w:t>、判断响应文件的</w:t>
      </w:r>
      <w:r>
        <w:rPr>
          <w:rFonts w:hint="eastAsia"/>
          <w:color w:val="auto"/>
          <w:sz w:val="24"/>
          <w:lang w:val="en-US" w:eastAsia="zh-CN"/>
        </w:rPr>
        <w:t>有效</w:t>
      </w:r>
      <w:r>
        <w:rPr>
          <w:rFonts w:hint="eastAsia"/>
          <w:color w:val="auto"/>
          <w:sz w:val="24"/>
        </w:rPr>
        <w:t>性仅基于响应文件本身而不靠外部证据；</w:t>
      </w:r>
    </w:p>
    <w:p w14:paraId="071926C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14:paraId="260D1847">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（三）响应文件的详细评审和进一步磋商</w:t>
      </w:r>
    </w:p>
    <w:p w14:paraId="36CFE64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磋商小组对各响应文件的全部内容进行审阅，并按本部分第四条响应无效的情形确定各响应文件是否有效。</w:t>
      </w:r>
    </w:p>
    <w:p w14:paraId="2C3DBC7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磋商小组所有成员应当集中与单一供应商分别进行磋商，并给予所有参加磋商的供应商平等的磋商机会。</w:t>
      </w:r>
    </w:p>
    <w:p w14:paraId="72D8319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733FA58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对磋商文件作出的实质性变动是磋商文件的有效组成部分，磋商小组通过政府采购云平台以书面形式同时通知所有参加磋商的供应商。</w:t>
      </w:r>
    </w:p>
    <w:p w14:paraId="39D5AAB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供应商应当</w:t>
      </w:r>
      <w:r>
        <w:rPr>
          <w:rFonts w:hint="eastAsia"/>
          <w:color w:val="auto"/>
          <w:sz w:val="24"/>
        </w:rPr>
        <w:t>按照磋商文件的变动情况和磋商小组的要求通过政府采购云平台提交磋商记录，并由其法定代表人或授权代表签名或者加盖公章。</w:t>
      </w:r>
    </w:p>
    <w:p w14:paraId="6AC2CE5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rPr>
      </w:pPr>
      <w:r>
        <w:rPr>
          <w:rFonts w:hint="eastAsia"/>
          <w:color w:val="auto"/>
          <w:sz w:val="24"/>
        </w:rPr>
        <w:t>供应商的磋商内容无法通过政府采购云平台上传的，可在规定时间内（半小时内）通过指定的电子邮箱（</w:t>
      </w:r>
      <w:r>
        <w:rPr>
          <w:rFonts w:hint="eastAsia"/>
          <w:color w:val="auto"/>
          <w:sz w:val="24"/>
          <w:u w:val="single"/>
        </w:rPr>
        <w:t>40368@hdu.edu.cn</w:t>
      </w:r>
      <w:r>
        <w:rPr>
          <w:rFonts w:hint="eastAsia"/>
          <w:color w:val="auto"/>
          <w:sz w:val="24"/>
        </w:rPr>
        <w:t>）提交。</w:t>
      </w:r>
    </w:p>
    <w:p w14:paraId="671A5361">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（四）最后报价</w:t>
      </w:r>
    </w:p>
    <w:p w14:paraId="3CEB4311">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14:paraId="6EFF3F50">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2B9D21ED">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14:paraId="44E7CC64">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rFonts w:hint="eastAsia"/>
          <w:color w:val="auto"/>
          <w:sz w:val="24"/>
        </w:rPr>
      </w:pPr>
      <w:r>
        <w:rPr>
          <w:rFonts w:hint="eastAsia"/>
          <w:color w:val="auto"/>
          <w:sz w:val="24"/>
        </w:rPr>
        <w:t>供应商的最后报价无法通过政府采购云平台上传的，可在规定时间内（半小时内）通过指定的电子邮箱（</w:t>
      </w:r>
      <w:r>
        <w:rPr>
          <w:rFonts w:hint="eastAsia"/>
          <w:color w:val="auto"/>
          <w:sz w:val="24"/>
          <w:u w:val="single"/>
        </w:rPr>
        <w:t>40368@hdu.edu.cn</w:t>
      </w:r>
      <w:r>
        <w:rPr>
          <w:rFonts w:hint="eastAsia"/>
          <w:color w:val="auto"/>
          <w:sz w:val="24"/>
        </w:rPr>
        <w:t>）提交。</w:t>
      </w:r>
    </w:p>
    <w:p w14:paraId="4ECA48AE">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（五）错误修正</w:t>
      </w:r>
    </w:p>
    <w:p w14:paraId="51C4986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响应文件报价出现前后不一致的，除磋商文件另有规定外，按照下列规定修正：</w:t>
      </w:r>
    </w:p>
    <w:p w14:paraId="0FA055B1">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（一）响应文件中报价表内容与响应文件中相应内容不一致的，以报价表为准；</w:t>
      </w:r>
    </w:p>
    <w:p w14:paraId="02ECE53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（二）大写金额和小写金额不一致的，以大写金额为准；</w:t>
      </w:r>
    </w:p>
    <w:p w14:paraId="1B1FE0D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（三）单价金额小数点或者百分比有明显错位的，以报价表的总价为准，并修改单价；</w:t>
      </w:r>
    </w:p>
    <w:p w14:paraId="7285F66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（四）总价金额与按单价汇总金额不一致的，以单价金额计算结果为准；</w:t>
      </w:r>
    </w:p>
    <w:p w14:paraId="711403A3">
      <w:pPr>
        <w:pStyle w:val="8"/>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同时出现两种以上不一致的，按照前款规定的顺序修正。如果是明显的笔误，经磋商小组认可，并经响应方确认，可以给予纠正。</w:t>
      </w:r>
    </w:p>
    <w:p w14:paraId="3F9631A1">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rFonts w:hint="default"/>
          <w:b/>
          <w:bCs/>
          <w:color w:val="auto"/>
          <w:sz w:val="24"/>
          <w:szCs w:val="22"/>
          <w:lang w:val="en-US" w:eastAsia="zh-CN"/>
        </w:rPr>
      </w:pPr>
      <w:r>
        <w:rPr>
          <w:rFonts w:hint="eastAsia"/>
          <w:b/>
          <w:bCs/>
          <w:color w:val="auto"/>
          <w:sz w:val="24"/>
          <w:szCs w:val="22"/>
          <w:lang w:eastAsia="zh-CN"/>
        </w:rPr>
        <w:t>（</w:t>
      </w:r>
      <w:r>
        <w:rPr>
          <w:rFonts w:hint="eastAsia"/>
          <w:b/>
          <w:bCs/>
          <w:color w:val="auto"/>
          <w:sz w:val="24"/>
          <w:szCs w:val="22"/>
          <w:lang w:val="en-US" w:eastAsia="zh-CN"/>
        </w:rPr>
        <w:t>六</w:t>
      </w:r>
      <w:r>
        <w:rPr>
          <w:rFonts w:hint="eastAsia"/>
          <w:b/>
          <w:bCs/>
          <w:color w:val="auto"/>
          <w:sz w:val="24"/>
          <w:szCs w:val="22"/>
          <w:lang w:eastAsia="zh-CN"/>
        </w:rPr>
        <w:t>）</w:t>
      </w:r>
      <w:r>
        <w:rPr>
          <w:rFonts w:hint="eastAsia"/>
          <w:b/>
          <w:bCs/>
          <w:color w:val="auto"/>
          <w:sz w:val="24"/>
          <w:szCs w:val="22"/>
          <w:lang w:val="en-US" w:eastAsia="zh-CN"/>
        </w:rPr>
        <w:t>异常低价审查</w:t>
      </w:r>
    </w:p>
    <w:p w14:paraId="00615311">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评审中出现下列情形之一的，评审委员会应当启动异常低价投标（响应）审查程序： </w:t>
      </w:r>
    </w:p>
    <w:p w14:paraId="6F44B6DA">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1.投标（响应）报价低于全部通过符合性审查供应商投标（响应）报价平均值50%的，即投标（响应）报价&lt;全部通过符合性审查供应商投标（响应）报价平均值×50%； </w:t>
      </w:r>
    </w:p>
    <w:p w14:paraId="64DD8D50">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2.投标（响应）报价低于通过符合性审查的次低报价供应商投标（响应）报价50%的，即投标（响应）报价&lt;通过符合性审查的次低报价供应商投标（响应）报价×50%； </w:t>
      </w:r>
    </w:p>
    <w:p w14:paraId="15F6528D">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3.投标（响应）报价低于采购项目最高限价45%的，即投标（响应）报价&lt;采购项目最高限价×45%； </w:t>
      </w:r>
    </w:p>
    <w:p w14:paraId="5899D8EE">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4.评审委员会基于专业判断，认为供应商报价过低，有可能影响产品质量或者不能诚信履约的其他情形。 </w:t>
      </w:r>
    </w:p>
    <w:p w14:paraId="24649A3D">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评审委员会启动异常低价投标（响应）审查后，属于前述第1项至第4项情形的，</w:t>
      </w:r>
      <w:r>
        <w:rPr>
          <w:rFonts w:hint="eastAsia"/>
          <w:b/>
          <w:bCs/>
          <w:color w:val="auto"/>
          <w:sz w:val="24"/>
          <w:szCs w:val="22"/>
        </w:rPr>
        <w:t>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b/>
          <w:bCs/>
          <w:color w:val="auto"/>
          <w:sz w:val="24"/>
          <w:szCs w:val="22"/>
          <w:lang w:val="en-US" w:eastAsia="zh-CN"/>
        </w:rPr>
        <w:t>供应商应当同时提供</w:t>
      </w:r>
      <w:r>
        <w:rPr>
          <w:rFonts w:hint="eastAsia"/>
          <w:b/>
          <w:bCs/>
          <w:color w:val="auto"/>
          <w:sz w:val="24"/>
          <w:szCs w:val="22"/>
        </w:rPr>
        <w:t>同类项目中标（成交）价格、类似产品市场价格水平、行业人工费用标准、国家有关部门指导行业协会发布的行业平均成本</w:t>
      </w:r>
      <w:r>
        <w:rPr>
          <w:rFonts w:hint="eastAsia"/>
          <w:b/>
          <w:bCs/>
          <w:color w:val="auto"/>
          <w:sz w:val="24"/>
          <w:szCs w:val="22"/>
          <w:lang w:val="en-US" w:eastAsia="zh-CN"/>
        </w:rPr>
        <w:t>等相关证明材料</w:t>
      </w:r>
      <w:r>
        <w:rPr>
          <w:rFonts w:hint="eastAsia"/>
          <w:color w:val="auto"/>
          <w:sz w:val="24"/>
          <w:szCs w:val="22"/>
        </w:rPr>
        <w:t>，给予相关供应商的合理时间一般不少于30分钟。其中，属于第3项情形，供应商已随投标（响应）文件一并提交相关书面说明及必要的证明材料的，在评审现场可不再重复提交。 </w:t>
      </w:r>
    </w:p>
    <w:p w14:paraId="57DB56F9">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522B6A7C">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w:t>
      </w:r>
      <w:r>
        <w:rPr>
          <w:rFonts w:hint="eastAsia"/>
          <w:b/>
          <w:bCs/>
          <w:color w:val="auto"/>
          <w:sz w:val="24"/>
          <w:lang w:val="en-US" w:eastAsia="zh-CN"/>
        </w:rPr>
        <w:t>七</w:t>
      </w:r>
      <w:r>
        <w:rPr>
          <w:rFonts w:hint="eastAsia"/>
          <w:b/>
          <w:bCs/>
          <w:color w:val="auto"/>
          <w:sz w:val="24"/>
        </w:rPr>
        <w:t>）综合评分</w:t>
      </w:r>
    </w:p>
    <w:p w14:paraId="5C5C8ABD">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14:paraId="350F48C9">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14:paraId="22E400B8">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w:t>
      </w:r>
      <w:r>
        <w:rPr>
          <w:rFonts w:hint="eastAsia"/>
          <w:b/>
          <w:bCs/>
          <w:color w:val="auto"/>
          <w:sz w:val="24"/>
          <w:lang w:val="en-US" w:eastAsia="zh-CN"/>
        </w:rPr>
        <w:t>八</w:t>
      </w:r>
      <w:r>
        <w:rPr>
          <w:rFonts w:hint="eastAsia"/>
          <w:b/>
          <w:bCs/>
          <w:color w:val="auto"/>
          <w:sz w:val="24"/>
        </w:rPr>
        <w:t>）汇总商务技术得分</w:t>
      </w:r>
    </w:p>
    <w:p w14:paraId="0D0BC30D">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磋商小组各成员独立对进入最后报价的供应商的商务和技术文件进行评价，并汇总商务技术得分情况。</w:t>
      </w:r>
    </w:p>
    <w:p w14:paraId="1DB1A4AA">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1D35A175">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w:t>
      </w:r>
      <w:r>
        <w:rPr>
          <w:rFonts w:hint="eastAsia"/>
          <w:b/>
          <w:bCs/>
          <w:color w:val="auto"/>
          <w:sz w:val="24"/>
          <w:lang w:val="en-US" w:eastAsia="zh-CN"/>
        </w:rPr>
        <w:t>九</w:t>
      </w:r>
      <w:r>
        <w:rPr>
          <w:rFonts w:hint="eastAsia"/>
          <w:b/>
          <w:bCs/>
          <w:color w:val="auto"/>
          <w:sz w:val="24"/>
        </w:rPr>
        <w:t>）排序与推荐</w:t>
      </w:r>
    </w:p>
    <w:p w14:paraId="320BB617">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磋商小组应当根据综合评分情</w:t>
      </w:r>
      <w:r>
        <w:rPr>
          <w:rFonts w:hint="eastAsia"/>
          <w:color w:val="auto"/>
          <w:sz w:val="24"/>
        </w:rPr>
        <w:t>况，按照评审得分由高到低顺序推荐3名以上成交候选供应商，并编写评审报告。符合《政府采购竞争性磋商采购方式管理暂行办法》（财库〔2014〕214号）</w:t>
      </w:r>
      <w:bookmarkStart w:id="309" w:name="OLE_LINK6"/>
      <w:r>
        <w:rPr>
          <w:rFonts w:hint="eastAsia"/>
          <w:color w:val="auto"/>
          <w:sz w:val="24"/>
        </w:rPr>
        <w:t>第二十一条第三款</w:t>
      </w:r>
      <w:bookmarkEnd w:id="309"/>
      <w:r>
        <w:rPr>
          <w:rFonts w:hint="eastAsia"/>
          <w:color w:val="auto"/>
          <w:sz w:val="24"/>
        </w:rPr>
        <w:t>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51D44131">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w:t>
      </w:r>
      <w:r>
        <w:rPr>
          <w:rFonts w:hint="eastAsia"/>
          <w:b/>
          <w:bCs/>
          <w:color w:val="auto"/>
          <w:sz w:val="24"/>
          <w:lang w:val="en-US" w:eastAsia="zh-CN"/>
        </w:rPr>
        <w:t>十</w:t>
      </w:r>
      <w:r>
        <w:rPr>
          <w:rFonts w:hint="eastAsia"/>
          <w:b/>
          <w:bCs/>
          <w:color w:val="auto"/>
          <w:sz w:val="24"/>
        </w:rPr>
        <w:t>）编写评审报告</w:t>
      </w:r>
    </w:p>
    <w:p w14:paraId="5E5A0925">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w:t>
      </w:r>
      <w:r>
        <w:rPr>
          <w:rFonts w:hint="eastAsia"/>
          <w:color w:val="auto"/>
          <w:sz w:val="24"/>
        </w:rPr>
        <w:t>明其不同意见和理由的，视为同意评审报告。</w:t>
      </w:r>
    </w:p>
    <w:p w14:paraId="607B9267">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（十</w:t>
      </w:r>
      <w:r>
        <w:rPr>
          <w:rFonts w:hint="eastAsia"/>
          <w:b/>
          <w:bCs/>
          <w:color w:val="auto"/>
          <w:sz w:val="24"/>
          <w:lang w:val="en-US" w:eastAsia="zh-CN"/>
        </w:rPr>
        <w:t>一</w:t>
      </w:r>
      <w:r>
        <w:rPr>
          <w:rFonts w:hint="eastAsia"/>
          <w:b/>
          <w:bCs/>
          <w:color w:val="auto"/>
          <w:sz w:val="24"/>
        </w:rPr>
        <w:t>）磋商评审过程的保密性</w:t>
      </w:r>
    </w:p>
    <w:p w14:paraId="368F7E00">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14:paraId="196E04FC">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14:paraId="72838CC8">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310" w:name="_Toc17917"/>
      <w:bookmarkStart w:id="311" w:name="_Toc14468"/>
      <w:bookmarkStart w:id="312" w:name="_Toc8603"/>
      <w:bookmarkStart w:id="313" w:name="_Toc13854"/>
      <w:bookmarkStart w:id="314" w:name="_Toc28002"/>
      <w:bookmarkStart w:id="315" w:name="_Toc26757"/>
      <w:bookmarkStart w:id="316" w:name="_Toc7256"/>
      <w:bookmarkStart w:id="317" w:name="_Toc30041"/>
      <w:bookmarkStart w:id="318" w:name="_Toc29029"/>
      <w:bookmarkStart w:id="319" w:name="_Toc27426"/>
      <w:bookmarkStart w:id="320" w:name="_Toc10879"/>
      <w:bookmarkStart w:id="321" w:name="_Toc26044"/>
      <w:bookmarkStart w:id="322" w:name="_Toc5529"/>
      <w:bookmarkStart w:id="323" w:name="_Toc3813"/>
      <w:bookmarkStart w:id="324" w:name="_Toc2251"/>
      <w:bookmarkStart w:id="325" w:name="_Toc6273"/>
      <w:bookmarkStart w:id="326" w:name="_Toc9496"/>
      <w:bookmarkStart w:id="327" w:name="_Toc29830"/>
      <w:bookmarkStart w:id="328" w:name="_Toc21433"/>
      <w:bookmarkStart w:id="329" w:name="_Toc32587"/>
      <w:bookmarkStart w:id="330" w:name="_Toc20162"/>
      <w:bookmarkStart w:id="331" w:name="_Toc15767"/>
      <w:bookmarkStart w:id="332" w:name="_Toc30131"/>
      <w:bookmarkStart w:id="333" w:name="_Toc21515"/>
      <w:bookmarkStart w:id="334" w:name="_Toc22665"/>
      <w:bookmarkStart w:id="335" w:name="_Toc5340"/>
      <w:bookmarkStart w:id="336" w:name="_Toc16451"/>
      <w:bookmarkStart w:id="337" w:name="_Toc22706"/>
      <w:bookmarkStart w:id="338" w:name="_Toc26288"/>
      <w:bookmarkStart w:id="339" w:name="_Toc17524"/>
      <w:bookmarkStart w:id="340" w:name="_Toc12279"/>
      <w:bookmarkStart w:id="341" w:name="_Toc18073"/>
      <w:bookmarkStart w:id="342" w:name="_Toc4483"/>
      <w:bookmarkStart w:id="343" w:name="_Toc326"/>
      <w:r>
        <w:rPr>
          <w:rFonts w:hint="eastAsia" w:ascii="楷体" w:hAnsi="楷体" w:eastAsia="楷体" w:cs="楷体"/>
          <w:snapToGrid w:val="0"/>
          <w:color w:val="auto"/>
          <w:kern w:val="44"/>
          <w:sz w:val="32"/>
          <w:szCs w:val="32"/>
        </w:rPr>
        <w:t>七、合同授予</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364FE37F">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（一）资格最终审查</w:t>
      </w:r>
    </w:p>
    <w:p w14:paraId="7A4A212C">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lang w:val="en-US" w:eastAsia="zh-CN"/>
        </w:rPr>
        <w:t>采购人</w:t>
      </w:r>
      <w:r>
        <w:rPr>
          <w:rFonts w:hint="eastAsia"/>
          <w:color w:val="auto"/>
          <w:sz w:val="24"/>
        </w:rPr>
        <w:t>在评</w:t>
      </w:r>
      <w:r>
        <w:rPr>
          <w:rFonts w:hint="eastAsia"/>
          <w:color w:val="auto"/>
          <w:sz w:val="24"/>
          <w:lang w:val="en-US" w:eastAsia="zh-CN"/>
        </w:rPr>
        <w:t>审</w:t>
      </w:r>
      <w:r>
        <w:rPr>
          <w:rFonts w:hint="eastAsia"/>
          <w:color w:val="auto"/>
          <w:sz w:val="24"/>
        </w:rPr>
        <w:t>报告推荐的</w:t>
      </w:r>
      <w:r>
        <w:rPr>
          <w:rFonts w:hint="eastAsia"/>
          <w:color w:val="auto"/>
          <w:sz w:val="24"/>
          <w:lang w:val="en-US" w:eastAsia="zh-CN"/>
        </w:rPr>
        <w:t>成交</w:t>
      </w:r>
      <w:r>
        <w:rPr>
          <w:rFonts w:hint="eastAsia"/>
          <w:color w:val="auto"/>
          <w:sz w:val="24"/>
        </w:rPr>
        <w:t>候选</w:t>
      </w:r>
      <w:r>
        <w:rPr>
          <w:rFonts w:hint="eastAsia"/>
          <w:color w:val="auto"/>
          <w:sz w:val="24"/>
          <w:lang w:val="en-US" w:eastAsia="zh-CN"/>
        </w:rPr>
        <w:t>供应商</w:t>
      </w:r>
      <w:r>
        <w:rPr>
          <w:rFonts w:hint="eastAsia"/>
          <w:color w:val="auto"/>
          <w:sz w:val="24"/>
        </w:rPr>
        <w:t>中按顺序确定</w:t>
      </w:r>
      <w:r>
        <w:rPr>
          <w:rFonts w:hint="eastAsia"/>
          <w:color w:val="auto"/>
          <w:sz w:val="24"/>
          <w:lang w:val="en-US" w:eastAsia="zh-CN"/>
        </w:rPr>
        <w:t>成交供应商</w:t>
      </w:r>
      <w:r>
        <w:rPr>
          <w:rFonts w:hint="eastAsia"/>
          <w:color w:val="auto"/>
          <w:sz w:val="24"/>
          <w:lang w:eastAsia="zh-CN"/>
        </w:rPr>
        <w:t>。</w:t>
      </w:r>
      <w:r>
        <w:rPr>
          <w:rFonts w:hint="eastAsia"/>
          <w:color w:val="auto"/>
          <w:sz w:val="24"/>
        </w:rPr>
        <w:t>采购</w:t>
      </w:r>
      <w:r>
        <w:rPr>
          <w:rFonts w:hint="eastAsia"/>
          <w:color w:val="auto"/>
          <w:sz w:val="24"/>
          <w:lang w:val="en-US" w:eastAsia="zh-CN"/>
        </w:rPr>
        <w:t>人有权</w:t>
      </w:r>
      <w:r>
        <w:rPr>
          <w:rFonts w:hint="eastAsia"/>
          <w:color w:val="auto"/>
          <w:sz w:val="24"/>
        </w:rPr>
        <w:t>审查成交候选人的财务、技术、生产及供货能力、信誉，确定其是否能圆满地履行合同。</w:t>
      </w:r>
    </w:p>
    <w:p w14:paraId="553A046A">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（二）接受和拒绝部分或所有磋商内容的权力</w:t>
      </w:r>
    </w:p>
    <w:p w14:paraId="1DD32C19">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为维护国家利益，采购人在授予合同之前仍有选择或拒绝部分或全部磋商内容的权力，并对所采取的行为不作任何解释。</w:t>
      </w:r>
    </w:p>
    <w:p w14:paraId="20C80C43">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（三）成交通知书</w:t>
      </w:r>
    </w:p>
    <w:p w14:paraId="4929A184">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成交公告将在</w:t>
      </w:r>
      <w:r>
        <w:rPr>
          <w:rFonts w:hint="eastAsia"/>
          <w:color w:val="auto"/>
          <w:sz w:val="24"/>
          <w:lang w:val="en-US" w:eastAsia="zh-CN"/>
        </w:rPr>
        <w:t>杭州电子科技大学采购中心网站</w:t>
      </w:r>
      <w:r>
        <w:rPr>
          <w:rFonts w:hint="eastAsia"/>
          <w:color w:val="auto"/>
          <w:sz w:val="24"/>
        </w:rPr>
        <w:t>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14:paraId="694773BE">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40B17B2A">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采购机构对成交结果不作任何说明和解释，也不回答任何提问。</w:t>
      </w:r>
    </w:p>
    <w:p w14:paraId="0C179514">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（四）授予合同时变更数量的权力</w:t>
      </w:r>
    </w:p>
    <w:p w14:paraId="72F72D21">
      <w:pPr>
        <w:pStyle w:val="27"/>
        <w:keepNext w:val="0"/>
        <w:keepLines w:val="0"/>
        <w:pageBreakBefore w:val="0"/>
        <w:widowControl w:val="0"/>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14:paraId="0A547F8E">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（五）签订合同</w:t>
      </w:r>
    </w:p>
    <w:p w14:paraId="30F7D863">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7FB76989">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w:t>
      </w:r>
      <w:r>
        <w:rPr>
          <w:rFonts w:hint="eastAsia" w:ascii="Times New Roman" w:hAnsi="Times New Roman"/>
          <w:color w:val="auto"/>
          <w:sz w:val="24"/>
          <w:szCs w:val="24"/>
          <w:lang w:val="en-US" w:eastAsia="zh-CN"/>
        </w:rPr>
        <w:t>为合同有效组成部分</w:t>
      </w:r>
      <w:r>
        <w:rPr>
          <w:rFonts w:hint="eastAsia" w:ascii="Times New Roman" w:hAnsi="Times New Roman"/>
          <w:color w:val="auto"/>
          <w:sz w:val="24"/>
          <w:szCs w:val="24"/>
        </w:rPr>
        <w:t>。</w:t>
      </w:r>
    </w:p>
    <w:p w14:paraId="71DCB2F6">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w:t>
      </w:r>
    </w:p>
    <w:p w14:paraId="3DA8872B">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306844C4">
      <w:pPr>
        <w:pStyle w:val="6"/>
        <w:spacing w:before="120" w:beforeLines="50" w:after="120" w:afterLines="50" w:line="240" w:lineRule="auto"/>
        <w:ind w:left="0" w:firstLine="0"/>
        <w:jc w:val="center"/>
        <w:outlineLvl w:val="1"/>
        <w:rPr>
          <w:rFonts w:hint="eastAsia"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lang w:val="en-US" w:eastAsia="zh-CN"/>
        </w:rPr>
        <w:t>八</w:t>
      </w:r>
      <w:r>
        <w:rPr>
          <w:rFonts w:hint="eastAsia" w:ascii="楷体" w:hAnsi="楷体" w:eastAsia="楷体" w:cs="楷体"/>
          <w:snapToGrid w:val="0"/>
          <w:color w:val="auto"/>
          <w:kern w:val="44"/>
          <w:sz w:val="32"/>
          <w:szCs w:val="32"/>
        </w:rPr>
        <w:t>、可中止电子交易活动的情形</w:t>
      </w:r>
    </w:p>
    <w:p w14:paraId="2C54ADD5">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szCs w:val="22"/>
        </w:rPr>
      </w:pPr>
      <w:r>
        <w:rPr>
          <w:rFonts w:hint="eastAsia"/>
          <w:color w:val="auto"/>
          <w:sz w:val="24"/>
          <w:szCs w:val="22"/>
        </w:rPr>
        <w:t>采购过程中出现以下情形，导致电子交易平台无法正常运行，或者无法保证电子交易的公平、公正和安全时，采购机构可中止电子交易活动：</w:t>
      </w:r>
    </w:p>
    <w:p w14:paraId="6CB95103">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1</w:t>
      </w:r>
      <w:r>
        <w:rPr>
          <w:rFonts w:hint="eastAsia"/>
          <w:color w:val="auto"/>
          <w:sz w:val="24"/>
          <w:szCs w:val="22"/>
          <w:lang w:eastAsia="zh-CN"/>
        </w:rPr>
        <w:t>、</w:t>
      </w:r>
      <w:r>
        <w:rPr>
          <w:rFonts w:hint="eastAsia"/>
          <w:color w:val="auto"/>
          <w:sz w:val="24"/>
          <w:szCs w:val="22"/>
        </w:rPr>
        <w:t>电子交易平台发生故障而无法登录访问的；</w:t>
      </w:r>
    </w:p>
    <w:p w14:paraId="67DE0871">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2</w:t>
      </w:r>
      <w:r>
        <w:rPr>
          <w:rFonts w:hint="eastAsia"/>
          <w:color w:val="auto"/>
          <w:sz w:val="24"/>
          <w:szCs w:val="22"/>
          <w:lang w:eastAsia="zh-CN"/>
        </w:rPr>
        <w:t>、</w:t>
      </w:r>
      <w:r>
        <w:rPr>
          <w:rFonts w:hint="eastAsia"/>
          <w:color w:val="auto"/>
          <w:sz w:val="24"/>
          <w:szCs w:val="22"/>
        </w:rPr>
        <w:t>电子交易平台应用或数据库出现错误，不能进行正常操作的；</w:t>
      </w:r>
    </w:p>
    <w:p w14:paraId="1AC333EA">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3</w:t>
      </w:r>
      <w:r>
        <w:rPr>
          <w:rFonts w:hint="eastAsia"/>
          <w:color w:val="auto"/>
          <w:sz w:val="24"/>
          <w:szCs w:val="22"/>
          <w:lang w:eastAsia="zh-CN"/>
        </w:rPr>
        <w:t>、</w:t>
      </w:r>
      <w:r>
        <w:rPr>
          <w:rFonts w:hint="eastAsia"/>
          <w:color w:val="auto"/>
          <w:sz w:val="24"/>
          <w:szCs w:val="22"/>
        </w:rPr>
        <w:t>电子交易平台发现严重安全漏洞，有潜在泄密危险的；</w:t>
      </w:r>
    </w:p>
    <w:p w14:paraId="3C899975">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4</w:t>
      </w:r>
      <w:r>
        <w:rPr>
          <w:rFonts w:hint="eastAsia"/>
          <w:color w:val="auto"/>
          <w:sz w:val="24"/>
          <w:szCs w:val="22"/>
          <w:lang w:eastAsia="zh-CN"/>
        </w:rPr>
        <w:t>、</w:t>
      </w:r>
      <w:r>
        <w:rPr>
          <w:rFonts w:hint="eastAsia"/>
          <w:color w:val="auto"/>
          <w:sz w:val="24"/>
          <w:szCs w:val="22"/>
        </w:rPr>
        <w:t>病毒发作导致不能进行正常操作的；</w:t>
      </w:r>
    </w:p>
    <w:p w14:paraId="74F1365D">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5</w:t>
      </w:r>
      <w:r>
        <w:rPr>
          <w:rFonts w:hint="eastAsia"/>
          <w:color w:val="auto"/>
          <w:sz w:val="24"/>
          <w:szCs w:val="22"/>
          <w:lang w:eastAsia="zh-CN"/>
        </w:rPr>
        <w:t>、</w:t>
      </w:r>
      <w:r>
        <w:rPr>
          <w:rFonts w:hint="eastAsia"/>
          <w:color w:val="auto"/>
          <w:sz w:val="24"/>
          <w:szCs w:val="22"/>
        </w:rPr>
        <w:t>其他无法保证电子交易的公平、公正和安全的情况。</w:t>
      </w:r>
    </w:p>
    <w:p w14:paraId="5FBE2AD0">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ascii="Times New Roman" w:hAnsi="Times New Roman"/>
          <w:color w:val="auto"/>
          <w:sz w:val="24"/>
          <w:szCs w:val="24"/>
        </w:rPr>
      </w:pPr>
      <w:r>
        <w:rPr>
          <w:rFonts w:hint="eastAsia"/>
          <w:color w:val="auto"/>
          <w:sz w:val="24"/>
          <w:szCs w:val="22"/>
        </w:rPr>
        <w:t>出现前款规定情形，不影响采购公平、公正性的，采购机构可以待上述情形消除后继续组织电子交易活动；影响或可能影响采购公平、公正性的，应当重新采购。</w:t>
      </w:r>
    </w:p>
    <w:p w14:paraId="252B22DD">
      <w:pPr>
        <w:pStyle w:val="4"/>
        <w:bidi w:val="0"/>
        <w:outlineLvl w:val="0"/>
        <w:rPr>
          <w:rFonts w:hint="eastAsia" w:ascii="Times New Roman" w:hAnsi="Times New Roman" w:eastAsia="黑体" w:cs="Times New Roman"/>
          <w:b/>
          <w:color w:val="auto"/>
          <w:kern w:val="44"/>
          <w:sz w:val="36"/>
          <w:szCs w:val="22"/>
          <w:lang w:val="en-US" w:eastAsia="zh-CN" w:bidi="ar-SA"/>
        </w:rPr>
      </w:pPr>
      <w:bookmarkStart w:id="344" w:name="_Toc27094"/>
      <w:bookmarkStart w:id="345" w:name="_Toc30987"/>
      <w:bookmarkStart w:id="346" w:name="_Toc11599"/>
      <w:bookmarkStart w:id="347" w:name="_Toc24700"/>
      <w:bookmarkStart w:id="348" w:name="_Toc10023"/>
      <w:bookmarkStart w:id="349" w:name="_Toc31754"/>
      <w:bookmarkStart w:id="350" w:name="_Toc18478"/>
      <w:r>
        <w:rPr>
          <w:rStyle w:val="55"/>
          <w:rFonts w:ascii="Times New Roman" w:hAnsi="Times New Roman"/>
          <w:b/>
          <w:snapToGrid w:val="0"/>
          <w:color w:val="auto"/>
        </w:rPr>
        <w:br w:type="page"/>
      </w:r>
      <w:bookmarkStart w:id="351" w:name="_Toc30730_WPSOffice_Level1"/>
      <w:bookmarkStart w:id="352" w:name="_Toc2433_WPSOffice_Level1"/>
      <w:bookmarkStart w:id="353" w:name="_Toc14142"/>
      <w:bookmarkStart w:id="354" w:name="_Toc5470"/>
      <w:bookmarkStart w:id="355" w:name="_Toc12012"/>
      <w:bookmarkStart w:id="356" w:name="_Toc23632"/>
      <w:bookmarkStart w:id="357" w:name="_Toc3282"/>
      <w:bookmarkStart w:id="358" w:name="_Toc23225"/>
      <w:bookmarkStart w:id="359" w:name="_Toc30158"/>
      <w:bookmarkStart w:id="360" w:name="_Toc10406"/>
      <w:bookmarkStart w:id="361" w:name="_Toc646"/>
      <w:bookmarkStart w:id="362" w:name="_Toc12347"/>
      <w:bookmarkStart w:id="363" w:name="_Toc26100"/>
      <w:bookmarkStart w:id="364" w:name="_Toc6438"/>
      <w:bookmarkStart w:id="365" w:name="_Toc8630"/>
      <w:bookmarkStart w:id="366" w:name="_Toc7293"/>
      <w:bookmarkStart w:id="367" w:name="_Toc7338"/>
      <w:bookmarkStart w:id="368" w:name="_Toc16902"/>
      <w:bookmarkStart w:id="369" w:name="_Toc15832"/>
      <w:bookmarkStart w:id="370" w:name="_Toc14406"/>
      <w:bookmarkStart w:id="371" w:name="_Toc30301"/>
      <w:bookmarkStart w:id="372" w:name="_Toc27525"/>
      <w:bookmarkStart w:id="373" w:name="_Toc17708"/>
      <w:bookmarkStart w:id="374" w:name="_Toc22180"/>
      <w:bookmarkStart w:id="375" w:name="_Toc24396"/>
      <w:bookmarkStart w:id="376" w:name="_Toc32035"/>
      <w:bookmarkStart w:id="377" w:name="_Toc26169"/>
      <w:bookmarkStart w:id="378" w:name="_Toc17768"/>
      <w:bookmarkStart w:id="379" w:name="_Toc365"/>
      <w:bookmarkStart w:id="380" w:name="_Toc9109"/>
      <w:bookmarkStart w:id="381" w:name="_Toc20593"/>
      <w:bookmarkStart w:id="382" w:name="_Toc15038"/>
      <w:bookmarkStart w:id="383" w:name="_Toc27781"/>
      <w:r>
        <w:rPr>
          <w:rFonts w:hint="eastAsia"/>
          <w:color w:val="auto"/>
          <w:szCs w:val="22"/>
          <w:lang w:val="en-US" w:eastAsia="zh-CN"/>
        </w:rPr>
        <w:t>第三</w:t>
      </w:r>
      <w:r>
        <w:rPr>
          <w:rFonts w:hint="eastAsia" w:ascii="Times New Roman" w:hAnsi="Times New Roman" w:eastAsia="黑体" w:cs="Times New Roman"/>
          <w:b/>
          <w:color w:val="auto"/>
          <w:kern w:val="44"/>
          <w:sz w:val="36"/>
          <w:szCs w:val="22"/>
          <w:lang w:val="en-US" w:eastAsia="zh-CN" w:bidi="ar-SA"/>
        </w:rPr>
        <w:t>部分 采购需求</w:t>
      </w:r>
      <w:bookmarkEnd w:id="351"/>
      <w:bookmarkEnd w:id="352"/>
    </w:p>
    <w:bookmarkEnd w:id="344"/>
    <w:bookmarkEnd w:id="345"/>
    <w:bookmarkEnd w:id="346"/>
    <w:bookmarkEnd w:id="347"/>
    <w:bookmarkEnd w:id="348"/>
    <w:bookmarkEnd w:id="349"/>
    <w:bookmarkEnd w:id="350"/>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14:paraId="46976CED">
      <w:pPr>
        <w:pStyle w:val="6"/>
        <w:ind w:left="0" w:leftChars="0" w:firstLine="0" w:firstLineChars="0"/>
        <w:outlineLvl w:val="2"/>
        <w:rPr>
          <w:color w:val="auto"/>
        </w:rPr>
      </w:pPr>
      <w:bookmarkStart w:id="384" w:name="_Toc14512"/>
      <w:bookmarkStart w:id="385" w:name="_Toc20153"/>
      <w:bookmarkStart w:id="386" w:name="_Toc31434"/>
      <w:bookmarkStart w:id="387" w:name="_Toc3711"/>
      <w:bookmarkStart w:id="388" w:name="_Toc29510"/>
      <w:bookmarkStart w:id="389" w:name="_Toc27955"/>
      <w:bookmarkStart w:id="390" w:name="_Toc3691"/>
      <w:bookmarkStart w:id="391" w:name="_Toc1660"/>
      <w:bookmarkStart w:id="392" w:name="_Toc21296"/>
      <w:r>
        <w:rPr>
          <w:rFonts w:hint="eastAsia"/>
          <w:color w:val="auto"/>
        </w:rPr>
        <w:t>一、服务内容和详细要求</w:t>
      </w:r>
    </w:p>
    <w:p w14:paraId="47F7DC88">
      <w:pPr>
        <w:rPr>
          <w:color w:val="auto"/>
        </w:rPr>
      </w:pPr>
    </w:p>
    <w:p w14:paraId="71F8A299">
      <w:pPr>
        <w:spacing w:line="360" w:lineRule="auto"/>
        <w:ind w:left="0" w:leftChars="0" w:firstLine="422" w:firstLineChars="175"/>
        <w:rPr>
          <w:b/>
          <w:bCs/>
          <w:color w:val="auto"/>
          <w:sz w:val="24"/>
          <w:szCs w:val="24"/>
        </w:rPr>
      </w:pPr>
      <w:r>
        <w:rPr>
          <w:b/>
          <w:bCs/>
          <w:color w:val="auto"/>
          <w:sz w:val="24"/>
          <w:szCs w:val="24"/>
        </w:rPr>
        <w:t>（一）项目概况与总体</w:t>
      </w:r>
      <w:r>
        <w:rPr>
          <w:rFonts w:hint="eastAsia"/>
          <w:b/>
          <w:bCs/>
          <w:color w:val="auto"/>
          <w:sz w:val="24"/>
          <w:szCs w:val="24"/>
          <w:lang w:val="en-US" w:eastAsia="zh-CN"/>
        </w:rPr>
        <w:t>技术</w:t>
      </w:r>
      <w:r>
        <w:rPr>
          <w:b/>
          <w:bCs/>
          <w:color w:val="auto"/>
          <w:sz w:val="24"/>
          <w:szCs w:val="24"/>
        </w:rPr>
        <w:t>要求</w:t>
      </w:r>
    </w:p>
    <w:p w14:paraId="0DA1164A">
      <w:pPr>
        <w:spacing w:line="360" w:lineRule="auto"/>
        <w:ind w:left="0" w:leftChars="0" w:firstLine="420" w:firstLineChars="175"/>
        <w:rPr>
          <w:b/>
          <w:bCs/>
          <w:color w:val="auto"/>
          <w:sz w:val="24"/>
          <w:szCs w:val="24"/>
        </w:rPr>
      </w:pPr>
      <w:r>
        <w:rPr>
          <w:color w:val="auto"/>
          <w:sz w:val="24"/>
          <w:szCs w:val="24"/>
        </w:rPr>
        <w:t>1. 项目背景</w:t>
      </w:r>
    </w:p>
    <w:p w14:paraId="57096448">
      <w:pPr>
        <w:spacing w:line="360" w:lineRule="auto"/>
        <w:ind w:left="0" w:leftChars="0" w:firstLine="420" w:firstLineChars="175"/>
        <w:rPr>
          <w:b/>
          <w:bCs/>
          <w:color w:val="auto"/>
          <w:sz w:val="24"/>
          <w:szCs w:val="24"/>
        </w:rPr>
      </w:pPr>
      <w:r>
        <w:rPr>
          <w:color w:val="auto"/>
          <w:sz w:val="24"/>
          <w:szCs w:val="24"/>
        </w:rPr>
        <w:t>为</w:t>
      </w:r>
      <w:r>
        <w:rPr>
          <w:rFonts w:hint="eastAsia"/>
          <w:color w:val="auto"/>
          <w:sz w:val="24"/>
          <w:szCs w:val="24"/>
          <w:lang w:val="en-US" w:eastAsia="zh-CN"/>
        </w:rPr>
        <w:t>有效提升档案数据的服务利用水平</w:t>
      </w:r>
      <w:r>
        <w:rPr>
          <w:color w:val="auto"/>
          <w:sz w:val="24"/>
          <w:szCs w:val="24"/>
        </w:rPr>
        <w:t>，打通校内多系统数据壁垒，搭建学生全生命周期数字档案资源库，支撑校史</w:t>
      </w:r>
      <w:r>
        <w:rPr>
          <w:rFonts w:hint="eastAsia"/>
          <w:color w:val="auto"/>
          <w:sz w:val="24"/>
          <w:szCs w:val="24"/>
          <w:lang w:val="en-US" w:eastAsia="zh-CN"/>
        </w:rPr>
        <w:t>馆</w:t>
      </w:r>
      <w:r>
        <w:rPr>
          <w:color w:val="auto"/>
          <w:sz w:val="24"/>
          <w:szCs w:val="24"/>
        </w:rPr>
        <w:t>展示、校友线上查档、教学数据统计分析，现采购档案平台软件开发部署</w:t>
      </w:r>
      <w:r>
        <w:rPr>
          <w:rFonts w:hint="eastAsia"/>
          <w:color w:val="auto"/>
          <w:sz w:val="24"/>
          <w:szCs w:val="24"/>
          <w:lang w:val="en-US" w:eastAsia="zh-CN"/>
        </w:rPr>
        <w:t>和超10</w:t>
      </w:r>
      <w:r>
        <w:rPr>
          <w:color w:val="auto"/>
          <w:sz w:val="24"/>
          <w:szCs w:val="24"/>
        </w:rPr>
        <w:t>万条学籍多维度</w:t>
      </w:r>
      <w:r>
        <w:rPr>
          <w:color w:val="auto"/>
          <w:sz w:val="24"/>
          <w:szCs w:val="24"/>
        </w:rPr>
        <w:t>档案数据清洗整理一体化服务。本项目数据治理属于典型的海量、多品类、精细化一人多档归集治理模式，单名学生对应涵盖录取名册、学籍卡、学业成绩单、个人头像等3-5类归档档案，不同材料来源系统分散、格式各异、年代跨度大。</w:t>
      </w:r>
    </w:p>
    <w:p w14:paraId="5EEB163A">
      <w:pPr>
        <w:spacing w:line="360" w:lineRule="auto"/>
        <w:ind w:left="0" w:leftChars="0" w:firstLine="420" w:firstLineChars="175"/>
        <w:rPr>
          <w:b/>
          <w:bCs/>
          <w:color w:val="auto"/>
          <w:sz w:val="24"/>
          <w:szCs w:val="24"/>
        </w:rPr>
      </w:pPr>
      <w:r>
        <w:rPr>
          <w:color w:val="auto"/>
          <w:sz w:val="24"/>
          <w:szCs w:val="24"/>
        </w:rPr>
        <w:t>2. 总体技术要求</w:t>
      </w:r>
    </w:p>
    <w:p w14:paraId="61FD0DB7">
      <w:pPr>
        <w:spacing w:line="360" w:lineRule="auto"/>
        <w:ind w:left="0" w:leftChars="0" w:firstLine="420" w:firstLineChars="175"/>
        <w:rPr>
          <w:b/>
          <w:bCs/>
          <w:color w:val="auto"/>
          <w:sz w:val="24"/>
          <w:szCs w:val="24"/>
        </w:rPr>
      </w:pPr>
      <w:r>
        <w:rPr>
          <w:color w:val="auto"/>
          <w:sz w:val="24"/>
          <w:szCs w:val="24"/>
        </w:rPr>
        <w:t>（1）项目包含平台搭建、历史学籍数据归集治理、图文档案关联、档案库搭建全流程服务，建成稳定可用校级学生数字档案管理系统。</w:t>
      </w:r>
    </w:p>
    <w:p w14:paraId="1C1C646D">
      <w:pPr>
        <w:spacing w:line="360" w:lineRule="auto"/>
        <w:ind w:left="0" w:leftChars="0" w:firstLine="420" w:firstLineChars="175"/>
        <w:rPr>
          <w:b/>
          <w:bCs/>
          <w:color w:val="auto"/>
          <w:sz w:val="24"/>
          <w:szCs w:val="24"/>
        </w:rPr>
      </w:pPr>
      <w:r>
        <w:rPr>
          <w:color w:val="auto"/>
          <w:sz w:val="24"/>
          <w:szCs w:val="24"/>
        </w:rPr>
        <w:t>（2）系统部署于校方内网专属虚拟机，与外网物理隔离，保障校内档案数据安全。</w:t>
      </w:r>
    </w:p>
    <w:p w14:paraId="6653E8A8">
      <w:pPr>
        <w:spacing w:line="360" w:lineRule="auto"/>
        <w:ind w:left="0" w:leftChars="0" w:firstLine="422" w:firstLineChars="175"/>
        <w:rPr>
          <w:b/>
          <w:bCs/>
          <w:color w:val="auto"/>
          <w:sz w:val="24"/>
          <w:szCs w:val="24"/>
        </w:rPr>
      </w:pPr>
      <w:r>
        <w:rPr>
          <w:b/>
          <w:color w:val="auto"/>
          <w:sz w:val="24"/>
          <w:szCs w:val="24"/>
        </w:rPr>
        <w:t>（二）系统架构、技术栈及性能部署指标</w:t>
      </w:r>
    </w:p>
    <w:p w14:paraId="3A42F758">
      <w:pPr>
        <w:spacing w:line="360" w:lineRule="auto"/>
        <w:ind w:left="0" w:leftChars="0" w:firstLine="420" w:firstLineChars="175"/>
        <w:rPr>
          <w:b/>
          <w:bCs/>
          <w:color w:val="auto"/>
          <w:sz w:val="24"/>
          <w:szCs w:val="24"/>
        </w:rPr>
      </w:pPr>
      <w:r>
        <w:rPr>
          <w:color w:val="auto"/>
          <w:sz w:val="24"/>
          <w:szCs w:val="24"/>
        </w:rPr>
        <w:t>1. 系统架构</w:t>
      </w:r>
    </w:p>
    <w:p w14:paraId="2A32C5B2">
      <w:pPr>
        <w:spacing w:line="360" w:lineRule="auto"/>
        <w:ind w:left="0" w:leftChars="0" w:firstLine="420" w:firstLineChars="175"/>
        <w:rPr>
          <w:rFonts w:hint="eastAsia"/>
          <w:color w:val="auto"/>
          <w:sz w:val="24"/>
          <w:szCs w:val="24"/>
        </w:rPr>
      </w:pPr>
      <w:r>
        <w:rPr>
          <w:rFonts w:hint="eastAsia"/>
          <w:color w:val="auto"/>
          <w:sz w:val="24"/>
          <w:szCs w:val="24"/>
        </w:rPr>
        <w:t>B/S 前后端分离架构，兼容 Chrome、Edge 主流浏览器；采用成熟稳定技术栈，采用 MySQL数据库，适配校内现有信息化环境。</w:t>
      </w:r>
    </w:p>
    <w:p w14:paraId="5ABE78F7">
      <w:pPr>
        <w:spacing w:line="360" w:lineRule="auto"/>
        <w:ind w:left="0" w:leftChars="0" w:firstLine="420" w:firstLineChars="175"/>
        <w:rPr>
          <w:b/>
          <w:bCs/>
          <w:color w:val="auto"/>
          <w:sz w:val="24"/>
          <w:szCs w:val="24"/>
        </w:rPr>
      </w:pPr>
      <w:r>
        <w:rPr>
          <w:color w:val="auto"/>
          <w:sz w:val="24"/>
          <w:szCs w:val="24"/>
        </w:rPr>
        <w:t>2. 性能指标</w:t>
      </w:r>
    </w:p>
    <w:p w14:paraId="010FC4BB">
      <w:pPr>
        <w:spacing w:line="360" w:lineRule="auto"/>
        <w:ind w:left="0" w:leftChars="0" w:firstLine="420" w:firstLineChars="175"/>
        <w:rPr>
          <w:b/>
          <w:bCs/>
          <w:color w:val="auto"/>
          <w:sz w:val="24"/>
          <w:szCs w:val="24"/>
        </w:rPr>
      </w:pPr>
      <w:r>
        <w:rPr>
          <w:color w:val="auto"/>
          <w:sz w:val="24"/>
          <w:szCs w:val="24"/>
        </w:rPr>
        <w:t>（1）档案检索：档案批量检索场景下，全字段模糊检索平均响应≤2秒；单条精准检索无延迟，若高峰偶发超时，中标方7个工作日内优化调优达标即可。</w:t>
      </w:r>
    </w:p>
    <w:p w14:paraId="60448A23">
      <w:pPr>
        <w:spacing w:line="360" w:lineRule="auto"/>
        <w:ind w:left="0" w:leftChars="0" w:firstLine="420" w:firstLineChars="175"/>
        <w:rPr>
          <w:b/>
          <w:bCs/>
          <w:color w:val="auto"/>
          <w:sz w:val="24"/>
          <w:szCs w:val="24"/>
        </w:rPr>
      </w:pPr>
      <w:r>
        <w:rPr>
          <w:color w:val="auto"/>
          <w:sz w:val="24"/>
          <w:szCs w:val="24"/>
        </w:rPr>
        <w:t>（2）并发能力：系统年度综合可用率≥90%，支持</w:t>
      </w:r>
      <w:r>
        <w:rPr>
          <w:rFonts w:hint="eastAsia"/>
          <w:color w:val="auto"/>
          <w:sz w:val="24"/>
          <w:szCs w:val="24"/>
          <w:lang w:val="en-US" w:eastAsia="zh-CN"/>
        </w:rPr>
        <w:t>2</w:t>
      </w:r>
      <w:r>
        <w:rPr>
          <w:color w:val="auto"/>
          <w:sz w:val="24"/>
          <w:szCs w:val="24"/>
        </w:rPr>
        <w:t>00人同时在线；校庆高峰期出现短暂卡顿，供应商需现场调参优化，不以此作为拒收理由。</w:t>
      </w:r>
    </w:p>
    <w:p w14:paraId="6161DF8A">
      <w:pPr>
        <w:spacing w:line="360" w:lineRule="auto"/>
        <w:ind w:left="0" w:leftChars="0" w:firstLine="420" w:firstLineChars="175"/>
        <w:rPr>
          <w:b/>
          <w:bCs/>
          <w:color w:val="auto"/>
          <w:sz w:val="24"/>
          <w:szCs w:val="24"/>
        </w:rPr>
      </w:pPr>
      <w:r>
        <w:rPr>
          <w:color w:val="auto"/>
          <w:sz w:val="24"/>
          <w:szCs w:val="24"/>
        </w:rPr>
        <w:t>3. 部署适配</w:t>
      </w:r>
    </w:p>
    <w:p w14:paraId="1BA78B02">
      <w:pPr>
        <w:spacing w:line="360" w:lineRule="auto"/>
        <w:ind w:left="0" w:leftChars="0" w:firstLine="420" w:firstLineChars="175"/>
        <w:rPr>
          <w:b/>
          <w:bCs/>
          <w:color w:val="auto"/>
          <w:sz w:val="24"/>
          <w:szCs w:val="24"/>
        </w:rPr>
      </w:pPr>
      <w:r>
        <w:rPr>
          <w:color w:val="auto"/>
          <w:sz w:val="24"/>
          <w:szCs w:val="24"/>
        </w:rPr>
        <w:t>（1）支持8核32G应用虚拟机、4核16G数据库虚拟机独立分层部署，也支持单机合并部署，适配校方现有硬件资源。</w:t>
      </w:r>
    </w:p>
    <w:p w14:paraId="7B74EB5F">
      <w:pPr>
        <w:spacing w:line="360" w:lineRule="auto"/>
        <w:ind w:left="0" w:leftChars="0" w:firstLine="420" w:firstLineChars="175"/>
        <w:rPr>
          <w:b/>
          <w:bCs/>
          <w:color w:val="auto"/>
          <w:sz w:val="24"/>
          <w:szCs w:val="24"/>
        </w:rPr>
      </w:pPr>
      <w:r>
        <w:rPr>
          <w:color w:val="auto"/>
          <w:sz w:val="24"/>
          <w:szCs w:val="24"/>
        </w:rPr>
        <w:t>（2）供应商交付完整部署文档、基础环境调优方案；后期校方硬件扩容，供应商提供免费适配指导。</w:t>
      </w:r>
    </w:p>
    <w:p w14:paraId="5BE0E9EC">
      <w:pPr>
        <w:spacing w:line="360" w:lineRule="auto"/>
        <w:ind w:left="0" w:leftChars="0" w:firstLine="420" w:firstLineChars="175"/>
        <w:rPr>
          <w:b/>
          <w:bCs/>
          <w:color w:val="auto"/>
          <w:sz w:val="24"/>
          <w:szCs w:val="24"/>
        </w:rPr>
      </w:pPr>
      <w:r>
        <w:rPr>
          <w:color w:val="auto"/>
          <w:sz w:val="24"/>
          <w:szCs w:val="24"/>
        </w:rPr>
        <w:t>（3）验收友好调整：性能不设一次性卡死标准，增加调优整改窗口期，区分永久故障与临时性能波动。</w:t>
      </w:r>
    </w:p>
    <w:p w14:paraId="5863DBB1">
      <w:pPr>
        <w:spacing w:line="360" w:lineRule="auto"/>
        <w:ind w:left="0" w:leftChars="0" w:firstLine="422" w:firstLineChars="175"/>
        <w:rPr>
          <w:b/>
          <w:bCs/>
          <w:color w:val="auto"/>
          <w:sz w:val="24"/>
          <w:szCs w:val="24"/>
        </w:rPr>
      </w:pPr>
      <w:r>
        <w:rPr>
          <w:b/>
          <w:color w:val="auto"/>
          <w:sz w:val="24"/>
          <w:szCs w:val="24"/>
        </w:rPr>
        <w:t>（三）</w:t>
      </w:r>
      <w:r>
        <w:rPr>
          <w:rFonts w:hint="eastAsia"/>
          <w:b/>
          <w:color w:val="auto"/>
          <w:sz w:val="24"/>
          <w:szCs w:val="24"/>
          <w:lang w:val="en-US" w:eastAsia="zh-CN"/>
        </w:rPr>
        <w:t>超</w:t>
      </w:r>
      <w:r>
        <w:rPr>
          <w:b/>
          <w:color w:val="auto"/>
          <w:sz w:val="24"/>
          <w:szCs w:val="24"/>
        </w:rPr>
        <w:t>10万条学籍数据治理清洗服务</w:t>
      </w:r>
    </w:p>
    <w:p w14:paraId="58348753">
      <w:pPr>
        <w:spacing w:line="360" w:lineRule="auto"/>
        <w:ind w:left="0" w:leftChars="0" w:firstLine="420" w:firstLineChars="175"/>
        <w:rPr>
          <w:b/>
          <w:bCs/>
          <w:color w:val="auto"/>
          <w:sz w:val="24"/>
          <w:szCs w:val="24"/>
        </w:rPr>
      </w:pPr>
      <w:r>
        <w:rPr>
          <w:color w:val="auto"/>
          <w:sz w:val="24"/>
          <w:szCs w:val="24"/>
        </w:rPr>
        <w:t>1. 归集范围</w:t>
      </w:r>
    </w:p>
    <w:p w14:paraId="275F193E">
      <w:pPr>
        <w:spacing w:line="360" w:lineRule="auto"/>
        <w:ind w:left="0" w:leftChars="0" w:firstLine="420" w:firstLineChars="175"/>
        <w:rPr>
          <w:b/>
          <w:bCs/>
          <w:color w:val="auto"/>
          <w:sz w:val="24"/>
          <w:szCs w:val="24"/>
        </w:rPr>
      </w:pPr>
      <w:r>
        <w:rPr>
          <w:color w:val="auto"/>
          <w:sz w:val="24"/>
          <w:szCs w:val="24"/>
        </w:rPr>
        <w:t>覆盖录取名册、成绩单、学籍卡、研究生归档材料、学生证件照、三大校区历史影像、毕业合影等校庆相关档案素材。</w:t>
      </w:r>
    </w:p>
    <w:p w14:paraId="45512132">
      <w:pPr>
        <w:spacing w:line="360" w:lineRule="auto"/>
        <w:ind w:left="0" w:leftChars="0" w:firstLine="420" w:firstLineChars="175"/>
        <w:rPr>
          <w:b/>
          <w:bCs/>
          <w:color w:val="auto"/>
          <w:sz w:val="24"/>
          <w:szCs w:val="24"/>
        </w:rPr>
      </w:pPr>
      <w:r>
        <w:rPr>
          <w:color w:val="auto"/>
          <w:sz w:val="24"/>
          <w:szCs w:val="24"/>
        </w:rPr>
        <w:t>2. 数据标准化加工要求</w:t>
      </w:r>
    </w:p>
    <w:p w14:paraId="47FC2042">
      <w:pPr>
        <w:spacing w:line="360" w:lineRule="auto"/>
        <w:ind w:left="0" w:leftChars="0" w:firstLine="420" w:firstLineChars="175"/>
        <w:rPr>
          <w:b/>
          <w:bCs/>
          <w:color w:val="auto"/>
          <w:sz w:val="24"/>
          <w:szCs w:val="24"/>
        </w:rPr>
      </w:pPr>
      <w:r>
        <w:rPr>
          <w:color w:val="auto"/>
          <w:sz w:val="24"/>
          <w:szCs w:val="24"/>
        </w:rPr>
        <w:t>（1）基础数据清洗：完成</w:t>
      </w:r>
      <w:r>
        <w:rPr>
          <w:rFonts w:hint="eastAsia"/>
          <w:color w:val="auto"/>
          <w:sz w:val="24"/>
          <w:szCs w:val="24"/>
          <w:lang w:val="en-US" w:eastAsia="zh-CN"/>
        </w:rPr>
        <w:t>超</w:t>
      </w:r>
      <w:r>
        <w:rPr>
          <w:color w:val="auto"/>
          <w:sz w:val="24"/>
          <w:szCs w:val="24"/>
        </w:rPr>
        <w:t>10万条学籍数据去重、错误修正、缺失字段补充、格式统一，标准化姓名、学号、身份证、学院、专业等关键字段；少量历史老旧档案原始信息缺失无法补全的，形成书面备注台账，经档案馆确认后可豁免，不作为验收扣分项。</w:t>
      </w:r>
    </w:p>
    <w:p w14:paraId="3B1A7480">
      <w:pPr>
        <w:spacing w:line="360" w:lineRule="auto"/>
        <w:ind w:left="0" w:leftChars="0" w:firstLine="420" w:firstLineChars="175"/>
        <w:rPr>
          <w:b/>
          <w:bCs/>
          <w:color w:val="auto"/>
          <w:sz w:val="24"/>
          <w:szCs w:val="24"/>
        </w:rPr>
      </w:pPr>
      <w:r>
        <w:rPr>
          <w:color w:val="auto"/>
          <w:sz w:val="24"/>
          <w:szCs w:val="24"/>
        </w:rPr>
        <w:t>（2）图文档案匹配：自动批量挂接学生照片、成绩单、影像与对应学籍档案，整体匹配准确率不低于99%；错配、漏挂数据建立问题清单，中标方统一整改复核，整改完成后校方再验收。</w:t>
      </w:r>
    </w:p>
    <w:p w14:paraId="1D708CCC">
      <w:pPr>
        <w:spacing w:line="360" w:lineRule="auto"/>
        <w:ind w:left="0" w:leftChars="0" w:firstLine="420" w:firstLineChars="175"/>
        <w:rPr>
          <w:b/>
          <w:bCs/>
          <w:color w:val="auto"/>
          <w:sz w:val="24"/>
          <w:szCs w:val="24"/>
        </w:rPr>
      </w:pPr>
      <w:r>
        <w:rPr>
          <w:color w:val="auto"/>
          <w:sz w:val="24"/>
          <w:szCs w:val="24"/>
        </w:rPr>
        <w:t>（3）交付成果：出具完整《数据治理质检报告》，包含清洗前后对比、问题台账、整改记录。</w:t>
      </w:r>
    </w:p>
    <w:p w14:paraId="2FE3CF1C">
      <w:pPr>
        <w:spacing w:line="360" w:lineRule="auto"/>
        <w:ind w:left="0" w:leftChars="0" w:firstLine="420" w:firstLineChars="175"/>
        <w:rPr>
          <w:b/>
          <w:bCs/>
          <w:color w:val="auto"/>
          <w:sz w:val="24"/>
          <w:szCs w:val="24"/>
        </w:rPr>
      </w:pPr>
      <w:r>
        <w:rPr>
          <w:color w:val="auto"/>
          <w:sz w:val="24"/>
          <w:szCs w:val="24"/>
        </w:rPr>
        <w:t>3. 三级质检与容错整改机制</w:t>
      </w:r>
    </w:p>
    <w:p w14:paraId="7CF6F891">
      <w:pPr>
        <w:spacing w:line="360" w:lineRule="auto"/>
        <w:ind w:left="0" w:leftChars="0" w:firstLine="420" w:firstLineChars="175"/>
        <w:rPr>
          <w:b/>
          <w:bCs/>
          <w:color w:val="auto"/>
          <w:sz w:val="24"/>
          <w:szCs w:val="24"/>
        </w:rPr>
      </w:pPr>
      <w:r>
        <w:rPr>
          <w:color w:val="auto"/>
          <w:sz w:val="24"/>
          <w:szCs w:val="24"/>
        </w:rPr>
        <w:t>（1）执行"系统自动校验→人工初检→校方档案馆复核"三级质检流程；</w:t>
      </w:r>
    </w:p>
    <w:p w14:paraId="3CC8C27B">
      <w:pPr>
        <w:spacing w:line="360" w:lineRule="auto"/>
        <w:ind w:left="0" w:leftChars="0" w:firstLine="420" w:firstLineChars="175"/>
        <w:rPr>
          <w:b/>
          <w:bCs/>
          <w:color w:val="auto"/>
          <w:sz w:val="24"/>
          <w:szCs w:val="24"/>
        </w:rPr>
      </w:pPr>
      <w:r>
        <w:rPr>
          <w:color w:val="auto"/>
          <w:sz w:val="24"/>
          <w:szCs w:val="24"/>
        </w:rPr>
        <w:t>（2）分类处置问题：</w:t>
      </w:r>
    </w:p>
    <w:p w14:paraId="0C1B3CDC">
      <w:pPr>
        <w:spacing w:line="360" w:lineRule="auto"/>
        <w:ind w:left="0" w:leftChars="0" w:firstLine="367" w:firstLineChars="175"/>
        <w:rPr>
          <w:b/>
          <w:bCs/>
          <w:color w:val="auto"/>
          <w:sz w:val="21"/>
          <w:szCs w:val="21"/>
        </w:rPr>
      </w:pPr>
      <w:r>
        <w:rPr>
          <w:color w:val="auto"/>
          <w:sz w:val="21"/>
          <w:szCs w:val="21"/>
        </w:rPr>
        <w:t>①</w:t>
      </w:r>
      <w:r>
        <w:rPr>
          <w:color w:val="auto"/>
          <w:sz w:val="24"/>
          <w:szCs w:val="24"/>
        </w:rPr>
        <w:t xml:space="preserve"> 严重问题（身份证、批量图文错配）：必须全部整改闭环；</w:t>
      </w:r>
    </w:p>
    <w:p w14:paraId="0673EE46">
      <w:pPr>
        <w:spacing w:line="360" w:lineRule="auto"/>
        <w:ind w:left="0" w:leftChars="0" w:firstLine="367" w:firstLineChars="175"/>
        <w:rPr>
          <w:b/>
          <w:bCs/>
          <w:color w:val="auto"/>
          <w:sz w:val="21"/>
          <w:szCs w:val="21"/>
        </w:rPr>
      </w:pPr>
      <w:r>
        <w:rPr>
          <w:color w:val="auto"/>
          <w:sz w:val="21"/>
          <w:szCs w:val="21"/>
        </w:rPr>
        <w:t xml:space="preserve">② </w:t>
      </w:r>
      <w:r>
        <w:rPr>
          <w:color w:val="auto"/>
          <w:sz w:val="24"/>
          <w:szCs w:val="24"/>
        </w:rPr>
        <w:t>轻微瑕疵：登记台账，校方书面确认留存，不影响整体验收通过；</w:t>
      </w:r>
    </w:p>
    <w:p w14:paraId="6F1FB449">
      <w:pPr>
        <w:spacing w:line="360" w:lineRule="auto"/>
        <w:ind w:left="0" w:leftChars="0" w:firstLine="420" w:firstLineChars="175"/>
        <w:rPr>
          <w:b/>
          <w:bCs/>
          <w:color w:val="auto"/>
          <w:sz w:val="24"/>
          <w:szCs w:val="24"/>
        </w:rPr>
      </w:pPr>
      <w:r>
        <w:rPr>
          <w:color w:val="auto"/>
          <w:sz w:val="24"/>
          <w:szCs w:val="24"/>
        </w:rPr>
        <w:t>（3）首次质检存在数据问题，给予中标方10个工作日集中整改优化，整改后二次复核，复核通过即视为数据成果达标，不一次性判定验收失败。</w:t>
      </w:r>
    </w:p>
    <w:p w14:paraId="0593EC0B">
      <w:pPr>
        <w:spacing w:line="360" w:lineRule="auto"/>
        <w:ind w:left="0" w:leftChars="0" w:firstLine="422" w:firstLineChars="175"/>
        <w:rPr>
          <w:b/>
          <w:bCs/>
          <w:color w:val="auto"/>
          <w:sz w:val="24"/>
          <w:szCs w:val="24"/>
        </w:rPr>
      </w:pPr>
      <w:r>
        <w:rPr>
          <w:b/>
          <w:color w:val="auto"/>
          <w:sz w:val="24"/>
          <w:szCs w:val="24"/>
        </w:rPr>
        <w:t>（四）平台核心功能模块</w:t>
      </w:r>
    </w:p>
    <w:p w14:paraId="48496D3A">
      <w:pPr>
        <w:spacing w:line="360" w:lineRule="auto"/>
        <w:ind w:left="0" w:leftChars="0" w:firstLine="420" w:firstLineChars="175"/>
        <w:rPr>
          <w:b/>
          <w:bCs/>
          <w:color w:val="auto"/>
          <w:sz w:val="24"/>
          <w:szCs w:val="24"/>
        </w:rPr>
      </w:pPr>
      <w:r>
        <w:rPr>
          <w:color w:val="auto"/>
          <w:sz w:val="24"/>
          <w:szCs w:val="24"/>
        </w:rPr>
        <w:t>1. 档案综合检索模块</w:t>
      </w:r>
    </w:p>
    <w:p w14:paraId="2EA134C9">
      <w:pPr>
        <w:spacing w:line="360" w:lineRule="auto"/>
        <w:ind w:left="0" w:leftChars="0" w:firstLine="420" w:firstLineChars="175"/>
        <w:rPr>
          <w:color w:val="auto"/>
          <w:sz w:val="24"/>
          <w:szCs w:val="24"/>
        </w:rPr>
      </w:pPr>
      <w:r>
        <w:rPr>
          <w:color w:val="auto"/>
          <w:sz w:val="24"/>
          <w:szCs w:val="24"/>
        </w:rPr>
        <w:t>支持全字段模糊检索、学号/身份证精准检索；可按学院、专业、班级、毕业年份筛选；检索结果支持预览、批量导出。</w:t>
      </w:r>
    </w:p>
    <w:p w14:paraId="03788042">
      <w:pPr>
        <w:spacing w:line="360" w:lineRule="auto"/>
        <w:ind w:left="0" w:leftChars="0" w:firstLine="420" w:firstLineChars="175"/>
        <w:rPr>
          <w:b/>
          <w:bCs/>
          <w:color w:val="auto"/>
          <w:sz w:val="24"/>
          <w:szCs w:val="24"/>
        </w:rPr>
      </w:pPr>
      <w:r>
        <w:rPr>
          <w:rFonts w:hint="eastAsia"/>
          <w:color w:val="auto"/>
          <w:sz w:val="24"/>
          <w:szCs w:val="24"/>
          <w:lang w:val="en-US" w:eastAsia="zh-CN"/>
        </w:rPr>
        <w:t>2</w:t>
      </w:r>
      <w:r>
        <w:rPr>
          <w:rFonts w:hint="eastAsia"/>
          <w:color w:val="auto"/>
          <w:sz w:val="24"/>
          <w:szCs w:val="24"/>
        </w:rPr>
        <w:t>.数据管理支持学生类别专题基础数据管理，可批量导入、导出，批量电子文件挂接。</w:t>
      </w:r>
    </w:p>
    <w:p w14:paraId="298D914D">
      <w:pPr>
        <w:spacing w:line="360" w:lineRule="auto"/>
        <w:ind w:left="0" w:leftChars="0" w:firstLine="420" w:firstLineChars="175"/>
        <w:rPr>
          <w:b/>
          <w:bCs/>
          <w:color w:val="auto"/>
          <w:sz w:val="24"/>
          <w:szCs w:val="24"/>
        </w:rPr>
      </w:pPr>
      <w:r>
        <w:rPr>
          <w:rFonts w:hint="eastAsia"/>
          <w:color w:val="auto"/>
          <w:sz w:val="24"/>
          <w:szCs w:val="24"/>
          <w:lang w:val="en-US" w:eastAsia="zh-CN"/>
        </w:rPr>
        <w:t>3</w:t>
      </w:r>
      <w:r>
        <w:rPr>
          <w:color w:val="auto"/>
          <w:sz w:val="24"/>
          <w:szCs w:val="24"/>
        </w:rPr>
        <w:t>. 校庆可视化展示模块</w:t>
      </w:r>
    </w:p>
    <w:p w14:paraId="5539212B">
      <w:pPr>
        <w:spacing w:line="360" w:lineRule="auto"/>
        <w:ind w:left="0" w:leftChars="0" w:firstLine="420" w:firstLineChars="175"/>
        <w:rPr>
          <w:color w:val="auto"/>
          <w:sz w:val="24"/>
          <w:szCs w:val="24"/>
        </w:rPr>
      </w:pPr>
      <w:r>
        <w:rPr>
          <w:color w:val="auto"/>
          <w:sz w:val="24"/>
          <w:szCs w:val="24"/>
        </w:rPr>
        <w:t>提供电子纪念册通用模板，支持导出个性化校友电子纪念册；校方如需个性化复杂版式，可在1年质保期内分批次免费微调。</w:t>
      </w:r>
    </w:p>
    <w:p w14:paraId="03E87061">
      <w:pPr>
        <w:spacing w:line="360" w:lineRule="auto"/>
        <w:ind w:left="0" w:leftChars="0" w:firstLine="420" w:firstLineChars="175"/>
        <w:rPr>
          <w:b/>
          <w:bCs/>
          <w:color w:val="auto"/>
          <w:sz w:val="24"/>
          <w:szCs w:val="24"/>
        </w:rPr>
      </w:pPr>
      <w:r>
        <w:rPr>
          <w:rFonts w:hint="eastAsia"/>
          <w:color w:val="auto"/>
          <w:sz w:val="24"/>
          <w:szCs w:val="24"/>
          <w:lang w:val="en-US" w:eastAsia="zh-CN"/>
        </w:rPr>
        <w:t>4.</w:t>
      </w:r>
      <w:r>
        <w:rPr>
          <w:rFonts w:hint="eastAsia"/>
          <w:color w:val="auto"/>
          <w:sz w:val="24"/>
          <w:szCs w:val="24"/>
        </w:rPr>
        <w:t>前端操作界面简洁大方，易操作，系统支持在PC端、触摸互动大屏上面展示。</w:t>
      </w:r>
    </w:p>
    <w:p w14:paraId="110AC0DD">
      <w:pPr>
        <w:spacing w:line="360" w:lineRule="auto"/>
        <w:ind w:left="0" w:leftChars="0" w:firstLine="420" w:firstLineChars="175"/>
        <w:rPr>
          <w:b/>
          <w:bCs/>
          <w:color w:val="auto"/>
          <w:sz w:val="24"/>
          <w:szCs w:val="24"/>
        </w:rPr>
      </w:pPr>
      <w:r>
        <w:rPr>
          <w:rFonts w:hint="eastAsia"/>
          <w:color w:val="auto"/>
          <w:sz w:val="24"/>
          <w:szCs w:val="24"/>
          <w:lang w:val="en-US" w:eastAsia="zh-CN"/>
        </w:rPr>
        <w:t>5</w:t>
      </w:r>
      <w:r>
        <w:rPr>
          <w:color w:val="auto"/>
          <w:sz w:val="24"/>
          <w:szCs w:val="24"/>
        </w:rPr>
        <w:t>. 安全管控模块</w:t>
      </w:r>
    </w:p>
    <w:p w14:paraId="28658D0E">
      <w:pPr>
        <w:spacing w:line="360" w:lineRule="auto"/>
        <w:ind w:left="0" w:leftChars="0" w:firstLine="420" w:firstLineChars="175"/>
        <w:rPr>
          <w:b/>
          <w:bCs/>
          <w:color w:val="auto"/>
          <w:sz w:val="24"/>
          <w:szCs w:val="24"/>
        </w:rPr>
      </w:pPr>
      <w:r>
        <w:rPr>
          <w:color w:val="auto"/>
          <w:sz w:val="24"/>
          <w:szCs w:val="24"/>
        </w:rPr>
        <w:t>（1）分级权限：按管理员、档案馆审核员分配差异化操作权限。</w:t>
      </w:r>
    </w:p>
    <w:p w14:paraId="55CD3005">
      <w:pPr>
        <w:spacing w:line="360" w:lineRule="auto"/>
        <w:ind w:left="0" w:leftChars="0" w:firstLine="420" w:firstLineChars="175"/>
        <w:rPr>
          <w:b/>
          <w:bCs/>
          <w:color w:val="auto"/>
          <w:sz w:val="24"/>
          <w:szCs w:val="24"/>
        </w:rPr>
      </w:pPr>
      <w:r>
        <w:rPr>
          <w:color w:val="auto"/>
          <w:sz w:val="24"/>
          <w:szCs w:val="24"/>
        </w:rPr>
        <w:t>（2）隐私核验：校友查看本人敏感档案，采用身份证核验+人脸识别双重认证；特殊无证件老校友，可由档案馆人工核验兜底查询，兼顾安全与实际使用场景。</w:t>
      </w:r>
    </w:p>
    <w:p w14:paraId="58827021">
      <w:pPr>
        <w:spacing w:line="360" w:lineRule="auto"/>
        <w:ind w:left="0" w:leftChars="0" w:firstLine="420" w:firstLineChars="175"/>
        <w:rPr>
          <w:b/>
          <w:bCs/>
          <w:color w:val="auto"/>
          <w:sz w:val="24"/>
          <w:szCs w:val="24"/>
        </w:rPr>
      </w:pPr>
      <w:r>
        <w:rPr>
          <w:color w:val="auto"/>
          <w:sz w:val="24"/>
          <w:szCs w:val="24"/>
        </w:rPr>
        <w:t>（3）数据安全：支持自动/手动备份、备份完整性校验；若出现备份失败，供应商24小时内修复备份策略。</w:t>
      </w:r>
    </w:p>
    <w:p w14:paraId="0235B5F0">
      <w:pPr>
        <w:spacing w:line="360" w:lineRule="auto"/>
        <w:ind w:left="0" w:leftChars="0" w:firstLine="420" w:firstLineChars="175"/>
        <w:rPr>
          <w:b/>
          <w:bCs/>
          <w:color w:val="auto"/>
          <w:sz w:val="24"/>
          <w:szCs w:val="24"/>
        </w:rPr>
      </w:pPr>
      <w:r>
        <w:rPr>
          <w:color w:val="auto"/>
          <w:sz w:val="24"/>
          <w:szCs w:val="24"/>
        </w:rPr>
        <w:t>（4）操作审计：所有档案查看、修改、导出、登录操作生成审计日志，日志留存不少于3年，支持导出备查。</w:t>
      </w:r>
    </w:p>
    <w:p w14:paraId="417D1F0D">
      <w:pPr>
        <w:spacing w:line="360" w:lineRule="auto"/>
        <w:ind w:left="0" w:leftChars="0" w:firstLine="422" w:firstLineChars="175"/>
        <w:rPr>
          <w:b/>
          <w:bCs/>
          <w:color w:val="auto"/>
          <w:sz w:val="24"/>
          <w:szCs w:val="24"/>
        </w:rPr>
      </w:pPr>
      <w:r>
        <w:rPr>
          <w:b/>
          <w:color w:val="auto"/>
          <w:sz w:val="24"/>
          <w:szCs w:val="24"/>
        </w:rPr>
        <w:t>（五）实施、培训与质保运维</w:t>
      </w:r>
    </w:p>
    <w:p w14:paraId="06CDDD04">
      <w:pPr>
        <w:spacing w:line="360" w:lineRule="auto"/>
        <w:ind w:left="0" w:leftChars="0" w:firstLine="420" w:firstLineChars="175"/>
        <w:rPr>
          <w:color w:val="auto"/>
          <w:sz w:val="24"/>
          <w:szCs w:val="24"/>
        </w:rPr>
      </w:pPr>
      <w:r>
        <w:rPr>
          <w:color w:val="auto"/>
          <w:sz w:val="24"/>
          <w:szCs w:val="24"/>
        </w:rPr>
        <w:t>1. 实施工期</w:t>
      </w:r>
    </w:p>
    <w:p w14:paraId="61EC2FE9">
      <w:pPr>
        <w:spacing w:line="360" w:lineRule="auto"/>
        <w:ind w:left="0" w:leftChars="0" w:firstLine="420" w:firstLineChars="175"/>
        <w:rPr>
          <w:b/>
          <w:bCs/>
          <w:color w:val="auto"/>
          <w:sz w:val="24"/>
          <w:szCs w:val="24"/>
        </w:rPr>
      </w:pPr>
      <w:r>
        <w:rPr>
          <w:color w:val="auto"/>
          <w:sz w:val="24"/>
          <w:szCs w:val="24"/>
        </w:rPr>
        <w:t>合同签订后30日历天内完成数据整理、平台上线试运行；因校方提供原始档案素材延迟、校内系统接口协调延误等校方原因造成工期滞后，工期同步顺延，不追究乙方责任。</w:t>
      </w:r>
    </w:p>
    <w:p w14:paraId="279B639A">
      <w:pPr>
        <w:numPr>
          <w:ilvl w:val="0"/>
          <w:numId w:val="5"/>
        </w:numPr>
        <w:spacing w:line="360" w:lineRule="auto"/>
        <w:ind w:left="0" w:leftChars="0" w:firstLine="420" w:firstLineChars="175"/>
        <w:rPr>
          <w:color w:val="auto"/>
          <w:sz w:val="24"/>
          <w:szCs w:val="24"/>
        </w:rPr>
      </w:pPr>
      <w:r>
        <w:rPr>
          <w:color w:val="auto"/>
          <w:sz w:val="24"/>
          <w:szCs w:val="24"/>
        </w:rPr>
        <w:t>操作培训</w:t>
      </w:r>
    </w:p>
    <w:p w14:paraId="278F0EAF">
      <w:pPr>
        <w:numPr>
          <w:ilvl w:val="0"/>
          <w:numId w:val="0"/>
        </w:numPr>
        <w:spacing w:line="360" w:lineRule="auto"/>
        <w:ind w:left="0" w:leftChars="0" w:firstLine="420" w:firstLineChars="175"/>
        <w:rPr>
          <w:b/>
          <w:bCs/>
          <w:color w:val="auto"/>
          <w:sz w:val="24"/>
          <w:szCs w:val="24"/>
        </w:rPr>
      </w:pPr>
      <w:r>
        <w:rPr>
          <w:color w:val="auto"/>
          <w:sz w:val="24"/>
          <w:szCs w:val="24"/>
        </w:rPr>
        <w:t>对档案馆开展实操培训，交付操作手册；后续人员变动，质保期内可提供免费复训。</w:t>
      </w:r>
    </w:p>
    <w:p w14:paraId="44AAF0B8">
      <w:pPr>
        <w:numPr>
          <w:ilvl w:val="0"/>
          <w:numId w:val="5"/>
        </w:numPr>
        <w:spacing w:line="360" w:lineRule="auto"/>
        <w:ind w:left="0" w:leftChars="0" w:firstLine="420" w:firstLineChars="175"/>
        <w:rPr>
          <w:color w:val="auto"/>
          <w:sz w:val="24"/>
          <w:szCs w:val="24"/>
        </w:rPr>
      </w:pPr>
      <w:r>
        <w:rPr>
          <w:color w:val="auto"/>
          <w:sz w:val="24"/>
          <w:szCs w:val="24"/>
        </w:rPr>
        <w:t>质保运维</w:t>
      </w:r>
    </w:p>
    <w:p w14:paraId="426FC47F">
      <w:pPr>
        <w:numPr>
          <w:ilvl w:val="0"/>
          <w:numId w:val="0"/>
        </w:numPr>
        <w:spacing w:line="360" w:lineRule="auto"/>
        <w:ind w:left="0" w:leftChars="0" w:firstLine="420" w:firstLineChars="175"/>
        <w:rPr>
          <w:b/>
          <w:bCs/>
          <w:color w:val="auto"/>
          <w:sz w:val="24"/>
          <w:szCs w:val="24"/>
        </w:rPr>
      </w:pPr>
      <w:r>
        <w:rPr>
          <w:color w:val="auto"/>
          <w:sz w:val="24"/>
          <w:szCs w:val="24"/>
        </w:rPr>
        <w:t>整体验收合格后提供1年免费远程+驻场运维；包含bug修复、月度数据巡检、校庆期间现场技术保障、模板微调、同版本免费升级。</w:t>
      </w:r>
    </w:p>
    <w:p w14:paraId="26DB7241">
      <w:pPr>
        <w:spacing w:line="360" w:lineRule="auto"/>
        <w:ind w:left="0" w:leftChars="0" w:firstLine="420" w:firstLineChars="175"/>
        <w:rPr>
          <w:b/>
          <w:bCs/>
          <w:color w:val="auto"/>
          <w:sz w:val="24"/>
          <w:szCs w:val="24"/>
        </w:rPr>
      </w:pPr>
      <w:r>
        <w:rPr>
          <w:color w:val="auto"/>
          <w:sz w:val="24"/>
          <w:szCs w:val="24"/>
        </w:rPr>
        <w:t>4. 交付成果：部署手册、操作培训资料、全套数字档案数据包。</w:t>
      </w:r>
    </w:p>
    <w:p w14:paraId="16BF5E72">
      <w:pPr>
        <w:spacing w:line="360" w:lineRule="auto"/>
        <w:ind w:left="0" w:leftChars="0" w:firstLine="422" w:firstLineChars="175"/>
        <w:rPr>
          <w:b/>
          <w:bCs/>
          <w:color w:val="auto"/>
          <w:sz w:val="24"/>
          <w:szCs w:val="24"/>
        </w:rPr>
      </w:pPr>
      <w:r>
        <w:rPr>
          <w:b/>
          <w:color w:val="auto"/>
          <w:sz w:val="24"/>
          <w:szCs w:val="24"/>
        </w:rPr>
        <w:t>（六）分阶段验收标准</w:t>
      </w:r>
    </w:p>
    <w:p w14:paraId="4EDB5E1A">
      <w:pPr>
        <w:spacing w:line="360" w:lineRule="auto"/>
        <w:ind w:left="0" w:leftChars="0" w:firstLine="420" w:firstLineChars="175"/>
        <w:rPr>
          <w:b/>
          <w:bCs/>
          <w:color w:val="auto"/>
          <w:sz w:val="24"/>
          <w:szCs w:val="24"/>
        </w:rPr>
      </w:pPr>
      <w:r>
        <w:rPr>
          <w:color w:val="auto"/>
          <w:sz w:val="24"/>
          <w:szCs w:val="24"/>
        </w:rPr>
        <w:t>1. 整体验收逻辑</w:t>
      </w:r>
    </w:p>
    <w:p w14:paraId="0772758D">
      <w:pPr>
        <w:spacing w:line="360" w:lineRule="auto"/>
        <w:ind w:left="0" w:leftChars="0" w:firstLine="420" w:firstLineChars="175"/>
        <w:rPr>
          <w:b/>
          <w:bCs/>
          <w:color w:val="auto"/>
          <w:sz w:val="24"/>
          <w:szCs w:val="24"/>
        </w:rPr>
      </w:pPr>
      <w:r>
        <w:rPr>
          <w:color w:val="auto"/>
          <w:sz w:val="24"/>
          <w:szCs w:val="24"/>
        </w:rPr>
        <w:t>项目分试运行初验、最终竣工验收两个阶段；分项逐项核验，单一轻微项瑕疵完成台账登记、限期整改后，不阻碍整体项目验收通过。</w:t>
      </w:r>
    </w:p>
    <w:p w14:paraId="5C58D4E5">
      <w:pPr>
        <w:spacing w:line="360" w:lineRule="auto"/>
        <w:ind w:left="0" w:leftChars="0" w:firstLine="420" w:firstLineChars="175"/>
        <w:rPr>
          <w:b/>
          <w:bCs/>
          <w:color w:val="auto"/>
          <w:sz w:val="24"/>
          <w:szCs w:val="24"/>
        </w:rPr>
      </w:pPr>
      <w:r>
        <w:rPr>
          <w:color w:val="auto"/>
          <w:sz w:val="24"/>
          <w:szCs w:val="24"/>
        </w:rPr>
        <w:t>2. 数据成果验收</w:t>
      </w:r>
    </w:p>
    <w:p w14:paraId="1A58B04A">
      <w:pPr>
        <w:spacing w:line="360" w:lineRule="auto"/>
        <w:ind w:left="0" w:leftChars="0" w:firstLine="420" w:firstLineChars="175"/>
        <w:rPr>
          <w:b/>
          <w:bCs/>
          <w:color w:val="auto"/>
          <w:sz w:val="24"/>
          <w:szCs w:val="24"/>
        </w:rPr>
      </w:pPr>
      <w:r>
        <w:rPr>
          <w:color w:val="auto"/>
          <w:sz w:val="24"/>
          <w:szCs w:val="24"/>
        </w:rPr>
        <w:t>（1）</w:t>
      </w:r>
      <w:r>
        <w:rPr>
          <w:rFonts w:hint="eastAsia"/>
          <w:color w:val="auto"/>
          <w:sz w:val="24"/>
          <w:szCs w:val="24"/>
          <w:lang w:val="en-US" w:eastAsia="zh-CN"/>
        </w:rPr>
        <w:t>超</w:t>
      </w:r>
      <w:r>
        <w:rPr>
          <w:color w:val="auto"/>
          <w:sz w:val="24"/>
          <w:szCs w:val="24"/>
        </w:rPr>
        <w:t>10万条学籍数据完成清洗治理，重复、错误核心信息全部整改；图文匹配准确率≥99%；</w:t>
      </w:r>
    </w:p>
    <w:p w14:paraId="75CB65E9">
      <w:pPr>
        <w:spacing w:line="360" w:lineRule="auto"/>
        <w:ind w:left="0" w:leftChars="0" w:firstLine="420" w:firstLineChars="175"/>
        <w:rPr>
          <w:b/>
          <w:bCs/>
          <w:color w:val="auto"/>
          <w:sz w:val="24"/>
          <w:szCs w:val="24"/>
        </w:rPr>
      </w:pPr>
      <w:r>
        <w:rPr>
          <w:color w:val="auto"/>
          <w:sz w:val="24"/>
          <w:szCs w:val="24"/>
        </w:rPr>
        <w:t>（2）历史影像、电子化档案分类归档齐全；老旧档案客观信息缺失、老照片画质问题建立台账，档案馆确认后予以认可；</w:t>
      </w:r>
    </w:p>
    <w:p w14:paraId="447BF7F5">
      <w:pPr>
        <w:spacing w:line="360" w:lineRule="auto"/>
        <w:ind w:left="0" w:leftChars="0" w:firstLine="420" w:firstLineChars="175"/>
        <w:rPr>
          <w:b/>
          <w:bCs/>
          <w:color w:val="auto"/>
          <w:sz w:val="24"/>
          <w:szCs w:val="24"/>
        </w:rPr>
      </w:pPr>
      <w:r>
        <w:rPr>
          <w:color w:val="auto"/>
          <w:sz w:val="24"/>
          <w:szCs w:val="24"/>
        </w:rPr>
        <w:t>3. 平台功能验收</w:t>
      </w:r>
    </w:p>
    <w:p w14:paraId="71A177F0">
      <w:pPr>
        <w:spacing w:line="360" w:lineRule="auto"/>
        <w:ind w:left="0" w:leftChars="0" w:firstLine="420" w:firstLineChars="175"/>
        <w:rPr>
          <w:b/>
          <w:bCs/>
          <w:color w:val="auto"/>
          <w:sz w:val="24"/>
          <w:szCs w:val="24"/>
        </w:rPr>
      </w:pPr>
      <w:r>
        <w:rPr>
          <w:color w:val="auto"/>
          <w:sz w:val="24"/>
          <w:szCs w:val="24"/>
        </w:rPr>
        <w:t>（1）检索、档案管理、校庆展示、权限、备份审计等全部核心功能可正常使用；</w:t>
      </w:r>
    </w:p>
    <w:p w14:paraId="57BD8CAB">
      <w:pPr>
        <w:spacing w:line="360" w:lineRule="auto"/>
        <w:ind w:left="0" w:leftChars="0" w:firstLine="420" w:firstLineChars="175"/>
        <w:rPr>
          <w:b/>
          <w:bCs/>
          <w:color w:val="auto"/>
          <w:sz w:val="24"/>
          <w:szCs w:val="24"/>
        </w:rPr>
      </w:pPr>
      <w:r>
        <w:rPr>
          <w:color w:val="auto"/>
          <w:sz w:val="24"/>
          <w:szCs w:val="24"/>
        </w:rPr>
        <w:t>（2）非核心个性化小功能瑕疵，可在质保期内持续优化，不影响竣工通过。</w:t>
      </w:r>
    </w:p>
    <w:p w14:paraId="5AAAC306">
      <w:pPr>
        <w:spacing w:line="360" w:lineRule="auto"/>
        <w:ind w:left="0" w:leftChars="0" w:firstLine="420" w:firstLineChars="175"/>
        <w:rPr>
          <w:b/>
          <w:bCs/>
          <w:color w:val="auto"/>
          <w:sz w:val="24"/>
          <w:szCs w:val="24"/>
        </w:rPr>
      </w:pPr>
      <w:r>
        <w:rPr>
          <w:color w:val="auto"/>
          <w:sz w:val="24"/>
          <w:szCs w:val="24"/>
        </w:rPr>
        <w:t>4. 安全合规验收</w:t>
      </w:r>
    </w:p>
    <w:p w14:paraId="2AAD1A09">
      <w:pPr>
        <w:spacing w:line="360" w:lineRule="auto"/>
        <w:ind w:left="0" w:leftChars="0" w:firstLine="420" w:firstLineChars="175"/>
        <w:rPr>
          <w:b/>
          <w:bCs/>
          <w:color w:val="auto"/>
          <w:sz w:val="24"/>
          <w:szCs w:val="24"/>
        </w:rPr>
      </w:pPr>
      <w:r>
        <w:rPr>
          <w:color w:val="auto"/>
          <w:sz w:val="24"/>
          <w:szCs w:val="24"/>
        </w:rPr>
        <w:t>内网隔离部署、数据加密、分级权限、访问审计、备份恢复等安全功能满足档案管理；审计日志可正常导出留存1年以上。</w:t>
      </w:r>
    </w:p>
    <w:p w14:paraId="6EE2B985">
      <w:pPr>
        <w:spacing w:line="360" w:lineRule="auto"/>
        <w:ind w:left="0" w:leftChars="0" w:firstLine="420" w:firstLineChars="175"/>
        <w:rPr>
          <w:b/>
          <w:bCs/>
          <w:color w:val="auto"/>
          <w:sz w:val="24"/>
          <w:szCs w:val="24"/>
        </w:rPr>
      </w:pPr>
      <w:r>
        <w:rPr>
          <w:color w:val="auto"/>
          <w:sz w:val="24"/>
          <w:szCs w:val="24"/>
        </w:rPr>
        <w:t>5. 文档资料验收</w:t>
      </w:r>
    </w:p>
    <w:p w14:paraId="359FA41A">
      <w:pPr>
        <w:spacing w:line="360" w:lineRule="auto"/>
        <w:ind w:left="0" w:leftChars="0" w:firstLine="420" w:firstLineChars="175"/>
        <w:rPr>
          <w:rFonts w:eastAsia="宋体"/>
          <w:color w:val="auto"/>
          <w:sz w:val="24"/>
          <w:szCs w:val="24"/>
        </w:rPr>
      </w:pPr>
      <w:r>
        <w:rPr>
          <w:rFonts w:eastAsia="宋体"/>
          <w:color w:val="auto"/>
          <w:sz w:val="24"/>
          <w:szCs w:val="24"/>
        </w:rPr>
        <w:t>部署手册、操作手册等全套资料交付齐全。</w:t>
      </w:r>
    </w:p>
    <w:p w14:paraId="2CED07C9">
      <w:pPr>
        <w:pStyle w:val="6"/>
        <w:ind w:left="0" w:leftChars="0" w:firstLine="0" w:firstLineChars="0"/>
        <w:outlineLvl w:val="1"/>
        <w:rPr>
          <w:color w:val="auto"/>
        </w:rPr>
      </w:pPr>
      <w:r>
        <w:rPr>
          <w:rFonts w:hint="eastAsia"/>
          <w:color w:val="auto"/>
        </w:rPr>
        <w:t>二、商务要求</w:t>
      </w:r>
    </w:p>
    <w:p w14:paraId="608B3A34">
      <w:pPr>
        <w:spacing w:line="360" w:lineRule="auto"/>
        <w:ind w:firstLine="420"/>
        <w:rPr>
          <w:color w:val="auto"/>
          <w:sz w:val="24"/>
          <w:szCs w:val="24"/>
        </w:rPr>
      </w:pPr>
      <w:r>
        <w:rPr>
          <w:color w:val="auto"/>
          <w:sz w:val="24"/>
          <w:szCs w:val="24"/>
        </w:rPr>
        <w:t>甲方：采</w:t>
      </w:r>
      <w:r>
        <w:rPr>
          <w:color w:val="auto"/>
          <w:sz w:val="24"/>
          <w:szCs w:val="24"/>
        </w:rPr>
        <w:t>购人，乙方：成交供应商</w:t>
      </w:r>
    </w:p>
    <w:p w14:paraId="75FA3F7F">
      <w:pPr>
        <w:spacing w:line="360" w:lineRule="auto"/>
        <w:ind w:left="0" w:leftChars="0" w:firstLine="422" w:firstLineChars="175"/>
        <w:rPr>
          <w:rFonts w:cs="宋体"/>
          <w:color w:val="auto"/>
          <w:sz w:val="24"/>
          <w:szCs w:val="24"/>
        </w:rPr>
      </w:pPr>
      <w:r>
        <w:rPr>
          <w:b/>
          <w:bCs/>
          <w:color w:val="auto"/>
          <w:sz w:val="24"/>
          <w:szCs w:val="24"/>
        </w:rPr>
        <w:t>1、</w:t>
      </w:r>
      <w:r>
        <w:rPr>
          <w:rFonts w:ascii="宋体" w:hAnsi="宋体" w:eastAsia="宋体" w:cs="宋体"/>
          <w:b/>
          <w:bCs/>
          <w:color w:val="auto"/>
          <w:sz w:val="24"/>
          <w:szCs w:val="24"/>
        </w:rPr>
        <w:t>▲</w:t>
      </w:r>
      <w:r>
        <w:rPr>
          <w:color w:val="auto"/>
          <w:sz w:val="24"/>
          <w:szCs w:val="24"/>
        </w:rPr>
        <w:t>完成时间：合同签订后</w:t>
      </w:r>
      <w:r>
        <w:rPr>
          <w:rFonts w:hint="eastAsia"/>
          <w:color w:val="auto"/>
          <w:sz w:val="24"/>
          <w:szCs w:val="24"/>
          <w:u w:val="single"/>
          <w:lang w:val="en-US" w:eastAsia="zh-CN"/>
        </w:rPr>
        <w:t xml:space="preserve"> </w:t>
      </w:r>
      <w:r>
        <w:rPr>
          <w:color w:val="auto"/>
          <w:sz w:val="24"/>
          <w:szCs w:val="24"/>
          <w:u w:val="single"/>
        </w:rPr>
        <w:t>30日历天</w:t>
      </w:r>
      <w:r>
        <w:rPr>
          <w:rFonts w:hint="eastAsia"/>
          <w:color w:val="auto"/>
          <w:sz w:val="24"/>
          <w:szCs w:val="24"/>
          <w:u w:val="single"/>
          <w:lang w:val="en-US" w:eastAsia="zh-CN"/>
        </w:rPr>
        <w:t xml:space="preserve"> </w:t>
      </w:r>
      <w:r>
        <w:rPr>
          <w:color w:val="auto"/>
          <w:sz w:val="24"/>
          <w:szCs w:val="24"/>
        </w:rPr>
        <w:t>内完成并通过甲方验收。</w:t>
      </w:r>
    </w:p>
    <w:p w14:paraId="630AE2A7">
      <w:pPr>
        <w:spacing w:line="360" w:lineRule="auto"/>
        <w:ind w:left="0" w:leftChars="0" w:firstLine="422" w:firstLineChars="175"/>
        <w:rPr>
          <w:rFonts w:cs="宋体"/>
          <w:b w:val="0"/>
          <w:bCs w:val="0"/>
          <w:color w:val="auto"/>
          <w:sz w:val="24"/>
          <w:szCs w:val="24"/>
        </w:rPr>
      </w:pPr>
      <w:r>
        <w:rPr>
          <w:rFonts w:hint="eastAsia" w:ascii="宋体" w:hAnsi="宋体" w:eastAsia="宋体" w:cs="宋体"/>
          <w:b/>
          <w:bCs/>
          <w:color w:val="auto"/>
          <w:sz w:val="24"/>
          <w:szCs w:val="24"/>
          <w:lang w:val="en-US" w:eastAsia="zh-CN"/>
        </w:rPr>
        <w:t>2、</w:t>
      </w:r>
      <w:r>
        <w:rPr>
          <w:rFonts w:ascii="宋体" w:hAnsi="宋体" w:eastAsia="宋体" w:cs="宋体"/>
          <w:b/>
          <w:bCs/>
          <w:color w:val="auto"/>
          <w:sz w:val="24"/>
          <w:szCs w:val="24"/>
        </w:rPr>
        <w:t>▲质保期：</w:t>
      </w:r>
      <w:r>
        <w:rPr>
          <w:rFonts w:ascii="宋体" w:hAnsi="宋体" w:eastAsia="宋体" w:cs="宋体"/>
          <w:b w:val="0"/>
          <w:bCs w:val="0"/>
          <w:color w:val="auto"/>
          <w:sz w:val="24"/>
          <w:szCs w:val="24"/>
        </w:rPr>
        <w:t>质保</w:t>
      </w:r>
      <w:r>
        <w:rPr>
          <w:rFonts w:hint="eastAsia" w:ascii="宋体" w:hAnsi="宋体" w:eastAsia="宋体" w:cs="宋体"/>
          <w:b w:val="0"/>
          <w:bCs w:val="0"/>
          <w:color w:val="auto"/>
          <w:sz w:val="24"/>
          <w:szCs w:val="24"/>
          <w:u w:val="single"/>
          <w:lang w:val="en-US" w:eastAsia="zh-CN"/>
        </w:rPr>
        <w:t xml:space="preserve"> </w:t>
      </w:r>
      <w:r>
        <w:rPr>
          <w:rFonts w:ascii="宋体" w:hAnsi="宋体" w:eastAsia="宋体" w:cs="宋体"/>
          <w:b w:val="0"/>
          <w:bCs w:val="0"/>
          <w:color w:val="auto"/>
          <w:sz w:val="24"/>
          <w:szCs w:val="24"/>
          <w:u w:val="single"/>
        </w:rPr>
        <w:t>不低于1年</w:t>
      </w:r>
      <w:r>
        <w:rPr>
          <w:rFonts w:hint="eastAsia" w:ascii="宋体" w:hAnsi="宋体" w:eastAsia="宋体" w:cs="宋体"/>
          <w:b w:val="0"/>
          <w:bCs w:val="0"/>
          <w:color w:val="auto"/>
          <w:sz w:val="24"/>
          <w:szCs w:val="24"/>
          <w:u w:val="single"/>
          <w:lang w:val="en-US" w:eastAsia="zh-CN"/>
        </w:rPr>
        <w:t xml:space="preserve"> </w:t>
      </w:r>
      <w:r>
        <w:rPr>
          <w:rFonts w:ascii="宋体" w:hAnsi="宋体" w:eastAsia="宋体" w:cs="宋体"/>
          <w:b w:val="0"/>
          <w:bCs w:val="0"/>
          <w:color w:val="auto"/>
          <w:sz w:val="24"/>
          <w:szCs w:val="24"/>
        </w:rPr>
        <w:t>，验收合格后计算，质保所需费用包含在合同总价中，不额外收取。</w:t>
      </w:r>
    </w:p>
    <w:p w14:paraId="567773CF">
      <w:pPr>
        <w:spacing w:line="360" w:lineRule="auto"/>
        <w:ind w:left="0" w:leftChars="0" w:firstLine="422" w:firstLineChars="175"/>
        <w:rPr>
          <w:rFonts w:eastAsia="宋体"/>
          <w:color w:val="auto"/>
          <w:sz w:val="24"/>
          <w:szCs w:val="24"/>
          <w:u w:val="single"/>
          <w:lang w:eastAsia="zh-CN"/>
        </w:rPr>
      </w:pPr>
      <w:r>
        <w:rPr>
          <w:rFonts w:hint="eastAsia"/>
          <w:b/>
          <w:bCs/>
          <w:color w:val="auto"/>
          <w:sz w:val="24"/>
          <w:szCs w:val="24"/>
          <w:lang w:val="en-US" w:eastAsia="zh-CN"/>
        </w:rPr>
        <w:t>3</w:t>
      </w:r>
      <w:r>
        <w:rPr>
          <w:b/>
          <w:bCs/>
          <w:color w:val="auto"/>
          <w:sz w:val="24"/>
          <w:szCs w:val="24"/>
        </w:rPr>
        <w:t>、</w:t>
      </w:r>
      <w:r>
        <w:rPr>
          <w:rFonts w:ascii="宋体" w:hAnsi="宋体" w:cs="宋体"/>
          <w:b/>
          <w:bCs/>
          <w:color w:val="auto"/>
          <w:sz w:val="24"/>
          <w:szCs w:val="24"/>
        </w:rPr>
        <w:t>▲</w:t>
      </w:r>
      <w:r>
        <w:rPr>
          <w:b/>
          <w:bCs/>
          <w:color w:val="auto"/>
          <w:sz w:val="24"/>
          <w:szCs w:val="24"/>
        </w:rPr>
        <w:t>服务地点</w:t>
      </w:r>
      <w:r>
        <w:rPr>
          <w:color w:val="auto"/>
          <w:sz w:val="24"/>
          <w:szCs w:val="24"/>
        </w:rPr>
        <w:t>：</w:t>
      </w:r>
      <w:bookmarkStart w:id="393" w:name="_Hlk169254344"/>
      <w:r>
        <w:rPr>
          <w:color w:val="auto"/>
          <w:sz w:val="24"/>
          <w:szCs w:val="24"/>
          <w:u w:val="none"/>
        </w:rPr>
        <w:t>杭州电子科技大学</w:t>
      </w:r>
      <w:r>
        <w:rPr>
          <w:rFonts w:eastAsia="Calibri"/>
          <w:color w:val="auto"/>
          <w:sz w:val="24"/>
          <w:szCs w:val="24"/>
          <w:u w:val="single"/>
        </w:rPr>
        <w:t xml:space="preserve">  </w:t>
      </w:r>
      <w:r>
        <w:rPr>
          <w:rFonts w:hint="eastAsia"/>
          <w:color w:val="auto"/>
          <w:sz w:val="24"/>
          <w:szCs w:val="24"/>
          <w:u w:val="single"/>
          <w:lang w:val="en-US" w:eastAsia="zh-CN"/>
        </w:rPr>
        <w:t>下沙</w:t>
      </w:r>
      <w:r>
        <w:rPr>
          <w:rFonts w:eastAsia="Calibri"/>
          <w:color w:val="auto"/>
          <w:sz w:val="24"/>
          <w:szCs w:val="24"/>
          <w:u w:val="single"/>
        </w:rPr>
        <w:t xml:space="preserve">  </w:t>
      </w:r>
      <w:r>
        <w:rPr>
          <w:color w:val="auto"/>
          <w:sz w:val="24"/>
          <w:szCs w:val="24"/>
          <w:u w:val="none"/>
        </w:rPr>
        <w:t>校区甲方指定地点</w:t>
      </w:r>
      <w:bookmarkEnd w:id="393"/>
      <w:r>
        <w:rPr>
          <w:color w:val="auto"/>
          <w:sz w:val="24"/>
          <w:szCs w:val="24"/>
          <w:u w:val="none"/>
          <w:lang w:eastAsia="zh-CN"/>
        </w:rPr>
        <w:t>。</w:t>
      </w:r>
    </w:p>
    <w:p w14:paraId="22626B78">
      <w:pPr>
        <w:spacing w:line="360" w:lineRule="auto"/>
        <w:ind w:left="0" w:leftChars="0" w:firstLine="422" w:firstLineChars="175"/>
        <w:rPr>
          <w:color w:val="auto"/>
          <w:sz w:val="24"/>
          <w:szCs w:val="24"/>
        </w:rPr>
      </w:pPr>
      <w:r>
        <w:rPr>
          <w:rFonts w:hint="eastAsia"/>
          <w:b/>
          <w:bCs/>
          <w:color w:val="auto"/>
          <w:sz w:val="24"/>
          <w:szCs w:val="24"/>
          <w:lang w:val="en-US" w:eastAsia="zh-CN"/>
        </w:rPr>
        <w:t>4、</w:t>
      </w:r>
      <w:r>
        <w:rPr>
          <w:rFonts w:ascii="宋体" w:hAnsi="宋体" w:cs="宋体"/>
          <w:b/>
          <w:bCs/>
          <w:color w:val="auto"/>
          <w:sz w:val="24"/>
          <w:szCs w:val="24"/>
        </w:rPr>
        <w:t>▲</w:t>
      </w:r>
      <w:r>
        <w:rPr>
          <w:b/>
          <w:bCs/>
          <w:color w:val="auto"/>
          <w:sz w:val="24"/>
          <w:szCs w:val="24"/>
        </w:rPr>
        <w:t>付款方式：</w:t>
      </w:r>
      <w:r>
        <w:rPr>
          <w:rFonts w:hint="eastAsia"/>
          <w:b w:val="0"/>
          <w:bCs w:val="0"/>
          <w:color w:val="auto"/>
          <w:sz w:val="24"/>
          <w:szCs w:val="24"/>
          <w:lang w:val="en-US" w:eastAsia="zh-CN"/>
        </w:rPr>
        <w:t>预付款方式，</w:t>
      </w:r>
      <w:r>
        <w:rPr>
          <w:color w:val="auto"/>
          <w:sz w:val="24"/>
          <w:szCs w:val="24"/>
        </w:rPr>
        <w:t>合同生效以及具备实施条件且乙方已向甲方提交银行、保险公司等金融机构出具的预付款保函</w:t>
      </w:r>
      <w:r>
        <w:rPr>
          <w:color w:val="auto"/>
          <w:sz w:val="24"/>
          <w:szCs w:val="24"/>
          <w:lang w:val="en-US" w:eastAsia="zh-CN"/>
        </w:rPr>
        <w:t>后</w:t>
      </w:r>
      <w:r>
        <w:rPr>
          <w:color w:val="auto"/>
          <w:sz w:val="24"/>
          <w:szCs w:val="24"/>
        </w:rPr>
        <w:t>，7个工作日内，甲方向乙方支付合同总价的</w:t>
      </w:r>
      <w:r>
        <w:rPr>
          <w:rFonts w:eastAsia="Calibri"/>
          <w:color w:val="auto"/>
          <w:sz w:val="24"/>
          <w:szCs w:val="24"/>
          <w:u w:val="single"/>
        </w:rPr>
        <w:t xml:space="preserve">  </w:t>
      </w:r>
      <w:r>
        <w:rPr>
          <w:rFonts w:hint="eastAsia"/>
          <w:color w:val="auto"/>
          <w:sz w:val="24"/>
          <w:szCs w:val="24"/>
          <w:u w:val="single"/>
          <w:lang w:val="en-US" w:eastAsia="zh-CN"/>
        </w:rPr>
        <w:t>40</w:t>
      </w:r>
      <w:r>
        <w:rPr>
          <w:rFonts w:eastAsia="Calibri"/>
          <w:color w:val="auto"/>
          <w:sz w:val="24"/>
          <w:szCs w:val="24"/>
          <w:u w:val="single"/>
        </w:rPr>
        <w:t xml:space="preserve">  </w:t>
      </w:r>
      <w:r>
        <w:rPr>
          <w:color w:val="auto"/>
          <w:sz w:val="24"/>
          <w:szCs w:val="24"/>
        </w:rPr>
        <w:t>%；</w:t>
      </w:r>
      <w:r>
        <w:rPr>
          <w:color w:val="auto"/>
          <w:sz w:val="24"/>
          <w:szCs w:val="24"/>
          <w:lang w:val="en-US" w:eastAsia="zh-CN"/>
        </w:rPr>
        <w:t>服务完成，</w:t>
      </w:r>
      <w:r>
        <w:rPr>
          <w:color w:val="auto"/>
          <w:sz w:val="24"/>
          <w:szCs w:val="24"/>
        </w:rPr>
        <w:t>经甲方验收合格并收到</w:t>
      </w:r>
      <w:r>
        <w:rPr>
          <w:color w:val="auto"/>
          <w:sz w:val="24"/>
          <w:szCs w:val="24"/>
          <w:lang w:val="en-US" w:eastAsia="zh-CN"/>
        </w:rPr>
        <w:t>有效</w:t>
      </w:r>
      <w:r>
        <w:rPr>
          <w:color w:val="auto"/>
          <w:sz w:val="24"/>
          <w:szCs w:val="24"/>
        </w:rPr>
        <w:t>发票后7个工作日内，向乙方支付合同总价的</w:t>
      </w:r>
      <w:r>
        <w:rPr>
          <w:color w:val="auto"/>
          <w:sz w:val="24"/>
          <w:szCs w:val="24"/>
          <w:u w:val="single"/>
        </w:rPr>
        <w:t>　</w:t>
      </w:r>
      <w:r>
        <w:rPr>
          <w:rFonts w:hint="eastAsia"/>
          <w:color w:val="auto"/>
          <w:sz w:val="24"/>
          <w:szCs w:val="24"/>
          <w:u w:val="single"/>
          <w:lang w:val="en-US" w:eastAsia="zh-CN"/>
        </w:rPr>
        <w:t>60</w:t>
      </w:r>
      <w:r>
        <w:rPr>
          <w:color w:val="auto"/>
          <w:sz w:val="24"/>
          <w:szCs w:val="24"/>
          <w:u w:val="single"/>
        </w:rPr>
        <w:t>　</w:t>
      </w:r>
      <w:r>
        <w:rPr>
          <w:color w:val="auto"/>
          <w:sz w:val="24"/>
          <w:szCs w:val="24"/>
        </w:rPr>
        <w:t>%。若供应商收取预付款，要求预付款保函有效期覆盖项目验收合格时间；提供了预付款保函则供应商无需再缴纳履约保证金。</w:t>
      </w:r>
    </w:p>
    <w:p w14:paraId="7B47E407">
      <w:pPr>
        <w:keepNext w:val="0"/>
        <w:keepLines w:val="0"/>
        <w:pageBreakBefore w:val="0"/>
        <w:widowControl w:val="0"/>
        <w:kinsoku/>
        <w:wordWrap/>
        <w:overflowPunct/>
        <w:topLinePunct w:val="0"/>
        <w:autoSpaceDE/>
        <w:autoSpaceDN/>
        <w:bidi w:val="0"/>
        <w:snapToGrid/>
        <w:spacing w:line="288" w:lineRule="auto"/>
        <w:ind w:left="0" w:leftChars="0" w:firstLine="422" w:firstLineChars="175"/>
        <w:textAlignment w:val="auto"/>
        <w:rPr>
          <w:rFonts w:hint="eastAsia" w:eastAsia="宋体"/>
          <w:color w:val="auto"/>
          <w:sz w:val="24"/>
          <w:szCs w:val="24"/>
          <w:lang w:val="en-US" w:eastAsia="zh-CN"/>
        </w:rPr>
      </w:pPr>
      <w:r>
        <w:rPr>
          <w:rFonts w:hint="eastAsia"/>
          <w:b/>
          <w:bCs/>
          <w:color w:val="auto"/>
          <w:sz w:val="24"/>
          <w:szCs w:val="24"/>
          <w:lang w:val="en-US" w:eastAsia="zh-CN"/>
        </w:rPr>
        <w:t>5、验收流程：</w:t>
      </w:r>
      <w:r>
        <w:rPr>
          <w:rFonts w:hint="eastAsia" w:eastAsia="宋体"/>
          <w:color w:val="auto"/>
          <w:sz w:val="24"/>
          <w:szCs w:val="24"/>
          <w:lang w:val="en-US" w:eastAsia="zh-CN"/>
        </w:rPr>
        <w:t>本项目分试运行初验、最终竣工验收两个阶段。试运行初验：乙方完成数据整理、平台上线试运行后，向甲方提交初验申请，甲方在10个工作日内组织初验。最终竣工验收：初验合格后，系统稳定运行满1个月，乙方提交竣工验收申请，甲方组织最终验收。数据成果验收执行"系统自动校验→人工初检→校方档案馆复核"三级质检流程，首次质检存在问题的，给予乙方10个工作日集中整改优化，整改后二次复核通过即视为达标。</w:t>
      </w:r>
    </w:p>
    <w:p w14:paraId="7E0BB5F6">
      <w:pPr>
        <w:keepNext w:val="0"/>
        <w:keepLines w:val="0"/>
        <w:pageBreakBefore w:val="0"/>
        <w:widowControl w:val="0"/>
        <w:kinsoku/>
        <w:wordWrap/>
        <w:overflowPunct/>
        <w:topLinePunct w:val="0"/>
        <w:autoSpaceDE/>
        <w:autoSpaceDN/>
        <w:bidi w:val="0"/>
        <w:snapToGrid/>
        <w:spacing w:line="288" w:lineRule="auto"/>
        <w:ind w:left="0" w:leftChars="0" w:firstLine="422" w:firstLineChars="175"/>
        <w:textAlignment w:val="auto"/>
        <w:rPr>
          <w:rFonts w:hint="eastAsia"/>
          <w:b/>
          <w:bCs/>
          <w:color w:val="auto"/>
          <w:sz w:val="24"/>
          <w:szCs w:val="24"/>
          <w:lang w:val="en-US" w:eastAsia="zh-CN"/>
        </w:rPr>
      </w:pPr>
      <w:r>
        <w:rPr>
          <w:rFonts w:hint="eastAsia"/>
          <w:b/>
          <w:bCs/>
          <w:color w:val="auto"/>
          <w:sz w:val="24"/>
          <w:szCs w:val="24"/>
          <w:lang w:val="en-US" w:eastAsia="zh-CN"/>
        </w:rPr>
        <w:t>6、</w:t>
      </w:r>
      <w:r>
        <w:rPr>
          <w:b/>
          <w:bCs/>
          <w:color w:val="auto"/>
          <w:sz w:val="24"/>
          <w:szCs w:val="24"/>
        </w:rPr>
        <w:t>质量保证与售后服务</w:t>
      </w:r>
      <w:r>
        <w:rPr>
          <w:b/>
          <w:bCs/>
          <w:color w:val="auto"/>
          <w:sz w:val="24"/>
          <w:szCs w:val="24"/>
          <w:lang w:val="en-US" w:eastAsia="zh-CN"/>
        </w:rPr>
        <w:t>要求</w:t>
      </w:r>
      <w:r>
        <w:rPr>
          <w:rFonts w:hint="eastAsia"/>
          <w:b/>
          <w:bCs/>
          <w:color w:val="auto"/>
          <w:sz w:val="24"/>
          <w:szCs w:val="24"/>
          <w:lang w:val="en-US" w:eastAsia="zh-CN"/>
        </w:rPr>
        <w:t>：</w:t>
      </w:r>
    </w:p>
    <w:p w14:paraId="7B6CF059">
      <w:pPr>
        <w:keepNext w:val="0"/>
        <w:keepLines w:val="0"/>
        <w:pageBreakBefore w:val="0"/>
        <w:widowControl w:val="0"/>
        <w:kinsoku/>
        <w:wordWrap/>
        <w:overflowPunct/>
        <w:topLinePunct w:val="0"/>
        <w:autoSpaceDE/>
        <w:autoSpaceDN/>
        <w:bidi w:val="0"/>
        <w:snapToGrid/>
        <w:spacing w:line="288" w:lineRule="auto"/>
        <w:ind w:left="0" w:leftChars="0" w:firstLine="422" w:firstLineChars="175"/>
        <w:textAlignment w:val="auto"/>
        <w:rPr>
          <w:rFonts w:ascii="Times New Roman" w:hAnsi="Times New Roman" w:cs="Times New Roman"/>
          <w:color w:val="auto"/>
          <w:kern w:val="0"/>
          <w:sz w:val="24"/>
          <w:szCs w:val="24"/>
        </w:rPr>
      </w:pPr>
      <w:r>
        <w:rPr>
          <w:rFonts w:hint="eastAsia"/>
          <w:b/>
          <w:bCs/>
          <w:color w:val="auto"/>
          <w:sz w:val="24"/>
          <w:szCs w:val="24"/>
          <w:lang w:val="en-US" w:eastAsia="zh-CN"/>
        </w:rPr>
        <w:t>（1）</w:t>
      </w:r>
      <w:r>
        <w:rPr>
          <w:rFonts w:ascii="Times New Roman" w:hAnsi="Times New Roman" w:cs="Times New Roman"/>
          <w:color w:val="auto"/>
          <w:kern w:val="0"/>
          <w:sz w:val="24"/>
          <w:szCs w:val="24"/>
        </w:rPr>
        <w:t>质保期内，乙方提供1年免费远程+驻场运维服务，包含bug修复、月度数据巡检、校庆期间现场技术保障、同版本免费升级。</w:t>
      </w:r>
    </w:p>
    <w:p w14:paraId="1847CDD3">
      <w:pPr>
        <w:keepNext w:val="0"/>
        <w:keepLines w:val="0"/>
        <w:pageBreakBefore w:val="0"/>
        <w:widowControl w:val="0"/>
        <w:kinsoku/>
        <w:wordWrap/>
        <w:overflowPunct/>
        <w:topLinePunct w:val="0"/>
        <w:autoSpaceDE/>
        <w:autoSpaceDN/>
        <w:bidi w:val="0"/>
        <w:snapToGrid/>
        <w:spacing w:line="288" w:lineRule="auto"/>
        <w:ind w:left="0" w:leftChars="0" w:firstLine="420" w:firstLineChars="175"/>
        <w:textAlignment w:val="auto"/>
        <w:rPr>
          <w:rFonts w:ascii="Times New Roman" w:hAnsi="Times New Roman" w:cs="Times New Roman"/>
          <w:color w:val="auto"/>
          <w:kern w:val="0"/>
          <w:sz w:val="24"/>
          <w:szCs w:val="24"/>
        </w:rPr>
      </w:pPr>
      <w:r>
        <w:rPr>
          <w:rFonts w:hint="eastAsia" w:ascii="Times New Roman" w:hAnsi="Times New Roman" w:cs="Times New Roman"/>
          <w:color w:val="auto"/>
          <w:kern w:val="0"/>
          <w:sz w:val="24"/>
          <w:szCs w:val="24"/>
          <w:lang w:eastAsia="zh-CN"/>
        </w:rPr>
        <w:t>（</w:t>
      </w:r>
      <w:r>
        <w:rPr>
          <w:rFonts w:hint="eastAsia" w:ascii="Times New Roman" w:hAnsi="Times New Roman" w:cs="Times New Roman"/>
          <w:color w:val="auto"/>
          <w:kern w:val="0"/>
          <w:sz w:val="24"/>
          <w:szCs w:val="24"/>
          <w:lang w:val="en-US" w:eastAsia="zh-CN"/>
        </w:rPr>
        <w:t>2）</w:t>
      </w:r>
      <w:r>
        <w:rPr>
          <w:rFonts w:ascii="Times New Roman" w:hAnsi="Times New Roman" w:cs="Times New Roman"/>
          <w:color w:val="auto"/>
          <w:kern w:val="0"/>
          <w:sz w:val="24"/>
          <w:szCs w:val="24"/>
        </w:rPr>
        <w:t>系统出现故障，一般问题24小时内修复，重大故障4小时内响应并启动应急处理。后续校方人员变动，质保期内乙方提供免费复训服务。</w:t>
      </w:r>
    </w:p>
    <w:p w14:paraId="561D49E7">
      <w:pPr>
        <w:keepNext w:val="0"/>
        <w:keepLines w:val="0"/>
        <w:pageBreakBefore w:val="0"/>
        <w:widowControl w:val="0"/>
        <w:kinsoku/>
        <w:wordWrap/>
        <w:overflowPunct/>
        <w:topLinePunct w:val="0"/>
        <w:autoSpaceDE/>
        <w:autoSpaceDN/>
        <w:bidi w:val="0"/>
        <w:snapToGrid/>
        <w:spacing w:line="288" w:lineRule="auto"/>
        <w:ind w:left="0" w:leftChars="0" w:firstLine="420" w:firstLineChars="175"/>
        <w:textAlignment w:val="auto"/>
        <w:rPr>
          <w:rFonts w:hint="eastAsia" w:ascii="Times New Roman" w:hAnsi="Times New Roman" w:eastAsia="宋体" w:cs="Times New Roman"/>
          <w:color w:val="auto"/>
          <w:kern w:val="0"/>
          <w:sz w:val="24"/>
          <w:szCs w:val="24"/>
          <w:lang w:eastAsia="zh-CN"/>
        </w:rPr>
      </w:pPr>
      <w:r>
        <w:rPr>
          <w:rFonts w:hint="eastAsia" w:ascii="Times New Roman" w:hAnsi="Times New Roman" w:eastAsia="宋体" w:cs="Times New Roman"/>
          <w:color w:val="auto"/>
          <w:kern w:val="0"/>
          <w:sz w:val="24"/>
          <w:szCs w:val="24"/>
          <w:lang w:eastAsia="zh-CN"/>
        </w:rPr>
        <w:t>（</w:t>
      </w:r>
      <w:r>
        <w:rPr>
          <w:rFonts w:hint="eastAsia" w:ascii="Times New Roman" w:hAnsi="Times New Roman" w:eastAsia="宋体" w:cs="Times New Roman"/>
          <w:color w:val="auto"/>
          <w:kern w:val="0"/>
          <w:sz w:val="24"/>
          <w:szCs w:val="24"/>
          <w:lang w:val="en-US" w:eastAsia="zh-CN"/>
        </w:rPr>
        <w:t>3）项目全过程接受档案馆、信息化中心联合监督。</w:t>
      </w:r>
    </w:p>
    <w:p w14:paraId="58039D57">
      <w:pPr>
        <w:pStyle w:val="195"/>
        <w:keepNext w:val="0"/>
        <w:keepLines w:val="0"/>
        <w:pageBreakBefore w:val="0"/>
        <w:widowControl w:val="0"/>
        <w:kinsoku/>
        <w:wordWrap/>
        <w:overflowPunct/>
        <w:topLinePunct w:val="0"/>
        <w:autoSpaceDE/>
        <w:autoSpaceDN/>
        <w:bidi w:val="0"/>
        <w:snapToGrid/>
        <w:spacing w:line="288" w:lineRule="auto"/>
        <w:ind w:left="0" w:firstLine="480"/>
        <w:textAlignment w:val="auto"/>
        <w:rPr>
          <w:rFonts w:hint="eastAsia" w:ascii="Times New Roman" w:hAnsi="Times New Roman" w:eastAsia="宋体" w:cs="Times New Roman"/>
          <w:b/>
          <w:bCs/>
          <w:color w:val="auto"/>
          <w:kern w:val="0"/>
          <w:sz w:val="24"/>
          <w:szCs w:val="24"/>
          <w:lang w:val="en-US" w:eastAsia="zh-CN" w:bidi="ar-SA"/>
        </w:rPr>
      </w:pPr>
      <w:r>
        <w:rPr>
          <w:rFonts w:hint="eastAsia" w:ascii="Times New Roman" w:hAnsi="Times New Roman" w:eastAsia="宋体" w:cs="Times New Roman"/>
          <w:b/>
          <w:bCs/>
          <w:color w:val="auto"/>
          <w:kern w:val="0"/>
          <w:sz w:val="24"/>
          <w:szCs w:val="24"/>
          <w:lang w:val="en-US" w:eastAsia="zh-CN" w:bidi="ar-SA"/>
        </w:rPr>
        <w:t>7、知识产权要求：</w:t>
      </w:r>
    </w:p>
    <w:p w14:paraId="1DF01E34">
      <w:pPr>
        <w:keepNext w:val="0"/>
        <w:keepLines w:val="0"/>
        <w:pageBreakBefore w:val="0"/>
        <w:widowControl w:val="0"/>
        <w:kinsoku/>
        <w:wordWrap/>
        <w:overflowPunct/>
        <w:topLinePunct w:val="0"/>
        <w:autoSpaceDE/>
        <w:autoSpaceDN/>
        <w:bidi w:val="0"/>
        <w:snapToGrid/>
        <w:spacing w:line="288" w:lineRule="auto"/>
        <w:ind w:left="0" w:leftChars="0" w:firstLine="420" w:firstLineChars="175"/>
        <w:textAlignment w:val="auto"/>
        <w:rPr>
          <w:rFonts w:hint="eastAsia" w:ascii="Times New Roman" w:hAnsi="Times New Roman" w:eastAsia="宋体" w:cs="Times New Roman"/>
          <w:color w:val="auto"/>
          <w:kern w:val="0"/>
          <w:sz w:val="24"/>
          <w:szCs w:val="24"/>
          <w:lang w:val="en-US" w:eastAsia="zh-CN"/>
        </w:rPr>
      </w:pPr>
      <w:r>
        <w:rPr>
          <w:rFonts w:hint="eastAsia" w:ascii="Times New Roman" w:hAnsi="Times New Roman" w:eastAsia="宋体" w:cs="Times New Roman"/>
          <w:color w:val="auto"/>
          <w:kern w:val="0"/>
          <w:sz w:val="24"/>
          <w:szCs w:val="24"/>
          <w:lang w:val="en-US" w:eastAsia="zh-CN"/>
        </w:rPr>
        <w:t>本项目所有原始档案数据及加工后的数字档案数据知识产权归属甲方，乙方不得外泄、不得用于本项目以外的任何用途。乙方为完成本项目所开发的软件系统，甲方享有永久使用权。乙方承诺项目软件无知识产权纠纷，相关侵权责任由乙方承担。</w:t>
      </w:r>
    </w:p>
    <w:p w14:paraId="20FE9D61">
      <w:pPr>
        <w:rPr>
          <w:color w:val="auto"/>
        </w:rPr>
      </w:pPr>
    </w:p>
    <w:p w14:paraId="317E037A">
      <w:pPr>
        <w:pStyle w:val="6"/>
        <w:ind w:left="0" w:leftChars="0" w:firstLine="0" w:firstLineChars="0"/>
        <w:outlineLvl w:val="1"/>
        <w:rPr>
          <w:rFonts w:hint="eastAsia" w:ascii="宋体" w:eastAsia="宋体"/>
          <w:color w:val="auto"/>
          <w:szCs w:val="22"/>
        </w:rPr>
      </w:pPr>
      <w:r>
        <w:rPr>
          <w:rFonts w:hint="eastAsia" w:ascii="宋体" w:eastAsia="宋体"/>
          <w:color w:val="auto"/>
          <w:szCs w:val="22"/>
          <w:lang w:val="en-US" w:eastAsia="zh-CN"/>
        </w:rPr>
        <w:t>三、</w:t>
      </w:r>
      <w:r>
        <w:rPr>
          <w:rFonts w:hint="eastAsia" w:ascii="宋体" w:eastAsia="宋体"/>
          <w:color w:val="auto"/>
          <w:szCs w:val="22"/>
        </w:rPr>
        <w:t>评分标准及</w:t>
      </w:r>
      <w:r>
        <w:rPr>
          <w:rFonts w:hint="eastAsia" w:ascii="宋体" w:eastAsia="宋体"/>
          <w:color w:val="auto"/>
          <w:szCs w:val="22"/>
          <w:lang w:val="en-US" w:eastAsia="zh-CN"/>
        </w:rPr>
        <w:t>合同基本条款</w:t>
      </w:r>
      <w:r>
        <w:rPr>
          <w:rFonts w:hint="eastAsia" w:ascii="宋体" w:eastAsia="宋体"/>
          <w:color w:val="auto"/>
          <w:szCs w:val="22"/>
        </w:rPr>
        <w:t>中明确的其它相关要求</w:t>
      </w:r>
    </w:p>
    <w:p w14:paraId="790206AD">
      <w:pPr>
        <w:spacing w:line="288" w:lineRule="auto"/>
        <w:jc w:val="left"/>
        <w:rPr>
          <w:rStyle w:val="55"/>
          <w:color w:val="auto"/>
        </w:rPr>
      </w:pPr>
      <w:r>
        <w:rPr>
          <w:rFonts w:hint="eastAsia" w:ascii="宋体" w:hAnsi="宋体" w:cs="宋体"/>
          <w:color w:val="auto"/>
          <w:sz w:val="24"/>
          <w:szCs w:val="24"/>
        </w:rPr>
        <w:br w:type="page"/>
      </w:r>
    </w:p>
    <w:bookmarkEnd w:id="384"/>
    <w:bookmarkEnd w:id="385"/>
    <w:bookmarkEnd w:id="386"/>
    <w:bookmarkEnd w:id="387"/>
    <w:bookmarkEnd w:id="388"/>
    <w:bookmarkEnd w:id="389"/>
    <w:bookmarkEnd w:id="390"/>
    <w:bookmarkEnd w:id="391"/>
    <w:bookmarkEnd w:id="392"/>
    <w:p w14:paraId="3AFD05C9">
      <w:pPr>
        <w:pStyle w:val="4"/>
        <w:bidi w:val="0"/>
        <w:outlineLvl w:val="0"/>
        <w:rPr>
          <w:rFonts w:hint="eastAsia"/>
          <w:color w:val="auto"/>
          <w:szCs w:val="22"/>
        </w:rPr>
      </w:pPr>
      <w:bookmarkStart w:id="394" w:name="_Toc27321_WPSOffice_Level1"/>
      <w:bookmarkStart w:id="395" w:name="_Toc18783_WPSOffice_Level1"/>
      <w:bookmarkStart w:id="396" w:name="_Toc18295"/>
      <w:bookmarkStart w:id="397" w:name="_Toc11774"/>
      <w:bookmarkStart w:id="398" w:name="_Toc26662"/>
      <w:bookmarkStart w:id="399" w:name="_Toc12327"/>
      <w:bookmarkStart w:id="400" w:name="_Toc28691"/>
      <w:bookmarkStart w:id="401" w:name="_Toc1851"/>
      <w:bookmarkStart w:id="402" w:name="_Toc8403"/>
      <w:bookmarkStart w:id="403" w:name="_Toc3709"/>
      <w:bookmarkStart w:id="404" w:name="_Toc19657"/>
      <w:bookmarkStart w:id="405" w:name="_Toc3339"/>
      <w:bookmarkStart w:id="406" w:name="_Toc19846"/>
      <w:bookmarkStart w:id="407" w:name="_Toc13623"/>
      <w:bookmarkStart w:id="408" w:name="_Toc98"/>
      <w:bookmarkStart w:id="409" w:name="_Toc18980"/>
      <w:bookmarkStart w:id="410" w:name="_Toc25130"/>
      <w:bookmarkStart w:id="411" w:name="_Toc11902"/>
      <w:bookmarkStart w:id="412" w:name="_Toc9292"/>
      <w:bookmarkStart w:id="413" w:name="_Toc16392"/>
      <w:bookmarkStart w:id="414" w:name="_Toc17732"/>
      <w:r>
        <w:rPr>
          <w:rFonts w:hint="eastAsia"/>
          <w:color w:val="auto"/>
          <w:szCs w:val="22"/>
        </w:rPr>
        <w:t>第四部分 评审办法与评分标准</w:t>
      </w:r>
      <w:bookmarkEnd w:id="394"/>
      <w:bookmarkEnd w:id="395"/>
    </w:p>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14:paraId="4FE3D5EB">
      <w:pPr>
        <w:pStyle w:val="6"/>
        <w:ind w:left="0" w:firstLine="0"/>
        <w:outlineLvl w:val="1"/>
        <w:rPr>
          <w:color w:val="auto"/>
        </w:rPr>
      </w:pPr>
      <w:r>
        <w:rPr>
          <w:rFonts w:hint="eastAsia"/>
          <w:color w:val="auto"/>
        </w:rPr>
        <w:t>一、评审方法</w:t>
      </w:r>
    </w:p>
    <w:p w14:paraId="524CCA95">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14:paraId="11FA0AA7">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14:paraId="275D45FC">
      <w:pPr>
        <w:adjustRightInd w:val="0"/>
        <w:snapToGrid w:val="0"/>
        <w:spacing w:line="288" w:lineRule="auto"/>
        <w:ind w:firstLine="480" w:firstLineChars="200"/>
        <w:rPr>
          <w:color w:val="auto"/>
          <w:sz w:val="24"/>
          <w:szCs w:val="24"/>
        </w:rPr>
      </w:pPr>
      <w:r>
        <w:rPr>
          <w:rFonts w:hint="eastAsia"/>
          <w:color w:val="auto"/>
          <w:sz w:val="24"/>
          <w:szCs w:val="24"/>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43DF1BB5">
      <w:pPr>
        <w:pStyle w:val="6"/>
        <w:ind w:left="0" w:firstLine="0"/>
        <w:outlineLvl w:val="1"/>
        <w:rPr>
          <w:bCs/>
          <w:color w:val="auto"/>
          <w:sz w:val="24"/>
          <w:szCs w:val="24"/>
        </w:rPr>
      </w:pPr>
      <w:r>
        <w:rPr>
          <w:rFonts w:hint="eastAsia"/>
          <w:bCs/>
          <w:color w:val="auto"/>
          <w:sz w:val="24"/>
          <w:szCs w:val="24"/>
        </w:rPr>
        <w:t>二、评审标准</w:t>
      </w:r>
    </w:p>
    <w:tbl>
      <w:tblPr>
        <w:tblStyle w:val="46"/>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854"/>
        <w:gridCol w:w="6757"/>
      </w:tblGrid>
      <w:tr w14:paraId="6FBE9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5CA9C677">
            <w:pPr>
              <w:adjustRightInd w:val="0"/>
              <w:snapToGrid w:val="0"/>
              <w:spacing w:line="288"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评审因素</w:t>
            </w:r>
          </w:p>
        </w:tc>
        <w:tc>
          <w:tcPr>
            <w:tcW w:w="854" w:type="dxa"/>
            <w:noWrap w:val="0"/>
            <w:vAlign w:val="center"/>
          </w:tcPr>
          <w:p w14:paraId="39077406">
            <w:pPr>
              <w:adjustRightInd w:val="0"/>
              <w:snapToGrid w:val="0"/>
              <w:spacing w:line="288"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分值</w:t>
            </w:r>
          </w:p>
        </w:tc>
        <w:tc>
          <w:tcPr>
            <w:tcW w:w="6757" w:type="dxa"/>
            <w:noWrap w:val="0"/>
            <w:vAlign w:val="center"/>
          </w:tcPr>
          <w:p w14:paraId="65FE522D">
            <w:pPr>
              <w:adjustRightInd w:val="0"/>
              <w:snapToGrid w:val="0"/>
              <w:spacing w:line="288"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评分细则</w:t>
            </w:r>
          </w:p>
        </w:tc>
      </w:tr>
      <w:tr w14:paraId="3DFF4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40FACD27">
            <w:pPr>
              <w:adjustRightInd w:val="0"/>
              <w:snapToGrid w:val="0"/>
              <w:spacing w:line="288"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价格分（</w:t>
            </w:r>
            <w:r>
              <w:rPr>
                <w:rFonts w:hint="eastAsia" w:ascii="宋体" w:hAnsi="宋体" w:eastAsia="宋体" w:cs="宋体"/>
                <w:b/>
                <w:bCs/>
                <w:color w:val="auto"/>
                <w:sz w:val="24"/>
                <w:szCs w:val="24"/>
                <w:lang w:val="en-US" w:eastAsia="zh-CN"/>
              </w:rPr>
              <w:t>10</w:t>
            </w:r>
            <w:r>
              <w:rPr>
                <w:rFonts w:hint="eastAsia" w:ascii="宋体" w:hAnsi="宋体" w:eastAsia="宋体" w:cs="宋体"/>
                <w:b/>
                <w:bCs/>
                <w:color w:val="auto"/>
                <w:sz w:val="24"/>
                <w:szCs w:val="24"/>
              </w:rPr>
              <w:t>）</w:t>
            </w:r>
          </w:p>
        </w:tc>
      </w:tr>
      <w:tr w14:paraId="05E85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6D04B80B">
            <w:pPr>
              <w:adjustRightInd w:val="0"/>
              <w:snapToGrid w:val="0"/>
              <w:spacing w:line="288"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最后磋商报价</w:t>
            </w:r>
          </w:p>
        </w:tc>
        <w:tc>
          <w:tcPr>
            <w:tcW w:w="854" w:type="dxa"/>
            <w:noWrap w:val="0"/>
            <w:vAlign w:val="center"/>
          </w:tcPr>
          <w:p w14:paraId="66ED334E">
            <w:pPr>
              <w:adjustRightInd w:val="0"/>
              <w:snapToGrid w:val="0"/>
              <w:spacing w:line="288"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10</w:t>
            </w:r>
          </w:p>
        </w:tc>
        <w:tc>
          <w:tcPr>
            <w:tcW w:w="6757" w:type="dxa"/>
            <w:noWrap w:val="0"/>
            <w:vAlign w:val="center"/>
          </w:tcPr>
          <w:p w14:paraId="5092F99B">
            <w:pPr>
              <w:adjustRightInd w:val="0"/>
              <w:snapToGrid w:val="0"/>
              <w:spacing w:line="288"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价格分统一采用低价优先法计算，即满足磋商文件要求且最后报价最低的供应商的价格为磋商基准价，其价格分为满分。其他供应商的价格分统一按照下列公式计算：</w:t>
            </w:r>
          </w:p>
          <w:p w14:paraId="400AAE83">
            <w:pPr>
              <w:adjustRightInd w:val="0"/>
              <w:snapToGrid w:val="0"/>
              <w:spacing w:line="288" w:lineRule="auto"/>
              <w:rPr>
                <w:rFonts w:hint="eastAsia" w:ascii="宋体" w:hAnsi="宋体" w:eastAsia="宋体" w:cs="宋体"/>
                <w:color w:val="auto"/>
              </w:rPr>
            </w:pPr>
            <w:r>
              <w:rPr>
                <w:rFonts w:hint="eastAsia" w:ascii="宋体" w:hAnsi="宋体" w:eastAsia="宋体" w:cs="宋体"/>
                <w:color w:val="auto"/>
                <w:sz w:val="24"/>
                <w:szCs w:val="24"/>
              </w:rPr>
              <w:t>磋商报价得分=（磋商基准价/最后磋商报价）×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10</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szCs w:val="24"/>
              </w:rPr>
              <w:t>×100。</w:t>
            </w:r>
          </w:p>
        </w:tc>
      </w:tr>
      <w:tr w14:paraId="6267A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2BFD25E9">
            <w:pPr>
              <w:adjustRightInd w:val="0"/>
              <w:snapToGrid w:val="0"/>
              <w:spacing w:line="288"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商务分（</w:t>
            </w:r>
            <w:r>
              <w:rPr>
                <w:rFonts w:hint="eastAsia" w:ascii="宋体" w:hAnsi="宋体" w:eastAsia="宋体" w:cs="宋体"/>
                <w:b/>
                <w:bCs/>
                <w:color w:val="auto"/>
                <w:sz w:val="24"/>
                <w:szCs w:val="24"/>
                <w:lang w:val="en-US" w:eastAsia="zh-CN"/>
              </w:rPr>
              <w:t>12</w:t>
            </w:r>
            <w:r>
              <w:rPr>
                <w:rFonts w:hint="eastAsia" w:ascii="宋体" w:hAnsi="宋体" w:eastAsia="宋体" w:cs="宋体"/>
                <w:b/>
                <w:bCs/>
                <w:color w:val="auto"/>
                <w:sz w:val="24"/>
                <w:szCs w:val="24"/>
              </w:rPr>
              <w:t>）</w:t>
            </w:r>
          </w:p>
        </w:tc>
      </w:tr>
      <w:tr w14:paraId="37DBF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65226552">
            <w:pPr>
              <w:adjustRightInd w:val="0"/>
              <w:snapToGrid w:val="0"/>
              <w:spacing w:line="288"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质保期</w:t>
            </w:r>
          </w:p>
        </w:tc>
        <w:tc>
          <w:tcPr>
            <w:tcW w:w="854" w:type="dxa"/>
            <w:noWrap w:val="0"/>
            <w:vAlign w:val="center"/>
          </w:tcPr>
          <w:p w14:paraId="27FC0C94">
            <w:pPr>
              <w:adjustRightInd w:val="0"/>
              <w:snapToGrid w:val="0"/>
              <w:spacing w:line="288" w:lineRule="auto"/>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3</w:t>
            </w:r>
          </w:p>
        </w:tc>
        <w:tc>
          <w:tcPr>
            <w:tcW w:w="6757" w:type="dxa"/>
            <w:noWrap w:val="0"/>
            <w:vAlign w:val="center"/>
          </w:tcPr>
          <w:p w14:paraId="59D626B2">
            <w:pPr>
              <w:adjustRightInd w:val="0"/>
              <w:snapToGrid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质保期在满足磋商文件要求的基础上每延长一年加1分，最多加</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分，延长时间不足一年的不计入加分，质保期不满足磋商文件要求的响应无效。</w:t>
            </w:r>
            <w:r>
              <w:rPr>
                <w:rFonts w:hint="eastAsia" w:ascii="宋体" w:hAnsi="宋体" w:eastAsia="宋体" w:cs="宋体"/>
                <w:b/>
                <w:bCs/>
                <w:color w:val="auto"/>
                <w:kern w:val="2"/>
                <w:sz w:val="24"/>
                <w:szCs w:val="24"/>
                <w:lang w:val="en-US" w:eastAsia="zh-CN" w:bidi="ar"/>
              </w:rPr>
              <w:t>【客观分】</w:t>
            </w:r>
          </w:p>
        </w:tc>
      </w:tr>
      <w:tr w14:paraId="3E11F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54A0FBD7">
            <w:pPr>
              <w:adjustRightInd w:val="0"/>
              <w:snapToGrid w:val="0"/>
              <w:spacing w:line="288"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业绩</w:t>
            </w:r>
          </w:p>
        </w:tc>
        <w:tc>
          <w:tcPr>
            <w:tcW w:w="854" w:type="dxa"/>
            <w:noWrap w:val="0"/>
            <w:vAlign w:val="center"/>
          </w:tcPr>
          <w:p w14:paraId="008E259B">
            <w:pPr>
              <w:adjustRightInd w:val="0"/>
              <w:snapToGrid w:val="0"/>
              <w:spacing w:line="288" w:lineRule="auto"/>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1</w:t>
            </w:r>
          </w:p>
        </w:tc>
        <w:tc>
          <w:tcPr>
            <w:tcW w:w="6757" w:type="dxa"/>
            <w:noWrap w:val="0"/>
            <w:vAlign w:val="center"/>
          </w:tcPr>
          <w:p w14:paraId="21CFF641">
            <w:pPr>
              <w:adjustRightInd w:val="0"/>
              <w:snapToGrid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供应商自</w:t>
            </w: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u w:val="none"/>
                <w:lang w:val="en-US" w:eastAsia="zh-CN"/>
              </w:rPr>
              <w:t>2</w:t>
            </w:r>
            <w:r>
              <w:rPr>
                <w:rFonts w:hint="eastAsia" w:ascii="宋体" w:hAnsi="宋体" w:eastAsia="宋体" w:cs="宋体"/>
                <w:strike w:val="0"/>
                <w:dstrike w:val="0"/>
                <w:color w:val="auto"/>
                <w:sz w:val="24"/>
                <w:szCs w:val="24"/>
                <w:u w:val="none"/>
                <w:lang w:val="en-US" w:eastAsia="zh-CN"/>
              </w:rPr>
              <w:t>3</w:t>
            </w:r>
            <w:r>
              <w:rPr>
                <w:rFonts w:hint="eastAsia" w:ascii="宋体" w:hAnsi="宋体" w:eastAsia="宋体" w:cs="宋体"/>
                <w:color w:val="auto"/>
                <w:sz w:val="24"/>
                <w:szCs w:val="24"/>
              </w:rPr>
              <w:t>年1月1日以来（以合同签订时间为准）同类合同业绩（以提供的合同扫描件为准）：每提供1份合同业绩得</w:t>
            </w:r>
            <w:r>
              <w:rPr>
                <w:rFonts w:hint="eastAsia" w:ascii="宋体" w:hAnsi="宋体" w:eastAsia="宋体" w:cs="宋体"/>
                <w:color w:val="auto"/>
                <w:sz w:val="24"/>
                <w:szCs w:val="24"/>
                <w:lang w:val="en-US" w:eastAsia="zh-CN"/>
              </w:rPr>
              <w:t>0.5</w:t>
            </w:r>
            <w:r>
              <w:rPr>
                <w:rFonts w:hint="eastAsia" w:ascii="宋体" w:hAnsi="宋体" w:eastAsia="宋体" w:cs="宋体"/>
                <w:color w:val="auto"/>
                <w:sz w:val="24"/>
                <w:szCs w:val="24"/>
              </w:rPr>
              <w:t>分，最高得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w:t>
            </w:r>
            <w:r>
              <w:rPr>
                <w:rFonts w:hint="eastAsia" w:ascii="宋体" w:hAnsi="宋体" w:eastAsia="宋体" w:cs="宋体"/>
                <w:b/>
                <w:bCs/>
                <w:color w:val="auto"/>
                <w:kern w:val="2"/>
                <w:sz w:val="24"/>
                <w:szCs w:val="24"/>
                <w:lang w:val="en-US" w:eastAsia="zh-CN" w:bidi="ar"/>
              </w:rPr>
              <w:t>【客观分】</w:t>
            </w:r>
          </w:p>
        </w:tc>
      </w:tr>
      <w:tr w14:paraId="2E63F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758C4FC9">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体系认证</w:t>
            </w:r>
          </w:p>
        </w:tc>
        <w:tc>
          <w:tcPr>
            <w:tcW w:w="854" w:type="dxa"/>
            <w:noWrap w:val="0"/>
            <w:vAlign w:val="center"/>
          </w:tcPr>
          <w:p w14:paraId="2EB0331E">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宋体" w:hAnsi="宋体" w:eastAsia="宋体" w:cs="宋体"/>
                <w:b/>
                <w:bCs/>
                <w:color w:val="auto"/>
                <w:sz w:val="24"/>
                <w:szCs w:val="24"/>
                <w:lang w:val="en-US"/>
              </w:rPr>
            </w:pPr>
            <w:r>
              <w:rPr>
                <w:rFonts w:hint="eastAsia" w:ascii="宋体" w:hAnsi="宋体" w:eastAsia="宋体" w:cs="宋体"/>
                <w:b/>
                <w:bCs/>
                <w:color w:val="auto"/>
                <w:sz w:val="24"/>
                <w:szCs w:val="24"/>
                <w:lang w:val="en-US" w:eastAsia="zh-CN"/>
              </w:rPr>
              <w:t>8</w:t>
            </w:r>
          </w:p>
        </w:tc>
        <w:tc>
          <w:tcPr>
            <w:tcW w:w="6757" w:type="dxa"/>
            <w:noWrap w:val="0"/>
            <w:vAlign w:val="center"/>
          </w:tcPr>
          <w:p w14:paraId="0A16B871">
            <w:pPr>
              <w:keepNext w:val="0"/>
              <w:keepLines w:val="0"/>
              <w:pageBreakBefore w:val="0"/>
              <w:widowControl w:val="0"/>
              <w:kinsoku/>
              <w:wordWrap/>
              <w:overflowPunct/>
              <w:topLinePunct w:val="0"/>
              <w:autoSpaceDE/>
              <w:autoSpaceDN/>
              <w:bidi w:val="0"/>
              <w:adjustRightInd/>
              <w:snapToGrid w:val="0"/>
              <w:jc w:val="both"/>
              <w:textAlignment w:val="auto"/>
              <w:rPr>
                <w:rFonts w:hint="eastAsia" w:ascii="宋体" w:hAnsi="宋体" w:eastAsia="宋体" w:cs="宋体"/>
                <w:color w:val="auto"/>
                <w:sz w:val="24"/>
                <w:szCs w:val="24"/>
              </w:rPr>
            </w:pPr>
            <w:r>
              <w:rPr>
                <w:rFonts w:hint="eastAsia" w:ascii="宋体" w:hAnsi="宋体" w:eastAsia="宋体" w:cs="宋体"/>
                <w:b w:val="0"/>
                <w:bCs w:val="0"/>
                <w:color w:val="auto"/>
                <w:sz w:val="24"/>
                <w:szCs w:val="24"/>
              </w:rPr>
              <w:t>供应商具备有效期内</w:t>
            </w:r>
            <w:r>
              <w:rPr>
                <w:rFonts w:hint="eastAsia" w:ascii="宋体" w:hAnsi="宋体" w:eastAsia="宋体" w:cs="宋体"/>
                <w:b/>
                <w:bCs/>
                <w:color w:val="auto"/>
                <w:sz w:val="24"/>
                <w:szCs w:val="24"/>
              </w:rPr>
              <w:t>隐私信息管理体系认证证书、知识产权合规管理体系认证证书、档案产品与服务类企业认证证书、信息技术服务管理体系</w:t>
            </w:r>
            <w:r>
              <w:rPr>
                <w:rFonts w:hint="eastAsia" w:ascii="宋体" w:hAnsi="宋体" w:eastAsia="宋体" w:cs="宋体"/>
                <w:b w:val="0"/>
                <w:bCs w:val="0"/>
                <w:color w:val="auto"/>
                <w:sz w:val="24"/>
                <w:szCs w:val="24"/>
              </w:rPr>
              <w:t xml:space="preserve">认证的，每提供一项有效证书得 </w:t>
            </w: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rPr>
              <w:t xml:space="preserve"> 分，本项最高得</w:t>
            </w:r>
            <w:bookmarkStart w:id="829" w:name="_GoBack"/>
            <w:bookmarkEnd w:id="829"/>
            <w:r>
              <w:rPr>
                <w:rFonts w:hint="eastAsia" w:ascii="宋体" w:hAnsi="宋体" w:cs="宋体"/>
                <w:b w:val="0"/>
                <w:bCs w:val="0"/>
                <w:color w:val="auto"/>
                <w:sz w:val="24"/>
                <w:szCs w:val="24"/>
                <w:lang w:val="en-US" w:eastAsia="zh-CN"/>
              </w:rPr>
              <w:t>8</w:t>
            </w:r>
            <w:r>
              <w:rPr>
                <w:rFonts w:hint="eastAsia" w:ascii="宋体" w:hAnsi="宋体" w:eastAsia="宋体" w:cs="宋体"/>
                <w:b w:val="0"/>
                <w:bCs w:val="0"/>
                <w:color w:val="auto"/>
                <w:sz w:val="24"/>
                <w:szCs w:val="24"/>
              </w:rPr>
              <w:t>分。</w:t>
            </w:r>
            <w:r>
              <w:rPr>
                <w:rFonts w:hint="eastAsia" w:ascii="宋体" w:hAnsi="宋体" w:eastAsia="宋体" w:cs="宋体"/>
                <w:b/>
                <w:bCs/>
                <w:color w:val="auto"/>
                <w:sz w:val="24"/>
                <w:szCs w:val="24"/>
              </w:rPr>
              <w:t>注：</w:t>
            </w:r>
            <w:r>
              <w:rPr>
                <w:rFonts w:hint="eastAsia" w:ascii="宋体" w:hAnsi="宋体" w:eastAsia="宋体" w:cs="宋体"/>
                <w:b w:val="0"/>
                <w:bCs w:val="0"/>
                <w:color w:val="auto"/>
                <w:sz w:val="24"/>
                <w:szCs w:val="24"/>
              </w:rPr>
              <w:t>投标时须附上对应认证证书扫描件及《全国认证认可信息公共服务平台》可查验的证书公示查询截图；未提供证明材料、证书不在有效期内或平台无法查验的，本项均不予计分。</w:t>
            </w:r>
            <w:r>
              <w:rPr>
                <w:rFonts w:hint="eastAsia" w:ascii="宋体" w:hAnsi="宋体" w:eastAsia="宋体" w:cs="宋体"/>
                <w:b/>
                <w:bCs/>
                <w:color w:val="auto"/>
                <w:kern w:val="2"/>
                <w:sz w:val="24"/>
                <w:szCs w:val="24"/>
                <w:lang w:val="en-US" w:eastAsia="zh-CN" w:bidi="ar"/>
              </w:rPr>
              <w:t>【客观分】</w:t>
            </w:r>
          </w:p>
        </w:tc>
      </w:tr>
      <w:tr w14:paraId="5B781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22185B08">
            <w:pPr>
              <w:adjustRightInd w:val="0"/>
              <w:snapToGrid w:val="0"/>
              <w:spacing w:line="288"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技术分（</w:t>
            </w:r>
            <w:r>
              <w:rPr>
                <w:rFonts w:hint="eastAsia" w:ascii="宋体" w:hAnsi="宋体" w:eastAsia="宋体" w:cs="宋体"/>
                <w:b/>
                <w:bCs/>
                <w:color w:val="auto"/>
                <w:sz w:val="24"/>
                <w:szCs w:val="24"/>
                <w:lang w:val="en-US" w:eastAsia="zh-CN"/>
              </w:rPr>
              <w:t>78</w:t>
            </w:r>
            <w:r>
              <w:rPr>
                <w:rFonts w:hint="eastAsia" w:ascii="宋体" w:hAnsi="宋体" w:eastAsia="宋体" w:cs="宋体"/>
                <w:b/>
                <w:bCs/>
                <w:color w:val="auto"/>
                <w:sz w:val="24"/>
                <w:szCs w:val="24"/>
              </w:rPr>
              <w:t>）</w:t>
            </w:r>
          </w:p>
        </w:tc>
      </w:tr>
      <w:tr w14:paraId="5FEEC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2EFEE0F5">
            <w:pPr>
              <w:adjustRightInd w:val="0"/>
              <w:snapToGrid w:val="0"/>
              <w:spacing w:line="288"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技术服务要求、商务要求满足</w:t>
            </w:r>
            <w:r>
              <w:rPr>
                <w:rFonts w:hint="eastAsia" w:ascii="宋体" w:hAnsi="宋体" w:eastAsia="宋体" w:cs="宋体"/>
                <w:b/>
                <w:bCs/>
                <w:color w:val="auto"/>
                <w:sz w:val="24"/>
                <w:szCs w:val="24"/>
              </w:rPr>
              <w:t>程度</w:t>
            </w:r>
          </w:p>
        </w:tc>
        <w:tc>
          <w:tcPr>
            <w:tcW w:w="854" w:type="dxa"/>
            <w:noWrap w:val="0"/>
            <w:vAlign w:val="center"/>
          </w:tcPr>
          <w:p w14:paraId="0ED738E6">
            <w:pPr>
              <w:adjustRightInd w:val="0"/>
              <w:snapToGrid w:val="0"/>
              <w:spacing w:line="288"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30</w:t>
            </w:r>
          </w:p>
        </w:tc>
        <w:tc>
          <w:tcPr>
            <w:tcW w:w="6757" w:type="dxa"/>
            <w:noWrap w:val="0"/>
            <w:vAlign w:val="center"/>
          </w:tcPr>
          <w:p w14:paraId="558F0EC8">
            <w:pPr>
              <w:adjustRightInd w:val="0"/>
              <w:snapToGrid w:val="0"/>
              <w:spacing w:line="288" w:lineRule="auto"/>
              <w:rPr>
                <w:rFonts w:hint="eastAsia" w:ascii="宋体" w:hAnsi="宋体" w:eastAsia="宋体" w:cs="宋体"/>
                <w:color w:val="auto"/>
                <w:sz w:val="24"/>
                <w:szCs w:val="24"/>
                <w:lang w:val="en-US" w:eastAsia="zh-CN"/>
              </w:rPr>
            </w:pPr>
            <w:r>
              <w:rPr>
                <w:rFonts w:hint="eastAsia"/>
                <w:color w:val="auto"/>
                <w:sz w:val="24"/>
                <w:szCs w:val="24"/>
              </w:rPr>
              <w:t>不符合</w:t>
            </w:r>
            <w:r>
              <w:rPr>
                <w:rFonts w:hint="eastAsia"/>
                <w:b/>
                <w:bCs/>
                <w:color w:val="auto"/>
                <w:sz w:val="24"/>
                <w:szCs w:val="24"/>
              </w:rPr>
              <w:t>技术</w:t>
            </w:r>
            <w:r>
              <w:rPr>
                <w:rFonts w:hint="eastAsia"/>
                <w:b/>
                <w:bCs/>
                <w:color w:val="auto"/>
                <w:sz w:val="24"/>
                <w:szCs w:val="24"/>
                <w:lang w:val="en-US" w:eastAsia="zh-CN"/>
              </w:rPr>
              <w:t>服务</w:t>
            </w:r>
            <w:r>
              <w:rPr>
                <w:rFonts w:hint="eastAsia"/>
                <w:b/>
                <w:bCs/>
                <w:color w:val="auto"/>
                <w:sz w:val="24"/>
                <w:szCs w:val="24"/>
              </w:rPr>
              <w:t>要求</w:t>
            </w:r>
            <w:r>
              <w:rPr>
                <w:rFonts w:hint="eastAsia"/>
                <w:b/>
                <w:bCs/>
                <w:color w:val="auto"/>
                <w:sz w:val="24"/>
                <w:szCs w:val="24"/>
                <w:lang w:eastAsia="zh-CN"/>
              </w:rPr>
              <w:t>、</w:t>
            </w:r>
            <w:r>
              <w:rPr>
                <w:rFonts w:hint="eastAsia"/>
                <w:b/>
                <w:bCs/>
                <w:color w:val="auto"/>
                <w:sz w:val="24"/>
                <w:szCs w:val="24"/>
                <w:lang w:val="en-US" w:eastAsia="zh-CN"/>
              </w:rPr>
              <w:t>商务要求</w:t>
            </w:r>
            <w:r>
              <w:rPr>
                <w:rFonts w:hint="eastAsia"/>
                <w:color w:val="auto"/>
                <w:sz w:val="24"/>
                <w:szCs w:val="24"/>
              </w:rPr>
              <w:t>中标注“▲”条款的响应文件无效</w:t>
            </w:r>
            <w:r>
              <w:rPr>
                <w:rFonts w:hint="eastAsia"/>
                <w:color w:val="auto"/>
                <w:sz w:val="24"/>
                <w:szCs w:val="24"/>
                <w:lang w:eastAsia="zh-CN"/>
              </w:rPr>
              <w:t>。</w:t>
            </w:r>
            <w:r>
              <w:rPr>
                <w:rFonts w:hint="eastAsia" w:ascii="宋体" w:hAnsi="宋体" w:eastAsia="宋体" w:cs="宋体"/>
                <w:color w:val="auto"/>
                <w:sz w:val="24"/>
                <w:szCs w:val="24"/>
              </w:rPr>
              <w:t>满足或优于磋商文件明确的全部</w:t>
            </w:r>
            <w:r>
              <w:rPr>
                <w:rFonts w:hint="eastAsia" w:ascii="宋体" w:hAnsi="宋体" w:eastAsia="宋体" w:cs="宋体"/>
                <w:b w:val="0"/>
                <w:bCs w:val="0"/>
                <w:color w:val="auto"/>
                <w:sz w:val="24"/>
                <w:szCs w:val="24"/>
              </w:rPr>
              <w:t>技术</w:t>
            </w:r>
            <w:r>
              <w:rPr>
                <w:rFonts w:hint="eastAsia" w:ascii="宋体" w:hAnsi="宋体" w:eastAsia="宋体" w:cs="宋体"/>
                <w:b w:val="0"/>
                <w:bCs w:val="0"/>
                <w:color w:val="auto"/>
                <w:sz w:val="24"/>
                <w:szCs w:val="24"/>
                <w:lang w:val="en-US" w:eastAsia="zh-CN"/>
              </w:rPr>
              <w:t>服务</w:t>
            </w:r>
            <w:r>
              <w:rPr>
                <w:rFonts w:hint="eastAsia" w:ascii="宋体" w:hAnsi="宋体" w:eastAsia="宋体" w:cs="宋体"/>
                <w:b w:val="0"/>
                <w:bCs w:val="0"/>
                <w:color w:val="auto"/>
                <w:sz w:val="24"/>
                <w:szCs w:val="24"/>
              </w:rPr>
              <w:t>要求</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商务要求</w:t>
            </w:r>
            <w:r>
              <w:rPr>
                <w:rFonts w:hint="eastAsia" w:ascii="宋体" w:hAnsi="宋体" w:eastAsia="宋体" w:cs="宋体"/>
                <w:color w:val="auto"/>
                <w:sz w:val="24"/>
                <w:szCs w:val="24"/>
              </w:rPr>
              <w:t>的该项得满分；技术</w:t>
            </w:r>
            <w:r>
              <w:rPr>
                <w:rFonts w:hint="eastAsia" w:ascii="宋体" w:hAnsi="宋体" w:eastAsia="宋体" w:cs="宋体"/>
                <w:color w:val="auto"/>
                <w:sz w:val="24"/>
                <w:szCs w:val="24"/>
                <w:lang w:val="en-US" w:eastAsia="zh-CN"/>
              </w:rPr>
              <w:t>服务、商务要求</w:t>
            </w:r>
            <w:r>
              <w:rPr>
                <w:rFonts w:hint="eastAsia" w:ascii="宋体" w:hAnsi="宋体" w:eastAsia="宋体" w:cs="宋体"/>
                <w:color w:val="auto"/>
                <w:sz w:val="24"/>
                <w:szCs w:val="24"/>
              </w:rPr>
              <w:t>低于要求（负偏离）的每项扣</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扣完为止</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本项最高得30分。</w:t>
            </w:r>
            <w:r>
              <w:rPr>
                <w:rFonts w:hint="eastAsia" w:ascii="宋体" w:hAnsi="宋体" w:eastAsia="宋体" w:cs="宋体"/>
                <w:b/>
                <w:bCs/>
                <w:color w:val="auto"/>
                <w:kern w:val="2"/>
                <w:sz w:val="24"/>
                <w:szCs w:val="24"/>
                <w:lang w:val="en-US" w:eastAsia="zh-CN" w:bidi="ar"/>
              </w:rPr>
              <w:t>【客观分】</w:t>
            </w:r>
          </w:p>
        </w:tc>
      </w:tr>
      <w:tr w14:paraId="6CC79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restart"/>
            <w:noWrap w:val="0"/>
            <w:vAlign w:val="center"/>
          </w:tcPr>
          <w:p w14:paraId="1A7A4A4F">
            <w:pPr>
              <w:spacing w:line="288" w:lineRule="auto"/>
              <w:jc w:val="center"/>
              <w:rPr>
                <w:rFonts w:hint="eastAsia" w:ascii="宋体" w:hAnsi="宋体" w:eastAsia="宋体" w:cs="宋体"/>
                <w:b/>
                <w:bCs/>
                <w:color w:val="auto"/>
                <w:sz w:val="24"/>
                <w:szCs w:val="24"/>
              </w:rPr>
            </w:pPr>
            <w:r>
              <w:rPr>
                <w:rFonts w:hint="eastAsia" w:ascii="宋体" w:hAnsi="宋体" w:eastAsia="宋体" w:cs="宋体"/>
                <w:b/>
                <w:bCs/>
                <w:color w:val="auto"/>
                <w:spacing w:val="-6"/>
                <w:kern w:val="2"/>
                <w:sz w:val="24"/>
                <w:szCs w:val="24"/>
                <w:lang w:bidi="ar"/>
              </w:rPr>
              <w:t>需求分析</w:t>
            </w:r>
            <w:r>
              <w:rPr>
                <w:rFonts w:hint="eastAsia" w:ascii="宋体" w:hAnsi="宋体" w:eastAsia="宋体" w:cs="宋体"/>
                <w:b/>
                <w:bCs/>
                <w:color w:val="auto"/>
                <w:spacing w:val="-6"/>
                <w:kern w:val="2"/>
                <w:sz w:val="24"/>
                <w:szCs w:val="24"/>
                <w:lang w:val="en-US" w:eastAsia="zh-CN" w:bidi="ar"/>
              </w:rPr>
              <w:t>和</w:t>
            </w:r>
            <w:r>
              <w:rPr>
                <w:rFonts w:hint="eastAsia" w:ascii="宋体" w:hAnsi="宋体" w:eastAsia="宋体" w:cs="宋体"/>
                <w:b/>
                <w:bCs/>
                <w:color w:val="auto"/>
                <w:spacing w:val="-6"/>
                <w:kern w:val="2"/>
                <w:sz w:val="24"/>
                <w:szCs w:val="24"/>
                <w:lang w:bidi="ar"/>
              </w:rPr>
              <w:t>实施方案</w:t>
            </w:r>
          </w:p>
        </w:tc>
        <w:tc>
          <w:tcPr>
            <w:tcW w:w="854" w:type="dxa"/>
            <w:noWrap w:val="0"/>
            <w:vAlign w:val="center"/>
          </w:tcPr>
          <w:p w14:paraId="0DD44991">
            <w:pPr>
              <w:spacing w:line="288" w:lineRule="auto"/>
              <w:jc w:val="center"/>
              <w:rPr>
                <w:rFonts w:hint="eastAsia" w:ascii="宋体" w:hAnsi="宋体" w:eastAsia="宋体" w:cs="宋体"/>
                <w:b/>
                <w:bCs/>
                <w:color w:val="auto"/>
                <w:spacing w:val="-6"/>
                <w:kern w:val="2"/>
                <w:sz w:val="24"/>
                <w:szCs w:val="24"/>
                <w:lang w:val="en-US" w:eastAsia="zh-CN" w:bidi="ar"/>
              </w:rPr>
            </w:pPr>
            <w:r>
              <w:rPr>
                <w:rFonts w:hint="eastAsia" w:ascii="宋体" w:hAnsi="宋体" w:eastAsia="宋体" w:cs="宋体"/>
                <w:b/>
                <w:bCs/>
                <w:color w:val="auto"/>
                <w:spacing w:val="-6"/>
                <w:kern w:val="2"/>
                <w:sz w:val="24"/>
                <w:szCs w:val="24"/>
                <w:lang w:val="en-US" w:eastAsia="zh-CN" w:bidi="ar"/>
              </w:rPr>
              <w:t>6</w:t>
            </w:r>
          </w:p>
        </w:tc>
        <w:tc>
          <w:tcPr>
            <w:tcW w:w="6757" w:type="dxa"/>
            <w:noWrap w:val="0"/>
            <w:vAlign w:val="center"/>
          </w:tcPr>
          <w:p w14:paraId="3C635C32">
            <w:pPr>
              <w:spacing w:line="288" w:lineRule="auto"/>
              <w:jc w:val="left"/>
              <w:rPr>
                <w:rFonts w:hint="eastAsia" w:ascii="宋体" w:hAnsi="宋体" w:eastAsia="宋体" w:cs="宋体"/>
                <w:color w:val="auto"/>
                <w:spacing w:val="-6"/>
                <w:kern w:val="2"/>
                <w:sz w:val="24"/>
                <w:szCs w:val="24"/>
                <w:lang w:bidi="ar"/>
              </w:rPr>
            </w:pPr>
            <w:r>
              <w:rPr>
                <w:rFonts w:hint="eastAsia" w:ascii="宋体" w:hAnsi="宋体" w:eastAsia="宋体" w:cs="宋体"/>
                <w:b/>
                <w:bCs/>
                <w:color w:val="auto"/>
                <w:sz w:val="24"/>
                <w:szCs w:val="24"/>
              </w:rPr>
              <w:t>项目需求分析</w:t>
            </w:r>
            <w:r>
              <w:rPr>
                <w:rFonts w:hint="eastAsia" w:ascii="宋体" w:hAnsi="宋体" w:eastAsia="宋体" w:cs="宋体"/>
                <w:color w:val="auto"/>
                <w:sz w:val="24"/>
                <w:szCs w:val="24"/>
              </w:rPr>
              <w:t>：根据供应商提供的对项目背景、建设内容及预期目标的理解，建设方案及建设思路等进行评分。</w:t>
            </w:r>
            <w:r>
              <w:rPr>
                <w:rFonts w:hint="eastAsia" w:ascii="宋体" w:hAnsi="宋体" w:cs="宋体"/>
                <w:color w:val="auto"/>
                <w:spacing w:val="-6"/>
                <w:kern w:val="2"/>
                <w:sz w:val="24"/>
                <w:szCs w:val="24"/>
                <w:lang w:bidi="ar"/>
              </w:rPr>
              <w:t>有欠缺</w:t>
            </w:r>
            <w:r>
              <w:rPr>
                <w:rFonts w:hint="eastAsia" w:ascii="宋体" w:hAnsi="宋体" w:cs="宋体"/>
                <w:color w:val="auto"/>
                <w:spacing w:val="-6"/>
                <w:kern w:val="2"/>
                <w:sz w:val="24"/>
                <w:szCs w:val="24"/>
                <w:lang w:val="en-US" w:eastAsia="zh-CN" w:bidi="ar"/>
              </w:rPr>
              <w:t>或</w:t>
            </w:r>
            <w:r>
              <w:rPr>
                <w:rFonts w:hint="eastAsia" w:ascii="宋体" w:hAnsi="宋体" w:cs="宋体"/>
                <w:color w:val="auto"/>
                <w:spacing w:val="-6"/>
                <w:kern w:val="2"/>
                <w:sz w:val="24"/>
                <w:szCs w:val="24"/>
                <w:lang w:bidi="ar"/>
              </w:rPr>
              <w:t>不合理的，每处扣1分。本项最高得</w:t>
            </w:r>
            <w:r>
              <w:rPr>
                <w:rFonts w:hint="eastAsia" w:ascii="宋体" w:hAnsi="宋体" w:cs="宋体"/>
                <w:color w:val="auto"/>
                <w:spacing w:val="-6"/>
                <w:kern w:val="2"/>
                <w:sz w:val="24"/>
                <w:szCs w:val="24"/>
                <w:lang w:val="en-US" w:eastAsia="zh-CN" w:bidi="ar"/>
              </w:rPr>
              <w:t>6</w:t>
            </w:r>
            <w:r>
              <w:rPr>
                <w:rFonts w:hint="eastAsia" w:ascii="宋体" w:hAnsi="宋体" w:cs="宋体"/>
                <w:color w:val="auto"/>
                <w:spacing w:val="-6"/>
                <w:kern w:val="2"/>
                <w:sz w:val="24"/>
                <w:szCs w:val="24"/>
                <w:lang w:bidi="ar"/>
              </w:rPr>
              <w:t>分。</w:t>
            </w:r>
          </w:p>
        </w:tc>
      </w:tr>
      <w:tr w14:paraId="57D2D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noWrap w:val="0"/>
            <w:vAlign w:val="center"/>
          </w:tcPr>
          <w:p w14:paraId="23EAB82E">
            <w:pPr>
              <w:spacing w:line="288" w:lineRule="auto"/>
              <w:jc w:val="center"/>
              <w:rPr>
                <w:rFonts w:hint="eastAsia" w:ascii="宋体" w:hAnsi="宋体" w:eastAsia="宋体" w:cs="宋体"/>
                <w:b/>
                <w:bCs/>
                <w:color w:val="auto"/>
                <w:sz w:val="24"/>
                <w:szCs w:val="24"/>
              </w:rPr>
            </w:pPr>
          </w:p>
        </w:tc>
        <w:tc>
          <w:tcPr>
            <w:tcW w:w="854" w:type="dxa"/>
            <w:noWrap w:val="0"/>
            <w:vAlign w:val="center"/>
          </w:tcPr>
          <w:p w14:paraId="49840136">
            <w:pPr>
              <w:spacing w:line="288" w:lineRule="auto"/>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pacing w:val="-6"/>
                <w:kern w:val="2"/>
                <w:sz w:val="24"/>
                <w:szCs w:val="24"/>
                <w:lang w:val="en-US" w:eastAsia="zh-CN" w:bidi="ar"/>
              </w:rPr>
              <w:t>6</w:t>
            </w:r>
          </w:p>
        </w:tc>
        <w:tc>
          <w:tcPr>
            <w:tcW w:w="6757" w:type="dxa"/>
            <w:noWrap w:val="0"/>
            <w:vAlign w:val="center"/>
          </w:tcPr>
          <w:p w14:paraId="1D1F90D4">
            <w:pPr>
              <w:spacing w:line="288" w:lineRule="auto"/>
              <w:jc w:val="left"/>
              <w:rPr>
                <w:rFonts w:hint="eastAsia" w:ascii="宋体" w:hAnsi="宋体" w:eastAsia="宋体" w:cs="宋体"/>
                <w:color w:val="auto"/>
                <w:sz w:val="24"/>
                <w:szCs w:val="24"/>
              </w:rPr>
            </w:pPr>
            <w:r>
              <w:rPr>
                <w:rFonts w:hint="eastAsia" w:ascii="宋体" w:hAnsi="宋体" w:eastAsia="宋体" w:cs="宋体"/>
                <w:b/>
                <w:bCs/>
                <w:color w:val="auto"/>
                <w:sz w:val="24"/>
                <w:szCs w:val="24"/>
              </w:rPr>
              <w:t>项目实施方案</w:t>
            </w:r>
            <w:r>
              <w:rPr>
                <w:rFonts w:hint="eastAsia" w:ascii="宋体" w:hAnsi="宋体" w:eastAsia="宋体" w:cs="宋体"/>
                <w:color w:val="auto"/>
                <w:sz w:val="24"/>
                <w:szCs w:val="24"/>
              </w:rPr>
              <w:t>：根据供应商提供的组织架构与职责、实施阶段划分管理、项目管理控制、项目风险管理等进行评分。</w:t>
            </w:r>
            <w:r>
              <w:rPr>
                <w:rFonts w:hint="eastAsia" w:ascii="宋体" w:hAnsi="宋体" w:cs="宋体"/>
                <w:color w:val="auto"/>
                <w:spacing w:val="-6"/>
                <w:kern w:val="2"/>
                <w:sz w:val="24"/>
                <w:szCs w:val="24"/>
                <w:lang w:bidi="ar"/>
              </w:rPr>
              <w:t>有欠缺</w:t>
            </w:r>
            <w:r>
              <w:rPr>
                <w:rFonts w:hint="eastAsia" w:ascii="宋体" w:hAnsi="宋体" w:cs="宋体"/>
                <w:color w:val="auto"/>
                <w:spacing w:val="-6"/>
                <w:kern w:val="2"/>
                <w:sz w:val="24"/>
                <w:szCs w:val="24"/>
                <w:lang w:val="en-US" w:eastAsia="zh-CN" w:bidi="ar"/>
              </w:rPr>
              <w:t>或</w:t>
            </w:r>
            <w:r>
              <w:rPr>
                <w:rFonts w:hint="eastAsia" w:ascii="宋体" w:hAnsi="宋体" w:cs="宋体"/>
                <w:color w:val="auto"/>
                <w:spacing w:val="-6"/>
                <w:kern w:val="2"/>
                <w:sz w:val="24"/>
                <w:szCs w:val="24"/>
                <w:lang w:bidi="ar"/>
              </w:rPr>
              <w:t>不合理的，每处扣1分。本项最高得</w:t>
            </w:r>
            <w:r>
              <w:rPr>
                <w:rFonts w:hint="eastAsia" w:ascii="宋体" w:hAnsi="宋体" w:cs="宋体"/>
                <w:color w:val="auto"/>
                <w:spacing w:val="-6"/>
                <w:kern w:val="2"/>
                <w:sz w:val="24"/>
                <w:szCs w:val="24"/>
                <w:lang w:val="en-US" w:eastAsia="zh-CN" w:bidi="ar"/>
              </w:rPr>
              <w:t>6</w:t>
            </w:r>
            <w:r>
              <w:rPr>
                <w:rFonts w:hint="eastAsia" w:ascii="宋体" w:hAnsi="宋体" w:cs="宋体"/>
                <w:color w:val="auto"/>
                <w:spacing w:val="-6"/>
                <w:kern w:val="2"/>
                <w:sz w:val="24"/>
                <w:szCs w:val="24"/>
                <w:lang w:bidi="ar"/>
              </w:rPr>
              <w:t>分。</w:t>
            </w:r>
          </w:p>
        </w:tc>
      </w:tr>
      <w:tr w14:paraId="60704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noWrap w:val="0"/>
            <w:vAlign w:val="center"/>
          </w:tcPr>
          <w:p w14:paraId="3ADABDC4">
            <w:pPr>
              <w:spacing w:line="288" w:lineRule="auto"/>
              <w:jc w:val="center"/>
              <w:rPr>
                <w:rFonts w:hint="eastAsia" w:ascii="宋体" w:hAnsi="宋体" w:eastAsia="宋体" w:cs="宋体"/>
                <w:b/>
                <w:bCs/>
                <w:color w:val="auto"/>
                <w:spacing w:val="-6"/>
                <w:kern w:val="2"/>
                <w:sz w:val="24"/>
                <w:szCs w:val="24"/>
                <w:lang w:bidi="ar"/>
              </w:rPr>
            </w:pPr>
          </w:p>
        </w:tc>
        <w:tc>
          <w:tcPr>
            <w:tcW w:w="854" w:type="dxa"/>
            <w:noWrap w:val="0"/>
            <w:vAlign w:val="center"/>
          </w:tcPr>
          <w:p w14:paraId="7FADF6B9">
            <w:pPr>
              <w:spacing w:line="288" w:lineRule="auto"/>
              <w:jc w:val="center"/>
              <w:rPr>
                <w:rFonts w:hint="eastAsia" w:ascii="宋体" w:hAnsi="宋体" w:eastAsia="宋体" w:cs="宋体"/>
                <w:b/>
                <w:bCs/>
                <w:color w:val="auto"/>
                <w:spacing w:val="-6"/>
                <w:kern w:val="2"/>
                <w:sz w:val="24"/>
                <w:szCs w:val="24"/>
                <w:lang w:eastAsia="zh-CN" w:bidi="ar"/>
              </w:rPr>
            </w:pPr>
            <w:r>
              <w:rPr>
                <w:rFonts w:hint="eastAsia" w:ascii="宋体" w:hAnsi="宋体" w:eastAsia="宋体" w:cs="宋体"/>
                <w:b/>
                <w:bCs/>
                <w:color w:val="auto"/>
                <w:spacing w:val="-6"/>
                <w:kern w:val="2"/>
                <w:sz w:val="24"/>
                <w:szCs w:val="24"/>
                <w:lang w:val="en-US" w:eastAsia="zh-CN" w:bidi="ar"/>
              </w:rPr>
              <w:t>6</w:t>
            </w:r>
          </w:p>
        </w:tc>
        <w:tc>
          <w:tcPr>
            <w:tcW w:w="6757" w:type="dxa"/>
            <w:noWrap w:val="0"/>
            <w:vAlign w:val="center"/>
          </w:tcPr>
          <w:p w14:paraId="0DF92DD9">
            <w:pPr>
              <w:spacing w:line="288" w:lineRule="auto"/>
              <w:jc w:val="left"/>
              <w:rPr>
                <w:rFonts w:hint="eastAsia" w:ascii="宋体" w:hAnsi="宋体" w:eastAsia="宋体" w:cs="宋体"/>
                <w:color w:val="auto"/>
                <w:spacing w:val="-6"/>
                <w:kern w:val="2"/>
                <w:sz w:val="24"/>
                <w:szCs w:val="24"/>
                <w:lang w:bidi="ar"/>
              </w:rPr>
            </w:pPr>
            <w:r>
              <w:rPr>
                <w:rFonts w:hint="eastAsia" w:ascii="宋体" w:hAnsi="宋体" w:eastAsia="宋体" w:cs="宋体"/>
                <w:b/>
                <w:bCs/>
                <w:color w:val="auto"/>
                <w:sz w:val="24"/>
                <w:szCs w:val="24"/>
              </w:rPr>
              <w:t>应急预案：</w:t>
            </w:r>
            <w:r>
              <w:rPr>
                <w:rFonts w:hint="eastAsia" w:ascii="宋体" w:hAnsi="宋体" w:eastAsia="宋体" w:cs="宋体"/>
                <w:color w:val="auto"/>
                <w:sz w:val="24"/>
                <w:szCs w:val="24"/>
              </w:rPr>
              <w:t>要求提供紧急故障解决方案、响应时间、专业技术人员保障信息及服务电话，应急响应流程、备份措施全面，有利于项目的顺利实施。</w:t>
            </w:r>
            <w:r>
              <w:rPr>
                <w:rFonts w:hint="eastAsia" w:ascii="宋体" w:hAnsi="宋体" w:cs="宋体"/>
                <w:color w:val="auto"/>
                <w:spacing w:val="-6"/>
                <w:kern w:val="2"/>
                <w:sz w:val="24"/>
                <w:szCs w:val="24"/>
                <w:lang w:bidi="ar"/>
              </w:rPr>
              <w:t>有欠缺</w:t>
            </w:r>
            <w:r>
              <w:rPr>
                <w:rFonts w:hint="eastAsia" w:ascii="宋体" w:hAnsi="宋体" w:cs="宋体"/>
                <w:color w:val="auto"/>
                <w:spacing w:val="-6"/>
                <w:kern w:val="2"/>
                <w:sz w:val="24"/>
                <w:szCs w:val="24"/>
                <w:lang w:val="en-US" w:eastAsia="zh-CN" w:bidi="ar"/>
              </w:rPr>
              <w:t>或</w:t>
            </w:r>
            <w:r>
              <w:rPr>
                <w:rFonts w:hint="eastAsia" w:ascii="宋体" w:hAnsi="宋体" w:cs="宋体"/>
                <w:color w:val="auto"/>
                <w:spacing w:val="-6"/>
                <w:kern w:val="2"/>
                <w:sz w:val="24"/>
                <w:szCs w:val="24"/>
                <w:lang w:bidi="ar"/>
              </w:rPr>
              <w:t>不合理的，每处扣1分。本项最高得</w:t>
            </w:r>
            <w:r>
              <w:rPr>
                <w:rFonts w:hint="eastAsia" w:ascii="宋体" w:hAnsi="宋体" w:cs="宋体"/>
                <w:color w:val="auto"/>
                <w:spacing w:val="-6"/>
                <w:kern w:val="2"/>
                <w:sz w:val="24"/>
                <w:szCs w:val="24"/>
                <w:lang w:val="en-US" w:eastAsia="zh-CN" w:bidi="ar"/>
              </w:rPr>
              <w:t>6</w:t>
            </w:r>
            <w:r>
              <w:rPr>
                <w:rFonts w:hint="eastAsia" w:ascii="宋体" w:hAnsi="宋体" w:cs="宋体"/>
                <w:color w:val="auto"/>
                <w:spacing w:val="-6"/>
                <w:kern w:val="2"/>
                <w:sz w:val="24"/>
                <w:szCs w:val="24"/>
                <w:lang w:bidi="ar"/>
              </w:rPr>
              <w:t>分。</w:t>
            </w:r>
          </w:p>
        </w:tc>
      </w:tr>
      <w:tr w14:paraId="527E5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745" w:type="dxa"/>
            <w:vMerge w:val="continue"/>
            <w:noWrap w:val="0"/>
            <w:vAlign w:val="center"/>
          </w:tcPr>
          <w:p w14:paraId="6DE04ADD">
            <w:pPr>
              <w:spacing w:line="288" w:lineRule="auto"/>
              <w:jc w:val="center"/>
              <w:rPr>
                <w:rFonts w:hint="eastAsia" w:ascii="宋体" w:hAnsi="宋体" w:eastAsia="宋体" w:cs="宋体"/>
                <w:b/>
                <w:bCs/>
                <w:color w:val="auto"/>
                <w:spacing w:val="-6"/>
                <w:kern w:val="2"/>
                <w:sz w:val="24"/>
                <w:szCs w:val="24"/>
                <w:lang w:bidi="ar"/>
              </w:rPr>
            </w:pPr>
          </w:p>
        </w:tc>
        <w:tc>
          <w:tcPr>
            <w:tcW w:w="854" w:type="dxa"/>
            <w:noWrap w:val="0"/>
            <w:vAlign w:val="center"/>
          </w:tcPr>
          <w:p w14:paraId="491561F7">
            <w:pPr>
              <w:spacing w:line="288" w:lineRule="auto"/>
              <w:jc w:val="center"/>
              <w:rPr>
                <w:rFonts w:hint="eastAsia" w:ascii="宋体" w:hAnsi="宋体" w:eastAsia="宋体" w:cs="宋体"/>
                <w:b/>
                <w:bCs/>
                <w:color w:val="auto"/>
                <w:spacing w:val="-6"/>
                <w:kern w:val="2"/>
                <w:sz w:val="24"/>
                <w:szCs w:val="24"/>
                <w:lang w:eastAsia="zh-CN" w:bidi="ar"/>
              </w:rPr>
            </w:pPr>
            <w:r>
              <w:rPr>
                <w:rFonts w:hint="eastAsia" w:ascii="宋体" w:hAnsi="宋体" w:eastAsia="宋体" w:cs="宋体"/>
                <w:b/>
                <w:bCs/>
                <w:color w:val="auto"/>
                <w:spacing w:val="-6"/>
                <w:kern w:val="2"/>
                <w:sz w:val="24"/>
                <w:szCs w:val="24"/>
                <w:lang w:val="en-US" w:eastAsia="zh-CN" w:bidi="ar"/>
              </w:rPr>
              <w:t>6</w:t>
            </w:r>
          </w:p>
        </w:tc>
        <w:tc>
          <w:tcPr>
            <w:tcW w:w="6757" w:type="dxa"/>
            <w:noWrap w:val="0"/>
            <w:vAlign w:val="center"/>
          </w:tcPr>
          <w:p w14:paraId="7E259645">
            <w:pPr>
              <w:spacing w:line="288" w:lineRule="auto"/>
              <w:jc w:val="left"/>
              <w:rPr>
                <w:rFonts w:hint="eastAsia" w:ascii="宋体" w:hAnsi="宋体" w:eastAsia="宋体" w:cs="宋体"/>
                <w:color w:val="auto"/>
                <w:spacing w:val="-6"/>
                <w:kern w:val="2"/>
                <w:sz w:val="24"/>
                <w:szCs w:val="24"/>
                <w:lang w:bidi="ar"/>
              </w:rPr>
            </w:pPr>
            <w:r>
              <w:rPr>
                <w:rFonts w:hint="eastAsia" w:ascii="宋体" w:hAnsi="宋体" w:eastAsia="宋体" w:cs="宋体"/>
                <w:color w:val="auto"/>
                <w:spacing w:val="-6"/>
                <w:kern w:val="2"/>
                <w:sz w:val="24"/>
                <w:szCs w:val="24"/>
                <w:lang w:bidi="ar"/>
              </w:rPr>
              <w:t>根据供应商提供的</w:t>
            </w:r>
            <w:r>
              <w:rPr>
                <w:rFonts w:hint="eastAsia" w:ascii="宋体" w:hAnsi="宋体" w:eastAsia="宋体" w:cs="宋体"/>
                <w:b/>
                <w:bCs/>
                <w:color w:val="auto"/>
                <w:spacing w:val="-6"/>
                <w:kern w:val="2"/>
                <w:sz w:val="24"/>
                <w:szCs w:val="24"/>
                <w:lang w:bidi="ar"/>
              </w:rPr>
              <w:t>质量控制方案</w:t>
            </w:r>
            <w:r>
              <w:rPr>
                <w:rFonts w:hint="eastAsia" w:ascii="宋体" w:hAnsi="宋体" w:eastAsia="宋体" w:cs="宋体"/>
                <w:color w:val="auto"/>
                <w:spacing w:val="-6"/>
                <w:kern w:val="2"/>
                <w:sz w:val="24"/>
                <w:szCs w:val="24"/>
                <w:lang w:bidi="ar"/>
              </w:rPr>
              <w:t>的完整性、合理性打分。有欠缺不合理的，每处扣1分。本项最高得</w:t>
            </w:r>
            <w:r>
              <w:rPr>
                <w:rFonts w:hint="eastAsia" w:ascii="宋体" w:hAnsi="宋体" w:cs="宋体"/>
                <w:color w:val="auto"/>
                <w:spacing w:val="-6"/>
                <w:kern w:val="2"/>
                <w:sz w:val="24"/>
                <w:szCs w:val="24"/>
                <w:lang w:val="en-US" w:eastAsia="zh-CN" w:bidi="ar"/>
              </w:rPr>
              <w:t>6</w:t>
            </w:r>
            <w:r>
              <w:rPr>
                <w:rFonts w:hint="eastAsia" w:ascii="宋体" w:hAnsi="宋体" w:eastAsia="宋体" w:cs="宋体"/>
                <w:color w:val="auto"/>
                <w:spacing w:val="-6"/>
                <w:kern w:val="2"/>
                <w:sz w:val="24"/>
                <w:szCs w:val="24"/>
                <w:lang w:bidi="ar"/>
              </w:rPr>
              <w:t>分。</w:t>
            </w:r>
          </w:p>
        </w:tc>
      </w:tr>
      <w:tr w14:paraId="48DA5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1745" w:type="dxa"/>
            <w:vMerge w:val="restart"/>
            <w:noWrap w:val="0"/>
            <w:vAlign w:val="center"/>
          </w:tcPr>
          <w:p w14:paraId="3FF7C778">
            <w:pPr>
              <w:spacing w:line="288"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pacing w:val="-6"/>
                <w:kern w:val="2"/>
                <w:sz w:val="24"/>
                <w:szCs w:val="24"/>
                <w:lang w:val="en-US" w:eastAsia="zh-CN" w:bidi="ar"/>
              </w:rPr>
              <w:t>项目团队</w:t>
            </w:r>
            <w:r>
              <w:rPr>
                <w:rFonts w:hint="eastAsia" w:ascii="宋体" w:hAnsi="宋体" w:eastAsia="宋体" w:cs="宋体"/>
                <w:b/>
                <w:bCs/>
                <w:color w:val="auto"/>
                <w:spacing w:val="-6"/>
                <w:kern w:val="2"/>
                <w:sz w:val="24"/>
                <w:szCs w:val="24"/>
                <w:lang w:bidi="ar"/>
              </w:rPr>
              <w:t>人员</w:t>
            </w:r>
            <w:r>
              <w:rPr>
                <w:rFonts w:hint="eastAsia" w:ascii="宋体" w:hAnsi="宋体" w:eastAsia="宋体" w:cs="宋体"/>
                <w:b/>
                <w:bCs/>
                <w:color w:val="auto"/>
                <w:spacing w:val="-6"/>
                <w:kern w:val="2"/>
                <w:sz w:val="24"/>
                <w:szCs w:val="24"/>
                <w:lang w:val="en-US" w:eastAsia="zh-CN" w:bidi="ar"/>
              </w:rPr>
              <w:t>能力</w:t>
            </w:r>
          </w:p>
        </w:tc>
        <w:tc>
          <w:tcPr>
            <w:tcW w:w="854" w:type="dxa"/>
            <w:noWrap w:val="0"/>
            <w:vAlign w:val="center"/>
          </w:tcPr>
          <w:p w14:paraId="2AAC0EC4">
            <w:pPr>
              <w:spacing w:line="288" w:lineRule="auto"/>
              <w:jc w:val="center"/>
              <w:rPr>
                <w:rFonts w:hint="eastAsia" w:ascii="宋体" w:hAnsi="宋体" w:eastAsia="宋体" w:cs="宋体"/>
                <w:b/>
                <w:bCs/>
                <w:color w:val="auto"/>
                <w:spacing w:val="-6"/>
                <w:kern w:val="2"/>
                <w:sz w:val="24"/>
                <w:szCs w:val="24"/>
                <w:lang w:val="en-US" w:eastAsia="zh-CN" w:bidi="ar"/>
              </w:rPr>
            </w:pPr>
            <w:r>
              <w:rPr>
                <w:rFonts w:hint="eastAsia" w:ascii="宋体" w:hAnsi="宋体" w:eastAsia="宋体" w:cs="宋体"/>
                <w:b/>
                <w:bCs/>
                <w:color w:val="auto"/>
                <w:spacing w:val="-6"/>
                <w:kern w:val="2"/>
                <w:sz w:val="24"/>
                <w:szCs w:val="24"/>
                <w:lang w:val="en-US" w:eastAsia="zh-CN" w:bidi="ar"/>
              </w:rPr>
              <w:t>3</w:t>
            </w:r>
          </w:p>
        </w:tc>
        <w:tc>
          <w:tcPr>
            <w:tcW w:w="6757" w:type="dxa"/>
            <w:noWrap w:val="0"/>
            <w:vAlign w:val="center"/>
          </w:tcPr>
          <w:p w14:paraId="0D3B3D09">
            <w:pPr>
              <w:spacing w:line="288" w:lineRule="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bidi="ar"/>
              </w:rPr>
              <w:t>项目组档案业务流程梳理负责人具备档案局颁发的档案专家证书或档案工匠型人才证书的，每 1 人计3 分，最高得</w:t>
            </w:r>
            <w:r>
              <w:rPr>
                <w:rFonts w:hint="eastAsia" w:ascii="宋体" w:hAnsi="宋体" w:eastAsia="宋体" w:cs="宋体"/>
                <w:color w:val="auto"/>
                <w:kern w:val="2"/>
                <w:sz w:val="24"/>
                <w:szCs w:val="24"/>
                <w:lang w:val="en-US" w:eastAsia="zh-CN" w:bidi="ar"/>
              </w:rPr>
              <w:t>3</w:t>
            </w:r>
            <w:r>
              <w:rPr>
                <w:rFonts w:hint="eastAsia" w:ascii="宋体" w:hAnsi="宋体" w:eastAsia="宋体" w:cs="宋体"/>
                <w:color w:val="auto"/>
                <w:kern w:val="2"/>
                <w:sz w:val="24"/>
                <w:szCs w:val="24"/>
                <w:lang w:bidi="ar"/>
              </w:rPr>
              <w:t>分。</w:t>
            </w:r>
            <w:r>
              <w:rPr>
                <w:rFonts w:hint="eastAsia" w:ascii="宋体" w:hAnsi="宋体" w:eastAsia="宋体" w:cs="宋体"/>
                <w:b/>
                <w:bCs/>
                <w:color w:val="auto"/>
                <w:kern w:val="2"/>
                <w:sz w:val="24"/>
                <w:szCs w:val="24"/>
                <w:lang w:bidi="ar"/>
              </w:rPr>
              <w:t>注：</w:t>
            </w:r>
            <w:r>
              <w:rPr>
                <w:rFonts w:hint="eastAsia" w:ascii="宋体" w:hAnsi="宋体" w:eastAsia="宋体" w:cs="宋体"/>
                <w:color w:val="auto"/>
                <w:kern w:val="2"/>
                <w:sz w:val="24"/>
                <w:szCs w:val="24"/>
                <w:lang w:bidi="ar"/>
              </w:rPr>
              <w:t>须提供有效证书及开标前三个月内任意一月本单位社保缴纳证明材料，材料不全或无效不予计分。</w:t>
            </w:r>
            <w:r>
              <w:rPr>
                <w:rFonts w:hint="eastAsia" w:ascii="宋体" w:hAnsi="宋体" w:eastAsia="宋体" w:cs="宋体"/>
                <w:b/>
                <w:bCs/>
                <w:color w:val="auto"/>
                <w:kern w:val="2"/>
                <w:sz w:val="24"/>
                <w:szCs w:val="24"/>
                <w:lang w:val="en-US" w:eastAsia="zh-CN" w:bidi="ar"/>
              </w:rPr>
              <w:t>【客观分】</w:t>
            </w:r>
          </w:p>
        </w:tc>
      </w:tr>
      <w:tr w14:paraId="0980A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1745" w:type="dxa"/>
            <w:vMerge w:val="continue"/>
            <w:noWrap w:val="0"/>
            <w:vAlign w:val="center"/>
          </w:tcPr>
          <w:p w14:paraId="73912DF6">
            <w:pPr>
              <w:spacing w:line="288" w:lineRule="auto"/>
              <w:jc w:val="center"/>
              <w:rPr>
                <w:rFonts w:hint="eastAsia" w:ascii="宋体" w:hAnsi="宋体" w:eastAsia="宋体" w:cs="宋体"/>
                <w:b/>
                <w:bCs/>
                <w:color w:val="auto"/>
                <w:sz w:val="24"/>
                <w:szCs w:val="24"/>
                <w:lang w:val="en-US" w:eastAsia="zh-CN"/>
              </w:rPr>
            </w:pPr>
          </w:p>
        </w:tc>
        <w:tc>
          <w:tcPr>
            <w:tcW w:w="854" w:type="dxa"/>
            <w:noWrap w:val="0"/>
            <w:vAlign w:val="center"/>
          </w:tcPr>
          <w:p w14:paraId="0F38C1EC">
            <w:pPr>
              <w:spacing w:line="288" w:lineRule="auto"/>
              <w:jc w:val="center"/>
              <w:rPr>
                <w:rFonts w:hint="eastAsia" w:ascii="宋体" w:hAnsi="宋体" w:eastAsia="宋体" w:cs="宋体"/>
                <w:b/>
                <w:bCs/>
                <w:color w:val="auto"/>
                <w:spacing w:val="-6"/>
                <w:kern w:val="2"/>
                <w:sz w:val="24"/>
                <w:szCs w:val="24"/>
                <w:lang w:val="en-US" w:eastAsia="zh-CN" w:bidi="ar"/>
              </w:rPr>
            </w:pPr>
            <w:r>
              <w:rPr>
                <w:rFonts w:hint="eastAsia" w:ascii="宋体" w:hAnsi="宋体" w:eastAsia="宋体" w:cs="宋体"/>
                <w:b/>
                <w:bCs/>
                <w:color w:val="auto"/>
                <w:spacing w:val="-6"/>
                <w:kern w:val="2"/>
                <w:sz w:val="24"/>
                <w:szCs w:val="24"/>
                <w:lang w:val="en-US" w:eastAsia="zh-CN" w:bidi="ar"/>
              </w:rPr>
              <w:t>6</w:t>
            </w:r>
          </w:p>
        </w:tc>
        <w:tc>
          <w:tcPr>
            <w:tcW w:w="6757" w:type="dxa"/>
            <w:noWrap w:val="0"/>
            <w:vAlign w:val="center"/>
          </w:tcPr>
          <w:p w14:paraId="4A4C9C13">
            <w:pPr>
              <w:spacing w:line="288" w:lineRule="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项目组开发技术人员具备人社部、工信部颁发的中级及以上计算机技术与软件专业技术资格证书的，每1人得1分，最高得6分。</w:t>
            </w:r>
            <w:r>
              <w:rPr>
                <w:rFonts w:hint="eastAsia" w:ascii="宋体" w:hAnsi="宋体" w:eastAsia="宋体" w:cs="宋体"/>
                <w:b/>
                <w:bCs/>
                <w:color w:val="auto"/>
                <w:kern w:val="2"/>
                <w:sz w:val="24"/>
                <w:szCs w:val="24"/>
                <w:lang w:val="en-US" w:eastAsia="zh-CN" w:bidi="ar"/>
              </w:rPr>
              <w:t>注：</w:t>
            </w:r>
            <w:r>
              <w:rPr>
                <w:rFonts w:hint="eastAsia" w:ascii="宋体" w:hAnsi="宋体" w:eastAsia="宋体" w:cs="宋体"/>
                <w:color w:val="auto"/>
                <w:kern w:val="2"/>
                <w:sz w:val="24"/>
                <w:szCs w:val="24"/>
                <w:lang w:val="en-US" w:eastAsia="zh-CN" w:bidi="ar"/>
              </w:rPr>
              <w:t>须提供有效资格证书及开标前三个月内任意一月本单位社保缴纳证明材料，材料不全或无效不予计分。</w:t>
            </w:r>
            <w:r>
              <w:rPr>
                <w:rFonts w:hint="eastAsia" w:ascii="宋体" w:hAnsi="宋体" w:eastAsia="宋体" w:cs="宋体"/>
                <w:b/>
                <w:bCs/>
                <w:color w:val="auto"/>
                <w:kern w:val="2"/>
                <w:sz w:val="24"/>
                <w:szCs w:val="24"/>
                <w:lang w:val="en-US" w:eastAsia="zh-CN" w:bidi="ar"/>
              </w:rPr>
              <w:t>【客观分】</w:t>
            </w:r>
          </w:p>
        </w:tc>
      </w:tr>
      <w:tr w14:paraId="73867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noWrap w:val="0"/>
            <w:vAlign w:val="center"/>
          </w:tcPr>
          <w:p w14:paraId="41F94317">
            <w:pPr>
              <w:spacing w:line="288" w:lineRule="auto"/>
              <w:jc w:val="center"/>
              <w:rPr>
                <w:rFonts w:hint="eastAsia" w:ascii="宋体" w:hAnsi="宋体" w:eastAsia="宋体" w:cs="宋体"/>
                <w:b/>
                <w:bCs/>
                <w:color w:val="auto"/>
                <w:sz w:val="24"/>
                <w:szCs w:val="24"/>
                <w:lang w:val="en-US" w:eastAsia="zh-CN"/>
              </w:rPr>
            </w:pPr>
          </w:p>
        </w:tc>
        <w:tc>
          <w:tcPr>
            <w:tcW w:w="854" w:type="dxa"/>
            <w:noWrap w:val="0"/>
            <w:vAlign w:val="center"/>
          </w:tcPr>
          <w:p w14:paraId="0DA260A9">
            <w:pPr>
              <w:spacing w:line="288" w:lineRule="auto"/>
              <w:jc w:val="center"/>
              <w:rPr>
                <w:rFonts w:hint="eastAsia" w:ascii="宋体" w:hAnsi="宋体" w:eastAsia="宋体" w:cs="宋体"/>
                <w:b/>
                <w:bCs/>
                <w:color w:val="auto"/>
                <w:spacing w:val="-6"/>
                <w:kern w:val="2"/>
                <w:sz w:val="24"/>
                <w:szCs w:val="24"/>
                <w:lang w:val="en-US" w:eastAsia="zh-CN" w:bidi="ar"/>
              </w:rPr>
            </w:pPr>
            <w:r>
              <w:rPr>
                <w:rFonts w:hint="eastAsia" w:ascii="宋体" w:hAnsi="宋体" w:eastAsia="宋体" w:cs="宋体"/>
                <w:b/>
                <w:bCs/>
                <w:color w:val="auto"/>
                <w:spacing w:val="-6"/>
                <w:kern w:val="2"/>
                <w:sz w:val="24"/>
                <w:szCs w:val="24"/>
                <w:lang w:val="en-US" w:eastAsia="zh-CN" w:bidi="ar"/>
              </w:rPr>
              <w:t>4</w:t>
            </w:r>
          </w:p>
        </w:tc>
        <w:tc>
          <w:tcPr>
            <w:tcW w:w="6757" w:type="dxa"/>
            <w:noWrap w:val="0"/>
            <w:vAlign w:val="center"/>
          </w:tcPr>
          <w:p w14:paraId="7E983DD6">
            <w:pPr>
              <w:spacing w:line="288" w:lineRule="auto"/>
              <w:rPr>
                <w:rFonts w:hint="eastAsia" w:ascii="宋体" w:hAnsi="宋体" w:eastAsia="宋体" w:cs="宋体"/>
                <w:color w:val="auto"/>
                <w:kern w:val="2"/>
                <w:sz w:val="24"/>
                <w:szCs w:val="24"/>
                <w:lang w:bidi="ar"/>
              </w:rPr>
            </w:pPr>
            <w:r>
              <w:rPr>
                <w:rFonts w:hint="eastAsia" w:ascii="宋体" w:hAnsi="宋体" w:eastAsia="宋体" w:cs="宋体"/>
                <w:color w:val="auto"/>
                <w:kern w:val="2"/>
                <w:sz w:val="24"/>
                <w:szCs w:val="24"/>
                <w:lang w:bidi="ar"/>
              </w:rPr>
              <w:t>项目组负责数据迁移人员持有保密行政管理部门核发的保密管理人员培训合格证书的，每1 人得 2 分，最高得4分。</w:t>
            </w:r>
            <w:r>
              <w:rPr>
                <w:rFonts w:hint="eastAsia" w:ascii="宋体" w:hAnsi="宋体" w:eastAsia="宋体" w:cs="宋体"/>
                <w:b/>
                <w:bCs/>
                <w:color w:val="auto"/>
                <w:kern w:val="2"/>
                <w:sz w:val="24"/>
                <w:szCs w:val="24"/>
                <w:lang w:bidi="ar"/>
              </w:rPr>
              <w:t>注：</w:t>
            </w:r>
            <w:r>
              <w:rPr>
                <w:rFonts w:hint="eastAsia" w:ascii="宋体" w:hAnsi="宋体" w:eastAsia="宋体" w:cs="宋体"/>
                <w:color w:val="auto"/>
                <w:kern w:val="2"/>
                <w:sz w:val="24"/>
                <w:szCs w:val="24"/>
                <w:lang w:bidi="ar"/>
              </w:rPr>
              <w:t>须提供有效证书及开标前三个月内任意一月本单位社保缴纳证明材料，材料不全或无效不予计分。</w:t>
            </w:r>
            <w:r>
              <w:rPr>
                <w:rFonts w:hint="eastAsia" w:ascii="宋体" w:hAnsi="宋体" w:eastAsia="宋体" w:cs="宋体"/>
                <w:b/>
                <w:bCs/>
                <w:color w:val="auto"/>
                <w:kern w:val="2"/>
                <w:sz w:val="24"/>
                <w:szCs w:val="24"/>
                <w:lang w:val="en-US" w:eastAsia="zh-CN" w:bidi="ar"/>
              </w:rPr>
              <w:t>【客观分】</w:t>
            </w:r>
          </w:p>
        </w:tc>
      </w:tr>
      <w:tr w14:paraId="3E1EA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4A8A5111">
            <w:pPr>
              <w:adjustRightInd w:val="0"/>
              <w:snapToGrid w:val="0"/>
              <w:spacing w:line="288"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培训计划</w:t>
            </w:r>
          </w:p>
        </w:tc>
        <w:tc>
          <w:tcPr>
            <w:tcW w:w="854" w:type="dxa"/>
            <w:noWrap w:val="0"/>
            <w:vAlign w:val="center"/>
          </w:tcPr>
          <w:p w14:paraId="1FC5F889">
            <w:pPr>
              <w:spacing w:line="288" w:lineRule="auto"/>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pacing w:val="-6"/>
                <w:kern w:val="2"/>
                <w:sz w:val="24"/>
                <w:szCs w:val="24"/>
                <w:lang w:val="en-US" w:eastAsia="zh-CN" w:bidi="ar"/>
              </w:rPr>
              <w:t>5</w:t>
            </w:r>
          </w:p>
        </w:tc>
        <w:tc>
          <w:tcPr>
            <w:tcW w:w="6757" w:type="dxa"/>
            <w:noWrap w:val="0"/>
            <w:vAlign w:val="center"/>
          </w:tcPr>
          <w:p w14:paraId="56C20AF7">
            <w:pPr>
              <w:spacing w:line="288" w:lineRule="auto"/>
              <w:rPr>
                <w:rFonts w:hint="eastAsia" w:ascii="宋体" w:hAnsi="宋体" w:eastAsia="宋体" w:cs="宋体"/>
                <w:color w:val="auto"/>
                <w:sz w:val="24"/>
                <w:szCs w:val="24"/>
              </w:rPr>
            </w:pPr>
            <w:r>
              <w:rPr>
                <w:rFonts w:hint="eastAsia" w:ascii="宋体" w:hAnsi="宋体" w:eastAsia="宋体" w:cs="宋体"/>
                <w:color w:val="auto"/>
                <w:kern w:val="2"/>
                <w:sz w:val="24"/>
                <w:szCs w:val="24"/>
                <w:lang w:bidi="ar"/>
              </w:rPr>
              <w:t>根据供应商提供培训计划方案的合理、可行性打分。</w:t>
            </w:r>
            <w:r>
              <w:rPr>
                <w:rFonts w:hint="eastAsia" w:ascii="宋体" w:hAnsi="宋体" w:cs="宋体"/>
                <w:color w:val="auto"/>
                <w:spacing w:val="-6"/>
                <w:kern w:val="2"/>
                <w:sz w:val="24"/>
                <w:szCs w:val="24"/>
                <w:lang w:bidi="ar"/>
              </w:rPr>
              <w:t>有欠缺</w:t>
            </w:r>
            <w:r>
              <w:rPr>
                <w:rFonts w:hint="eastAsia" w:ascii="宋体" w:hAnsi="宋体" w:cs="宋体"/>
                <w:color w:val="auto"/>
                <w:spacing w:val="-6"/>
                <w:kern w:val="2"/>
                <w:sz w:val="24"/>
                <w:szCs w:val="24"/>
                <w:lang w:val="en-US" w:eastAsia="zh-CN" w:bidi="ar"/>
              </w:rPr>
              <w:t>或</w:t>
            </w:r>
            <w:r>
              <w:rPr>
                <w:rFonts w:hint="eastAsia" w:ascii="宋体" w:hAnsi="宋体" w:cs="宋体"/>
                <w:color w:val="auto"/>
                <w:spacing w:val="-6"/>
                <w:kern w:val="2"/>
                <w:sz w:val="24"/>
                <w:szCs w:val="24"/>
                <w:lang w:bidi="ar"/>
              </w:rPr>
              <w:t>不合理的，每处扣1分。本项最高得</w:t>
            </w:r>
            <w:r>
              <w:rPr>
                <w:rFonts w:hint="eastAsia" w:ascii="宋体" w:hAnsi="宋体" w:cs="宋体"/>
                <w:color w:val="auto"/>
                <w:spacing w:val="-6"/>
                <w:kern w:val="2"/>
                <w:sz w:val="24"/>
                <w:szCs w:val="24"/>
                <w:lang w:val="en-US" w:eastAsia="zh-CN" w:bidi="ar"/>
              </w:rPr>
              <w:t>5</w:t>
            </w:r>
            <w:r>
              <w:rPr>
                <w:rFonts w:hint="eastAsia" w:ascii="宋体" w:hAnsi="宋体" w:cs="宋体"/>
                <w:color w:val="auto"/>
                <w:spacing w:val="-6"/>
                <w:kern w:val="2"/>
                <w:sz w:val="24"/>
                <w:szCs w:val="24"/>
                <w:lang w:bidi="ar"/>
              </w:rPr>
              <w:t>分。</w:t>
            </w:r>
          </w:p>
        </w:tc>
      </w:tr>
      <w:tr w14:paraId="3B9DD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64D44603">
            <w:pPr>
              <w:adjustRightInd w:val="0"/>
              <w:snapToGrid w:val="0"/>
              <w:spacing w:line="288"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售后服务</w:t>
            </w:r>
          </w:p>
        </w:tc>
        <w:tc>
          <w:tcPr>
            <w:tcW w:w="854" w:type="dxa"/>
            <w:noWrap w:val="0"/>
            <w:vAlign w:val="center"/>
          </w:tcPr>
          <w:p w14:paraId="5613A614">
            <w:pPr>
              <w:spacing w:line="288" w:lineRule="auto"/>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pacing w:val="-6"/>
                <w:kern w:val="2"/>
                <w:sz w:val="24"/>
                <w:szCs w:val="24"/>
                <w:lang w:val="en-US" w:eastAsia="zh-CN" w:bidi="ar"/>
              </w:rPr>
              <w:t>6</w:t>
            </w:r>
          </w:p>
        </w:tc>
        <w:tc>
          <w:tcPr>
            <w:tcW w:w="6757" w:type="dxa"/>
            <w:noWrap w:val="0"/>
            <w:vAlign w:val="center"/>
          </w:tcPr>
          <w:p w14:paraId="3663A764">
            <w:pPr>
              <w:spacing w:line="288" w:lineRule="auto"/>
              <w:rPr>
                <w:rFonts w:hint="eastAsia" w:ascii="宋体" w:hAnsi="宋体" w:eastAsia="宋体" w:cs="宋体"/>
                <w:color w:val="auto"/>
                <w:sz w:val="24"/>
                <w:szCs w:val="24"/>
              </w:rPr>
            </w:pPr>
            <w:r>
              <w:rPr>
                <w:rFonts w:hint="eastAsia" w:ascii="宋体" w:hAnsi="宋体" w:eastAsia="宋体" w:cs="宋体"/>
                <w:color w:val="auto"/>
                <w:kern w:val="2"/>
                <w:sz w:val="24"/>
                <w:szCs w:val="24"/>
                <w:lang w:bidi="ar"/>
              </w:rPr>
              <w:t>根据供应商承诺的售后服务响应时间、专业售后服务力量、售后响应机制、售后服务证书等情况打分。</w:t>
            </w:r>
            <w:r>
              <w:rPr>
                <w:rFonts w:hint="eastAsia" w:ascii="宋体" w:hAnsi="宋体" w:cs="宋体"/>
                <w:color w:val="auto"/>
                <w:spacing w:val="-6"/>
                <w:kern w:val="2"/>
                <w:sz w:val="24"/>
                <w:szCs w:val="24"/>
                <w:lang w:bidi="ar"/>
              </w:rPr>
              <w:t>有欠缺</w:t>
            </w:r>
            <w:r>
              <w:rPr>
                <w:rFonts w:hint="eastAsia" w:ascii="宋体" w:hAnsi="宋体" w:cs="宋体"/>
                <w:color w:val="auto"/>
                <w:spacing w:val="-6"/>
                <w:kern w:val="2"/>
                <w:sz w:val="24"/>
                <w:szCs w:val="24"/>
                <w:lang w:val="en-US" w:eastAsia="zh-CN" w:bidi="ar"/>
              </w:rPr>
              <w:t>或</w:t>
            </w:r>
            <w:r>
              <w:rPr>
                <w:rFonts w:hint="eastAsia" w:ascii="宋体" w:hAnsi="宋体" w:cs="宋体"/>
                <w:color w:val="auto"/>
                <w:spacing w:val="-6"/>
                <w:kern w:val="2"/>
                <w:sz w:val="24"/>
                <w:szCs w:val="24"/>
                <w:lang w:bidi="ar"/>
              </w:rPr>
              <w:t>不合理的，每处扣1分。本项最高得</w:t>
            </w:r>
            <w:r>
              <w:rPr>
                <w:rFonts w:hint="eastAsia" w:ascii="宋体" w:hAnsi="宋体" w:cs="宋体"/>
                <w:color w:val="auto"/>
                <w:spacing w:val="-6"/>
                <w:kern w:val="2"/>
                <w:sz w:val="24"/>
                <w:szCs w:val="24"/>
                <w:lang w:val="en-US" w:eastAsia="zh-CN" w:bidi="ar"/>
              </w:rPr>
              <w:t>6</w:t>
            </w:r>
            <w:r>
              <w:rPr>
                <w:rFonts w:hint="eastAsia" w:ascii="宋体" w:hAnsi="宋体" w:cs="宋体"/>
                <w:color w:val="auto"/>
                <w:spacing w:val="-6"/>
                <w:kern w:val="2"/>
                <w:sz w:val="24"/>
                <w:szCs w:val="24"/>
                <w:lang w:bidi="ar"/>
              </w:rPr>
              <w:t>分。</w:t>
            </w:r>
          </w:p>
        </w:tc>
      </w:tr>
    </w:tbl>
    <w:p w14:paraId="085CACE9">
      <w:pPr>
        <w:pStyle w:val="3"/>
        <w:spacing w:before="120" w:beforeLines="50" w:line="288" w:lineRule="auto"/>
        <w:ind w:left="0" w:leftChars="0" w:firstLine="422" w:firstLineChars="175"/>
        <w:rPr>
          <w:b/>
          <w:color w:val="auto"/>
          <w:szCs w:val="24"/>
        </w:rPr>
      </w:pPr>
      <w:r>
        <w:rPr>
          <w:rFonts w:hint="eastAsia"/>
          <w:b/>
          <w:color w:val="auto"/>
          <w:szCs w:val="24"/>
        </w:rPr>
        <w:t>注：中标（成交）供应商需在评审结束后3个工作日内提交涉及客观分评审内容的检测报告、认证证书等资料的原件或认证网站网址，若无法提供或提供虚假材料则采购方有权认定中标（成交）无效，且将中标（成交）供应商列入黑名单。</w:t>
      </w:r>
    </w:p>
    <w:p w14:paraId="16FF8EBD">
      <w:pPr>
        <w:widowControl/>
        <w:snapToGrid w:val="0"/>
        <w:spacing w:line="288" w:lineRule="auto"/>
        <w:ind w:firstLine="482" w:firstLineChars="200"/>
        <w:rPr>
          <w:rFonts w:ascii="宋体" w:hAnsi="宋体" w:cs="宋体"/>
          <w:b/>
          <w:bCs/>
          <w:color w:val="auto"/>
          <w:sz w:val="24"/>
          <w:szCs w:val="24"/>
        </w:rPr>
      </w:pPr>
      <w:bookmarkStart w:id="415" w:name="_Toc10701"/>
      <w:bookmarkStart w:id="416" w:name="_Toc6434"/>
      <w:bookmarkStart w:id="417" w:name="_Toc25244"/>
      <w:bookmarkStart w:id="418" w:name="_Toc20757"/>
      <w:bookmarkStart w:id="419" w:name="_Toc24145"/>
      <w:bookmarkStart w:id="420" w:name="_Toc1372"/>
      <w:bookmarkStart w:id="421" w:name="_Toc22598"/>
    </w:p>
    <w:bookmarkEnd w:id="415"/>
    <w:bookmarkEnd w:id="416"/>
    <w:bookmarkEnd w:id="417"/>
    <w:bookmarkEnd w:id="418"/>
    <w:bookmarkEnd w:id="419"/>
    <w:bookmarkEnd w:id="420"/>
    <w:bookmarkEnd w:id="421"/>
    <w:p w14:paraId="2D13E8F1">
      <w:pPr>
        <w:rPr>
          <w:rFonts w:hint="eastAsia"/>
          <w:color w:val="auto"/>
        </w:rPr>
      </w:pPr>
      <w:bookmarkStart w:id="422" w:name="_Toc31915_WPSOffice_Level1"/>
      <w:bookmarkStart w:id="423" w:name="_Toc30517"/>
      <w:bookmarkStart w:id="424" w:name="_Toc886"/>
      <w:bookmarkStart w:id="425" w:name="_Toc6559"/>
      <w:bookmarkStart w:id="426" w:name="_Toc2560"/>
      <w:bookmarkStart w:id="427" w:name="_Toc10262"/>
      <w:bookmarkStart w:id="428" w:name="_Toc32613"/>
      <w:bookmarkStart w:id="429" w:name="_Toc22400"/>
      <w:bookmarkStart w:id="430" w:name="_Toc10667"/>
      <w:bookmarkStart w:id="431" w:name="_Toc8338"/>
      <w:bookmarkStart w:id="432" w:name="_Toc1047"/>
      <w:bookmarkStart w:id="433" w:name="_Toc18610"/>
      <w:bookmarkStart w:id="434" w:name="_Toc8120"/>
      <w:bookmarkStart w:id="435" w:name="_Toc16795"/>
      <w:bookmarkStart w:id="436" w:name="_Toc1600"/>
      <w:bookmarkStart w:id="437" w:name="_Toc16244"/>
      <w:bookmarkStart w:id="438" w:name="_Toc8356"/>
      <w:bookmarkStart w:id="439" w:name="_Toc18687"/>
      <w:bookmarkStart w:id="440" w:name="_Toc12834"/>
      <w:bookmarkStart w:id="441" w:name="_Toc13533"/>
      <w:bookmarkStart w:id="442" w:name="_Toc22722"/>
      <w:bookmarkStart w:id="443" w:name="_Toc26629"/>
      <w:bookmarkStart w:id="444" w:name="_Toc11486"/>
      <w:bookmarkStart w:id="445" w:name="_Toc3727"/>
      <w:bookmarkStart w:id="446" w:name="_Toc3807"/>
      <w:bookmarkStart w:id="447" w:name="_Toc11103"/>
      <w:bookmarkStart w:id="448" w:name="_Toc24190"/>
      <w:r>
        <w:rPr>
          <w:rFonts w:hint="eastAsia"/>
          <w:color w:val="auto"/>
        </w:rPr>
        <w:br w:type="page"/>
      </w:r>
    </w:p>
    <w:p w14:paraId="4C536AA3">
      <w:pPr>
        <w:pStyle w:val="4"/>
        <w:keepNext/>
        <w:keepLines/>
        <w:pageBreakBefore w:val="0"/>
        <w:widowControl w:val="0"/>
        <w:kinsoku/>
        <w:wordWrap/>
        <w:overflowPunct/>
        <w:topLinePunct w:val="0"/>
        <w:autoSpaceDE/>
        <w:autoSpaceDN/>
        <w:bidi w:val="0"/>
        <w:adjustRightInd w:val="0"/>
        <w:snapToGrid/>
        <w:spacing w:before="0" w:after="0"/>
        <w:textAlignment w:val="auto"/>
        <w:outlineLvl w:val="0"/>
        <w:rPr>
          <w:color w:val="auto"/>
        </w:rPr>
      </w:pPr>
      <w:bookmarkStart w:id="449" w:name="_Toc28450_WPSOffice_Level1"/>
      <w:r>
        <w:rPr>
          <w:rFonts w:hint="eastAsia"/>
          <w:color w:val="auto"/>
        </w:rPr>
        <w:t>第五部分 合同基本条款</w:t>
      </w:r>
      <w:bookmarkEnd w:id="422"/>
      <w:bookmarkEnd w:id="449"/>
    </w:p>
    <w:bookmarkEnd w:id="423"/>
    <w:bookmarkEnd w:id="424"/>
    <w:p w14:paraId="4E985EE3">
      <w:pPr>
        <w:snapToGrid w:val="0"/>
        <w:spacing w:line="360" w:lineRule="auto"/>
        <w:rPr>
          <w:rFonts w:hAnsi="宋体"/>
          <w:b/>
          <w:bCs/>
          <w:color w:val="auto"/>
          <w:spacing w:val="-6"/>
          <w:szCs w:val="21"/>
        </w:rPr>
      </w:pPr>
      <w:bookmarkStart w:id="450" w:name="_Toc5553"/>
      <w:bookmarkStart w:id="451" w:name="_Toc11617"/>
      <w:bookmarkStart w:id="452" w:name="_Toc762"/>
      <w:bookmarkStart w:id="453" w:name="_Toc8672"/>
      <w:bookmarkStart w:id="454" w:name="_Toc32309"/>
      <w:bookmarkStart w:id="455" w:name="_Toc816"/>
      <w:bookmarkStart w:id="456" w:name="_Toc23835"/>
      <w:bookmarkStart w:id="457" w:name="_Toc32708"/>
      <w:bookmarkStart w:id="458" w:name="_Toc22294"/>
      <w:bookmarkStart w:id="459" w:name="_Toc7308"/>
      <w:bookmarkStart w:id="460" w:name="_Toc2191"/>
      <w:bookmarkStart w:id="461" w:name="_Toc721"/>
      <w:bookmarkStart w:id="462" w:name="_Toc27502"/>
      <w:bookmarkStart w:id="463" w:name="_Toc641"/>
      <w:r>
        <w:rPr>
          <w:rFonts w:hint="eastAsia" w:hAnsi="宋体"/>
          <w:b/>
          <w:bCs/>
          <w:color w:val="auto"/>
          <w:spacing w:val="-6"/>
          <w:szCs w:val="21"/>
        </w:rPr>
        <w:t>注：响应方不响应本合同中的条款，必须在响应文件偏离表中注明，否则视同完全响应。本合同</w:t>
      </w:r>
      <w:r>
        <w:rPr>
          <w:rFonts w:hint="eastAsia" w:hAnsi="宋体"/>
          <w:b/>
          <w:bCs/>
          <w:color w:val="auto"/>
          <w:spacing w:val="-6"/>
          <w:szCs w:val="21"/>
          <w:lang w:val="en-US" w:eastAsia="zh-CN"/>
        </w:rPr>
        <w:t>样稿</w:t>
      </w:r>
      <w:r>
        <w:rPr>
          <w:rFonts w:hint="eastAsia" w:hAnsi="宋体"/>
          <w:b/>
          <w:bCs/>
          <w:color w:val="auto"/>
          <w:spacing w:val="-6"/>
          <w:szCs w:val="21"/>
        </w:rPr>
        <w:t>为</w:t>
      </w:r>
      <w:r>
        <w:rPr>
          <w:rFonts w:hint="eastAsia" w:hAnsi="宋体"/>
          <w:b/>
          <w:bCs/>
          <w:color w:val="auto"/>
          <w:spacing w:val="-6"/>
          <w:szCs w:val="21"/>
          <w:lang w:val="en-US" w:eastAsia="zh-CN"/>
        </w:rPr>
        <w:t>采购统一</w:t>
      </w:r>
      <w:r>
        <w:rPr>
          <w:rFonts w:hint="eastAsia" w:hAnsi="宋体"/>
          <w:b/>
          <w:bCs/>
          <w:color w:val="auto"/>
          <w:spacing w:val="-6"/>
          <w:szCs w:val="21"/>
        </w:rPr>
        <w:t>合同</w:t>
      </w:r>
      <w:r>
        <w:rPr>
          <w:rFonts w:hint="eastAsia" w:hAnsi="宋体"/>
          <w:b/>
          <w:bCs/>
          <w:color w:val="auto"/>
          <w:spacing w:val="-6"/>
          <w:szCs w:val="21"/>
          <w:lang w:val="en-US" w:eastAsia="zh-CN"/>
        </w:rPr>
        <w:t>模板</w:t>
      </w:r>
      <w:r>
        <w:rPr>
          <w:rFonts w:hint="eastAsia" w:hAnsi="宋体"/>
          <w:b/>
          <w:bCs/>
          <w:color w:val="auto"/>
          <w:spacing w:val="-6"/>
          <w:szCs w:val="21"/>
        </w:rPr>
        <w:t>，</w:t>
      </w:r>
      <w:r>
        <w:rPr>
          <w:rFonts w:hint="eastAsia" w:hAnsi="宋体"/>
          <w:b/>
          <w:bCs/>
          <w:color w:val="auto"/>
          <w:spacing w:val="-6"/>
          <w:szCs w:val="21"/>
          <w:lang w:val="en-US" w:eastAsia="zh-CN"/>
        </w:rPr>
        <w:t>实际签订时以采购文件和采购结果为准，如有争议</w:t>
      </w:r>
      <w:r>
        <w:rPr>
          <w:rFonts w:hint="eastAsia" w:hAnsi="宋体"/>
          <w:b/>
          <w:bCs/>
          <w:color w:val="auto"/>
          <w:spacing w:val="-6"/>
          <w:szCs w:val="21"/>
        </w:rPr>
        <w:t>以甲方法务审核后的版本为准。</w:t>
      </w:r>
    </w:p>
    <w:p w14:paraId="7F369635">
      <w:pPr>
        <w:ind w:firstLine="562"/>
        <w:jc w:val="center"/>
        <w:outlineLvl w:val="0"/>
        <w:rPr>
          <w:color w:val="auto"/>
        </w:rPr>
      </w:pPr>
      <w:r>
        <w:rPr>
          <w:rFonts w:hint="eastAsia"/>
          <w:b/>
          <w:bCs/>
          <w:color w:val="auto"/>
          <w:sz w:val="28"/>
          <w:szCs w:val="28"/>
        </w:rPr>
        <w:t>杭州电子科技大学采购合同（服务类）</w:t>
      </w:r>
    </w:p>
    <w:p w14:paraId="353AD94B">
      <w:pPr>
        <w:jc w:val="right"/>
        <w:outlineLvl w:val="0"/>
        <w:rPr>
          <w:b/>
          <w:bCs/>
          <w:color w:val="auto"/>
        </w:rPr>
      </w:pPr>
      <w:r>
        <w:rPr>
          <w:rFonts w:hint="eastAsia"/>
          <w:color w:val="auto"/>
        </w:rPr>
        <w:t>合同编号_</w:t>
      </w:r>
      <w:r>
        <w:rPr>
          <w:color w:val="auto"/>
        </w:rPr>
        <w:t>________________</w:t>
      </w:r>
    </w:p>
    <w:p w14:paraId="42579589">
      <w:pPr>
        <w:keepNext w:val="0"/>
        <w:keepLines w:val="0"/>
        <w:pageBreakBefore w:val="0"/>
        <w:widowControl w:val="0"/>
        <w:kinsoku/>
        <w:wordWrap/>
        <w:overflowPunct/>
        <w:topLinePunct w:val="0"/>
        <w:bidi w:val="0"/>
        <w:snapToGrid/>
        <w:spacing w:line="288" w:lineRule="auto"/>
        <w:ind w:left="0" w:leftChars="0" w:firstLine="413" w:firstLineChars="209"/>
        <w:textAlignment w:val="auto"/>
        <w:outlineLvl w:val="0"/>
        <w:rPr>
          <w:rFonts w:ascii="宋体" w:hAnsi="宋体" w:cs="宋体"/>
          <w:color w:val="auto"/>
          <w:spacing w:val="-6"/>
          <w:sz w:val="21"/>
          <w:szCs w:val="21"/>
        </w:rPr>
      </w:pPr>
      <w:r>
        <w:rPr>
          <w:rFonts w:hint="eastAsia" w:ascii="宋体" w:hAnsi="宋体" w:cs="宋体"/>
          <w:color w:val="auto"/>
          <w:spacing w:val="-6"/>
          <w:sz w:val="21"/>
          <w:szCs w:val="21"/>
        </w:rPr>
        <w:t>确认书号：</w:t>
      </w:r>
    </w:p>
    <w:p w14:paraId="774A5773">
      <w:pPr>
        <w:keepNext w:val="0"/>
        <w:keepLines w:val="0"/>
        <w:pageBreakBefore w:val="0"/>
        <w:widowControl w:val="0"/>
        <w:kinsoku/>
        <w:wordWrap/>
        <w:overflowPunct/>
        <w:topLinePunct w:val="0"/>
        <w:bidi w:val="0"/>
        <w:snapToGrid/>
        <w:spacing w:line="288" w:lineRule="auto"/>
        <w:ind w:left="0" w:leftChars="0" w:firstLine="413" w:firstLineChars="209"/>
        <w:textAlignment w:val="auto"/>
        <w:outlineLvl w:val="0"/>
        <w:rPr>
          <w:rFonts w:ascii="宋体" w:hAnsi="宋体" w:cs="宋体"/>
          <w:color w:val="auto"/>
          <w:spacing w:val="-6"/>
          <w:sz w:val="21"/>
          <w:szCs w:val="21"/>
        </w:rPr>
      </w:pPr>
      <w:r>
        <w:rPr>
          <w:rFonts w:hint="eastAsia" w:ascii="宋体" w:hAnsi="宋体" w:cs="宋体"/>
          <w:color w:val="auto"/>
          <w:spacing w:val="-6"/>
          <w:sz w:val="21"/>
          <w:szCs w:val="21"/>
        </w:rPr>
        <w:t>项目编号：</w:t>
      </w:r>
    </w:p>
    <w:p w14:paraId="53B46A91">
      <w:pPr>
        <w:keepNext w:val="0"/>
        <w:keepLines w:val="0"/>
        <w:pageBreakBefore w:val="0"/>
        <w:widowControl w:val="0"/>
        <w:kinsoku/>
        <w:wordWrap/>
        <w:overflowPunct/>
        <w:topLinePunct w:val="0"/>
        <w:bidi w:val="0"/>
        <w:snapToGrid/>
        <w:spacing w:line="288" w:lineRule="auto"/>
        <w:ind w:left="0" w:leftChars="0" w:firstLine="438" w:firstLineChars="209"/>
        <w:textAlignment w:val="auto"/>
        <w:outlineLvl w:val="0"/>
        <w:rPr>
          <w:color w:val="auto"/>
          <w:sz w:val="21"/>
          <w:szCs w:val="21"/>
        </w:rPr>
      </w:pPr>
      <w:r>
        <w:rPr>
          <w:rFonts w:hint="eastAsia"/>
          <w:color w:val="auto"/>
          <w:sz w:val="21"/>
          <w:szCs w:val="21"/>
        </w:rPr>
        <w:t xml:space="preserve">甲方（采购人）：杭州电子科技大学 </w:t>
      </w:r>
      <w:r>
        <w:rPr>
          <w:color w:val="auto"/>
          <w:sz w:val="21"/>
          <w:szCs w:val="21"/>
        </w:rPr>
        <w:t xml:space="preserve"> </w:t>
      </w:r>
    </w:p>
    <w:p w14:paraId="2E383347">
      <w:pPr>
        <w:keepNext w:val="0"/>
        <w:keepLines w:val="0"/>
        <w:pageBreakBefore w:val="0"/>
        <w:widowControl w:val="0"/>
        <w:kinsoku/>
        <w:wordWrap/>
        <w:overflowPunct/>
        <w:topLinePunct w:val="0"/>
        <w:bidi w:val="0"/>
        <w:snapToGrid/>
        <w:spacing w:line="288" w:lineRule="auto"/>
        <w:ind w:left="0" w:leftChars="0" w:firstLine="438" w:firstLineChars="209"/>
        <w:textAlignment w:val="auto"/>
        <w:outlineLvl w:val="0"/>
        <w:rPr>
          <w:color w:val="auto"/>
          <w:sz w:val="21"/>
          <w:szCs w:val="21"/>
        </w:rPr>
      </w:pPr>
      <w:r>
        <w:rPr>
          <w:rFonts w:hint="eastAsia"/>
          <w:color w:val="auto"/>
          <w:sz w:val="21"/>
          <w:szCs w:val="21"/>
        </w:rPr>
        <w:t>乙方（供应商）：</w:t>
      </w:r>
      <w:r>
        <w:rPr>
          <w:color w:val="auto"/>
          <w:sz w:val="21"/>
          <w:szCs w:val="21"/>
        </w:rPr>
        <w:t xml:space="preserve"> </w:t>
      </w:r>
    </w:p>
    <w:p w14:paraId="09C039D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为了保护甲乙双方合法权益，根据项目</w:t>
      </w:r>
      <w:r>
        <w:rPr>
          <w:color w:val="auto"/>
          <w:sz w:val="21"/>
          <w:szCs w:val="21"/>
          <w:u w:val="single"/>
        </w:rPr>
        <w:t xml:space="preserve">   (</w:t>
      </w:r>
      <w:r>
        <w:rPr>
          <w:rFonts w:hint="eastAsia"/>
          <w:color w:val="auto"/>
          <w:sz w:val="21"/>
          <w:szCs w:val="21"/>
          <w:u w:val="single"/>
        </w:rPr>
        <w:t>填项目名称</w:t>
      </w:r>
      <w:r>
        <w:rPr>
          <w:color w:val="auto"/>
          <w:sz w:val="21"/>
          <w:szCs w:val="21"/>
          <w:u w:val="single"/>
        </w:rPr>
        <w:t xml:space="preserve">)      </w:t>
      </w:r>
      <w:r>
        <w:rPr>
          <w:rFonts w:hint="eastAsia"/>
          <w:color w:val="auto"/>
          <w:sz w:val="21"/>
          <w:szCs w:val="21"/>
          <w:lang w:eastAsia="zh-CN"/>
        </w:rPr>
        <w:t>、</w:t>
      </w:r>
      <w:r>
        <w:rPr>
          <w:color w:val="auto"/>
          <w:sz w:val="21"/>
          <w:szCs w:val="21"/>
          <w:u w:val="single"/>
        </w:rPr>
        <w:t xml:space="preserve"> </w:t>
      </w:r>
      <w:r>
        <w:rPr>
          <w:rFonts w:hint="eastAsia"/>
          <w:color w:val="auto"/>
          <w:sz w:val="21"/>
          <w:szCs w:val="21"/>
          <w:u w:val="single"/>
        </w:rPr>
        <w:t>（填采购方式）</w:t>
      </w:r>
      <w:r>
        <w:rPr>
          <w:color w:val="auto"/>
          <w:sz w:val="21"/>
          <w:szCs w:val="21"/>
          <w:u w:val="single"/>
        </w:rPr>
        <w:t xml:space="preserve">   </w:t>
      </w:r>
      <w:r>
        <w:rPr>
          <w:rFonts w:hint="eastAsia"/>
          <w:color w:val="auto"/>
          <w:sz w:val="21"/>
          <w:szCs w:val="21"/>
        </w:rPr>
        <w:t>的中标（成交）结果，签署本合同，以资共同遵守。</w:t>
      </w:r>
      <w:r>
        <w:rPr>
          <w:color w:val="auto"/>
          <w:sz w:val="21"/>
          <w:szCs w:val="21"/>
        </w:rPr>
        <w:t xml:space="preserve">  </w:t>
      </w:r>
    </w:p>
    <w:p w14:paraId="4B67399D">
      <w:pPr>
        <w:pStyle w:val="168"/>
        <w:keepNext w:val="0"/>
        <w:keepLines w:val="0"/>
        <w:pageBreakBefore w:val="0"/>
        <w:widowControl w:val="0"/>
        <w:kinsoku/>
        <w:wordWrap/>
        <w:overflowPunct/>
        <w:topLinePunct w:val="0"/>
        <w:bidi w:val="0"/>
        <w:snapToGrid/>
        <w:spacing w:line="288" w:lineRule="auto"/>
        <w:textAlignment w:val="auto"/>
        <w:outlineLvl w:val="0"/>
        <w:rPr>
          <w:b/>
          <w:bCs/>
          <w:color w:val="auto"/>
          <w:sz w:val="21"/>
          <w:szCs w:val="21"/>
        </w:rPr>
      </w:pPr>
      <w:r>
        <w:rPr>
          <w:rFonts w:hint="eastAsia"/>
          <w:b/>
          <w:bCs/>
          <w:color w:val="auto"/>
          <w:sz w:val="21"/>
          <w:szCs w:val="21"/>
          <w:lang w:val="en-US" w:eastAsia="zh-CN"/>
        </w:rPr>
        <w:t>一、</w:t>
      </w:r>
      <w:r>
        <w:rPr>
          <w:rFonts w:hint="eastAsia"/>
          <w:b/>
          <w:bCs/>
          <w:color w:val="auto"/>
          <w:sz w:val="21"/>
          <w:szCs w:val="21"/>
        </w:rPr>
        <w:t>采购服务内容及合同价格</w:t>
      </w:r>
    </w:p>
    <w:tbl>
      <w:tblPr>
        <w:tblStyle w:val="45"/>
        <w:tblW w:w="9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9"/>
        <w:gridCol w:w="3289"/>
        <w:gridCol w:w="3736"/>
      </w:tblGrid>
      <w:tr w14:paraId="1FC48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vAlign w:val="center"/>
          </w:tcPr>
          <w:p w14:paraId="01B61007">
            <w:pPr>
              <w:keepNext w:val="0"/>
              <w:keepLines w:val="0"/>
              <w:pageBreakBefore w:val="0"/>
              <w:widowControl w:val="0"/>
              <w:kinsoku/>
              <w:wordWrap/>
              <w:overflowPunct/>
              <w:topLinePunct w:val="0"/>
              <w:bidi w:val="0"/>
              <w:snapToGrid/>
              <w:spacing w:line="288" w:lineRule="auto"/>
              <w:ind w:left="0" w:leftChars="0" w:firstLine="0" w:firstLineChars="0"/>
              <w:jc w:val="center"/>
              <w:textAlignment w:val="auto"/>
              <w:outlineLvl w:val="0"/>
              <w:rPr>
                <w:color w:val="auto"/>
                <w:sz w:val="21"/>
                <w:szCs w:val="21"/>
              </w:rPr>
            </w:pPr>
            <w:r>
              <w:rPr>
                <w:rFonts w:hint="eastAsia"/>
                <w:color w:val="auto"/>
                <w:sz w:val="21"/>
                <w:szCs w:val="21"/>
              </w:rPr>
              <w:t>序号</w:t>
            </w:r>
          </w:p>
        </w:tc>
        <w:tc>
          <w:tcPr>
            <w:tcW w:w="1179" w:type="dxa"/>
            <w:vAlign w:val="center"/>
          </w:tcPr>
          <w:p w14:paraId="115E9F4C">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r>
              <w:rPr>
                <w:rFonts w:hint="eastAsia"/>
                <w:color w:val="auto"/>
                <w:sz w:val="21"/>
                <w:szCs w:val="21"/>
              </w:rPr>
              <w:t>名称</w:t>
            </w:r>
          </w:p>
        </w:tc>
        <w:tc>
          <w:tcPr>
            <w:tcW w:w="3289" w:type="dxa"/>
            <w:vAlign w:val="center"/>
          </w:tcPr>
          <w:p w14:paraId="07678DF4">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r>
              <w:rPr>
                <w:rFonts w:hint="eastAsia"/>
                <w:color w:val="auto"/>
                <w:sz w:val="21"/>
                <w:szCs w:val="21"/>
              </w:rPr>
              <w:t>主要内容</w:t>
            </w:r>
          </w:p>
        </w:tc>
        <w:tc>
          <w:tcPr>
            <w:tcW w:w="3736" w:type="dxa"/>
            <w:vAlign w:val="center"/>
          </w:tcPr>
          <w:p w14:paraId="4E949D2B">
            <w:pPr>
              <w:keepNext w:val="0"/>
              <w:keepLines w:val="0"/>
              <w:pageBreakBefore w:val="0"/>
              <w:widowControl w:val="0"/>
              <w:kinsoku/>
              <w:wordWrap/>
              <w:overflowPunct/>
              <w:topLinePunct w:val="0"/>
              <w:bidi w:val="0"/>
              <w:snapToGrid/>
              <w:spacing w:line="288" w:lineRule="auto"/>
              <w:jc w:val="center"/>
              <w:textAlignment w:val="auto"/>
              <w:outlineLvl w:val="0"/>
              <w:rPr>
                <w:color w:val="auto"/>
                <w:sz w:val="21"/>
                <w:szCs w:val="21"/>
              </w:rPr>
            </w:pPr>
            <w:r>
              <w:rPr>
                <w:rFonts w:hint="eastAsia"/>
                <w:color w:val="auto"/>
                <w:sz w:val="21"/>
                <w:szCs w:val="21"/>
              </w:rPr>
              <w:t>服务费用</w:t>
            </w:r>
          </w:p>
        </w:tc>
      </w:tr>
      <w:tr w14:paraId="4153D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6B28CE53">
            <w:pPr>
              <w:keepNext w:val="0"/>
              <w:keepLines w:val="0"/>
              <w:pageBreakBefore w:val="0"/>
              <w:widowControl w:val="0"/>
              <w:kinsoku/>
              <w:wordWrap/>
              <w:overflowPunct/>
              <w:topLinePunct w:val="0"/>
              <w:bidi w:val="0"/>
              <w:snapToGrid/>
              <w:spacing w:line="288" w:lineRule="auto"/>
              <w:jc w:val="center"/>
              <w:textAlignment w:val="auto"/>
              <w:outlineLvl w:val="0"/>
              <w:rPr>
                <w:color w:val="auto"/>
                <w:sz w:val="21"/>
                <w:szCs w:val="21"/>
              </w:rPr>
            </w:pPr>
            <w:r>
              <w:rPr>
                <w:color w:val="auto"/>
                <w:sz w:val="21"/>
                <w:szCs w:val="21"/>
              </w:rPr>
              <w:t>1</w:t>
            </w:r>
          </w:p>
        </w:tc>
        <w:tc>
          <w:tcPr>
            <w:tcW w:w="1179" w:type="dxa"/>
            <w:vAlign w:val="center"/>
          </w:tcPr>
          <w:p w14:paraId="088D8870">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289" w:type="dxa"/>
            <w:vAlign w:val="center"/>
          </w:tcPr>
          <w:p w14:paraId="37E56C4E">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736" w:type="dxa"/>
            <w:vAlign w:val="center"/>
          </w:tcPr>
          <w:p w14:paraId="59E1017C">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r>
      <w:tr w14:paraId="0230C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0E03831F">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1179" w:type="dxa"/>
            <w:vAlign w:val="center"/>
          </w:tcPr>
          <w:p w14:paraId="2DE881EC">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289" w:type="dxa"/>
            <w:vAlign w:val="center"/>
          </w:tcPr>
          <w:p w14:paraId="41E603DD">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736" w:type="dxa"/>
            <w:vAlign w:val="center"/>
          </w:tcPr>
          <w:p w14:paraId="73DDF027">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r>
      <w:tr w14:paraId="0FFDF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245" w:type="dxa"/>
            <w:gridSpan w:val="4"/>
            <w:vAlign w:val="center"/>
          </w:tcPr>
          <w:p w14:paraId="27F0BE42">
            <w:pPr>
              <w:keepNext w:val="0"/>
              <w:keepLines w:val="0"/>
              <w:pageBreakBefore w:val="0"/>
              <w:widowControl w:val="0"/>
              <w:kinsoku/>
              <w:wordWrap/>
              <w:overflowPunct/>
              <w:topLinePunct w:val="0"/>
              <w:bidi w:val="0"/>
              <w:snapToGrid/>
              <w:spacing w:line="288" w:lineRule="auto"/>
              <w:textAlignment w:val="auto"/>
              <w:outlineLvl w:val="0"/>
              <w:rPr>
                <w:rFonts w:cs="宋体"/>
                <w:color w:val="auto"/>
                <w:sz w:val="21"/>
                <w:szCs w:val="21"/>
              </w:rPr>
            </w:pPr>
            <w:r>
              <w:rPr>
                <w:rFonts w:hint="eastAsia"/>
                <w:color w:val="auto"/>
                <w:sz w:val="21"/>
                <w:szCs w:val="21"/>
              </w:rPr>
              <w:t>合同总价（元，人民币）：小写</w:t>
            </w:r>
            <w:r>
              <w:rPr>
                <w:rFonts w:hint="eastAsia" w:cs="宋体"/>
                <w:color w:val="auto"/>
                <w:sz w:val="21"/>
                <w:szCs w:val="21"/>
              </w:rPr>
              <w:t>￥</w:t>
            </w:r>
            <w:r>
              <w:rPr>
                <w:color w:val="auto"/>
                <w:sz w:val="21"/>
                <w:szCs w:val="21"/>
              </w:rPr>
              <w:t xml:space="preserve">              </w:t>
            </w:r>
            <w:r>
              <w:rPr>
                <w:rFonts w:hint="eastAsia"/>
                <w:color w:val="auto"/>
                <w:sz w:val="21"/>
                <w:szCs w:val="21"/>
              </w:rPr>
              <w:t>，大写：</w:t>
            </w:r>
          </w:p>
        </w:tc>
      </w:tr>
    </w:tbl>
    <w:p w14:paraId="5FE100C8">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b/>
          <w:bCs/>
          <w:color w:val="auto"/>
          <w:sz w:val="21"/>
          <w:szCs w:val="21"/>
        </w:rPr>
      </w:pPr>
      <w:r>
        <w:rPr>
          <w:rFonts w:hint="eastAsia"/>
          <w:color w:val="auto"/>
          <w:sz w:val="21"/>
          <w:szCs w:val="21"/>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4984717F">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二、服务内</w:t>
      </w:r>
      <w:r>
        <w:rPr>
          <w:rFonts w:hint="eastAsia"/>
          <w:b/>
          <w:bCs/>
          <w:color w:val="auto"/>
          <w:sz w:val="21"/>
          <w:szCs w:val="21"/>
        </w:rPr>
        <w:t>容与要求</w:t>
      </w:r>
    </w:p>
    <w:p w14:paraId="37B11FE6">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（按采购文件及采购结果填写</w:t>
      </w:r>
      <w:r>
        <w:rPr>
          <w:rFonts w:hint="eastAsia"/>
          <w:color w:val="auto"/>
          <w:sz w:val="21"/>
          <w:szCs w:val="21"/>
          <w:lang w:eastAsia="zh-CN"/>
        </w:rPr>
        <w:t>，</w:t>
      </w:r>
      <w:r>
        <w:rPr>
          <w:rFonts w:hint="eastAsia"/>
          <w:color w:val="auto"/>
          <w:sz w:val="21"/>
          <w:szCs w:val="21"/>
          <w:u w:val="single"/>
          <w:lang w:val="en-US" w:eastAsia="zh-CN"/>
        </w:rPr>
        <w:t xml:space="preserve">                          </w:t>
      </w:r>
      <w:r>
        <w:rPr>
          <w:rFonts w:hint="eastAsia"/>
          <w:color w:val="auto"/>
          <w:sz w:val="21"/>
          <w:szCs w:val="21"/>
        </w:rPr>
        <w:t>）</w:t>
      </w:r>
    </w:p>
    <w:p w14:paraId="56FC2973">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三、服务时间与地点</w:t>
      </w:r>
    </w:p>
    <w:p w14:paraId="658C063A">
      <w:pPr>
        <w:pStyle w:val="8"/>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u w:val="single"/>
        </w:rPr>
      </w:pPr>
      <w:r>
        <w:rPr>
          <w:rFonts w:asciiTheme="minorEastAsia" w:hAnsiTheme="minorEastAsia" w:eastAsiaTheme="minorEastAsia"/>
          <w:b/>
          <w:bCs/>
          <w:color w:val="auto"/>
          <w:sz w:val="21"/>
          <w:szCs w:val="21"/>
        </w:rPr>
        <w:t>1</w:t>
      </w:r>
      <w:r>
        <w:rPr>
          <w:rFonts w:asciiTheme="minorEastAsia" w:hAnsiTheme="minorEastAsia" w:eastAsiaTheme="minorEastAsia"/>
          <w:b/>
          <w:bCs/>
          <w:color w:val="auto"/>
          <w:spacing w:val="-6"/>
          <w:sz w:val="21"/>
          <w:szCs w:val="21"/>
        </w:rPr>
        <w:t>.</w:t>
      </w:r>
      <w:r>
        <w:rPr>
          <w:rFonts w:hint="eastAsia"/>
          <w:b/>
          <w:bCs/>
          <w:color w:val="auto"/>
          <w:sz w:val="21"/>
          <w:szCs w:val="21"/>
        </w:rPr>
        <w:t>服务时间</w:t>
      </w:r>
      <w:r>
        <w:rPr>
          <w:color w:val="auto"/>
          <w:sz w:val="21"/>
          <w:szCs w:val="21"/>
        </w:rPr>
        <w:t xml:space="preserve"> </w:t>
      </w:r>
    </w:p>
    <w:p w14:paraId="5921BD85">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hint="default" w:eastAsia="宋体"/>
          <w:color w:val="auto"/>
          <w:sz w:val="21"/>
          <w:szCs w:val="21"/>
          <w:u w:val="single"/>
          <w:lang w:val="en-US" w:eastAsia="zh-CN"/>
        </w:rPr>
      </w:pPr>
      <w:r>
        <w:rPr>
          <w:rFonts w:hint="eastAsia"/>
          <w:color w:val="auto"/>
          <w:sz w:val="21"/>
          <w:szCs w:val="21"/>
        </w:rPr>
        <w:t>服务期限：</w:t>
      </w:r>
      <w:r>
        <w:rPr>
          <w:color w:val="auto"/>
          <w:sz w:val="21"/>
          <w:szCs w:val="21"/>
          <w:u w:val="single"/>
        </w:rPr>
        <w:t xml:space="preserve">    </w:t>
      </w:r>
      <w:r>
        <w:rPr>
          <w:rFonts w:hint="eastAsia"/>
          <w:color w:val="auto"/>
          <w:sz w:val="21"/>
          <w:szCs w:val="21"/>
          <w:lang w:val="en-US" w:eastAsia="zh-CN"/>
        </w:rPr>
        <w:t>月</w:t>
      </w:r>
      <w:r>
        <w:rPr>
          <w:rFonts w:hint="eastAsia"/>
          <w:color w:val="auto"/>
          <w:sz w:val="21"/>
          <w:szCs w:val="21"/>
        </w:rPr>
        <w:t>，从</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日至</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w:t>
      </w:r>
      <w:r>
        <w:rPr>
          <w:rFonts w:hint="eastAsia"/>
          <w:color w:val="auto"/>
          <w:sz w:val="21"/>
          <w:szCs w:val="21"/>
          <w:lang w:val="en-US" w:eastAsia="zh-CN"/>
        </w:rPr>
        <w:t>乙方须在</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w:t>
      </w:r>
      <w:r>
        <w:rPr>
          <w:rFonts w:hint="eastAsia"/>
          <w:color w:val="auto"/>
          <w:sz w:val="21"/>
          <w:szCs w:val="21"/>
          <w:lang w:val="en-US" w:eastAsia="zh-CN"/>
        </w:rPr>
        <w:t>前完成本项目并经甲方验收合格；其他质保及服务时间说明（如有）：</w:t>
      </w:r>
      <w:r>
        <w:rPr>
          <w:rFonts w:hint="eastAsia"/>
          <w:color w:val="auto"/>
          <w:sz w:val="21"/>
          <w:szCs w:val="21"/>
          <w:u w:val="single"/>
          <w:lang w:val="en-US" w:eastAsia="zh-CN"/>
        </w:rPr>
        <w:t xml:space="preserve">               </w:t>
      </w:r>
      <w:r>
        <w:rPr>
          <w:rFonts w:hint="eastAsia"/>
          <w:color w:val="auto"/>
          <w:sz w:val="21"/>
          <w:szCs w:val="21"/>
          <w:u w:val="none"/>
          <w:lang w:val="en-US" w:eastAsia="zh-CN"/>
        </w:rPr>
        <w:t xml:space="preserve"> 。</w:t>
      </w:r>
    </w:p>
    <w:p w14:paraId="22D25D22">
      <w:pPr>
        <w:pStyle w:val="53"/>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hint="eastAsia"/>
          <w:b/>
          <w:bCs/>
          <w:color w:val="auto"/>
          <w:sz w:val="21"/>
          <w:szCs w:val="21"/>
        </w:rPr>
        <w:t>2</w:t>
      </w:r>
      <w:r>
        <w:rPr>
          <w:b/>
          <w:bCs/>
          <w:color w:val="auto"/>
          <w:sz w:val="21"/>
          <w:szCs w:val="21"/>
        </w:rPr>
        <w:t>.</w:t>
      </w:r>
      <w:r>
        <w:rPr>
          <w:rFonts w:hint="eastAsia"/>
          <w:b/>
          <w:bCs/>
          <w:color w:val="auto"/>
          <w:sz w:val="21"/>
          <w:szCs w:val="21"/>
        </w:rPr>
        <w:t>服务地点：</w:t>
      </w:r>
      <w:r>
        <w:rPr>
          <w:rFonts w:hint="eastAsia"/>
          <w:color w:val="auto"/>
          <w:sz w:val="21"/>
          <w:szCs w:val="21"/>
          <w:u w:val="single"/>
        </w:rPr>
        <w:t xml:space="preserve">  </w:t>
      </w:r>
      <w:r>
        <w:rPr>
          <w:rFonts w:hint="eastAsia"/>
          <w:color w:val="auto"/>
          <w:sz w:val="21"/>
          <w:szCs w:val="21"/>
          <w:u w:val="single"/>
          <w:lang w:val="en-US" w:eastAsia="zh-CN"/>
        </w:rPr>
        <w:t xml:space="preserve">甲方指定地点 </w:t>
      </w:r>
      <w:r>
        <w:rPr>
          <w:rFonts w:hint="eastAsia"/>
          <w:color w:val="auto"/>
          <w:sz w:val="21"/>
          <w:szCs w:val="21"/>
          <w:lang w:val="en-US" w:eastAsia="zh-CN"/>
        </w:rPr>
        <w:t>。</w:t>
      </w:r>
    </w:p>
    <w:p w14:paraId="7F6FAAC5">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hint="eastAsia" w:ascii="宋体" w:hAnsi="Times New Roman" w:eastAsia="宋体" w:cs="Times New Roman"/>
          <w:b/>
          <w:bCs/>
          <w:color w:val="auto"/>
          <w:sz w:val="21"/>
          <w:szCs w:val="21"/>
          <w:lang w:val="en-US" w:eastAsia="zh-CN" w:bidi="ar-SA"/>
        </w:rPr>
        <w:t>3.联系人及电话：</w:t>
      </w:r>
      <w:r>
        <w:rPr>
          <w:rFonts w:hint="eastAsia"/>
          <w:color w:val="auto"/>
          <w:sz w:val="21"/>
          <w:szCs w:val="21"/>
        </w:rPr>
        <w:t>甲方</w:t>
      </w:r>
      <w:r>
        <w:rPr>
          <w:color w:val="auto"/>
          <w:sz w:val="21"/>
          <w:szCs w:val="21"/>
        </w:rPr>
        <w:t xml:space="preserve"> </w:t>
      </w:r>
      <w:r>
        <w:rPr>
          <w:rFonts w:hint="eastAsia"/>
          <w:color w:val="auto"/>
          <w:sz w:val="21"/>
          <w:szCs w:val="21"/>
        </w:rPr>
        <w:t>姓名</w:t>
      </w:r>
      <w:r>
        <w:rPr>
          <w:rFonts w:hint="eastAsia"/>
          <w:color w:val="auto"/>
          <w:sz w:val="21"/>
          <w:szCs w:val="21"/>
          <w:u w:val="single"/>
          <w:lang w:val="en-US" w:eastAsia="zh-CN"/>
        </w:rPr>
        <w:t xml:space="preserve">            </w:t>
      </w:r>
      <w:r>
        <w:rPr>
          <w:rFonts w:hint="eastAsia"/>
          <w:color w:val="auto"/>
          <w:sz w:val="21"/>
          <w:szCs w:val="21"/>
          <w:lang w:eastAsia="zh-CN"/>
        </w:rPr>
        <w:t>，</w:t>
      </w:r>
      <w:r>
        <w:rPr>
          <w:rFonts w:hint="eastAsia"/>
          <w:color w:val="auto"/>
          <w:sz w:val="21"/>
          <w:szCs w:val="21"/>
        </w:rPr>
        <w:t>联系</w:t>
      </w:r>
      <w:r>
        <w:rPr>
          <w:rFonts w:hint="eastAsia"/>
          <w:color w:val="auto"/>
          <w:sz w:val="21"/>
          <w:szCs w:val="21"/>
          <w:lang w:val="en-US" w:eastAsia="zh-CN"/>
        </w:rPr>
        <w:t>电话</w:t>
      </w:r>
      <w:r>
        <w:rPr>
          <w:rFonts w:hint="eastAsia"/>
          <w:color w:val="auto"/>
          <w:sz w:val="21"/>
          <w:szCs w:val="21"/>
          <w:u w:val="single"/>
          <w:lang w:val="en-US" w:eastAsia="zh-CN"/>
        </w:rPr>
        <w:t xml:space="preserve">             </w:t>
      </w:r>
      <w:r>
        <w:rPr>
          <w:rFonts w:hint="eastAsia"/>
          <w:color w:val="auto"/>
          <w:sz w:val="21"/>
          <w:szCs w:val="21"/>
          <w:u w:val="single"/>
        </w:rPr>
        <w:t xml:space="preserve"> </w:t>
      </w:r>
      <w:r>
        <w:rPr>
          <w:rFonts w:hint="eastAsia"/>
          <w:color w:val="auto"/>
          <w:sz w:val="21"/>
          <w:szCs w:val="21"/>
        </w:rPr>
        <w:t>；乙方</w:t>
      </w:r>
      <w:r>
        <w:rPr>
          <w:color w:val="auto"/>
          <w:sz w:val="21"/>
          <w:szCs w:val="21"/>
        </w:rPr>
        <w:t xml:space="preserve"> </w:t>
      </w:r>
      <w:r>
        <w:rPr>
          <w:rFonts w:hint="eastAsia"/>
          <w:color w:val="auto"/>
          <w:sz w:val="21"/>
          <w:szCs w:val="21"/>
        </w:rPr>
        <w:t>姓名</w:t>
      </w:r>
      <w:r>
        <w:rPr>
          <w:rFonts w:hint="eastAsia"/>
          <w:color w:val="auto"/>
          <w:sz w:val="21"/>
          <w:szCs w:val="21"/>
          <w:u w:val="single"/>
          <w:lang w:val="en-US" w:eastAsia="zh-CN"/>
        </w:rPr>
        <w:t xml:space="preserve">            </w:t>
      </w:r>
      <w:r>
        <w:rPr>
          <w:rFonts w:hint="eastAsia"/>
          <w:color w:val="auto"/>
          <w:sz w:val="21"/>
          <w:szCs w:val="21"/>
          <w:lang w:eastAsia="zh-CN"/>
        </w:rPr>
        <w:t>，</w:t>
      </w:r>
      <w:r>
        <w:rPr>
          <w:rFonts w:hint="eastAsia"/>
          <w:color w:val="auto"/>
          <w:sz w:val="21"/>
          <w:szCs w:val="21"/>
        </w:rPr>
        <w:t>联系</w:t>
      </w:r>
      <w:r>
        <w:rPr>
          <w:rFonts w:hint="eastAsia"/>
          <w:color w:val="auto"/>
          <w:sz w:val="21"/>
          <w:szCs w:val="21"/>
          <w:lang w:val="en-US" w:eastAsia="zh-CN"/>
        </w:rPr>
        <w:t>电话</w:t>
      </w:r>
      <w:r>
        <w:rPr>
          <w:rFonts w:hint="eastAsia"/>
          <w:color w:val="auto"/>
          <w:sz w:val="21"/>
          <w:szCs w:val="21"/>
          <w:u w:val="single"/>
          <w:lang w:val="en-US" w:eastAsia="zh-CN"/>
        </w:rPr>
        <w:t xml:space="preserve">             </w:t>
      </w:r>
      <w:r>
        <w:rPr>
          <w:rFonts w:hint="eastAsia"/>
          <w:color w:val="auto"/>
          <w:sz w:val="21"/>
          <w:szCs w:val="21"/>
          <w:u w:val="single"/>
        </w:rPr>
        <w:t xml:space="preserve"> </w:t>
      </w:r>
      <w:r>
        <w:rPr>
          <w:rFonts w:hint="eastAsia"/>
          <w:color w:val="auto"/>
          <w:sz w:val="21"/>
          <w:szCs w:val="21"/>
        </w:rPr>
        <w:t>。</w:t>
      </w:r>
    </w:p>
    <w:p w14:paraId="08D23E2E">
      <w:pPr>
        <w:pStyle w:val="53"/>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四、履约保证金与付款方式</w:t>
      </w:r>
    </w:p>
    <w:p w14:paraId="460D8BE0">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asciiTheme="minorEastAsia" w:hAnsiTheme="minorEastAsia" w:eastAsiaTheme="minorEastAsia"/>
          <w:b/>
          <w:bCs/>
          <w:color w:val="auto"/>
          <w:sz w:val="21"/>
          <w:szCs w:val="21"/>
        </w:rPr>
        <w:t>1</w:t>
      </w:r>
      <w:r>
        <w:rPr>
          <w:rFonts w:asciiTheme="minorEastAsia" w:hAnsiTheme="minorEastAsia" w:eastAsiaTheme="minorEastAsia"/>
          <w:b/>
          <w:bCs/>
          <w:color w:val="auto"/>
          <w:spacing w:val="-6"/>
          <w:sz w:val="21"/>
          <w:szCs w:val="21"/>
        </w:rPr>
        <w:t>.</w:t>
      </w:r>
      <w:r>
        <w:rPr>
          <w:b/>
          <w:bCs/>
          <w:color w:val="auto"/>
          <w:sz w:val="21"/>
          <w:szCs w:val="21"/>
        </w:rPr>
        <w:t xml:space="preserve"> </w:t>
      </w:r>
      <w:r>
        <w:rPr>
          <w:rFonts w:hint="eastAsia"/>
          <w:b/>
          <w:bCs/>
          <w:color w:val="auto"/>
          <w:sz w:val="21"/>
          <w:szCs w:val="21"/>
        </w:rPr>
        <w:t>履约保证金（如</w:t>
      </w:r>
      <w:r>
        <w:rPr>
          <w:rFonts w:hint="eastAsia"/>
          <w:b/>
          <w:bCs/>
          <w:color w:val="auto"/>
          <w:sz w:val="21"/>
          <w:szCs w:val="21"/>
          <w:lang w:val="en-US" w:eastAsia="zh-CN"/>
        </w:rPr>
        <w:t>有</w:t>
      </w:r>
      <w:r>
        <w:rPr>
          <w:rFonts w:hint="eastAsia"/>
          <w:b/>
          <w:bCs/>
          <w:color w:val="auto"/>
          <w:sz w:val="21"/>
          <w:szCs w:val="21"/>
        </w:rPr>
        <w:t>）：</w:t>
      </w:r>
      <w:r>
        <w:rPr>
          <w:rFonts w:hint="eastAsia"/>
          <w:color w:val="auto"/>
          <w:sz w:val="21"/>
          <w:szCs w:val="21"/>
        </w:rPr>
        <w:t>合同总金额的</w:t>
      </w:r>
      <w:r>
        <w:rPr>
          <w:color w:val="auto"/>
          <w:sz w:val="21"/>
          <w:szCs w:val="21"/>
          <w:u w:val="single"/>
        </w:rPr>
        <w:t xml:space="preserve">     </w:t>
      </w:r>
      <w:r>
        <w:rPr>
          <w:color w:val="auto"/>
          <w:sz w:val="21"/>
          <w:szCs w:val="21"/>
        </w:rPr>
        <w:t>%</w:t>
      </w:r>
      <w:r>
        <w:rPr>
          <w:rFonts w:hint="eastAsia"/>
          <w:color w:val="auto"/>
          <w:sz w:val="21"/>
          <w:szCs w:val="21"/>
        </w:rPr>
        <w:t>，合同签订后</w:t>
      </w:r>
      <w:r>
        <w:rPr>
          <w:color w:val="auto"/>
          <w:sz w:val="21"/>
          <w:szCs w:val="21"/>
        </w:rPr>
        <w:t>5</w:t>
      </w:r>
      <w:r>
        <w:rPr>
          <w:rFonts w:hint="eastAsia"/>
          <w:color w:val="auto"/>
          <w:sz w:val="21"/>
          <w:szCs w:val="21"/>
        </w:rPr>
        <w:t>个工作日内交纳。交付方式</w:t>
      </w:r>
      <w:r>
        <w:rPr>
          <w:color w:val="auto"/>
          <w:sz w:val="21"/>
          <w:szCs w:val="21"/>
        </w:rPr>
        <w:t>:</w:t>
      </w:r>
      <w:r>
        <w:rPr>
          <w:rFonts w:hint="eastAsia"/>
          <w:color w:val="auto"/>
          <w:sz w:val="21"/>
          <w:szCs w:val="21"/>
        </w:rPr>
        <w:t>保函</w:t>
      </w:r>
      <w:r>
        <w:rPr>
          <w:color w:val="auto"/>
          <w:sz w:val="21"/>
          <w:szCs w:val="21"/>
        </w:rPr>
        <w:t>/</w:t>
      </w:r>
      <w:r>
        <w:rPr>
          <w:rFonts w:hint="eastAsia"/>
          <w:color w:val="auto"/>
          <w:sz w:val="21"/>
          <w:szCs w:val="21"/>
        </w:rPr>
        <w:t>汇票</w:t>
      </w:r>
      <w:r>
        <w:rPr>
          <w:color w:val="auto"/>
          <w:sz w:val="21"/>
          <w:szCs w:val="21"/>
        </w:rPr>
        <w:t>/</w:t>
      </w:r>
      <w:r>
        <w:rPr>
          <w:rFonts w:hint="eastAsia"/>
          <w:color w:val="auto"/>
          <w:sz w:val="21"/>
          <w:szCs w:val="21"/>
        </w:rPr>
        <w:t>支票</w:t>
      </w:r>
      <w:r>
        <w:rPr>
          <w:color w:val="auto"/>
          <w:sz w:val="21"/>
          <w:szCs w:val="21"/>
        </w:rPr>
        <w:t>/</w:t>
      </w:r>
      <w:r>
        <w:rPr>
          <w:rFonts w:hint="eastAsia"/>
          <w:color w:val="auto"/>
          <w:sz w:val="21"/>
          <w:szCs w:val="21"/>
        </w:rPr>
        <w:t>电汇</w:t>
      </w:r>
      <w:r>
        <w:rPr>
          <w:color w:val="auto"/>
          <w:sz w:val="21"/>
          <w:szCs w:val="21"/>
        </w:rPr>
        <w:t>/</w:t>
      </w:r>
      <w:r>
        <w:rPr>
          <w:rFonts w:hint="eastAsia"/>
          <w:color w:val="auto"/>
          <w:sz w:val="21"/>
          <w:szCs w:val="21"/>
        </w:rPr>
        <w:t>转账等。交付完毕后提供保函或联系杭州电子科技大学计划财务处大厅开收据，服务完成验收合格后</w:t>
      </w:r>
      <w:r>
        <w:rPr>
          <w:color w:val="auto"/>
          <w:sz w:val="21"/>
          <w:szCs w:val="21"/>
        </w:rPr>
        <w:t>7</w:t>
      </w:r>
      <w:r>
        <w:rPr>
          <w:rFonts w:hint="eastAsia"/>
          <w:color w:val="auto"/>
          <w:sz w:val="21"/>
          <w:szCs w:val="21"/>
        </w:rPr>
        <w:t>个工作日内凭原始收据不计息退还，以保函形式提交的履约保证金无需办理退还手续。收款单位（户名）</w:t>
      </w:r>
      <w:r>
        <w:rPr>
          <w:color w:val="auto"/>
          <w:sz w:val="21"/>
          <w:szCs w:val="21"/>
        </w:rPr>
        <w:t>:</w:t>
      </w:r>
      <w:r>
        <w:rPr>
          <w:rFonts w:hint="eastAsia"/>
          <w:color w:val="auto"/>
          <w:sz w:val="21"/>
          <w:szCs w:val="21"/>
        </w:rPr>
        <w:t>杭州电子科技大学。开户银行：工行高新支行。银行账号：</w:t>
      </w:r>
      <w:r>
        <w:rPr>
          <w:color w:val="auto"/>
          <w:sz w:val="21"/>
          <w:szCs w:val="21"/>
        </w:rPr>
        <w:t>1202026209008806216</w:t>
      </w:r>
      <w:r>
        <w:rPr>
          <w:rFonts w:hint="eastAsia"/>
          <w:color w:val="auto"/>
          <w:sz w:val="21"/>
          <w:szCs w:val="21"/>
        </w:rPr>
        <w:t>。</w:t>
      </w:r>
    </w:p>
    <w:p w14:paraId="7854ECEF">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rFonts w:hint="eastAsia"/>
          <w:color w:val="auto"/>
          <w:sz w:val="21"/>
          <w:szCs w:val="21"/>
        </w:rPr>
      </w:pPr>
      <w:r>
        <w:rPr>
          <w:rFonts w:asciiTheme="minorEastAsia" w:hAnsiTheme="minorEastAsia" w:eastAsiaTheme="minorEastAsia"/>
          <w:b/>
          <w:bCs/>
          <w:color w:val="auto"/>
          <w:sz w:val="21"/>
          <w:szCs w:val="21"/>
        </w:rPr>
        <w:t>2</w:t>
      </w:r>
      <w:r>
        <w:rPr>
          <w:rFonts w:asciiTheme="minorEastAsia" w:hAnsiTheme="minorEastAsia" w:eastAsiaTheme="minorEastAsia"/>
          <w:b/>
          <w:bCs/>
          <w:color w:val="auto"/>
          <w:spacing w:val="-6"/>
          <w:sz w:val="21"/>
          <w:szCs w:val="21"/>
        </w:rPr>
        <w:t>.</w:t>
      </w:r>
      <w:r>
        <w:rPr>
          <w:b/>
          <w:bCs/>
          <w:color w:val="auto"/>
          <w:sz w:val="21"/>
          <w:szCs w:val="21"/>
        </w:rPr>
        <w:t xml:space="preserve"> </w:t>
      </w:r>
      <w:r>
        <w:rPr>
          <w:rFonts w:hint="eastAsia" w:ascii="宋体" w:hAnsi="宋体" w:cs="宋体"/>
          <w:b/>
          <w:bCs/>
          <w:color w:val="auto"/>
          <w:sz w:val="21"/>
          <w:szCs w:val="21"/>
        </w:rPr>
        <w:t>付款方式</w:t>
      </w:r>
      <w:r>
        <w:rPr>
          <w:rFonts w:hint="eastAsia"/>
          <w:b/>
          <w:bCs/>
          <w:color w:val="auto"/>
          <w:sz w:val="21"/>
          <w:szCs w:val="21"/>
        </w:rPr>
        <w:t>：</w:t>
      </w:r>
      <w:r>
        <w:rPr>
          <w:rFonts w:hint="eastAsia"/>
          <w:color w:val="auto"/>
          <w:sz w:val="21"/>
          <w:szCs w:val="21"/>
        </w:rPr>
        <w:t>按以下第</w:t>
      </w:r>
      <w:r>
        <w:rPr>
          <w:rFonts w:hint="eastAsia"/>
          <w:color w:val="auto"/>
          <w:sz w:val="21"/>
          <w:szCs w:val="21"/>
          <w:u w:val="single"/>
        </w:rPr>
        <w:t xml:space="preserve">        </w:t>
      </w:r>
      <w:r>
        <w:rPr>
          <w:rFonts w:hint="eastAsia"/>
          <w:color w:val="auto"/>
          <w:sz w:val="21"/>
          <w:szCs w:val="21"/>
        </w:rPr>
        <w:t>种方式支付乙方合同价款。</w:t>
      </w:r>
    </w:p>
    <w:p w14:paraId="32D9591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hint="eastAsia"/>
          <w:color w:val="auto"/>
          <w:sz w:val="21"/>
          <w:szCs w:val="21"/>
        </w:rPr>
      </w:pPr>
      <w:r>
        <w:rPr>
          <w:rFonts w:hint="eastAsia"/>
          <w:color w:val="auto"/>
          <w:sz w:val="21"/>
          <w:szCs w:val="21"/>
        </w:rPr>
        <w:t>（</w:t>
      </w:r>
      <w:r>
        <w:rPr>
          <w:rFonts w:asciiTheme="minorEastAsia" w:hAnsiTheme="minorEastAsia" w:eastAsiaTheme="minorEastAsia"/>
          <w:color w:val="auto"/>
          <w:spacing w:val="-6"/>
          <w:sz w:val="21"/>
          <w:szCs w:val="21"/>
        </w:rPr>
        <w:t>1</w:t>
      </w:r>
      <w:r>
        <w:rPr>
          <w:rFonts w:hint="eastAsia"/>
          <w:color w:val="auto"/>
          <w:sz w:val="21"/>
          <w:szCs w:val="21"/>
        </w:rPr>
        <w:t>）预付款方式：合同生效以及具备实施条件且乙方已向甲方提交银行、保险公司等金融机构出具的预付款保函</w:t>
      </w:r>
      <w:r>
        <w:rPr>
          <w:rFonts w:hint="eastAsia"/>
          <w:color w:val="auto"/>
          <w:sz w:val="21"/>
          <w:szCs w:val="21"/>
          <w:lang w:val="en-US" w:eastAsia="zh-CN"/>
        </w:rPr>
        <w:t>后</w:t>
      </w:r>
      <w:r>
        <w:rPr>
          <w:rFonts w:hint="eastAsia"/>
          <w:color w:val="auto"/>
          <w:sz w:val="21"/>
          <w:szCs w:val="21"/>
        </w:rPr>
        <w:t>，</w:t>
      </w:r>
      <w:r>
        <w:rPr>
          <w:color w:val="auto"/>
          <w:sz w:val="21"/>
          <w:szCs w:val="21"/>
        </w:rPr>
        <w:t>7</w:t>
      </w:r>
      <w:r>
        <w:rPr>
          <w:rFonts w:hint="eastAsia"/>
          <w:color w:val="auto"/>
          <w:sz w:val="21"/>
          <w:szCs w:val="21"/>
        </w:rPr>
        <w:t>个工作日内，甲方向乙方支付合同总价的</w:t>
      </w:r>
      <w:r>
        <w:rPr>
          <w:color w:val="auto"/>
          <w:sz w:val="21"/>
          <w:szCs w:val="21"/>
          <w:u w:val="single"/>
        </w:rPr>
        <w:t xml:space="preserve">      </w:t>
      </w:r>
      <w:r>
        <w:rPr>
          <w:color w:val="auto"/>
          <w:sz w:val="21"/>
          <w:szCs w:val="21"/>
        </w:rPr>
        <w:t>%（</w:t>
      </w:r>
      <w:r>
        <w:rPr>
          <w:rFonts w:hint="eastAsia"/>
          <w:color w:val="auto"/>
          <w:sz w:val="21"/>
          <w:szCs w:val="21"/>
          <w:lang w:val="en-US" w:eastAsia="zh-CN"/>
        </w:rPr>
        <w:t>中小微企业限</w:t>
      </w:r>
      <w:r>
        <w:rPr>
          <w:rFonts w:hint="eastAsia" w:ascii="仿宋_GB2312" w:hAnsi="仿宋" w:eastAsia="仿宋_GB2312" w:cs="仿宋_GB2312"/>
          <w:color w:val="auto"/>
          <w:kern w:val="2"/>
          <w:sz w:val="21"/>
          <w:szCs w:val="21"/>
          <w:lang w:val="en-US" w:eastAsia="zh-CN"/>
        </w:rPr>
        <w:t>3</w:t>
      </w:r>
      <w:r>
        <w:rPr>
          <w:rFonts w:hint="eastAsia" w:ascii="仿宋_GB2312" w:hAnsi="仿宋" w:eastAsia="仿宋_GB2312" w:cs="仿宋_GB2312"/>
          <w:color w:val="auto"/>
          <w:kern w:val="2"/>
          <w:sz w:val="21"/>
          <w:szCs w:val="21"/>
        </w:rPr>
        <w:t>0％</w:t>
      </w:r>
      <w:r>
        <w:rPr>
          <w:rFonts w:hint="eastAsia" w:ascii="仿宋_GB2312" w:hAnsi="仿宋" w:eastAsia="仿宋_GB2312" w:cs="仿宋_GB2312"/>
          <w:color w:val="auto"/>
          <w:kern w:val="2"/>
          <w:sz w:val="21"/>
          <w:szCs w:val="21"/>
          <w:lang w:val="en-US" w:eastAsia="zh-CN"/>
        </w:rPr>
        <w:t>-7</w:t>
      </w:r>
      <w:r>
        <w:rPr>
          <w:rFonts w:hint="eastAsia" w:ascii="仿宋_GB2312" w:hAnsi="仿宋" w:eastAsia="仿宋_GB2312" w:cs="仿宋_GB2312"/>
          <w:color w:val="auto"/>
          <w:kern w:val="2"/>
          <w:sz w:val="21"/>
          <w:szCs w:val="21"/>
        </w:rPr>
        <w:t>0%</w:t>
      </w:r>
      <w:r>
        <w:rPr>
          <w:rFonts w:hint="eastAsia" w:ascii="仿宋_GB2312" w:hAnsi="仿宋" w:eastAsia="仿宋_GB2312" w:cs="仿宋_GB2312"/>
          <w:color w:val="auto"/>
          <w:kern w:val="2"/>
          <w:sz w:val="21"/>
          <w:szCs w:val="21"/>
          <w:lang w:eastAsia="zh-CN"/>
        </w:rPr>
        <w:t>，</w:t>
      </w:r>
      <w:r>
        <w:rPr>
          <w:rFonts w:hint="eastAsia"/>
          <w:color w:val="auto"/>
          <w:sz w:val="21"/>
          <w:szCs w:val="21"/>
          <w:lang w:val="en-US" w:eastAsia="zh-CN"/>
        </w:rPr>
        <w:t>项目实施以人工投入为主的，中小微企业限20%-70%</w:t>
      </w:r>
      <w:r>
        <w:rPr>
          <w:color w:val="auto"/>
          <w:sz w:val="21"/>
          <w:szCs w:val="21"/>
        </w:rPr>
        <w:t>）</w:t>
      </w:r>
      <w:r>
        <w:rPr>
          <w:rFonts w:hint="eastAsia"/>
          <w:color w:val="auto"/>
          <w:sz w:val="21"/>
          <w:szCs w:val="21"/>
        </w:rPr>
        <w:t>；</w:t>
      </w:r>
      <w:r>
        <w:rPr>
          <w:rFonts w:hint="eastAsia"/>
          <w:color w:val="auto"/>
          <w:sz w:val="21"/>
          <w:szCs w:val="21"/>
          <w:lang w:val="en-US" w:eastAsia="zh-CN"/>
        </w:rPr>
        <w:t>服务完成，</w:t>
      </w:r>
      <w:r>
        <w:rPr>
          <w:rFonts w:hint="eastAsia"/>
          <w:color w:val="auto"/>
          <w:sz w:val="21"/>
          <w:szCs w:val="21"/>
        </w:rPr>
        <w:t>经甲方验收合格并收到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7</w:t>
      </w:r>
      <w:r>
        <w:rPr>
          <w:rFonts w:hint="eastAsia"/>
          <w:color w:val="auto"/>
          <w:sz w:val="21"/>
          <w:szCs w:val="21"/>
        </w:rPr>
        <w:t>个工作日内，向乙方支付合同总价的</w:t>
      </w:r>
      <w:r>
        <w:rPr>
          <w:rFonts w:hint="eastAsia"/>
          <w:color w:val="auto"/>
          <w:sz w:val="21"/>
          <w:szCs w:val="21"/>
          <w:u w:val="single"/>
        </w:rPr>
        <w:t>　　　</w:t>
      </w:r>
      <w:r>
        <w:rPr>
          <w:color w:val="auto"/>
          <w:sz w:val="21"/>
          <w:szCs w:val="21"/>
        </w:rPr>
        <w:t>%</w:t>
      </w:r>
      <w:r>
        <w:rPr>
          <w:rFonts w:hint="eastAsia"/>
          <w:color w:val="auto"/>
          <w:sz w:val="21"/>
          <w:szCs w:val="21"/>
        </w:rPr>
        <w:t>。若供应商收取预付款，要求预付款保函有效期覆盖项目验收合格时间；提供了预付款保函则供应商无需再缴纳履约保证金。</w:t>
      </w:r>
    </w:p>
    <w:p w14:paraId="08A4F6D8">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2</w:t>
      </w:r>
      <w:r>
        <w:rPr>
          <w:rFonts w:hint="eastAsia"/>
          <w:color w:val="auto"/>
          <w:sz w:val="21"/>
          <w:szCs w:val="21"/>
        </w:rPr>
        <w:t>）以人工投入为主且实行按月定期结算支付款项的项目，按月结算付款。</w:t>
      </w:r>
    </w:p>
    <w:p w14:paraId="44325E5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3</w:t>
      </w:r>
      <w:r>
        <w:rPr>
          <w:rFonts w:hint="eastAsia"/>
          <w:color w:val="auto"/>
          <w:sz w:val="21"/>
          <w:szCs w:val="21"/>
        </w:rPr>
        <w:t>）签订合同时乙方明确表示无需预付款，可以采用以下付款方式：</w:t>
      </w:r>
    </w:p>
    <w:p w14:paraId="60376B55">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①</w:t>
      </w:r>
      <w:r>
        <w:rPr>
          <w:rFonts w:hint="eastAsia"/>
          <w:b/>
          <w:color w:val="auto"/>
          <w:sz w:val="21"/>
          <w:szCs w:val="21"/>
        </w:rPr>
        <w:t>一</w:t>
      </w:r>
      <w:r>
        <w:rPr>
          <w:rFonts w:hint="eastAsia"/>
          <w:bCs/>
          <w:color w:val="auto"/>
          <w:sz w:val="21"/>
          <w:szCs w:val="21"/>
        </w:rPr>
        <w:t>次性付款</w:t>
      </w:r>
      <w:r>
        <w:rPr>
          <w:rFonts w:hint="eastAsia"/>
          <w:b/>
          <w:color w:val="auto"/>
          <w:sz w:val="21"/>
          <w:szCs w:val="21"/>
        </w:rPr>
        <w:t>：</w:t>
      </w:r>
      <w:r>
        <w:rPr>
          <w:rFonts w:hint="eastAsia"/>
          <w:color w:val="auto"/>
          <w:sz w:val="21"/>
          <w:szCs w:val="21"/>
        </w:rPr>
        <w:t>服务</w:t>
      </w:r>
      <w:r>
        <w:rPr>
          <w:rFonts w:hint="eastAsia"/>
          <w:color w:val="auto"/>
          <w:sz w:val="21"/>
          <w:szCs w:val="21"/>
          <w:lang w:val="en-US" w:eastAsia="zh-CN"/>
        </w:rPr>
        <w:t>完成</w:t>
      </w:r>
      <w:r>
        <w:rPr>
          <w:rFonts w:hint="eastAsia"/>
          <w:color w:val="auto"/>
          <w:sz w:val="21"/>
          <w:szCs w:val="21"/>
        </w:rPr>
        <w:t>，甲方验收合格并收到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10</w:t>
      </w:r>
      <w:r>
        <w:rPr>
          <w:rFonts w:hint="eastAsia"/>
          <w:color w:val="auto"/>
          <w:sz w:val="21"/>
          <w:szCs w:val="21"/>
        </w:rPr>
        <w:t>个工作日内，甲方向乙方支付全部合同价款。</w:t>
      </w:r>
    </w:p>
    <w:p w14:paraId="07C0358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②</w:t>
      </w:r>
      <w:r>
        <w:rPr>
          <w:rFonts w:hint="eastAsia"/>
          <w:bCs/>
          <w:color w:val="auto"/>
          <w:sz w:val="21"/>
          <w:szCs w:val="21"/>
        </w:rPr>
        <w:t>按期结算</w:t>
      </w:r>
      <w:r>
        <w:rPr>
          <w:rFonts w:hint="eastAsia"/>
          <w:b/>
          <w:color w:val="auto"/>
          <w:sz w:val="21"/>
          <w:szCs w:val="21"/>
        </w:rPr>
        <w:t>：</w:t>
      </w:r>
      <w:r>
        <w:rPr>
          <w:rFonts w:hint="eastAsia"/>
          <w:color w:val="auto"/>
          <w:sz w:val="21"/>
          <w:szCs w:val="21"/>
        </w:rPr>
        <w:t>每</w:t>
      </w:r>
      <w:r>
        <w:rPr>
          <w:color w:val="auto"/>
          <w:sz w:val="21"/>
          <w:szCs w:val="21"/>
          <w:u w:val="single"/>
        </w:rPr>
        <w:t xml:space="preserve">    </w:t>
      </w:r>
      <w:r>
        <w:rPr>
          <w:rFonts w:hint="eastAsia"/>
          <w:color w:val="auto"/>
          <w:sz w:val="21"/>
          <w:szCs w:val="21"/>
        </w:rPr>
        <w:t>末（月</w:t>
      </w:r>
      <w:r>
        <w:rPr>
          <w:rFonts w:hint="eastAsia"/>
          <w:color w:val="auto"/>
          <w:sz w:val="21"/>
          <w:szCs w:val="21"/>
          <w:lang w:val="en-US" w:eastAsia="zh-CN"/>
        </w:rPr>
        <w:t>\</w:t>
      </w:r>
      <w:r>
        <w:rPr>
          <w:rFonts w:hint="eastAsia"/>
          <w:color w:val="auto"/>
          <w:sz w:val="21"/>
          <w:szCs w:val="21"/>
        </w:rPr>
        <w:t>季度</w:t>
      </w:r>
      <w:r>
        <w:rPr>
          <w:rFonts w:hint="eastAsia"/>
          <w:color w:val="auto"/>
          <w:sz w:val="21"/>
          <w:szCs w:val="21"/>
          <w:lang w:val="en-US" w:eastAsia="zh-CN"/>
        </w:rPr>
        <w:t>\</w:t>
      </w:r>
      <w:r>
        <w:rPr>
          <w:rFonts w:hint="eastAsia"/>
          <w:color w:val="auto"/>
          <w:sz w:val="21"/>
          <w:szCs w:val="21"/>
        </w:rPr>
        <w:t>半年</w:t>
      </w:r>
      <w:r>
        <w:rPr>
          <w:rFonts w:hint="eastAsia"/>
          <w:color w:val="auto"/>
          <w:sz w:val="21"/>
          <w:szCs w:val="21"/>
          <w:lang w:val="en-US" w:eastAsia="zh-CN"/>
        </w:rPr>
        <w:t>\年</w:t>
      </w:r>
      <w:r>
        <w:rPr>
          <w:rFonts w:hint="eastAsia"/>
          <w:color w:val="auto"/>
          <w:sz w:val="21"/>
          <w:szCs w:val="21"/>
        </w:rPr>
        <w:t>），</w:t>
      </w:r>
      <w:r>
        <w:rPr>
          <w:color w:val="auto"/>
          <w:sz w:val="21"/>
          <w:szCs w:val="21"/>
        </w:rPr>
        <w:t>合同生效、具备使用条件</w:t>
      </w:r>
      <w:r>
        <w:rPr>
          <w:rFonts w:hint="eastAsia"/>
          <w:color w:val="auto"/>
          <w:sz w:val="21"/>
          <w:szCs w:val="21"/>
        </w:rPr>
        <w:t>并</w:t>
      </w:r>
      <w:r>
        <w:rPr>
          <w:color w:val="auto"/>
          <w:sz w:val="21"/>
          <w:szCs w:val="21"/>
        </w:rPr>
        <w:t>经</w:t>
      </w:r>
      <w:r>
        <w:rPr>
          <w:rFonts w:hint="eastAsia"/>
          <w:color w:val="auto"/>
          <w:sz w:val="21"/>
          <w:szCs w:val="21"/>
        </w:rPr>
        <w:t>甲方验收合格并收到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 xml:space="preserve"> 10</w:t>
      </w:r>
      <w:r>
        <w:rPr>
          <w:rFonts w:hint="eastAsia"/>
          <w:color w:val="auto"/>
          <w:sz w:val="21"/>
          <w:szCs w:val="21"/>
        </w:rPr>
        <w:t>个工作日内，甲方向乙方支付本期款项。</w:t>
      </w:r>
      <w:r>
        <w:rPr>
          <w:color w:val="auto"/>
          <w:sz w:val="21"/>
          <w:szCs w:val="21"/>
        </w:rPr>
        <w:t xml:space="preserve"> </w:t>
      </w:r>
    </w:p>
    <w:p w14:paraId="2D73A0C4">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③按进度付款</w:t>
      </w:r>
      <w:r>
        <w:rPr>
          <w:rFonts w:hint="eastAsia"/>
          <w:b/>
          <w:bCs/>
          <w:color w:val="auto"/>
          <w:sz w:val="21"/>
          <w:szCs w:val="21"/>
        </w:rPr>
        <w:t>：</w:t>
      </w:r>
      <w:r>
        <w:rPr>
          <w:rFonts w:hint="eastAsia"/>
          <w:color w:val="auto"/>
          <w:sz w:val="21"/>
          <w:szCs w:val="21"/>
        </w:rPr>
        <w:t>每个进度节点，</w:t>
      </w:r>
      <w:r>
        <w:rPr>
          <w:rFonts w:hint="eastAsia"/>
          <w:bCs/>
          <w:color w:val="auto"/>
          <w:sz w:val="21"/>
          <w:szCs w:val="21"/>
        </w:rPr>
        <w:t>甲方</w:t>
      </w:r>
      <w:r>
        <w:rPr>
          <w:rFonts w:hint="eastAsia"/>
          <w:color w:val="auto"/>
          <w:sz w:val="21"/>
          <w:szCs w:val="21"/>
        </w:rPr>
        <w:t>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10</w:t>
      </w:r>
      <w:r>
        <w:rPr>
          <w:rFonts w:hint="eastAsia"/>
          <w:color w:val="auto"/>
          <w:sz w:val="21"/>
          <w:szCs w:val="21"/>
        </w:rPr>
        <w:t>个工作日内，甲方向乙方支付对应款项</w:t>
      </w:r>
      <w:r>
        <w:rPr>
          <w:rFonts w:hint="eastAsia"/>
          <w:color w:val="auto"/>
          <w:sz w:val="21"/>
          <w:szCs w:val="21"/>
          <w:lang w:eastAsia="zh-CN"/>
        </w:rPr>
        <w:t>，</w:t>
      </w:r>
      <w:r>
        <w:rPr>
          <w:rFonts w:hint="eastAsia"/>
          <w:color w:val="auto"/>
          <w:sz w:val="21"/>
          <w:szCs w:val="21"/>
          <w:lang w:val="en-US" w:eastAsia="zh-CN"/>
        </w:rPr>
        <w:t>具体结点及付款额度为</w:t>
      </w:r>
      <w:r>
        <w:rPr>
          <w:rFonts w:hint="eastAsia"/>
          <w:color w:val="auto"/>
          <w:sz w:val="21"/>
          <w:szCs w:val="21"/>
          <w:u w:val="single"/>
          <w:lang w:val="en-US" w:eastAsia="zh-CN"/>
        </w:rPr>
        <w:t xml:space="preserve">                                 </w:t>
      </w:r>
      <w:r>
        <w:rPr>
          <w:rFonts w:hint="eastAsia"/>
          <w:color w:val="auto"/>
          <w:sz w:val="21"/>
          <w:szCs w:val="21"/>
        </w:rPr>
        <w:t>。</w:t>
      </w:r>
    </w:p>
    <w:p w14:paraId="6685B7FD">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④其它支付形式</w:t>
      </w:r>
      <w:r>
        <w:rPr>
          <w:rFonts w:hint="eastAsia"/>
          <w:color w:val="auto"/>
          <w:sz w:val="21"/>
          <w:szCs w:val="21"/>
          <w:lang w:eastAsia="zh-CN"/>
        </w:rPr>
        <w:t>（</w:t>
      </w:r>
      <w:r>
        <w:rPr>
          <w:rFonts w:hint="eastAsia"/>
          <w:color w:val="auto"/>
          <w:sz w:val="21"/>
          <w:szCs w:val="21"/>
        </w:rPr>
        <w:t>双方协商一致，</w:t>
      </w:r>
      <w:r>
        <w:rPr>
          <w:rFonts w:hint="eastAsia"/>
          <w:color w:val="auto"/>
          <w:sz w:val="21"/>
          <w:szCs w:val="21"/>
          <w:lang w:val="en-US" w:eastAsia="zh-CN"/>
        </w:rPr>
        <w:t>需</w:t>
      </w:r>
      <w:r>
        <w:rPr>
          <w:rFonts w:hint="eastAsia"/>
          <w:color w:val="auto"/>
          <w:sz w:val="21"/>
          <w:szCs w:val="21"/>
        </w:rPr>
        <w:t>符合采购法规</w:t>
      </w:r>
      <w:r>
        <w:rPr>
          <w:rFonts w:hint="eastAsia"/>
          <w:color w:val="auto"/>
          <w:sz w:val="21"/>
          <w:szCs w:val="21"/>
          <w:lang w:eastAsia="zh-CN"/>
        </w:rPr>
        <w:t>）：</w:t>
      </w:r>
      <w:r>
        <w:rPr>
          <w:rFonts w:hint="eastAsia"/>
          <w:color w:val="auto"/>
          <w:sz w:val="21"/>
          <w:szCs w:val="21"/>
          <w:u w:val="single"/>
          <w:lang w:val="en-US" w:eastAsia="zh-CN"/>
        </w:rPr>
        <w:t xml:space="preserve">                                      </w:t>
      </w:r>
      <w:r>
        <w:rPr>
          <w:rFonts w:hint="eastAsia"/>
          <w:color w:val="auto"/>
          <w:sz w:val="21"/>
          <w:szCs w:val="21"/>
        </w:rPr>
        <w:t>。</w:t>
      </w:r>
    </w:p>
    <w:p w14:paraId="269B6FF4">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4</w:t>
      </w:r>
      <w:r>
        <w:rPr>
          <w:rFonts w:hint="eastAsia"/>
          <w:color w:val="auto"/>
          <w:sz w:val="21"/>
          <w:szCs w:val="21"/>
        </w:rPr>
        <w:t>）</w:t>
      </w:r>
      <w:r>
        <w:rPr>
          <w:color w:val="auto"/>
          <w:sz w:val="21"/>
          <w:szCs w:val="21"/>
        </w:rPr>
        <w:t>房屋租赁、服务器租用、数据库使用等租用型项目，合同生效、具备使用条件</w:t>
      </w:r>
      <w:r>
        <w:rPr>
          <w:rFonts w:hint="eastAsia"/>
          <w:color w:val="auto"/>
          <w:sz w:val="21"/>
          <w:szCs w:val="21"/>
        </w:rPr>
        <w:t>并</w:t>
      </w:r>
      <w:r>
        <w:rPr>
          <w:color w:val="auto"/>
          <w:sz w:val="21"/>
          <w:szCs w:val="21"/>
        </w:rPr>
        <w:t>经甲方验收合格后按期支付费用</w:t>
      </w:r>
      <w:r>
        <w:rPr>
          <w:rFonts w:hint="eastAsia"/>
          <w:color w:val="auto"/>
          <w:sz w:val="21"/>
          <w:szCs w:val="21"/>
          <w:lang w:eastAsia="zh-CN"/>
        </w:rPr>
        <w:t>，</w:t>
      </w:r>
      <w:r>
        <w:rPr>
          <w:rFonts w:hint="eastAsia"/>
          <w:color w:val="auto"/>
          <w:sz w:val="21"/>
          <w:szCs w:val="21"/>
          <w:lang w:val="en-US" w:eastAsia="zh-CN"/>
        </w:rPr>
        <w:t>按</w:t>
      </w:r>
      <w:r>
        <w:rPr>
          <w:color w:val="auto"/>
          <w:sz w:val="21"/>
          <w:szCs w:val="21"/>
          <w:u w:val="single"/>
        </w:rPr>
        <w:t xml:space="preserve">    </w:t>
      </w:r>
      <w:r>
        <w:rPr>
          <w:color w:val="auto"/>
          <w:sz w:val="21"/>
          <w:szCs w:val="21"/>
        </w:rPr>
        <w:t>（月</w:t>
      </w:r>
      <w:r>
        <w:rPr>
          <w:rFonts w:hint="eastAsia"/>
          <w:color w:val="auto"/>
          <w:sz w:val="21"/>
          <w:szCs w:val="21"/>
          <w:lang w:val="en-US" w:eastAsia="zh-CN"/>
        </w:rPr>
        <w:t>\</w:t>
      </w:r>
      <w:r>
        <w:rPr>
          <w:color w:val="auto"/>
          <w:sz w:val="21"/>
          <w:szCs w:val="21"/>
        </w:rPr>
        <w:t>季度</w:t>
      </w:r>
      <w:r>
        <w:rPr>
          <w:rFonts w:hint="eastAsia"/>
          <w:color w:val="auto"/>
          <w:sz w:val="21"/>
          <w:szCs w:val="21"/>
          <w:lang w:val="en-US" w:eastAsia="zh-CN"/>
        </w:rPr>
        <w:t>\</w:t>
      </w:r>
      <w:r>
        <w:rPr>
          <w:color w:val="auto"/>
          <w:sz w:val="21"/>
          <w:szCs w:val="21"/>
        </w:rPr>
        <w:t>半年</w:t>
      </w:r>
      <w:r>
        <w:rPr>
          <w:rFonts w:hint="eastAsia"/>
          <w:color w:val="auto"/>
          <w:sz w:val="21"/>
          <w:szCs w:val="21"/>
          <w:lang w:val="en-US" w:eastAsia="zh-CN"/>
        </w:rPr>
        <w:t>\</w:t>
      </w:r>
      <w:r>
        <w:rPr>
          <w:color w:val="auto"/>
          <w:sz w:val="21"/>
          <w:szCs w:val="21"/>
        </w:rPr>
        <w:t>年）</w:t>
      </w:r>
      <w:r>
        <w:rPr>
          <w:rFonts w:hint="eastAsia"/>
          <w:color w:val="auto"/>
          <w:sz w:val="21"/>
          <w:szCs w:val="21"/>
          <w:lang w:val="en-US" w:eastAsia="zh-CN"/>
        </w:rPr>
        <w:t>支付</w:t>
      </w:r>
      <w:r>
        <w:rPr>
          <w:color w:val="auto"/>
          <w:sz w:val="21"/>
          <w:szCs w:val="21"/>
        </w:rPr>
        <w:t>。</w:t>
      </w:r>
    </w:p>
    <w:p w14:paraId="41105CB6">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无论何种结算方式，付款前</w:t>
      </w:r>
      <w:r>
        <w:rPr>
          <w:rFonts w:hint="eastAsia"/>
          <w:color w:val="auto"/>
          <w:sz w:val="21"/>
          <w:szCs w:val="21"/>
          <w:lang w:eastAsia="zh-CN"/>
        </w:rPr>
        <w:t>，</w:t>
      </w:r>
      <w:r>
        <w:rPr>
          <w:rFonts w:hint="eastAsia"/>
          <w:color w:val="auto"/>
          <w:sz w:val="21"/>
          <w:szCs w:val="21"/>
        </w:rPr>
        <w:t>乙方须交纳合同约定的履约保证金（如有）并提供</w:t>
      </w:r>
      <w:r>
        <w:rPr>
          <w:rFonts w:hint="eastAsia"/>
          <w:color w:val="auto"/>
          <w:sz w:val="21"/>
          <w:szCs w:val="21"/>
          <w:lang w:val="en-US" w:eastAsia="zh-CN"/>
        </w:rPr>
        <w:t>履约保证金保函或</w:t>
      </w:r>
      <w:r>
        <w:rPr>
          <w:rFonts w:hint="eastAsia"/>
          <w:color w:val="auto"/>
          <w:sz w:val="21"/>
          <w:szCs w:val="21"/>
        </w:rPr>
        <w:t>甲方财务处开具的履约保证金收据，乙方向甲方开具等额有效的发票。</w:t>
      </w:r>
    </w:p>
    <w:p w14:paraId="0DF36D84">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开票信息如下：</w:t>
      </w:r>
    </w:p>
    <w:p w14:paraId="5A7390BA">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单位名称：杭州电子科技大学。税号：</w:t>
      </w:r>
      <w:r>
        <w:rPr>
          <w:color w:val="auto"/>
          <w:sz w:val="21"/>
          <w:szCs w:val="21"/>
        </w:rPr>
        <w:t>12330000470009026T</w:t>
      </w:r>
    </w:p>
    <w:p w14:paraId="328E0B1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开户银行：工行杭州高新支行。账号：</w:t>
      </w:r>
      <w:r>
        <w:rPr>
          <w:color w:val="auto"/>
          <w:sz w:val="21"/>
          <w:szCs w:val="21"/>
        </w:rPr>
        <w:t>1202026209008806216</w:t>
      </w:r>
    </w:p>
    <w:p w14:paraId="782E847C">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五、双方权利与义务</w:t>
      </w:r>
    </w:p>
    <w:p w14:paraId="04F1A41D">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（按采购文件及采购结果填写，如有）</w:t>
      </w:r>
    </w:p>
    <w:p w14:paraId="16BE613B">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六、知识产权要求</w:t>
      </w:r>
    </w:p>
    <w:p w14:paraId="6786AD4F">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59D0C232">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023C86B7">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七、转包或分包</w:t>
      </w:r>
    </w:p>
    <w:p w14:paraId="7503FC39">
      <w:pPr>
        <w:pStyle w:val="27"/>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color w:val="auto"/>
          <w:spacing w:val="-6"/>
          <w:sz w:val="21"/>
          <w:szCs w:val="21"/>
        </w:rPr>
        <w:t>.</w:t>
      </w:r>
      <w:r>
        <w:rPr>
          <w:rFonts w:hint="eastAsia"/>
          <w:color w:val="auto"/>
          <w:sz w:val="21"/>
          <w:szCs w:val="21"/>
        </w:rPr>
        <w:t>本合同范围的</w:t>
      </w:r>
      <w:r>
        <w:rPr>
          <w:rFonts w:hint="eastAsia"/>
          <w:color w:val="auto"/>
          <w:sz w:val="21"/>
          <w:szCs w:val="21"/>
          <w:lang w:val="en-US" w:eastAsia="zh-CN"/>
        </w:rPr>
        <w:t>标的</w:t>
      </w:r>
      <w:r>
        <w:rPr>
          <w:rFonts w:hint="eastAsia"/>
          <w:color w:val="auto"/>
          <w:sz w:val="21"/>
          <w:szCs w:val="21"/>
        </w:rPr>
        <w:t>，应由乙方直接供应，不得转让他人供应。</w:t>
      </w:r>
    </w:p>
    <w:p w14:paraId="2D13DB91">
      <w:pPr>
        <w:pStyle w:val="27"/>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2.</w:t>
      </w:r>
      <w:r>
        <w:rPr>
          <w:rFonts w:hint="eastAsia" w:asciiTheme="minorEastAsia" w:hAnsiTheme="minorEastAsia" w:eastAsiaTheme="minorEastAsia"/>
          <w:color w:val="auto"/>
          <w:sz w:val="21"/>
          <w:szCs w:val="21"/>
        </w:rPr>
        <w:t>除非得到甲方的书面同意，乙方不得将本合同范围的标的分包给他人供应。</w:t>
      </w:r>
    </w:p>
    <w:p w14:paraId="2FF833FB">
      <w:pPr>
        <w:pStyle w:val="27"/>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3.</w:t>
      </w:r>
      <w:r>
        <w:rPr>
          <w:rFonts w:hint="eastAsia" w:asciiTheme="minorEastAsia" w:hAnsiTheme="minorEastAsia" w:eastAsiaTheme="minorEastAsia"/>
          <w:color w:val="auto"/>
          <w:sz w:val="21"/>
          <w:szCs w:val="21"/>
        </w:rPr>
        <w:t>如有转让或未经甲方同意的分包行为，甲方有权解除合同，没收履约保证金并要求乙方支付合同总价15%的违约金。</w:t>
      </w:r>
    </w:p>
    <w:p w14:paraId="157B3364">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464" w:name="_Hlk155173514"/>
      <w:r>
        <w:rPr>
          <w:rFonts w:hint="eastAsia"/>
          <w:b/>
          <w:bCs/>
          <w:color w:val="auto"/>
          <w:sz w:val="21"/>
          <w:szCs w:val="21"/>
        </w:rPr>
        <w:t>八、</w:t>
      </w:r>
      <w:bookmarkEnd w:id="464"/>
      <w:r>
        <w:rPr>
          <w:rFonts w:hint="eastAsia"/>
          <w:b/>
          <w:bCs/>
          <w:color w:val="auto"/>
          <w:sz w:val="21"/>
          <w:szCs w:val="21"/>
        </w:rPr>
        <w:t>验收</w:t>
      </w:r>
    </w:p>
    <w:p w14:paraId="76658F0E">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cs="宋体" w:asciiTheme="minorEastAsia" w:hAnsiTheme="minorEastAsia" w:eastAsiaTheme="minorEastAsia"/>
          <w:color w:val="auto"/>
          <w:sz w:val="21"/>
          <w:szCs w:val="21"/>
        </w:rPr>
        <w:t>1</w:t>
      </w:r>
      <w:r>
        <w:rPr>
          <w:rFonts w:asciiTheme="minorEastAsia" w:hAnsiTheme="minorEastAsia" w:eastAsiaTheme="minorEastAsia"/>
          <w:color w:val="auto"/>
          <w:sz w:val="21"/>
          <w:szCs w:val="21"/>
        </w:rPr>
        <w:t>.</w:t>
      </w:r>
      <w:r>
        <w:rPr>
          <w:rFonts w:hint="eastAsia"/>
          <w:color w:val="auto"/>
          <w:sz w:val="21"/>
          <w:szCs w:val="21"/>
        </w:rPr>
        <w:t>验收前乙方应对所提供服务作出全面检查及对验收文件进行整理，并列出清单，作为甲方验收和使用的技术条件依据，检验的结果应交甲方。</w:t>
      </w:r>
    </w:p>
    <w:p w14:paraId="792AA002">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color w:val="auto"/>
          <w:sz w:val="21"/>
          <w:szCs w:val="21"/>
        </w:rPr>
      </w:pPr>
      <w:r>
        <w:rPr>
          <w:rFonts w:cs="宋体" w:asciiTheme="minorEastAsia" w:hAnsiTheme="minorEastAsia" w:eastAsiaTheme="minorEastAsia"/>
          <w:color w:val="auto"/>
          <w:sz w:val="21"/>
          <w:szCs w:val="21"/>
        </w:rPr>
        <w:t>2</w:t>
      </w:r>
      <w:r>
        <w:rPr>
          <w:rFonts w:asciiTheme="minorEastAsia" w:hAnsiTheme="minorEastAsia" w:eastAsiaTheme="minorEastAsia"/>
          <w:color w:val="auto"/>
          <w:sz w:val="21"/>
          <w:szCs w:val="21"/>
        </w:rPr>
        <w:t>.</w:t>
      </w:r>
      <w:r>
        <w:rPr>
          <w:rFonts w:hint="eastAsia" w:asciiTheme="minorEastAsia" w:hAnsiTheme="minorEastAsia" w:eastAsiaTheme="minorEastAsia"/>
          <w:color w:val="auto"/>
          <w:sz w:val="21"/>
          <w:szCs w:val="21"/>
        </w:rPr>
        <w:t>如甲方需要，</w:t>
      </w:r>
      <w:r>
        <w:rPr>
          <w:rFonts w:hint="eastAsia"/>
          <w:color w:val="auto"/>
          <w:sz w:val="21"/>
          <w:szCs w:val="21"/>
        </w:rPr>
        <w:t>验收时乙方应在现场，验收完毕后作出验收结果报告。</w:t>
      </w:r>
      <w:r>
        <w:rPr>
          <w:rFonts w:cs="宋体"/>
          <w:color w:val="auto"/>
          <w:sz w:val="21"/>
          <w:szCs w:val="21"/>
        </w:rPr>
        <w:t xml:space="preserve"> </w:t>
      </w:r>
    </w:p>
    <w:p w14:paraId="040016B1">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3</w:t>
      </w:r>
      <w:r>
        <w:rPr>
          <w:rFonts w:asciiTheme="minorEastAsia" w:hAnsiTheme="minorEastAsia" w:eastAsiaTheme="minorEastAsia"/>
          <w:color w:val="auto"/>
          <w:spacing w:val="-6"/>
          <w:sz w:val="21"/>
          <w:szCs w:val="21"/>
        </w:rPr>
        <w:t>.</w:t>
      </w:r>
      <w:r>
        <w:rPr>
          <w:rFonts w:hint="eastAsia"/>
          <w:color w:val="auto"/>
          <w:sz w:val="21"/>
          <w:szCs w:val="21"/>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Theme="minorEastAsia" w:hAnsiTheme="minorEastAsia" w:eastAsiaTheme="minorEastAsia"/>
          <w:b w:val="0"/>
          <w:bCs w:val="0"/>
          <w:color w:val="auto"/>
          <w:sz w:val="21"/>
          <w:szCs w:val="21"/>
          <w:u w:val="single"/>
        </w:rPr>
        <w:t xml:space="preserve"> </w:t>
      </w:r>
      <w:r>
        <w:rPr>
          <w:rFonts w:hint="eastAsia" w:asciiTheme="minorEastAsia" w:hAnsiTheme="minorEastAsia" w:eastAsiaTheme="minorEastAsia"/>
          <w:b w:val="0"/>
          <w:bCs w:val="0"/>
          <w:color w:val="auto"/>
          <w:sz w:val="21"/>
          <w:szCs w:val="21"/>
          <w:u w:val="single"/>
          <w:lang w:val="en-US" w:eastAsia="zh-CN"/>
        </w:rPr>
        <w:t>10</w:t>
      </w:r>
      <w:r>
        <w:rPr>
          <w:rFonts w:hint="eastAsia" w:asciiTheme="minorEastAsia" w:hAnsiTheme="minorEastAsia" w:eastAsiaTheme="minorEastAsia"/>
          <w:b w:val="0"/>
          <w:bCs w:val="0"/>
          <w:color w:val="auto"/>
          <w:sz w:val="21"/>
          <w:szCs w:val="21"/>
          <w:u w:val="single"/>
        </w:rPr>
        <w:t xml:space="preserve"> </w:t>
      </w:r>
      <w:r>
        <w:rPr>
          <w:rFonts w:hint="eastAsia"/>
          <w:color w:val="auto"/>
          <w:sz w:val="21"/>
          <w:szCs w:val="21"/>
        </w:rPr>
        <w:t>个工作日内开始验收。</w:t>
      </w:r>
    </w:p>
    <w:p w14:paraId="00F7CD8A">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strike/>
          <w:color w:val="auto"/>
          <w:sz w:val="21"/>
          <w:szCs w:val="21"/>
        </w:rPr>
      </w:pPr>
      <w:r>
        <w:rPr>
          <w:rFonts w:cs="宋体" w:asciiTheme="minorEastAsia" w:hAnsiTheme="minorEastAsia" w:eastAsiaTheme="minorEastAsia"/>
          <w:color w:val="auto"/>
          <w:sz w:val="21"/>
          <w:szCs w:val="21"/>
        </w:rPr>
        <w:t>4</w:t>
      </w:r>
      <w:r>
        <w:rPr>
          <w:rFonts w:asciiTheme="minorEastAsia" w:hAnsiTheme="minorEastAsia" w:eastAsiaTheme="minorEastAsia"/>
          <w:color w:val="auto"/>
          <w:sz w:val="21"/>
          <w:szCs w:val="21"/>
        </w:rPr>
        <w:t>.</w:t>
      </w:r>
      <w:r>
        <w:rPr>
          <w:rFonts w:hint="eastAsia"/>
          <w:color w:val="auto"/>
          <w:sz w:val="21"/>
          <w:szCs w:val="21"/>
        </w:rPr>
        <w:t>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0724F802">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九、质量保证与售后服务</w:t>
      </w:r>
    </w:p>
    <w:p w14:paraId="45ADB96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hint="eastAsia"/>
          <w:color w:val="auto"/>
          <w:sz w:val="21"/>
          <w:szCs w:val="21"/>
        </w:rPr>
        <w:t>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011F06A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b/>
          <w:bCs/>
          <w:color w:val="auto"/>
          <w:sz w:val="21"/>
          <w:szCs w:val="21"/>
        </w:rPr>
      </w:pPr>
      <w:r>
        <w:rPr>
          <w:rFonts w:hint="eastAsia" w:cs="宋体" w:asciiTheme="minorEastAsia" w:hAnsiTheme="minorEastAsia" w:eastAsiaTheme="minorEastAsia"/>
          <w:color w:val="auto"/>
          <w:sz w:val="21"/>
          <w:szCs w:val="21"/>
        </w:rPr>
        <w:t>2</w:t>
      </w:r>
      <w:r>
        <w:rPr>
          <w:rFonts w:asciiTheme="minorEastAsia" w:hAnsiTheme="minorEastAsia" w:eastAsiaTheme="minorEastAsia"/>
          <w:color w:val="auto"/>
          <w:sz w:val="21"/>
          <w:szCs w:val="21"/>
        </w:rPr>
        <w:t>.</w:t>
      </w:r>
      <w:r>
        <w:rPr>
          <w:rFonts w:hint="eastAsia"/>
          <w:color w:val="auto"/>
          <w:sz w:val="21"/>
          <w:szCs w:val="21"/>
        </w:rPr>
        <w:t>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0D4EAA5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b/>
          <w:bCs/>
          <w:color w:val="auto"/>
          <w:sz w:val="21"/>
          <w:szCs w:val="21"/>
        </w:rPr>
      </w:pPr>
      <w:r>
        <w:rPr>
          <w:rFonts w:hint="eastAsia" w:cs="宋体" w:asciiTheme="minorEastAsia" w:hAnsiTheme="minorEastAsia" w:eastAsiaTheme="minorEastAsia"/>
          <w:color w:val="auto"/>
          <w:sz w:val="21"/>
          <w:szCs w:val="21"/>
        </w:rPr>
        <w:t>3</w:t>
      </w:r>
      <w:r>
        <w:rPr>
          <w:rFonts w:asciiTheme="minorEastAsia" w:hAnsiTheme="minorEastAsia" w:eastAsiaTheme="minorEastAsia"/>
          <w:color w:val="auto"/>
          <w:sz w:val="21"/>
          <w:szCs w:val="21"/>
        </w:rPr>
        <w:t>.</w:t>
      </w:r>
      <w:r>
        <w:rPr>
          <w:rFonts w:hint="eastAsia"/>
          <w:color w:val="auto"/>
          <w:sz w:val="21"/>
          <w:szCs w:val="21"/>
        </w:rPr>
        <w:t>质量保证期内，乙方对本项目所含货物类产品免费提供维护、维修或更换，包括设备维修所需的零配件及不能解决的故障需要返回生产厂家维修时所发生的一切费用。</w:t>
      </w:r>
    </w:p>
    <w:p w14:paraId="5929E4E2">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十、保密条款</w:t>
      </w:r>
    </w:p>
    <w:p w14:paraId="01E0839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乙方对合同内容及履行合同过程中所获悉的属于甲方的且无法自公开渠道获得的文件及资料，应负保密义务，非经甲方书面同意，不得擅自利用或对外发表或披露。违反前述约定的，乙方应支付</w:t>
      </w:r>
      <w:r>
        <w:rPr>
          <w:color w:val="auto"/>
          <w:sz w:val="21"/>
          <w:szCs w:val="21"/>
        </w:rPr>
        <w:t>给甲方</w:t>
      </w:r>
      <w:r>
        <w:rPr>
          <w:rFonts w:hint="eastAsia"/>
          <w:color w:val="auto"/>
          <w:sz w:val="21"/>
          <w:szCs w:val="21"/>
        </w:rPr>
        <w:t>惩罚性</w:t>
      </w:r>
      <w:r>
        <w:rPr>
          <w:color w:val="auto"/>
          <w:sz w:val="21"/>
          <w:szCs w:val="21"/>
        </w:rPr>
        <w:t>违约金</w:t>
      </w:r>
      <w:r>
        <w:rPr>
          <w:rFonts w:hint="eastAsia"/>
          <w:color w:val="auto"/>
          <w:sz w:val="21"/>
          <w:szCs w:val="21"/>
        </w:rPr>
        <w:t>，并承担赔偿责任。保密期限自乙方接收或知悉甲方信息资料之日起至该信息资料公开之日或甲方书面解除乙方保密义务之日止。</w:t>
      </w:r>
    </w:p>
    <w:p w14:paraId="2C22FAAF">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十一、违约责任</w:t>
      </w:r>
    </w:p>
    <w:p w14:paraId="617D4D7F">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甲方逾期支付款项的，每逾期一日，应按逾期付款总额</w:t>
      </w:r>
      <w:r>
        <w:rPr>
          <w:rFonts w:hint="eastAsia"/>
          <w:color w:val="auto"/>
          <w:sz w:val="21"/>
          <w:szCs w:val="21"/>
          <w:u w:val="single"/>
          <w:lang w:val="en-US" w:eastAsia="zh-CN"/>
        </w:rPr>
        <w:t xml:space="preserve">  万分之叁  </w:t>
      </w:r>
      <w:r>
        <w:rPr>
          <w:rFonts w:hint="eastAsia"/>
          <w:color w:val="auto"/>
          <w:sz w:val="21"/>
          <w:szCs w:val="21"/>
        </w:rPr>
        <w:t>向乙方支付违约金。</w:t>
      </w:r>
    </w:p>
    <w:p w14:paraId="4693386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乙方逾期履行合同的，每逾期一日，应按合同总价</w:t>
      </w:r>
      <w:r>
        <w:rPr>
          <w:rFonts w:hint="eastAsia"/>
          <w:color w:val="auto"/>
          <w:sz w:val="21"/>
          <w:szCs w:val="21"/>
          <w:u w:val="single"/>
          <w:lang w:val="en-US" w:eastAsia="zh-CN"/>
        </w:rPr>
        <w:t xml:space="preserve">  万分之叁  </w:t>
      </w:r>
      <w:r>
        <w:rPr>
          <w:rFonts w:hint="eastAsia"/>
          <w:color w:val="auto"/>
          <w:sz w:val="21"/>
          <w:szCs w:val="21"/>
        </w:rPr>
        <w:t>向甲方支付违约金。累计逾期超过约定日期</w:t>
      </w:r>
      <w:r>
        <w:rPr>
          <w:color w:val="auto"/>
          <w:sz w:val="21"/>
          <w:szCs w:val="21"/>
          <w:u w:val="single"/>
        </w:rPr>
        <w:t xml:space="preserve"> 10 </w:t>
      </w:r>
      <w:r>
        <w:rPr>
          <w:rFonts w:hint="eastAsia"/>
          <w:color w:val="auto"/>
          <w:sz w:val="21"/>
          <w:szCs w:val="21"/>
        </w:rPr>
        <w:t>个工作日的，甲方有权解除本合同，乙方应向</w:t>
      </w:r>
      <w:r>
        <w:rPr>
          <w:rFonts w:hint="eastAsia"/>
          <w:color w:val="auto"/>
          <w:spacing w:val="-6"/>
          <w:sz w:val="21"/>
          <w:szCs w:val="21"/>
        </w:rPr>
        <w:t>甲方返还全部已支付价款，并按合同总价的</w:t>
      </w:r>
      <w:r>
        <w:rPr>
          <w:color w:val="auto"/>
          <w:sz w:val="21"/>
          <w:szCs w:val="21"/>
          <w:u w:val="single"/>
        </w:rPr>
        <w:t>5 %</w:t>
      </w:r>
      <w:r>
        <w:rPr>
          <w:rFonts w:hint="eastAsia"/>
          <w:color w:val="auto"/>
          <w:spacing w:val="-6"/>
          <w:sz w:val="21"/>
          <w:szCs w:val="21"/>
        </w:rPr>
        <w:t>向甲方支付违约金，</w:t>
      </w:r>
      <w:r>
        <w:rPr>
          <w:rFonts w:hint="eastAsia"/>
          <w:color w:val="auto"/>
          <w:sz w:val="21"/>
          <w:szCs w:val="21"/>
        </w:rPr>
        <w:t>违约金不足以弥补甲方损失的，乙方还应向</w:t>
      </w:r>
      <w:r>
        <w:rPr>
          <w:rFonts w:hint="eastAsia"/>
          <w:color w:val="auto"/>
          <w:spacing w:val="-6"/>
          <w:sz w:val="21"/>
          <w:szCs w:val="21"/>
        </w:rPr>
        <w:t>甲方赔偿遭受的全部损失。</w:t>
      </w:r>
      <w:r>
        <w:rPr>
          <w:color w:val="auto"/>
          <w:sz w:val="21"/>
          <w:szCs w:val="21"/>
        </w:rPr>
        <w:t xml:space="preserve"> </w:t>
      </w:r>
    </w:p>
    <w:p w14:paraId="34881143">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cs="宋体" w:asciiTheme="minorEastAsia" w:hAnsiTheme="minorEastAsia" w:eastAsiaTheme="minorEastAsia"/>
          <w:color w:val="auto"/>
          <w:sz w:val="21"/>
          <w:szCs w:val="21"/>
        </w:rPr>
        <w:t>3</w:t>
      </w:r>
      <w:r>
        <w:rPr>
          <w:rFonts w:asciiTheme="minorEastAsia" w:hAnsiTheme="minorEastAsia" w:eastAsiaTheme="minorEastAsia"/>
          <w:color w:val="auto"/>
          <w:sz w:val="21"/>
          <w:szCs w:val="21"/>
        </w:rPr>
        <w:t>.</w:t>
      </w:r>
      <w:r>
        <w:rPr>
          <w:rFonts w:hint="eastAsia"/>
          <w:color w:val="auto"/>
          <w:sz w:val="21"/>
          <w:szCs w:val="21"/>
        </w:rPr>
        <w:t>若乙方未能按本合同要求全面提供服务或有其他违约行为，并经甲方书面通知后仍不改正的，甲方有权解除合同，</w:t>
      </w:r>
      <w:r>
        <w:rPr>
          <w:rFonts w:hint="eastAsia" w:cs="宋体"/>
          <w:color w:val="auto"/>
          <w:sz w:val="21"/>
          <w:szCs w:val="21"/>
        </w:rPr>
        <w:t>乙方应向</w:t>
      </w:r>
      <w:r>
        <w:rPr>
          <w:rFonts w:hint="eastAsia"/>
          <w:color w:val="auto"/>
          <w:sz w:val="21"/>
          <w:szCs w:val="21"/>
        </w:rPr>
        <w:t>甲方返还全部已支付价款，并按合同总价的</w:t>
      </w:r>
      <w:r>
        <w:rPr>
          <w:color w:val="auto"/>
          <w:sz w:val="21"/>
          <w:szCs w:val="21"/>
          <w:u w:val="single"/>
        </w:rPr>
        <w:t>5 %</w:t>
      </w:r>
      <w:r>
        <w:rPr>
          <w:rFonts w:hint="eastAsia"/>
          <w:color w:val="auto"/>
          <w:sz w:val="21"/>
          <w:szCs w:val="21"/>
        </w:rPr>
        <w:t>向甲方支付违约金，</w:t>
      </w:r>
      <w:r>
        <w:rPr>
          <w:rFonts w:hint="eastAsia" w:cs="宋体"/>
          <w:color w:val="auto"/>
          <w:sz w:val="21"/>
          <w:szCs w:val="21"/>
        </w:rPr>
        <w:t>违约金不足以弥补甲方损失的，乙方还应向</w:t>
      </w:r>
      <w:r>
        <w:rPr>
          <w:rFonts w:hint="eastAsia"/>
          <w:color w:val="auto"/>
          <w:sz w:val="21"/>
          <w:szCs w:val="21"/>
        </w:rPr>
        <w:t>甲方赔偿遭受的全部损失。</w:t>
      </w:r>
    </w:p>
    <w:p w14:paraId="5F29D522">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b/>
          <w:bCs/>
          <w:color w:val="auto"/>
          <w:sz w:val="21"/>
          <w:szCs w:val="21"/>
        </w:rPr>
      </w:pPr>
      <w:r>
        <w:rPr>
          <w:rFonts w:asciiTheme="minorEastAsia" w:hAnsiTheme="minorEastAsia" w:eastAsiaTheme="minorEastAsia"/>
          <w:color w:val="auto"/>
          <w:sz w:val="21"/>
          <w:szCs w:val="21"/>
        </w:rPr>
        <w:t>4.</w:t>
      </w:r>
      <w:r>
        <w:rPr>
          <w:rFonts w:hint="eastAsia"/>
          <w:color w:val="auto"/>
          <w:spacing w:val="-6"/>
          <w:sz w:val="21"/>
          <w:szCs w:val="21"/>
        </w:rPr>
        <w:t>服务期内乙方未在约定时间内作出服务响应的，</w:t>
      </w:r>
      <w:r>
        <w:rPr>
          <w:rFonts w:hint="eastAsia"/>
          <w:color w:val="auto"/>
          <w:sz w:val="21"/>
          <w:szCs w:val="21"/>
        </w:rPr>
        <w:t>每发生一次应向甲方支付</w:t>
      </w:r>
      <w:r>
        <w:rPr>
          <w:b w:val="0"/>
          <w:bCs w:val="0"/>
          <w:color w:val="auto"/>
          <w:sz w:val="21"/>
          <w:szCs w:val="21"/>
          <w:u w:val="single"/>
        </w:rPr>
        <w:t xml:space="preserve"> </w:t>
      </w:r>
      <w:r>
        <w:rPr>
          <w:rFonts w:hint="eastAsia"/>
          <w:b w:val="0"/>
          <w:bCs w:val="0"/>
          <w:color w:val="auto"/>
          <w:sz w:val="21"/>
          <w:szCs w:val="21"/>
          <w:u w:val="single"/>
          <w:lang w:val="en-US" w:eastAsia="zh-CN"/>
        </w:rPr>
        <w:t>1000</w:t>
      </w:r>
      <w:r>
        <w:rPr>
          <w:rFonts w:hint="eastAsia"/>
          <w:b w:val="0"/>
          <w:bCs w:val="0"/>
          <w:color w:val="auto"/>
          <w:sz w:val="21"/>
          <w:szCs w:val="21"/>
          <w:u w:val="single"/>
        </w:rPr>
        <w:t xml:space="preserve"> </w:t>
      </w:r>
      <w:r>
        <w:rPr>
          <w:rFonts w:hint="eastAsia"/>
          <w:color w:val="auto"/>
          <w:sz w:val="21"/>
          <w:szCs w:val="21"/>
        </w:rPr>
        <w:t>元的违约金，</w:t>
      </w:r>
      <w:r>
        <w:rPr>
          <w:rFonts w:hint="eastAsia"/>
          <w:color w:val="auto"/>
          <w:spacing w:val="-6"/>
          <w:sz w:val="21"/>
          <w:szCs w:val="21"/>
        </w:rPr>
        <w:t>甲方有权委托第三方提供服务，</w:t>
      </w:r>
      <w:r>
        <w:rPr>
          <w:rFonts w:hint="eastAsia"/>
          <w:color w:val="auto"/>
          <w:sz w:val="21"/>
          <w:szCs w:val="21"/>
        </w:rPr>
        <w:t>所产生的费用由乙方承担。</w:t>
      </w:r>
    </w:p>
    <w:p w14:paraId="3C3D2F8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5.</w:t>
      </w:r>
      <w:r>
        <w:rPr>
          <w:rFonts w:hint="eastAsia"/>
          <w:color w:val="auto"/>
          <w:sz w:val="21"/>
          <w:szCs w:val="21"/>
        </w:rPr>
        <w:t>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3F108433">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十二、不可抗力</w:t>
      </w:r>
    </w:p>
    <w:p w14:paraId="4EA62C8E">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在合同有效期内，任何一方因不可抗力事件导致不能履行合同，则合同履行期可延长，其延长期与不可抗力影响期相同。</w:t>
      </w:r>
    </w:p>
    <w:p w14:paraId="4302296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不可抗力事件发生后，受不可抗力事件影响的一方应在事件发生后</w:t>
      </w:r>
      <w:r>
        <w:rPr>
          <w:color w:val="auto"/>
          <w:sz w:val="21"/>
          <w:szCs w:val="21"/>
        </w:rPr>
        <w:t>3</w:t>
      </w:r>
      <w:r>
        <w:rPr>
          <w:rFonts w:hint="eastAsia"/>
          <w:color w:val="auto"/>
          <w:sz w:val="21"/>
          <w:szCs w:val="21"/>
        </w:rPr>
        <w:t>日内立即通知对方，并寄送有关权威机构出具的证明。同时应立即尽一切合理努力采取措施，消除影响，减少损失。</w:t>
      </w:r>
    </w:p>
    <w:p w14:paraId="7F042F4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3</w:t>
      </w:r>
      <w:r>
        <w:rPr>
          <w:rFonts w:asciiTheme="minorEastAsia" w:hAnsiTheme="minorEastAsia" w:eastAsiaTheme="minorEastAsia"/>
          <w:color w:val="auto"/>
          <w:spacing w:val="-6"/>
          <w:sz w:val="21"/>
          <w:szCs w:val="21"/>
        </w:rPr>
        <w:t>.</w:t>
      </w:r>
      <w:r>
        <w:rPr>
          <w:rFonts w:hint="eastAsia"/>
          <w:color w:val="auto"/>
          <w:sz w:val="21"/>
          <w:szCs w:val="21"/>
        </w:rPr>
        <w:t>不可抗力事件延续</w:t>
      </w:r>
      <w:r>
        <w:rPr>
          <w:color w:val="auto"/>
          <w:sz w:val="21"/>
          <w:szCs w:val="21"/>
        </w:rPr>
        <w:t>30</w:t>
      </w:r>
      <w:r>
        <w:rPr>
          <w:rFonts w:hint="eastAsia"/>
          <w:color w:val="auto"/>
          <w:sz w:val="21"/>
          <w:szCs w:val="21"/>
        </w:rPr>
        <w:t>天以上，双方应通过友好协商，确定是否继续履行合同。</w:t>
      </w:r>
    </w:p>
    <w:p w14:paraId="0AC1F025">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cs="宋体" w:asciiTheme="minorEastAsia" w:hAnsiTheme="minorEastAsia" w:eastAsiaTheme="minorEastAsia"/>
          <w:color w:val="auto"/>
          <w:sz w:val="21"/>
          <w:szCs w:val="21"/>
        </w:rPr>
        <w:t>4.</w:t>
      </w:r>
      <w:r>
        <w:rPr>
          <w:rFonts w:hint="eastAsia"/>
          <w:color w:val="auto"/>
          <w:sz w:val="21"/>
          <w:szCs w:val="21"/>
        </w:rPr>
        <w:t>本条所述的“不可抗力”依法律规定。</w:t>
      </w:r>
    </w:p>
    <w:p w14:paraId="42DD1EE4">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十三、法律适用与争议解决</w:t>
      </w:r>
    </w:p>
    <w:p w14:paraId="56700E81">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本合同的订立、解释、履行及争议解决，均适用中华人民共和国法律。</w:t>
      </w:r>
    </w:p>
    <w:p w14:paraId="7A6DB3EF">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本合同履行过程中发生争议的，甲乙双方应友好协商；协商不成的，任何一方可向甲方所在地人民法院起诉。</w:t>
      </w:r>
    </w:p>
    <w:p w14:paraId="0BB26072">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hint="eastAsia"/>
          <w:b/>
          <w:bCs/>
          <w:color w:val="auto"/>
          <w:sz w:val="21"/>
          <w:szCs w:val="21"/>
        </w:rPr>
        <w:t>十四、合同生效及其他</w:t>
      </w:r>
    </w:p>
    <w:p w14:paraId="623B5C2E">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本合同经甲、乙双方代表签字并加盖单位公章或合同专用章后生效，甲方的单位公章盖采购中心合同专用章。</w:t>
      </w:r>
    </w:p>
    <w:p w14:paraId="49F79EA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bookmarkStart w:id="465" w:name="_Hlk154756484"/>
      <w:r>
        <w:rPr>
          <w:rFonts w:hint="eastAsia"/>
          <w:color w:val="auto"/>
          <w:sz w:val="21"/>
          <w:szCs w:val="21"/>
        </w:rPr>
        <w:t>合同执行中涉及采购内容修改或补充的，按《杭州电子科技大学采购合同管理实施细则》（杭电采〔</w:t>
      </w:r>
      <w:r>
        <w:rPr>
          <w:color w:val="auto"/>
          <w:sz w:val="21"/>
          <w:szCs w:val="21"/>
        </w:rPr>
        <w:t>2023〕154号）</w:t>
      </w:r>
      <w:r>
        <w:rPr>
          <w:rFonts w:hint="eastAsia"/>
          <w:color w:val="auto"/>
          <w:sz w:val="21"/>
          <w:szCs w:val="21"/>
        </w:rPr>
        <w:t>执行。（政府采购项目：合同执行中涉及采购资金和采购内容修改或补充的，须经财政部门审批，并签书面补充协议报政府采购监督管理部门备案，方可作为主合同不可分割的一部分。）</w:t>
      </w:r>
    </w:p>
    <w:bookmarkEnd w:id="465"/>
    <w:p w14:paraId="0F94B953">
      <w:pPr>
        <w:keepNext w:val="0"/>
        <w:keepLines w:val="0"/>
        <w:pageBreakBefore w:val="0"/>
        <w:widowControl w:val="0"/>
        <w:kinsoku/>
        <w:wordWrap/>
        <w:overflowPunct/>
        <w:topLinePunct w:val="0"/>
        <w:bidi w:val="0"/>
        <w:snapToGrid/>
        <w:spacing w:line="288" w:lineRule="auto"/>
        <w:ind w:left="0" w:leftChars="0" w:firstLine="396" w:firstLineChars="200"/>
        <w:textAlignment w:val="auto"/>
        <w:outlineLvl w:val="0"/>
        <w:rPr>
          <w:color w:val="auto"/>
          <w:sz w:val="21"/>
          <w:szCs w:val="21"/>
          <w:lang w:val="zh-CN"/>
        </w:rPr>
      </w:pPr>
      <w:bookmarkStart w:id="466" w:name="_Hlk154756502"/>
      <w:r>
        <w:rPr>
          <w:rFonts w:cs="宋体" w:asciiTheme="minorEastAsia" w:hAnsiTheme="minorEastAsia" w:eastAsiaTheme="minorEastAsia"/>
          <w:color w:val="auto"/>
          <w:spacing w:val="-6"/>
          <w:sz w:val="21"/>
          <w:szCs w:val="21"/>
        </w:rPr>
        <w:t>3.</w:t>
      </w:r>
      <w:bookmarkEnd w:id="466"/>
      <w:r>
        <w:rPr>
          <w:rFonts w:hint="eastAsia"/>
          <w:color w:val="auto"/>
          <w:sz w:val="21"/>
          <w:szCs w:val="21"/>
        </w:rPr>
        <w:t>本次采购过程中形成的</w:t>
      </w:r>
      <w:r>
        <w:rPr>
          <w:rFonts w:hint="eastAsia" w:ascii="宋体" w:hAnsi="宋体" w:cs="宋体"/>
          <w:color w:val="auto"/>
          <w:sz w:val="21"/>
          <w:szCs w:val="21"/>
        </w:rPr>
        <w:t>招标（非招标）</w:t>
      </w:r>
      <w:r>
        <w:rPr>
          <w:rFonts w:hint="eastAsia" w:ascii="宋体" w:hAnsi="宋体" w:cs="宋体"/>
          <w:color w:val="auto"/>
          <w:sz w:val="21"/>
          <w:szCs w:val="21"/>
          <w:lang w:val="zh-CN"/>
        </w:rPr>
        <w:t>文件</w:t>
      </w:r>
      <w:r>
        <w:rPr>
          <w:rFonts w:hint="eastAsia"/>
          <w:color w:val="auto"/>
          <w:sz w:val="21"/>
          <w:szCs w:val="21"/>
        </w:rPr>
        <w:t>、投标（响应）文件、澄清承诺、补充协议、附件等</w:t>
      </w:r>
      <w:r>
        <w:rPr>
          <w:rFonts w:hint="eastAsia"/>
          <w:color w:val="auto"/>
          <w:sz w:val="21"/>
          <w:szCs w:val="21"/>
          <w:lang w:val="zh-CN"/>
        </w:rPr>
        <w:t>为本合同的组成部分，并构成一个整体，需综合解释、相互补充。如果</w:t>
      </w:r>
      <w:r>
        <w:rPr>
          <w:rFonts w:hint="eastAsia"/>
          <w:color w:val="auto"/>
          <w:sz w:val="21"/>
          <w:szCs w:val="21"/>
        </w:rPr>
        <w:t>上述</w:t>
      </w:r>
      <w:r>
        <w:rPr>
          <w:rFonts w:hint="eastAsia"/>
          <w:color w:val="auto"/>
          <w:sz w:val="21"/>
          <w:szCs w:val="21"/>
          <w:lang w:val="zh-CN"/>
        </w:rPr>
        <w:t>文件内容出现不一致的情形，那么在保证按照采购文件确定的事项的前提下，组成本合同的多个文件的优先适用顺序如下：</w:t>
      </w:r>
    </w:p>
    <w:p w14:paraId="490AF8A5">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lang w:val="zh-CN"/>
        </w:rPr>
        <w:t>（</w:t>
      </w:r>
      <w:r>
        <w:rPr>
          <w:rFonts w:asciiTheme="minorEastAsia" w:hAnsiTheme="minorEastAsia" w:eastAsiaTheme="minorEastAsia"/>
          <w:color w:val="auto"/>
          <w:sz w:val="21"/>
          <w:szCs w:val="21"/>
          <w:lang w:val="zh-CN"/>
        </w:rPr>
        <w:t>1</w:t>
      </w:r>
      <w:r>
        <w:rPr>
          <w:rFonts w:hint="eastAsia"/>
          <w:color w:val="auto"/>
          <w:sz w:val="21"/>
          <w:szCs w:val="21"/>
          <w:lang w:val="zh-CN"/>
        </w:rPr>
        <w:t>）本合同及其补充合同、变更协议；</w:t>
      </w:r>
    </w:p>
    <w:p w14:paraId="2247ADA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2</w:t>
      </w:r>
      <w:r>
        <w:rPr>
          <w:rFonts w:hint="eastAsia"/>
          <w:color w:val="auto"/>
          <w:sz w:val="21"/>
          <w:szCs w:val="21"/>
        </w:rPr>
        <w:t>）中标（成交）</w:t>
      </w:r>
      <w:r>
        <w:rPr>
          <w:rFonts w:hint="eastAsia"/>
          <w:color w:val="auto"/>
          <w:sz w:val="21"/>
          <w:szCs w:val="21"/>
          <w:lang w:val="zh-CN"/>
        </w:rPr>
        <w:t>通知书；</w:t>
      </w:r>
    </w:p>
    <w:p w14:paraId="679304E9">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3</w:t>
      </w:r>
      <w:r>
        <w:rPr>
          <w:rFonts w:hint="eastAsia"/>
          <w:color w:val="auto"/>
          <w:sz w:val="21"/>
          <w:szCs w:val="21"/>
        </w:rPr>
        <w:t>）投标（</w:t>
      </w:r>
      <w:r>
        <w:rPr>
          <w:rFonts w:hint="eastAsia"/>
          <w:color w:val="auto"/>
          <w:sz w:val="21"/>
          <w:szCs w:val="21"/>
          <w:lang w:val="zh-CN"/>
        </w:rPr>
        <w:t>响应）文件（含澄清或者说明文件）；</w:t>
      </w:r>
    </w:p>
    <w:p w14:paraId="184733F3">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4</w:t>
      </w:r>
      <w:r>
        <w:rPr>
          <w:rFonts w:hint="eastAsia"/>
          <w:color w:val="auto"/>
          <w:sz w:val="21"/>
          <w:szCs w:val="21"/>
        </w:rPr>
        <w:t>）招标（非招标）</w:t>
      </w:r>
      <w:r>
        <w:rPr>
          <w:rFonts w:hint="eastAsia"/>
          <w:color w:val="auto"/>
          <w:sz w:val="21"/>
          <w:szCs w:val="21"/>
          <w:lang w:val="zh-CN"/>
        </w:rPr>
        <w:t>文件（含澄清或者修改文件）；</w:t>
      </w:r>
    </w:p>
    <w:p w14:paraId="18E1936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5</w:t>
      </w:r>
      <w:r>
        <w:rPr>
          <w:rFonts w:hint="eastAsia"/>
          <w:color w:val="auto"/>
          <w:sz w:val="21"/>
          <w:szCs w:val="21"/>
        </w:rPr>
        <w:t>）</w:t>
      </w:r>
      <w:r>
        <w:rPr>
          <w:rFonts w:hint="eastAsia"/>
          <w:color w:val="auto"/>
          <w:sz w:val="21"/>
          <w:szCs w:val="21"/>
          <w:lang w:val="zh-CN"/>
        </w:rPr>
        <w:t>其他相关采购文件。</w:t>
      </w:r>
    </w:p>
    <w:p w14:paraId="21795744">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467" w:name="_Hlk154756515"/>
      <w:r>
        <w:rPr>
          <w:rFonts w:asciiTheme="minorEastAsia" w:hAnsiTheme="minorEastAsia" w:eastAsiaTheme="minorEastAsia"/>
          <w:color w:val="auto"/>
          <w:sz w:val="21"/>
          <w:szCs w:val="21"/>
        </w:rPr>
        <w:t>4.</w:t>
      </w:r>
      <w:r>
        <w:rPr>
          <w:rFonts w:hint="eastAsia"/>
          <w:color w:val="auto"/>
          <w:sz w:val="21"/>
          <w:szCs w:val="21"/>
        </w:rPr>
        <w:t>本合同未尽事宜，遵照《中华人民共和国民法典》有关条文执行。</w:t>
      </w:r>
    </w:p>
    <w:p w14:paraId="411B7B44">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5.</w:t>
      </w:r>
      <w:r>
        <w:rPr>
          <w:rFonts w:hint="eastAsia" w:asciiTheme="minorEastAsia" w:hAnsiTheme="minorEastAsia" w:eastAsiaTheme="minorEastAsia"/>
          <w:color w:val="auto"/>
          <w:sz w:val="21"/>
          <w:szCs w:val="21"/>
        </w:rPr>
        <w:t>本合同</w:t>
      </w:r>
      <w:r>
        <w:rPr>
          <w:rFonts w:hint="eastAsia" w:asciiTheme="minorEastAsia" w:hAnsiTheme="minorEastAsia" w:eastAsiaTheme="minorEastAsia"/>
          <w:color w:val="auto"/>
          <w:szCs w:val="22"/>
        </w:rPr>
        <w:t>一式</w:t>
      </w:r>
      <w:r>
        <w:rPr>
          <w:rFonts w:hint="eastAsia" w:asciiTheme="minorEastAsia" w:hAnsiTheme="minorEastAsia" w:eastAsiaTheme="minorEastAsia"/>
          <w:color w:val="auto"/>
          <w:sz w:val="21"/>
          <w:szCs w:val="21"/>
          <w:lang w:val="en-US" w:eastAsia="zh-CN"/>
        </w:rPr>
        <w:t>肆</w:t>
      </w:r>
      <w:r>
        <w:rPr>
          <w:rFonts w:hint="eastAsia" w:asciiTheme="minorEastAsia" w:hAnsiTheme="minorEastAsia" w:eastAsiaTheme="minorEastAsia"/>
          <w:color w:val="auto"/>
          <w:szCs w:val="22"/>
        </w:rPr>
        <w:t>份，甲方执</w:t>
      </w:r>
      <w:r>
        <w:rPr>
          <w:rFonts w:hint="eastAsia" w:asciiTheme="minorEastAsia" w:hAnsiTheme="minorEastAsia" w:eastAsiaTheme="minorEastAsia"/>
          <w:color w:val="auto"/>
          <w:szCs w:val="22"/>
          <w:lang w:val="en-US" w:eastAsia="zh-CN"/>
        </w:rPr>
        <w:t>叁</w:t>
      </w:r>
      <w:r>
        <w:rPr>
          <w:rFonts w:hint="eastAsia" w:asciiTheme="minorEastAsia" w:hAnsiTheme="minorEastAsia" w:eastAsiaTheme="minorEastAsia"/>
          <w:color w:val="auto"/>
          <w:szCs w:val="22"/>
        </w:rPr>
        <w:t>份，乙方执</w:t>
      </w:r>
      <w:r>
        <w:rPr>
          <w:rFonts w:hint="eastAsia" w:asciiTheme="minorEastAsia" w:hAnsiTheme="minorEastAsia" w:eastAsiaTheme="minorEastAsia"/>
          <w:color w:val="auto"/>
          <w:szCs w:val="22"/>
          <w:lang w:val="en-US" w:eastAsia="zh-CN"/>
        </w:rPr>
        <w:t>壹</w:t>
      </w:r>
      <w:r>
        <w:rPr>
          <w:rFonts w:hint="eastAsia" w:asciiTheme="minorEastAsia" w:hAnsiTheme="minorEastAsia" w:eastAsiaTheme="minorEastAsia"/>
          <w:color w:val="auto"/>
          <w:szCs w:val="22"/>
        </w:rPr>
        <w:t>份</w:t>
      </w:r>
      <w:r>
        <w:rPr>
          <w:rFonts w:hint="eastAsia" w:asciiTheme="minorEastAsia" w:hAnsiTheme="minorEastAsia" w:eastAsiaTheme="minorEastAsia"/>
          <w:color w:val="auto"/>
          <w:sz w:val="21"/>
          <w:szCs w:val="21"/>
        </w:rPr>
        <w:t>，具有同等法律效力。</w:t>
      </w:r>
    </w:p>
    <w:bookmarkEnd w:id="467"/>
    <w:p w14:paraId="3AE5C4E4">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hint="eastAsia"/>
          <w:b/>
          <w:bCs/>
          <w:color w:val="auto"/>
          <w:sz w:val="21"/>
          <w:szCs w:val="21"/>
        </w:rPr>
        <w:t>合同附件</w:t>
      </w:r>
      <w:r>
        <w:rPr>
          <w:rFonts w:hint="eastAsia"/>
          <w:color w:val="auto"/>
          <w:sz w:val="21"/>
          <w:szCs w:val="21"/>
        </w:rPr>
        <w:t>：（附件名称</w:t>
      </w:r>
      <w:r>
        <w:rPr>
          <w:rFonts w:hint="eastAsia"/>
          <w:color w:val="auto"/>
          <w:sz w:val="21"/>
          <w:szCs w:val="21"/>
          <w:u w:val="single"/>
          <w:lang w:val="en-US" w:eastAsia="zh-CN"/>
        </w:rPr>
        <w:t xml:space="preserve">                      </w:t>
      </w:r>
      <w:r>
        <w:rPr>
          <w:rFonts w:hint="eastAsia"/>
          <w:color w:val="auto"/>
          <w:sz w:val="21"/>
          <w:szCs w:val="21"/>
          <w:u w:val="none"/>
        </w:rPr>
        <w:t>）</w:t>
      </w:r>
      <w:r>
        <w:rPr>
          <w:rFonts w:hint="eastAsia"/>
          <w:color w:val="auto"/>
          <w:sz w:val="21"/>
          <w:szCs w:val="21"/>
        </w:rPr>
        <w:t>（如有）</w:t>
      </w:r>
    </w:p>
    <w:p w14:paraId="5C8C4761">
      <w:pPr>
        <w:keepNext w:val="0"/>
        <w:keepLines w:val="0"/>
        <w:pageBreakBefore w:val="0"/>
        <w:widowControl w:val="0"/>
        <w:kinsoku/>
        <w:wordWrap/>
        <w:overflowPunct/>
        <w:topLinePunct w:val="0"/>
        <w:bidi w:val="0"/>
        <w:snapToGrid/>
        <w:spacing w:line="288" w:lineRule="auto"/>
        <w:ind w:firstLine="0" w:firstLineChars="0"/>
        <w:textAlignment w:val="auto"/>
        <w:outlineLvl w:val="0"/>
        <w:rPr>
          <w:color w:val="auto"/>
          <w:sz w:val="21"/>
          <w:szCs w:val="21"/>
        </w:rPr>
      </w:pPr>
    </w:p>
    <w:tbl>
      <w:tblPr>
        <w:tblStyle w:val="45"/>
        <w:tblW w:w="9249" w:type="dxa"/>
        <w:jc w:val="center"/>
        <w:tblLayout w:type="fixed"/>
        <w:tblCellMar>
          <w:top w:w="0" w:type="dxa"/>
          <w:left w:w="108" w:type="dxa"/>
          <w:bottom w:w="0" w:type="dxa"/>
          <w:right w:w="108" w:type="dxa"/>
        </w:tblCellMar>
      </w:tblPr>
      <w:tblGrid>
        <w:gridCol w:w="5073"/>
        <w:gridCol w:w="4176"/>
      </w:tblGrid>
      <w:tr w14:paraId="5776FF1B">
        <w:tblPrEx>
          <w:tblCellMar>
            <w:top w:w="0" w:type="dxa"/>
            <w:left w:w="108" w:type="dxa"/>
            <w:bottom w:w="0" w:type="dxa"/>
            <w:right w:w="108" w:type="dxa"/>
          </w:tblCellMar>
        </w:tblPrEx>
        <w:trPr>
          <w:trHeight w:val="782" w:hRule="atLeast"/>
          <w:jc w:val="center"/>
        </w:trPr>
        <w:tc>
          <w:tcPr>
            <w:tcW w:w="5073" w:type="dxa"/>
            <w:vAlign w:val="center"/>
          </w:tcPr>
          <w:p w14:paraId="03B8D8ED">
            <w:pPr>
              <w:keepNext w:val="0"/>
              <w:keepLines w:val="0"/>
              <w:pageBreakBefore w:val="0"/>
              <w:widowControl w:val="0"/>
              <w:kinsoku/>
              <w:wordWrap/>
              <w:overflowPunct/>
              <w:topLinePunct w:val="0"/>
              <w:bidi w:val="0"/>
              <w:snapToGrid/>
              <w:spacing w:line="288" w:lineRule="auto"/>
              <w:jc w:val="both"/>
              <w:textAlignment w:val="auto"/>
              <w:outlineLvl w:val="0"/>
              <w:rPr>
                <w:color w:val="auto"/>
              </w:rPr>
            </w:pPr>
            <w:r>
              <w:rPr>
                <w:rFonts w:hint="eastAsia"/>
                <w:color w:val="auto"/>
              </w:rPr>
              <w:t>甲方：杭州电子科技大学（公章）</w:t>
            </w:r>
          </w:p>
        </w:tc>
        <w:tc>
          <w:tcPr>
            <w:tcW w:w="4176" w:type="dxa"/>
            <w:vAlign w:val="center"/>
          </w:tcPr>
          <w:p w14:paraId="481933C4">
            <w:pPr>
              <w:keepNext w:val="0"/>
              <w:keepLines w:val="0"/>
              <w:pageBreakBefore w:val="0"/>
              <w:widowControl w:val="0"/>
              <w:kinsoku/>
              <w:wordWrap/>
              <w:overflowPunct/>
              <w:topLinePunct w:val="0"/>
              <w:bidi w:val="0"/>
              <w:snapToGrid/>
              <w:spacing w:line="288" w:lineRule="auto"/>
              <w:ind w:firstLine="0" w:firstLineChars="0"/>
              <w:jc w:val="both"/>
              <w:textAlignment w:val="auto"/>
              <w:outlineLvl w:val="0"/>
              <w:rPr>
                <w:color w:val="auto"/>
              </w:rPr>
            </w:pPr>
            <w:r>
              <w:rPr>
                <w:rFonts w:hint="eastAsia" w:ascii="宋体" w:hAnsi="宋体"/>
                <w:color w:val="auto"/>
                <w:spacing w:val="-6"/>
                <w:sz w:val="21"/>
                <w:szCs w:val="21"/>
              </w:rPr>
              <w:t>乙方</w:t>
            </w:r>
            <w:r>
              <w:rPr>
                <w:rFonts w:hint="eastAsia"/>
                <w:color w:val="auto"/>
              </w:rPr>
              <w:t>：（公章）</w:t>
            </w:r>
          </w:p>
        </w:tc>
      </w:tr>
      <w:tr w14:paraId="10D08324">
        <w:tblPrEx>
          <w:tblCellMar>
            <w:top w:w="0" w:type="dxa"/>
            <w:left w:w="108" w:type="dxa"/>
            <w:bottom w:w="0" w:type="dxa"/>
            <w:right w:w="108" w:type="dxa"/>
          </w:tblCellMar>
        </w:tblPrEx>
        <w:trPr>
          <w:trHeight w:val="1547" w:hRule="atLeast"/>
          <w:jc w:val="center"/>
        </w:trPr>
        <w:tc>
          <w:tcPr>
            <w:tcW w:w="5073" w:type="dxa"/>
            <w:vAlign w:val="center"/>
          </w:tcPr>
          <w:p w14:paraId="132E2BD2">
            <w:pPr>
              <w:keepNext w:val="0"/>
              <w:keepLines w:val="0"/>
              <w:pageBreakBefore w:val="0"/>
              <w:widowControl w:val="0"/>
              <w:kinsoku/>
              <w:wordWrap/>
              <w:overflowPunct/>
              <w:topLinePunct w:val="0"/>
              <w:bidi w:val="0"/>
              <w:snapToGrid/>
              <w:spacing w:line="288" w:lineRule="auto"/>
              <w:jc w:val="both"/>
              <w:textAlignment w:val="auto"/>
              <w:outlineLvl w:val="0"/>
              <w:rPr>
                <w:color w:val="auto"/>
              </w:rPr>
            </w:pPr>
            <w:r>
              <w:rPr>
                <w:rFonts w:hint="eastAsia"/>
                <w:color w:val="auto"/>
              </w:rPr>
              <w:t>法定（授权）代表人：</w:t>
            </w:r>
          </w:p>
          <w:p w14:paraId="40766612">
            <w:pPr>
              <w:keepNext w:val="0"/>
              <w:keepLines w:val="0"/>
              <w:pageBreakBefore w:val="0"/>
              <w:widowControl w:val="0"/>
              <w:kinsoku/>
              <w:wordWrap/>
              <w:overflowPunct/>
              <w:topLinePunct w:val="0"/>
              <w:bidi w:val="0"/>
              <w:snapToGrid/>
              <w:spacing w:line="288" w:lineRule="auto"/>
              <w:ind w:firstLine="396"/>
              <w:jc w:val="both"/>
              <w:textAlignment w:val="auto"/>
              <w:outlineLvl w:val="0"/>
              <w:rPr>
                <w:color w:val="auto"/>
              </w:rPr>
            </w:pPr>
            <w:r>
              <w:rPr>
                <w:rFonts w:hint="eastAsia"/>
                <w:color w:val="auto"/>
              </w:rPr>
              <w:t>(签字）</w:t>
            </w:r>
          </w:p>
        </w:tc>
        <w:tc>
          <w:tcPr>
            <w:tcW w:w="4176" w:type="dxa"/>
            <w:vAlign w:val="center"/>
          </w:tcPr>
          <w:p w14:paraId="1E5BDC8A">
            <w:pPr>
              <w:keepNext w:val="0"/>
              <w:keepLines w:val="0"/>
              <w:pageBreakBefore w:val="0"/>
              <w:widowControl w:val="0"/>
              <w:kinsoku/>
              <w:wordWrap/>
              <w:overflowPunct/>
              <w:topLinePunct w:val="0"/>
              <w:bidi w:val="0"/>
              <w:snapToGrid/>
              <w:spacing w:line="288" w:lineRule="auto"/>
              <w:jc w:val="both"/>
              <w:textAlignment w:val="auto"/>
              <w:outlineLvl w:val="0"/>
              <w:rPr>
                <w:color w:val="auto"/>
                <w:sz w:val="21"/>
                <w:szCs w:val="21"/>
              </w:rPr>
            </w:pPr>
            <w:r>
              <w:rPr>
                <w:rFonts w:hint="eastAsia"/>
                <w:color w:val="auto"/>
                <w:sz w:val="21"/>
                <w:szCs w:val="21"/>
              </w:rPr>
              <w:t>法定（授权）代表人：</w:t>
            </w:r>
          </w:p>
          <w:p w14:paraId="70A40642">
            <w:pPr>
              <w:keepNext w:val="0"/>
              <w:keepLines w:val="0"/>
              <w:pageBreakBefore w:val="0"/>
              <w:widowControl w:val="0"/>
              <w:kinsoku/>
              <w:wordWrap/>
              <w:overflowPunct/>
              <w:topLinePunct w:val="0"/>
              <w:bidi w:val="0"/>
              <w:snapToGrid/>
              <w:spacing w:line="288" w:lineRule="auto"/>
              <w:ind w:firstLine="396"/>
              <w:jc w:val="both"/>
              <w:textAlignment w:val="auto"/>
              <w:outlineLvl w:val="0"/>
              <w:rPr>
                <w:rFonts w:ascii="宋体" w:hAnsi="宋体"/>
                <w:color w:val="auto"/>
                <w:spacing w:val="-6"/>
                <w:sz w:val="21"/>
                <w:szCs w:val="21"/>
              </w:rPr>
            </w:pPr>
            <w:r>
              <w:rPr>
                <w:rFonts w:hint="eastAsia" w:ascii="宋体" w:hAnsi="宋体"/>
                <w:color w:val="auto"/>
                <w:spacing w:val="-6"/>
                <w:sz w:val="21"/>
                <w:szCs w:val="21"/>
              </w:rPr>
              <w:t>（签字）</w:t>
            </w:r>
          </w:p>
        </w:tc>
      </w:tr>
      <w:tr w14:paraId="1FE0862A">
        <w:tblPrEx>
          <w:tblCellMar>
            <w:top w:w="0" w:type="dxa"/>
            <w:left w:w="108" w:type="dxa"/>
            <w:bottom w:w="0" w:type="dxa"/>
            <w:right w:w="108" w:type="dxa"/>
          </w:tblCellMar>
        </w:tblPrEx>
        <w:trPr>
          <w:jc w:val="center"/>
        </w:trPr>
        <w:tc>
          <w:tcPr>
            <w:tcW w:w="5073" w:type="dxa"/>
            <w:vAlign w:val="center"/>
          </w:tcPr>
          <w:p w14:paraId="2ACC6035">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地址：杭州下沙高教园区二号大街1158号</w:t>
            </w:r>
          </w:p>
        </w:tc>
        <w:tc>
          <w:tcPr>
            <w:tcW w:w="4176" w:type="dxa"/>
            <w:vAlign w:val="center"/>
          </w:tcPr>
          <w:p w14:paraId="4EF2DFF6">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地址：</w:t>
            </w:r>
            <w:r>
              <w:rPr>
                <w:rFonts w:hint="eastAsia" w:ascii="宋体" w:hAnsi="宋体"/>
                <w:color w:val="auto"/>
                <w:spacing w:val="-6"/>
                <w:sz w:val="21"/>
                <w:szCs w:val="21"/>
              </w:rPr>
              <w:tab/>
            </w:r>
            <w:r>
              <w:rPr>
                <w:rFonts w:hint="eastAsia" w:ascii="宋体" w:hAnsi="宋体"/>
                <w:color w:val="auto"/>
                <w:spacing w:val="-6"/>
                <w:sz w:val="21"/>
                <w:szCs w:val="21"/>
              </w:rPr>
              <w:tab/>
            </w:r>
          </w:p>
        </w:tc>
      </w:tr>
      <w:tr w14:paraId="7C9E4AFC">
        <w:tblPrEx>
          <w:tblCellMar>
            <w:top w:w="0" w:type="dxa"/>
            <w:left w:w="108" w:type="dxa"/>
            <w:bottom w:w="0" w:type="dxa"/>
            <w:right w:w="108" w:type="dxa"/>
          </w:tblCellMar>
        </w:tblPrEx>
        <w:trPr>
          <w:jc w:val="center"/>
        </w:trPr>
        <w:tc>
          <w:tcPr>
            <w:tcW w:w="5073" w:type="dxa"/>
            <w:vAlign w:val="center"/>
          </w:tcPr>
          <w:p w14:paraId="210FF99A">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 xml:space="preserve">电话： </w:t>
            </w:r>
          </w:p>
        </w:tc>
        <w:tc>
          <w:tcPr>
            <w:tcW w:w="4176" w:type="dxa"/>
            <w:vAlign w:val="center"/>
          </w:tcPr>
          <w:p w14:paraId="17812D8A">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电话：</w:t>
            </w:r>
            <w:r>
              <w:rPr>
                <w:rFonts w:hint="eastAsia" w:ascii="宋体" w:hAnsi="宋体"/>
                <w:color w:val="auto"/>
                <w:spacing w:val="-6"/>
                <w:sz w:val="21"/>
                <w:szCs w:val="21"/>
              </w:rPr>
              <w:tab/>
            </w:r>
          </w:p>
        </w:tc>
      </w:tr>
      <w:tr w14:paraId="7A67CBBD">
        <w:tblPrEx>
          <w:tblCellMar>
            <w:top w:w="0" w:type="dxa"/>
            <w:left w:w="108" w:type="dxa"/>
            <w:bottom w:w="0" w:type="dxa"/>
            <w:right w:w="108" w:type="dxa"/>
          </w:tblCellMar>
        </w:tblPrEx>
        <w:trPr>
          <w:jc w:val="center"/>
        </w:trPr>
        <w:tc>
          <w:tcPr>
            <w:tcW w:w="5073" w:type="dxa"/>
            <w:vAlign w:val="center"/>
          </w:tcPr>
          <w:p w14:paraId="568F4B87">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 xml:space="preserve">开户银行：工行高新支行 </w:t>
            </w:r>
          </w:p>
        </w:tc>
        <w:tc>
          <w:tcPr>
            <w:tcW w:w="4176" w:type="dxa"/>
            <w:vAlign w:val="center"/>
          </w:tcPr>
          <w:p w14:paraId="08647EB6">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开户银行：</w:t>
            </w:r>
            <w:r>
              <w:rPr>
                <w:rFonts w:hint="eastAsia" w:ascii="宋体" w:hAnsi="宋体"/>
                <w:color w:val="auto"/>
                <w:spacing w:val="-6"/>
                <w:sz w:val="21"/>
                <w:szCs w:val="21"/>
              </w:rPr>
              <w:tab/>
            </w:r>
          </w:p>
        </w:tc>
      </w:tr>
      <w:tr w14:paraId="73F7EAC1">
        <w:tblPrEx>
          <w:tblCellMar>
            <w:top w:w="0" w:type="dxa"/>
            <w:left w:w="108" w:type="dxa"/>
            <w:bottom w:w="0" w:type="dxa"/>
            <w:right w:w="108" w:type="dxa"/>
          </w:tblCellMar>
        </w:tblPrEx>
        <w:trPr>
          <w:jc w:val="center"/>
        </w:trPr>
        <w:tc>
          <w:tcPr>
            <w:tcW w:w="5073" w:type="dxa"/>
            <w:vAlign w:val="center"/>
          </w:tcPr>
          <w:p w14:paraId="2AE8A19E">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帐号：1202026209008806216</w:t>
            </w:r>
          </w:p>
        </w:tc>
        <w:tc>
          <w:tcPr>
            <w:tcW w:w="4176" w:type="dxa"/>
            <w:vAlign w:val="center"/>
          </w:tcPr>
          <w:p w14:paraId="153649A2">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帐号：</w:t>
            </w:r>
          </w:p>
        </w:tc>
      </w:tr>
      <w:tr w14:paraId="07EF447D">
        <w:tblPrEx>
          <w:tblCellMar>
            <w:top w:w="0" w:type="dxa"/>
            <w:left w:w="108" w:type="dxa"/>
            <w:bottom w:w="0" w:type="dxa"/>
            <w:right w:w="108" w:type="dxa"/>
          </w:tblCellMar>
        </w:tblPrEx>
        <w:trPr>
          <w:jc w:val="center"/>
        </w:trPr>
        <w:tc>
          <w:tcPr>
            <w:tcW w:w="5073" w:type="dxa"/>
            <w:vAlign w:val="center"/>
          </w:tcPr>
          <w:p w14:paraId="0C6717E7">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签字日期：      年    月    日</w:t>
            </w:r>
          </w:p>
        </w:tc>
        <w:tc>
          <w:tcPr>
            <w:tcW w:w="4176" w:type="dxa"/>
            <w:vAlign w:val="center"/>
          </w:tcPr>
          <w:p w14:paraId="12D5B5C0">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签字日期：      年    月    日</w:t>
            </w:r>
          </w:p>
        </w:tc>
      </w:tr>
    </w:tbl>
    <w:p w14:paraId="3084E99F">
      <w:pPr>
        <w:outlineLvl w:val="0"/>
        <w:rPr>
          <w:color w:val="auto"/>
        </w:rPr>
      </w:pPr>
    </w:p>
    <w:p w14:paraId="2F32DED8">
      <w:pPr>
        <w:outlineLvl w:val="0"/>
        <w:rPr>
          <w:rStyle w:val="55"/>
          <w:rFonts w:hint="eastAsia"/>
          <w:color w:val="auto"/>
        </w:rPr>
      </w:pPr>
      <w:r>
        <w:rPr>
          <w:rStyle w:val="55"/>
          <w:rFonts w:hint="eastAsia"/>
          <w:color w:val="auto"/>
        </w:rPr>
        <w:br w:type="page"/>
      </w:r>
    </w:p>
    <w:p w14:paraId="596E60B4">
      <w:pPr>
        <w:snapToGrid w:val="0"/>
        <w:spacing w:before="240" w:beforeLines="100" w:after="240" w:afterLines="100"/>
        <w:jc w:val="center"/>
        <w:outlineLvl w:val="0"/>
        <w:rPr>
          <w:rStyle w:val="55"/>
          <w:color w:val="auto"/>
        </w:rPr>
      </w:pPr>
      <w:bookmarkStart w:id="468" w:name="_Toc22982_WPSOffice_Level1"/>
      <w:bookmarkStart w:id="469" w:name="_Toc16498_WPSOffice_Level1"/>
      <w:r>
        <w:rPr>
          <w:rStyle w:val="55"/>
          <w:rFonts w:hint="eastAsia"/>
          <w:color w:val="auto"/>
        </w:rPr>
        <w:t>第六部分</w:t>
      </w:r>
      <w:r>
        <w:rPr>
          <w:rStyle w:val="55"/>
          <w:color w:val="auto"/>
        </w:rPr>
        <w:t xml:space="preserve"> </w:t>
      </w:r>
      <w:r>
        <w:rPr>
          <w:rStyle w:val="55"/>
          <w:rFonts w:hint="eastAsia"/>
          <w:color w:val="auto"/>
        </w:rPr>
        <w:t>响应文件格式</w:t>
      </w:r>
      <w:bookmarkEnd w:id="468"/>
      <w:bookmarkEnd w:id="469"/>
    </w:p>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14:paraId="25BB0E8C">
      <w:pPr>
        <w:adjustRightInd w:val="0"/>
        <w:snapToGrid w:val="0"/>
        <w:spacing w:line="288" w:lineRule="auto"/>
        <w:jc w:val="center"/>
        <w:outlineLvl w:val="0"/>
        <w:rPr>
          <w:b/>
          <w:bCs/>
          <w:color w:val="auto"/>
          <w:sz w:val="24"/>
          <w:szCs w:val="24"/>
        </w:rPr>
      </w:pPr>
      <w:bookmarkStart w:id="470" w:name="_Toc22224_WPSOffice_Level1"/>
      <w:bookmarkStart w:id="471" w:name="_Toc27814_WPSOffice_Level1"/>
      <w:bookmarkStart w:id="472" w:name="_Toc7710"/>
      <w:bookmarkStart w:id="473" w:name="_Toc32522"/>
      <w:bookmarkStart w:id="474" w:name="_Toc9623"/>
      <w:bookmarkStart w:id="475" w:name="_Toc13819"/>
      <w:bookmarkStart w:id="476" w:name="_Toc3964"/>
      <w:bookmarkStart w:id="477" w:name="_Toc706"/>
      <w:bookmarkStart w:id="478" w:name="_Toc26648"/>
      <w:bookmarkStart w:id="479" w:name="_Toc19804"/>
      <w:bookmarkStart w:id="480" w:name="_Toc2886"/>
      <w:bookmarkStart w:id="481" w:name="_Toc20870"/>
      <w:bookmarkStart w:id="482" w:name="_Toc24168"/>
      <w:bookmarkStart w:id="483" w:name="_Toc27551"/>
      <w:bookmarkStart w:id="484" w:name="_Toc22675"/>
      <w:bookmarkStart w:id="485" w:name="_Toc31085"/>
      <w:bookmarkStart w:id="486" w:name="_Toc25819"/>
      <w:bookmarkStart w:id="487" w:name="_Toc19286"/>
      <w:bookmarkStart w:id="488" w:name="_Toc32223"/>
      <w:bookmarkStart w:id="489" w:name="_Toc8070"/>
      <w:bookmarkStart w:id="490" w:name="_Toc20738"/>
      <w:bookmarkStart w:id="491" w:name="_Toc27063"/>
      <w:bookmarkStart w:id="492" w:name="_Toc14400"/>
      <w:bookmarkStart w:id="493" w:name="_Toc7409"/>
      <w:bookmarkStart w:id="494" w:name="_Toc7013"/>
      <w:bookmarkStart w:id="495" w:name="_Toc17119"/>
      <w:bookmarkStart w:id="496" w:name="_Toc32185"/>
      <w:bookmarkStart w:id="497" w:name="_Toc23756"/>
      <w:bookmarkStart w:id="498" w:name="_Toc28159"/>
      <w:bookmarkStart w:id="499" w:name="_Toc20766"/>
      <w:bookmarkStart w:id="500" w:name="_Toc11204"/>
      <w:bookmarkStart w:id="501" w:name="_Toc4610"/>
      <w:bookmarkStart w:id="502" w:name="_Toc9502"/>
      <w:bookmarkStart w:id="503" w:name="_Toc6868"/>
      <w:bookmarkStart w:id="504" w:name="_Toc28613"/>
      <w:bookmarkStart w:id="505" w:name="_Toc14202"/>
      <w:bookmarkStart w:id="506" w:name="_Toc32288"/>
      <w:bookmarkStart w:id="507" w:name="_Toc9636"/>
      <w:bookmarkStart w:id="508" w:name="_Toc2326"/>
      <w:bookmarkStart w:id="509" w:name="_Toc4274"/>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bookmarkEnd w:id="470"/>
      <w:bookmarkEnd w:id="471"/>
    </w:p>
    <w:p w14:paraId="5C69E945">
      <w:pPr>
        <w:adjustRightInd w:val="0"/>
        <w:snapToGrid w:val="0"/>
        <w:spacing w:line="288" w:lineRule="auto"/>
        <w:rPr>
          <w:color w:val="auto"/>
          <w:sz w:val="24"/>
          <w:szCs w:val="24"/>
        </w:rPr>
      </w:pPr>
    </w:p>
    <w:p w14:paraId="243FD50C">
      <w:pPr>
        <w:adjustRightInd w:val="0"/>
        <w:snapToGrid w:val="0"/>
        <w:spacing w:line="288" w:lineRule="auto"/>
        <w:ind w:firstLine="482" w:firstLineChars="200"/>
        <w:outlineLvl w:val="0"/>
        <w:rPr>
          <w:b/>
          <w:bCs/>
          <w:color w:val="auto"/>
          <w:sz w:val="24"/>
          <w:szCs w:val="24"/>
        </w:rPr>
      </w:pPr>
      <w:bookmarkStart w:id="510" w:name="_Toc4047_WPSOffice_Level1"/>
      <w:bookmarkStart w:id="511" w:name="_Toc31505_WPSOffice_Level1"/>
      <w:bookmarkStart w:id="512" w:name="_Hlk71884160"/>
      <w:r>
        <w:rPr>
          <w:rFonts w:hint="eastAsia"/>
          <w:b/>
          <w:bCs/>
          <w:color w:val="auto"/>
          <w:sz w:val="24"/>
          <w:szCs w:val="24"/>
        </w:rPr>
        <w:t>1.资格文件</w:t>
      </w:r>
      <w:bookmarkEnd w:id="510"/>
      <w:bookmarkEnd w:id="511"/>
    </w:p>
    <w:p w14:paraId="7F65D3A3">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资格审查要求的资格证明材料(均需加盖公章)：</w:t>
      </w:r>
    </w:p>
    <w:bookmarkEnd w:id="512"/>
    <w:p w14:paraId="41D954AD">
      <w:pPr>
        <w:adjustRightInd w:val="0"/>
        <w:snapToGrid w:val="0"/>
        <w:spacing w:line="288" w:lineRule="auto"/>
        <w:ind w:firstLine="480" w:firstLineChars="200"/>
        <w:outlineLvl w:val="1"/>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有效的法人或者其他组织的营业执照等证明文件，自然人的身份证明</w:t>
      </w:r>
    </w:p>
    <w:p w14:paraId="1A05AA70">
      <w:pPr>
        <w:adjustRightInd w:val="0"/>
        <w:snapToGrid w:val="0"/>
        <w:spacing w:line="288" w:lineRule="auto"/>
        <w:ind w:firstLine="480" w:firstLineChars="200"/>
        <w:outlineLvl w:val="1"/>
        <w:rPr>
          <w:color w:val="auto"/>
          <w:sz w:val="24"/>
          <w:szCs w:val="24"/>
        </w:rPr>
      </w:pPr>
      <w:bookmarkStart w:id="513"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p w14:paraId="398CA70B">
      <w:pPr>
        <w:adjustRightInd w:val="0"/>
        <w:snapToGrid w:val="0"/>
        <w:spacing w:line="288" w:lineRule="auto"/>
        <w:ind w:firstLine="480" w:firstLineChars="200"/>
        <w:outlineLvl w:val="1"/>
        <w:rPr>
          <w:color w:val="auto"/>
          <w:sz w:val="24"/>
          <w:szCs w:val="24"/>
        </w:rPr>
      </w:pPr>
      <w:r>
        <w:rPr>
          <w:rFonts w:hint="eastAsia"/>
          <w:color w:val="auto"/>
          <w:sz w:val="24"/>
          <w:szCs w:val="24"/>
        </w:rPr>
        <w:t>（</w:t>
      </w:r>
      <w:r>
        <w:rPr>
          <w:color w:val="auto"/>
          <w:sz w:val="24"/>
          <w:szCs w:val="24"/>
        </w:rPr>
        <w:t>3）</w:t>
      </w:r>
      <w:bookmarkStart w:id="514" w:name="OLE_LINK3"/>
      <w:r>
        <w:rPr>
          <w:rFonts w:hint="eastAsia"/>
          <w:b/>
          <w:bCs/>
          <w:color w:val="auto"/>
          <w:sz w:val="24"/>
          <w:szCs w:val="24"/>
        </w:rPr>
        <w:t>▲</w:t>
      </w:r>
      <w:bookmarkEnd w:id="514"/>
      <w:r>
        <w:rPr>
          <w:rFonts w:hint="eastAsia"/>
          <w:color w:val="auto"/>
          <w:sz w:val="24"/>
          <w:szCs w:val="24"/>
        </w:rPr>
        <w:t>中小企业声明函</w:t>
      </w:r>
      <w:r>
        <w:rPr>
          <w:rFonts w:hint="eastAsia"/>
          <w:color w:val="auto"/>
          <w:sz w:val="24"/>
          <w:szCs w:val="24"/>
          <w:lang w:eastAsia="zh-CN"/>
        </w:rPr>
        <w:t>，</w:t>
      </w:r>
      <w:r>
        <w:rPr>
          <w:rFonts w:hint="eastAsia"/>
          <w:color w:val="auto"/>
          <w:sz w:val="24"/>
          <w:szCs w:val="24"/>
        </w:rPr>
        <w:t>属于监狱企业的证明文件（若属于监狱企业）</w:t>
      </w:r>
      <w:r>
        <w:rPr>
          <w:rFonts w:hint="eastAsia"/>
          <w:color w:val="auto"/>
          <w:sz w:val="24"/>
          <w:szCs w:val="24"/>
          <w:lang w:eastAsia="zh-CN"/>
        </w:rPr>
        <w:t>，</w:t>
      </w:r>
      <w:r>
        <w:rPr>
          <w:rFonts w:hint="eastAsia"/>
          <w:color w:val="auto"/>
          <w:sz w:val="24"/>
          <w:szCs w:val="24"/>
        </w:rPr>
        <w:t>残疾人福利性单位声明函（若属于残疾人福利性单位）</w:t>
      </w:r>
    </w:p>
    <w:bookmarkEnd w:id="513"/>
    <w:p w14:paraId="18945591">
      <w:pPr>
        <w:adjustRightInd w:val="0"/>
        <w:snapToGrid w:val="0"/>
        <w:spacing w:line="288" w:lineRule="auto"/>
        <w:ind w:firstLine="482" w:firstLineChars="200"/>
        <w:outlineLvl w:val="0"/>
        <w:rPr>
          <w:b/>
          <w:bCs/>
          <w:color w:val="auto"/>
          <w:sz w:val="24"/>
          <w:szCs w:val="24"/>
        </w:rPr>
      </w:pPr>
      <w:bookmarkStart w:id="515" w:name="_Toc22139_WPSOffice_Level1"/>
      <w:bookmarkStart w:id="516" w:name="_Toc29411_WPSOffice_Level1"/>
      <w:r>
        <w:rPr>
          <w:rFonts w:hint="eastAsia"/>
          <w:b/>
          <w:bCs/>
          <w:color w:val="auto"/>
          <w:sz w:val="24"/>
          <w:szCs w:val="24"/>
        </w:rPr>
        <w:t>2.报价文件</w:t>
      </w:r>
      <w:bookmarkEnd w:id="515"/>
      <w:bookmarkEnd w:id="516"/>
    </w:p>
    <w:p w14:paraId="498AF9BD">
      <w:pPr>
        <w:adjustRightInd w:val="0"/>
        <w:snapToGrid w:val="0"/>
        <w:spacing w:line="288" w:lineRule="auto"/>
        <w:ind w:firstLine="480" w:firstLineChars="200"/>
        <w:outlineLvl w:val="1"/>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初次报价一览表</w:t>
      </w:r>
    </w:p>
    <w:p w14:paraId="05131646">
      <w:pPr>
        <w:adjustRightInd w:val="0"/>
        <w:snapToGrid w:val="0"/>
        <w:spacing w:line="288" w:lineRule="auto"/>
        <w:ind w:firstLine="482" w:firstLineChars="200"/>
        <w:outlineLvl w:val="0"/>
        <w:rPr>
          <w:b/>
          <w:bCs/>
          <w:color w:val="auto"/>
          <w:sz w:val="24"/>
          <w:szCs w:val="24"/>
        </w:rPr>
      </w:pPr>
      <w:bookmarkStart w:id="517" w:name="_Toc15281_WPSOffice_Level1"/>
      <w:bookmarkStart w:id="518" w:name="_Toc31130_WPSOffice_Level1"/>
      <w:r>
        <w:rPr>
          <w:rFonts w:hint="eastAsia"/>
          <w:b/>
          <w:bCs/>
          <w:color w:val="auto"/>
          <w:sz w:val="24"/>
          <w:szCs w:val="24"/>
        </w:rPr>
        <w:t>3.商务和技术文件</w:t>
      </w:r>
      <w:bookmarkEnd w:id="517"/>
      <w:bookmarkEnd w:id="518"/>
    </w:p>
    <w:p w14:paraId="4E6F6A80">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23088924">
      <w:pPr>
        <w:adjustRightInd w:val="0"/>
        <w:snapToGrid w:val="0"/>
        <w:spacing w:line="288" w:lineRule="auto"/>
        <w:ind w:firstLine="480" w:firstLineChars="200"/>
        <w:rPr>
          <w:rFonts w:hint="eastAsia" w:eastAsia="宋体"/>
          <w:color w:val="auto"/>
          <w:sz w:val="24"/>
          <w:szCs w:val="24"/>
          <w:lang w:val="en-US" w:eastAsia="zh-CN"/>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r>
        <w:rPr>
          <w:rFonts w:hint="eastAsia"/>
          <w:color w:val="auto"/>
          <w:sz w:val="24"/>
          <w:szCs w:val="24"/>
          <w:lang w:val="en-US" w:eastAsia="zh-CN"/>
        </w:rPr>
        <w:t>或</w:t>
      </w:r>
      <w:r>
        <w:rPr>
          <w:rFonts w:hint="eastAsia"/>
          <w:color w:val="auto"/>
          <w:sz w:val="24"/>
          <w:szCs w:val="24"/>
        </w:rPr>
        <w:t>法定代表人资格证明书（法定代表人参加时提供）</w:t>
      </w:r>
    </w:p>
    <w:p w14:paraId="31CF2324">
      <w:pPr>
        <w:adjustRightInd w:val="0"/>
        <w:snapToGrid w:val="0"/>
        <w:spacing w:line="288" w:lineRule="auto"/>
        <w:ind w:firstLine="480" w:firstLineChars="200"/>
        <w:rPr>
          <w:rFonts w:hint="eastAsia" w:eastAsia="宋体"/>
          <w:color w:val="auto"/>
          <w:sz w:val="24"/>
          <w:szCs w:val="24"/>
          <w:lang w:eastAsia="zh-CN"/>
        </w:rPr>
      </w:pPr>
      <w:r>
        <w:rPr>
          <w:rFonts w:hint="eastAsia"/>
          <w:color w:val="auto"/>
          <w:sz w:val="24"/>
          <w:szCs w:val="24"/>
        </w:rPr>
        <w:t>（3）</w:t>
      </w:r>
      <w:r>
        <w:rPr>
          <w:rFonts w:hint="eastAsia"/>
          <w:b/>
          <w:bCs/>
          <w:color w:val="auto"/>
          <w:sz w:val="24"/>
          <w:szCs w:val="24"/>
        </w:rPr>
        <w:t>▲</w:t>
      </w:r>
      <w:r>
        <w:rPr>
          <w:rFonts w:hint="eastAsia"/>
          <w:color w:val="auto"/>
          <w:sz w:val="24"/>
          <w:szCs w:val="24"/>
          <w:lang w:eastAsia="zh-CN"/>
        </w:rPr>
        <w:t>2026年1月</w:t>
      </w:r>
      <w:r>
        <w:rPr>
          <w:rFonts w:hint="eastAsia"/>
          <w:color w:val="auto"/>
          <w:sz w:val="24"/>
          <w:szCs w:val="24"/>
        </w:rPr>
        <w:t>（含）以后任意一月供应商授权代表社保缴纳证明（非法定代表人参加时提供）</w:t>
      </w:r>
    </w:p>
    <w:p w14:paraId="32AC06C5">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color w:val="auto"/>
          <w:sz w:val="24"/>
          <w:szCs w:val="24"/>
        </w:rPr>
        <w:t>采购需求偏离表</w:t>
      </w:r>
    </w:p>
    <w:p w14:paraId="28120331">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5</w:t>
      </w:r>
      <w:r>
        <w:rPr>
          <w:rFonts w:hint="eastAsia"/>
          <w:color w:val="auto"/>
          <w:sz w:val="24"/>
          <w:szCs w:val="24"/>
        </w:rPr>
        <w:t>）</w:t>
      </w:r>
      <w:r>
        <w:rPr>
          <w:rFonts w:hint="eastAsia"/>
          <w:b/>
          <w:bCs/>
          <w:color w:val="auto"/>
          <w:sz w:val="24"/>
          <w:szCs w:val="24"/>
        </w:rPr>
        <w:t>▲</w:t>
      </w:r>
      <w:r>
        <w:rPr>
          <w:rFonts w:hint="eastAsia"/>
          <w:color w:val="auto"/>
          <w:sz w:val="24"/>
          <w:szCs w:val="24"/>
        </w:rPr>
        <w:t>响应方基本情况表</w:t>
      </w:r>
    </w:p>
    <w:p w14:paraId="110F37C0">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6</w:t>
      </w:r>
      <w:r>
        <w:rPr>
          <w:rFonts w:hint="eastAsia"/>
          <w:color w:val="auto"/>
          <w:sz w:val="24"/>
          <w:szCs w:val="24"/>
        </w:rPr>
        <w:t>）供应商同类合同一览表</w:t>
      </w:r>
    </w:p>
    <w:p w14:paraId="35189236">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7</w:t>
      </w:r>
      <w:r>
        <w:rPr>
          <w:color w:val="auto"/>
          <w:sz w:val="24"/>
          <w:szCs w:val="24"/>
        </w:rPr>
        <w:t>）</w:t>
      </w:r>
      <w:bookmarkStart w:id="519" w:name="_Hlk71884196"/>
      <w:r>
        <w:rPr>
          <w:rFonts w:hint="eastAsia"/>
          <w:color w:val="auto"/>
          <w:sz w:val="24"/>
          <w:szCs w:val="24"/>
        </w:rPr>
        <w:t>详细技术和服务方案</w:t>
      </w:r>
    </w:p>
    <w:p w14:paraId="6FA3128A">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8</w:t>
      </w:r>
      <w:r>
        <w:rPr>
          <w:rFonts w:hint="eastAsia"/>
          <w:color w:val="auto"/>
          <w:sz w:val="24"/>
          <w:szCs w:val="24"/>
        </w:rPr>
        <w:t>）项目组成员一览表</w:t>
      </w:r>
    </w:p>
    <w:p w14:paraId="444723BC">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9</w:t>
      </w:r>
      <w:r>
        <w:rPr>
          <w:rFonts w:hint="eastAsia"/>
          <w:color w:val="auto"/>
          <w:sz w:val="24"/>
          <w:szCs w:val="24"/>
        </w:rPr>
        <w:t xml:space="preserve">）关于对磋商文件中有关条款的拒绝声明(如有) </w:t>
      </w:r>
    </w:p>
    <w:bookmarkEnd w:id="519"/>
    <w:p w14:paraId="0DC23BE3">
      <w:pPr>
        <w:adjustRightInd w:val="0"/>
        <w:snapToGrid w:val="0"/>
        <w:spacing w:line="288" w:lineRule="auto"/>
        <w:ind w:firstLine="482" w:firstLineChars="200"/>
        <w:outlineLvl w:val="0"/>
        <w:rPr>
          <w:b/>
          <w:bCs/>
          <w:color w:val="auto"/>
          <w:sz w:val="24"/>
          <w:szCs w:val="24"/>
        </w:rPr>
      </w:pPr>
      <w:bookmarkStart w:id="520" w:name="_Toc1822_WPSOffice_Level1"/>
      <w:bookmarkStart w:id="521" w:name="_Toc17228_WPSOffice_Level1"/>
      <w:r>
        <w:rPr>
          <w:rFonts w:hint="eastAsia"/>
          <w:b/>
          <w:bCs/>
          <w:color w:val="auto"/>
          <w:sz w:val="24"/>
          <w:szCs w:val="24"/>
        </w:rPr>
        <w:t>4.评分标准索引表</w:t>
      </w:r>
      <w:bookmarkEnd w:id="520"/>
      <w:bookmarkEnd w:id="521"/>
      <w:r>
        <w:rPr>
          <w:rFonts w:hint="eastAsia"/>
          <w:b/>
          <w:bCs/>
          <w:color w:val="auto"/>
          <w:sz w:val="24"/>
          <w:szCs w:val="24"/>
        </w:rPr>
        <w:br w:type="page"/>
      </w:r>
    </w:p>
    <w:p w14:paraId="2016FB7A">
      <w:pPr>
        <w:adjustRightInd w:val="0"/>
        <w:snapToGrid w:val="0"/>
        <w:spacing w:line="288" w:lineRule="auto"/>
        <w:jc w:val="center"/>
        <w:outlineLvl w:val="0"/>
        <w:rPr>
          <w:b/>
          <w:bCs/>
          <w:color w:val="auto"/>
          <w:sz w:val="84"/>
          <w:szCs w:val="84"/>
        </w:rPr>
      </w:pPr>
      <w:bookmarkStart w:id="522" w:name="_Toc29962_WPSOffice_Level1"/>
      <w:bookmarkStart w:id="523" w:name="_Toc7671_WPSOffice_Level1"/>
      <w:r>
        <w:rPr>
          <w:rFonts w:hint="eastAsia"/>
          <w:b/>
          <w:bCs/>
          <w:color w:val="auto"/>
          <w:sz w:val="84"/>
          <w:szCs w:val="84"/>
        </w:rPr>
        <w:t>资格文件</w:t>
      </w:r>
      <w:bookmarkEnd w:id="522"/>
      <w:bookmarkEnd w:id="523"/>
    </w:p>
    <w:p w14:paraId="0AE13696">
      <w:pPr>
        <w:adjustRightInd w:val="0"/>
        <w:snapToGrid w:val="0"/>
        <w:spacing w:line="288" w:lineRule="auto"/>
        <w:jc w:val="center"/>
        <w:outlineLvl w:val="0"/>
        <w:rPr>
          <w:b/>
          <w:bCs/>
          <w:color w:val="auto"/>
          <w:sz w:val="24"/>
          <w:szCs w:val="24"/>
        </w:rPr>
      </w:pPr>
      <w:bookmarkStart w:id="524" w:name="_Hlk94097338"/>
      <w:bookmarkStart w:id="525" w:name="_Toc13712_WPSOffice_Level1"/>
      <w:bookmarkStart w:id="526" w:name="_Toc13299_WPSOffice_Level1"/>
      <w:r>
        <w:rPr>
          <w:rFonts w:hint="eastAsia"/>
          <w:b/>
          <w:bCs/>
          <w:color w:val="auto"/>
          <w:sz w:val="24"/>
          <w:szCs w:val="24"/>
        </w:rPr>
        <w:t>资格审查要求的资格证明材料(均需加盖公章)</w:t>
      </w:r>
      <w:bookmarkEnd w:id="524"/>
      <w:bookmarkEnd w:id="525"/>
      <w:bookmarkEnd w:id="526"/>
    </w:p>
    <w:p w14:paraId="039D07A3">
      <w:pPr>
        <w:pStyle w:val="2"/>
        <w:ind w:firstLine="480"/>
        <w:rPr>
          <w:color w:val="auto"/>
          <w:sz w:val="24"/>
        </w:rPr>
      </w:pPr>
    </w:p>
    <w:p w14:paraId="00A3A318">
      <w:pPr>
        <w:adjustRightInd w:val="0"/>
        <w:snapToGrid w:val="0"/>
        <w:spacing w:line="288" w:lineRule="auto"/>
        <w:jc w:val="left"/>
        <w:outlineLvl w:val="9"/>
        <w:rPr>
          <w:b/>
          <w:bCs/>
          <w:color w:val="auto"/>
          <w:sz w:val="24"/>
          <w:szCs w:val="24"/>
        </w:rPr>
      </w:pPr>
    </w:p>
    <w:p w14:paraId="701B6E97">
      <w:pPr>
        <w:adjustRightInd w:val="0"/>
        <w:snapToGrid w:val="0"/>
        <w:spacing w:line="288" w:lineRule="auto"/>
        <w:jc w:val="left"/>
        <w:outlineLvl w:val="9"/>
        <w:rPr>
          <w:b/>
          <w:bCs/>
          <w:color w:val="auto"/>
          <w:sz w:val="24"/>
          <w:szCs w:val="24"/>
        </w:rPr>
      </w:pPr>
    </w:p>
    <w:p w14:paraId="6B44F2C0">
      <w:pPr>
        <w:adjustRightInd w:val="0"/>
        <w:snapToGrid w:val="0"/>
        <w:spacing w:line="288" w:lineRule="auto"/>
        <w:jc w:val="left"/>
        <w:outlineLvl w:val="9"/>
        <w:rPr>
          <w:b/>
          <w:bCs/>
          <w:color w:val="auto"/>
          <w:sz w:val="24"/>
          <w:szCs w:val="24"/>
        </w:rPr>
      </w:pPr>
    </w:p>
    <w:p w14:paraId="691DC57A">
      <w:pPr>
        <w:adjustRightInd w:val="0"/>
        <w:snapToGrid w:val="0"/>
        <w:spacing w:line="288" w:lineRule="auto"/>
        <w:jc w:val="left"/>
        <w:outlineLvl w:val="9"/>
        <w:rPr>
          <w:b/>
          <w:bCs/>
          <w:color w:val="auto"/>
          <w:sz w:val="24"/>
          <w:szCs w:val="24"/>
        </w:rPr>
      </w:pPr>
    </w:p>
    <w:p w14:paraId="5A2C57FC">
      <w:pPr>
        <w:pStyle w:val="6"/>
        <w:ind w:left="0" w:firstLine="0"/>
        <w:outlineLvl w:val="0"/>
        <w:rPr>
          <w:color w:val="auto"/>
        </w:rPr>
      </w:pPr>
      <w:bookmarkStart w:id="527" w:name="_Toc11283_WPSOffice_Level1"/>
      <w:bookmarkStart w:id="528" w:name="_Toc20664_WPSOffice_Level1"/>
      <w:r>
        <w:rPr>
          <w:rFonts w:hint="eastAsia"/>
          <w:color w:val="auto"/>
        </w:rPr>
        <w:t>1）有效的法人或者其他组织的营业执照等证明文件，自然人的身份证明</w:t>
      </w:r>
      <w:bookmarkEnd w:id="527"/>
      <w:bookmarkEnd w:id="528"/>
    </w:p>
    <w:p w14:paraId="26CD7D3D">
      <w:pPr>
        <w:adjustRightInd w:val="0"/>
        <w:snapToGrid w:val="0"/>
        <w:spacing w:line="288" w:lineRule="auto"/>
        <w:rPr>
          <w:b/>
          <w:bCs/>
          <w:color w:val="auto"/>
          <w:sz w:val="24"/>
          <w:szCs w:val="24"/>
        </w:rPr>
      </w:pPr>
      <w:r>
        <w:rPr>
          <w:rFonts w:hint="eastAsia"/>
          <w:b/>
          <w:bCs/>
          <w:color w:val="auto"/>
          <w:sz w:val="24"/>
          <w:szCs w:val="24"/>
        </w:rPr>
        <w:t>说明：</w:t>
      </w:r>
    </w:p>
    <w:p w14:paraId="6B2F4366">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02B856E3">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77B61626">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6FD6ECFA">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1197DE95">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579CCCC5">
      <w:pPr>
        <w:adjustRightInd w:val="0"/>
        <w:snapToGrid w:val="0"/>
        <w:spacing w:line="288" w:lineRule="auto"/>
        <w:rPr>
          <w:color w:val="auto"/>
          <w:szCs w:val="21"/>
        </w:rPr>
      </w:pPr>
      <w:r>
        <w:rPr>
          <w:rFonts w:hint="eastAsia"/>
          <w:color w:val="auto"/>
          <w:szCs w:val="21"/>
        </w:rPr>
        <w:br w:type="page"/>
      </w:r>
    </w:p>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14:paraId="04120780">
      <w:pPr>
        <w:jc w:val="center"/>
        <w:rPr>
          <w:b/>
          <w:bCs/>
          <w:color w:val="auto"/>
          <w:sz w:val="32"/>
          <w:szCs w:val="32"/>
        </w:rPr>
      </w:pPr>
    </w:p>
    <w:p w14:paraId="24CE3F47">
      <w:pPr>
        <w:pStyle w:val="6"/>
        <w:ind w:left="0" w:firstLine="0"/>
        <w:outlineLvl w:val="0"/>
        <w:rPr>
          <w:color w:val="auto"/>
        </w:rPr>
      </w:pPr>
      <w:bookmarkStart w:id="529" w:name="_Toc23419_WPSOffice_Level1"/>
      <w:bookmarkStart w:id="530" w:name="_Toc11305_WPSOffice_Level1"/>
      <w:r>
        <w:rPr>
          <w:rFonts w:hint="eastAsia"/>
          <w:color w:val="auto"/>
        </w:rPr>
        <w:t>2）资格条件承诺函</w:t>
      </w:r>
      <w:bookmarkEnd w:id="529"/>
      <w:bookmarkEnd w:id="530"/>
    </w:p>
    <w:p w14:paraId="3DCF5918">
      <w:pPr>
        <w:jc w:val="center"/>
        <w:outlineLvl w:val="1"/>
        <w:rPr>
          <w:b/>
          <w:bCs/>
          <w:color w:val="auto"/>
          <w:sz w:val="32"/>
          <w:szCs w:val="32"/>
        </w:rPr>
      </w:pPr>
      <w:r>
        <w:rPr>
          <w:rFonts w:hint="eastAsia"/>
          <w:b/>
          <w:bCs/>
          <w:color w:val="auto"/>
          <w:sz w:val="32"/>
          <w:szCs w:val="32"/>
        </w:rPr>
        <w:t>资格条件承诺函</w:t>
      </w:r>
    </w:p>
    <w:p w14:paraId="049DF246">
      <w:pPr>
        <w:snapToGrid w:val="0"/>
        <w:spacing w:line="360" w:lineRule="auto"/>
        <w:rPr>
          <w:color w:val="auto"/>
          <w:sz w:val="24"/>
        </w:rPr>
      </w:pPr>
    </w:p>
    <w:p w14:paraId="77891992">
      <w:pPr>
        <w:snapToGrid w:val="0"/>
        <w:spacing w:line="360" w:lineRule="auto"/>
        <w:rPr>
          <w:color w:val="auto"/>
          <w:sz w:val="24"/>
        </w:rPr>
      </w:pPr>
      <w:r>
        <w:rPr>
          <w:rFonts w:hint="eastAsia"/>
          <w:color w:val="auto"/>
          <w:sz w:val="24"/>
        </w:rPr>
        <w:t>杭州电子科技大学：</w:t>
      </w:r>
    </w:p>
    <w:p w14:paraId="726288A2">
      <w:pPr>
        <w:snapToGrid w:val="0"/>
        <w:spacing w:line="360" w:lineRule="auto"/>
        <w:ind w:firstLine="480" w:firstLineChars="200"/>
        <w:rPr>
          <w:color w:val="auto"/>
          <w:sz w:val="24"/>
        </w:rPr>
      </w:pPr>
      <w:r>
        <w:rPr>
          <w:rFonts w:hint="eastAsia"/>
          <w:color w:val="auto"/>
          <w:sz w:val="24"/>
        </w:rPr>
        <w:t>我方（供应商）承诺：</w:t>
      </w:r>
    </w:p>
    <w:p w14:paraId="166211FF">
      <w:pPr>
        <w:snapToGrid w:val="0"/>
        <w:spacing w:line="360" w:lineRule="auto"/>
        <w:ind w:firstLine="480" w:firstLineChars="200"/>
        <w:rPr>
          <w:color w:val="auto"/>
          <w:sz w:val="24"/>
        </w:rPr>
      </w:pPr>
      <w:r>
        <w:rPr>
          <w:rFonts w:hint="eastAsia"/>
          <w:color w:val="auto"/>
          <w:sz w:val="24"/>
        </w:rPr>
        <w:t>1、具有良好的商业信誉和健全的财务会计制度；</w:t>
      </w:r>
    </w:p>
    <w:p w14:paraId="00EEEF5C">
      <w:pPr>
        <w:snapToGrid w:val="0"/>
        <w:spacing w:line="360" w:lineRule="auto"/>
        <w:ind w:firstLine="480" w:firstLineChars="200"/>
        <w:rPr>
          <w:color w:val="auto"/>
          <w:sz w:val="24"/>
        </w:rPr>
      </w:pPr>
      <w:r>
        <w:rPr>
          <w:rFonts w:hint="eastAsia"/>
          <w:color w:val="auto"/>
          <w:sz w:val="24"/>
        </w:rPr>
        <w:t>2、具有履行合同所必需的设备和专业技术能力；</w:t>
      </w:r>
    </w:p>
    <w:p w14:paraId="2172901B">
      <w:pPr>
        <w:snapToGrid w:val="0"/>
        <w:spacing w:line="360" w:lineRule="auto"/>
        <w:ind w:firstLine="480" w:firstLineChars="200"/>
        <w:rPr>
          <w:color w:val="auto"/>
          <w:sz w:val="24"/>
        </w:rPr>
      </w:pPr>
      <w:r>
        <w:rPr>
          <w:rFonts w:hint="eastAsia"/>
          <w:color w:val="auto"/>
          <w:sz w:val="24"/>
        </w:rPr>
        <w:t>3、严格依法缴纳税收和社会保障资金；</w:t>
      </w:r>
    </w:p>
    <w:p w14:paraId="18AFC679">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62E9C2E6">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1B896C7E">
      <w:pPr>
        <w:snapToGrid w:val="0"/>
        <w:spacing w:line="360" w:lineRule="auto"/>
        <w:ind w:firstLine="480" w:firstLineChars="200"/>
        <w:rPr>
          <w:color w:val="auto"/>
          <w:sz w:val="24"/>
        </w:rPr>
      </w:pPr>
      <w:r>
        <w:rPr>
          <w:rFonts w:hint="eastAsia"/>
          <w:color w:val="auto"/>
          <w:sz w:val="24"/>
        </w:rPr>
        <w:t>6、不存在以下情况：</w:t>
      </w:r>
    </w:p>
    <w:p w14:paraId="4AC00758">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556041B6">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175F1A6B">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14:paraId="4A10EB6A">
      <w:pPr>
        <w:snapToGrid w:val="0"/>
        <w:spacing w:line="360" w:lineRule="auto"/>
        <w:ind w:firstLine="480" w:firstLineChars="200"/>
        <w:rPr>
          <w:color w:val="auto"/>
          <w:sz w:val="24"/>
        </w:rPr>
      </w:pPr>
      <w:r>
        <w:rPr>
          <w:rFonts w:hint="eastAsia"/>
          <w:color w:val="auto"/>
          <w:sz w:val="24"/>
        </w:rPr>
        <w:t> </w:t>
      </w:r>
    </w:p>
    <w:p w14:paraId="3347C4A0">
      <w:pPr>
        <w:snapToGrid w:val="0"/>
        <w:spacing w:line="360" w:lineRule="auto"/>
        <w:ind w:firstLine="480" w:firstLineChars="200"/>
        <w:rPr>
          <w:color w:val="auto"/>
          <w:sz w:val="24"/>
        </w:rPr>
      </w:pPr>
      <w:r>
        <w:rPr>
          <w:rFonts w:hint="eastAsia"/>
          <w:color w:val="auto"/>
          <w:sz w:val="24"/>
        </w:rPr>
        <w:t>特此承诺！</w:t>
      </w:r>
    </w:p>
    <w:p w14:paraId="7A4FCCA3">
      <w:pPr>
        <w:pStyle w:val="8"/>
        <w:rPr>
          <w:color w:val="auto"/>
          <w:sz w:val="24"/>
        </w:rPr>
      </w:pPr>
    </w:p>
    <w:p w14:paraId="7E1DCD1C">
      <w:pPr>
        <w:rPr>
          <w:color w:val="auto"/>
          <w:sz w:val="24"/>
        </w:rPr>
      </w:pPr>
    </w:p>
    <w:p w14:paraId="5065701C">
      <w:pPr>
        <w:pStyle w:val="8"/>
        <w:rPr>
          <w:color w:val="auto"/>
        </w:rPr>
      </w:pPr>
    </w:p>
    <w:p w14:paraId="298E680B">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75D783B4">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4278F517">
      <w:pPr>
        <w:pStyle w:val="27"/>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74C66E40">
      <w:pPr>
        <w:adjustRightInd w:val="0"/>
        <w:snapToGrid w:val="0"/>
        <w:spacing w:line="288" w:lineRule="auto"/>
        <w:ind w:firstLine="480" w:firstLineChars="200"/>
        <w:rPr>
          <w:color w:val="auto"/>
          <w:sz w:val="24"/>
          <w:szCs w:val="24"/>
        </w:rPr>
      </w:pPr>
    </w:p>
    <w:p w14:paraId="1EDEF200">
      <w:pPr>
        <w:pStyle w:val="6"/>
        <w:numPr>
          <w:ilvl w:val="0"/>
          <w:numId w:val="0"/>
        </w:numPr>
        <w:ind w:leftChars="0"/>
        <w:jc w:val="left"/>
        <w:outlineLvl w:val="9"/>
        <w:rPr>
          <w:rFonts w:hint="eastAsia"/>
          <w:color w:val="auto"/>
        </w:rPr>
      </w:pPr>
      <w:bookmarkStart w:id="531" w:name="_Toc23239_WPSOffice_Level1"/>
      <w:r>
        <w:rPr>
          <w:rFonts w:hint="eastAsia"/>
          <w:color w:val="auto"/>
          <w:lang w:val="en-US" w:eastAsia="zh-CN"/>
        </w:rPr>
        <w:t>3）</w:t>
      </w:r>
      <w:r>
        <w:rPr>
          <w:rFonts w:hint="eastAsia"/>
          <w:color w:val="auto"/>
        </w:rPr>
        <w:t>落实政府采购政策需满足的资格要求：中小企业声明函</w:t>
      </w:r>
      <w:bookmarkEnd w:id="531"/>
    </w:p>
    <w:p w14:paraId="1CAB9243">
      <w:pPr>
        <w:rPr>
          <w:rFonts w:ascii="Times New Roman" w:hAnsi="Times New Roman"/>
          <w:b/>
          <w:color w:val="auto"/>
          <w:sz w:val="32"/>
          <w:szCs w:val="32"/>
        </w:rPr>
      </w:pPr>
      <w:r>
        <w:rPr>
          <w:rFonts w:ascii="Times New Roman" w:hAnsi="Times New Roman"/>
          <w:b/>
          <w:color w:val="auto"/>
          <w:sz w:val="32"/>
          <w:szCs w:val="32"/>
        </w:rPr>
        <w:br w:type="page"/>
      </w:r>
    </w:p>
    <w:p w14:paraId="2D204884">
      <w:pPr>
        <w:pStyle w:val="27"/>
        <w:spacing w:before="120" w:after="120" w:line="360" w:lineRule="auto"/>
        <w:ind w:left="-27" w:firstLine="565"/>
        <w:jc w:val="center"/>
        <w:outlineLvl w:val="1"/>
        <w:rPr>
          <w:rFonts w:ascii="Times New Roman" w:hAnsi="Times New Roman"/>
          <w:b/>
          <w:color w:val="auto"/>
          <w:sz w:val="32"/>
          <w:szCs w:val="32"/>
        </w:rPr>
      </w:pPr>
      <w:r>
        <w:rPr>
          <w:rFonts w:ascii="Times New Roman" w:hAnsi="Times New Roman"/>
          <w:b/>
          <w:color w:val="auto"/>
          <w:sz w:val="32"/>
          <w:szCs w:val="32"/>
        </w:rPr>
        <w:t>中小企业声明函</w:t>
      </w:r>
      <w:r>
        <w:rPr>
          <w:rFonts w:hint="eastAsia" w:ascii="Times New Roman" w:hAnsi="Times New Roman"/>
          <w:b/>
          <w:color w:val="auto"/>
          <w:sz w:val="32"/>
          <w:szCs w:val="32"/>
        </w:rPr>
        <w:t>（服务）</w:t>
      </w:r>
    </w:p>
    <w:p w14:paraId="0740C7A4">
      <w:pPr>
        <w:pStyle w:val="20"/>
        <w:autoSpaceDE w:val="0"/>
        <w:autoSpaceDN w:val="0"/>
        <w:spacing w:after="0" w:line="360" w:lineRule="auto"/>
        <w:ind w:right="-54" w:firstLine="420" w:firstLineChars="200"/>
        <w:rPr>
          <w:rFonts w:ascii="宋体" w:hAnsi="宋体" w:cs="宋体"/>
          <w:color w:val="auto"/>
          <w:szCs w:val="21"/>
        </w:rPr>
      </w:pPr>
      <w:r>
        <w:rPr>
          <w:rFonts w:hint="eastAsia" w:ascii="宋体" w:hAnsi="宋体" w:cs="宋体"/>
          <w:color w:val="auto"/>
          <w:szCs w:val="21"/>
        </w:rPr>
        <w:t>本公司（联合体）郑重声明，根据《政府采购促进中小企业发展管理办法》（财库﹝2020﹞46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服务</w:t>
      </w:r>
      <w:r>
        <w:rPr>
          <w:rFonts w:hint="eastAsia" w:ascii="宋体" w:hAnsi="宋体" w:cs="宋体"/>
          <w:b/>
          <w:bCs/>
          <w:color w:val="auto"/>
          <w:w w:val="95"/>
          <w:szCs w:val="21"/>
        </w:rPr>
        <w:t>全部由符合政策要求的中小企业承接。</w:t>
      </w:r>
      <w:r>
        <w:rPr>
          <w:rFonts w:hint="eastAsia" w:ascii="宋体" w:hAnsi="宋体" w:cs="宋体"/>
          <w:color w:val="auto"/>
          <w:w w:val="95"/>
          <w:szCs w:val="21"/>
        </w:rPr>
        <w:t>相关企业（含联合</w:t>
      </w:r>
      <w:r>
        <w:rPr>
          <w:rFonts w:hint="eastAsia" w:ascii="宋体" w:hAnsi="宋体" w:cs="宋体"/>
          <w:color w:val="auto"/>
          <w:szCs w:val="21"/>
        </w:rPr>
        <w:t>体中的中小企业、签订分包意向协议的中小企业）的具体情况如下：</w:t>
      </w:r>
    </w:p>
    <w:p w14:paraId="0CC3E5B2">
      <w:pPr>
        <w:pStyle w:val="168"/>
        <w:tabs>
          <w:tab w:val="left" w:pos="1243"/>
        </w:tabs>
        <w:autoSpaceDE w:val="0"/>
        <w:autoSpaceDN w:val="0"/>
        <w:spacing w:line="360" w:lineRule="auto"/>
        <w:ind w:left="19" w:firstLine="480" w:firstLineChars="239"/>
        <w:rPr>
          <w:rFonts w:ascii="宋体" w:hAnsi="宋体" w:cs="宋体"/>
          <w:color w:val="auto"/>
          <w:szCs w:val="21"/>
        </w:rPr>
      </w:pPr>
      <w:r>
        <w:rPr>
          <w:rFonts w:hint="eastAsia" w:ascii="宋体" w:hAnsi="宋体" w:cs="宋体"/>
          <w:iCs/>
          <w:color w:val="auto"/>
          <w:w w:val="96"/>
          <w:szCs w:val="21"/>
        </w:rPr>
        <w:t>1.</w:t>
      </w:r>
      <w:r>
        <w:rPr>
          <w:rFonts w:hint="eastAsia" w:ascii="宋体" w:hAnsi="宋体" w:cs="宋体"/>
          <w:i/>
          <w:color w:val="auto"/>
          <w:w w:val="96"/>
          <w:szCs w:val="21"/>
          <w:u w:val="single"/>
        </w:rPr>
        <w:t>（标的名称）</w:t>
      </w:r>
      <w:r>
        <w:rPr>
          <w:rFonts w:hint="eastAsia" w:ascii="宋体" w:hAnsi="宋体" w:cs="宋体"/>
          <w:color w:val="auto"/>
          <w:w w:val="99"/>
          <w:szCs w:val="21"/>
        </w:rPr>
        <w:t>，属于</w:t>
      </w:r>
      <w:r>
        <w:rPr>
          <w:rFonts w:hint="eastAsia" w:ascii="宋体" w:hAnsi="宋体" w:cs="宋体"/>
          <w:i/>
          <w:color w:val="auto"/>
          <w:w w:val="96"/>
          <w:szCs w:val="21"/>
          <w:u w:val="single"/>
        </w:rPr>
        <w:t>（采购文件中明确的所属行业）</w:t>
      </w:r>
      <w:r>
        <w:rPr>
          <w:rFonts w:hint="eastAsia" w:ascii="宋体" w:hAnsi="宋体" w:cs="宋体"/>
          <w:color w:val="auto"/>
          <w:w w:val="99"/>
          <w:szCs w:val="21"/>
        </w:rPr>
        <w:t>：承建（承接）企业为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w w:val="99"/>
          <w:szCs w:val="21"/>
        </w:rPr>
        <w:t>人，营业</w:t>
      </w:r>
      <w:r>
        <w:rPr>
          <w:rFonts w:hint="eastAsia" w:ascii="宋体" w:hAnsi="宋体" w:cs="宋体"/>
          <w:color w:val="auto"/>
          <w:szCs w:val="21"/>
        </w:rPr>
        <w:t>收入为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rPr>
        <w:t>万元</w:t>
      </w:r>
      <w:r>
        <w:rPr>
          <w:color w:val="auto"/>
        </w:rPr>
        <w:fldChar w:fldCharType="begin"/>
      </w:r>
      <w:r>
        <w:rPr>
          <w:color w:val="auto"/>
        </w:rPr>
        <w:instrText xml:space="preserve"> HYPERLINK \l "_bookmark1"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w:t>
      </w:r>
      <w:r>
        <w:rPr>
          <w:rFonts w:hint="eastAsia" w:ascii="宋体" w:hAnsi="宋体" w:cs="宋体"/>
          <w:i/>
          <w:color w:val="auto"/>
          <w:w w:val="96"/>
          <w:szCs w:val="21"/>
          <w:u w:val="single"/>
        </w:rPr>
        <w:t>小型企业、微型企业）</w:t>
      </w:r>
      <w:r>
        <w:rPr>
          <w:rFonts w:hint="eastAsia" w:ascii="宋体" w:hAnsi="宋体" w:cs="宋体"/>
          <w:color w:val="auto"/>
          <w:w w:val="99"/>
          <w:szCs w:val="21"/>
        </w:rPr>
        <w:t>；</w:t>
      </w:r>
    </w:p>
    <w:p w14:paraId="1D18616A">
      <w:pPr>
        <w:pStyle w:val="20"/>
        <w:autoSpaceDE w:val="0"/>
        <w:autoSpaceDN w:val="0"/>
        <w:spacing w:before="11" w:after="0" w:line="360" w:lineRule="auto"/>
        <w:ind w:left="860"/>
        <w:rPr>
          <w:rFonts w:ascii="宋体" w:hAnsi="宋体" w:cs="宋体"/>
          <w:color w:val="auto"/>
          <w:szCs w:val="21"/>
        </w:rPr>
      </w:pPr>
      <w:r>
        <w:rPr>
          <w:rFonts w:hint="eastAsia" w:ascii="宋体" w:hAnsi="宋体" w:cs="宋体"/>
          <w:color w:val="auto"/>
          <w:szCs w:val="21"/>
        </w:rPr>
        <w:t>……</w:t>
      </w:r>
    </w:p>
    <w:p w14:paraId="66EB2A22">
      <w:pPr>
        <w:pStyle w:val="20"/>
        <w:autoSpaceDE w:val="0"/>
        <w:autoSpaceDN w:val="0"/>
        <w:spacing w:before="108" w:after="0" w:line="360" w:lineRule="auto"/>
        <w:ind w:right="-54" w:firstLine="645"/>
        <w:rPr>
          <w:rFonts w:ascii="宋体" w:hAnsi="宋体" w:cs="宋体"/>
          <w:color w:val="auto"/>
          <w:szCs w:val="21"/>
        </w:rPr>
      </w:pPr>
      <w:r>
        <w:rPr>
          <w:rFonts w:hint="eastAsia" w:ascii="宋体" w:hAnsi="宋体" w:cs="宋体"/>
          <w:color w:val="auto"/>
          <w:szCs w:val="21"/>
        </w:rPr>
        <w:t>以上企业，不属于大企业的分支机构，不存在控股股东为大企业的情形，也不存在与大企业的负责人为同一人的情形。</w:t>
      </w:r>
    </w:p>
    <w:p w14:paraId="4FDE2E48">
      <w:pPr>
        <w:pStyle w:val="20"/>
        <w:autoSpaceDE w:val="0"/>
        <w:autoSpaceDN w:val="0"/>
        <w:spacing w:after="0" w:line="360" w:lineRule="auto"/>
        <w:ind w:right="-54" w:firstLine="640"/>
        <w:rPr>
          <w:rFonts w:ascii="宋体" w:hAnsi="宋体" w:cs="宋体"/>
          <w:color w:val="auto"/>
          <w:szCs w:val="21"/>
        </w:rPr>
      </w:pPr>
      <w:r>
        <w:rPr>
          <w:rFonts w:hint="eastAsia" w:ascii="宋体" w:hAnsi="宋体" w:cs="宋体"/>
          <w:color w:val="auto"/>
          <w:szCs w:val="21"/>
        </w:rPr>
        <w:t>本企业对上述声明内容的真实性负责。如有虚假，将依法承担相应责任。</w:t>
      </w:r>
    </w:p>
    <w:p w14:paraId="57DCC328">
      <w:pPr>
        <w:pStyle w:val="27"/>
        <w:spacing w:line="360" w:lineRule="auto"/>
        <w:ind w:left="-27" w:firstLine="4796" w:firstLineChars="2275"/>
        <w:rPr>
          <w:rFonts w:hAnsi="宋体" w:cs="宋体"/>
          <w:b/>
          <w:bCs/>
          <w:color w:val="auto"/>
          <w:sz w:val="21"/>
          <w:szCs w:val="21"/>
        </w:rPr>
      </w:pPr>
    </w:p>
    <w:p w14:paraId="43E1BF78">
      <w:pPr>
        <w:pStyle w:val="27"/>
        <w:spacing w:line="360" w:lineRule="auto"/>
        <w:ind w:left="-27" w:firstLine="4796" w:firstLineChars="2275"/>
        <w:rPr>
          <w:rFonts w:hAnsi="宋体" w:cs="宋体"/>
          <w:b/>
          <w:bCs/>
          <w:color w:val="auto"/>
          <w:sz w:val="21"/>
          <w:szCs w:val="21"/>
        </w:rPr>
      </w:pPr>
      <w:r>
        <w:rPr>
          <w:rFonts w:hint="eastAsia" w:hAnsi="宋体" w:cs="宋体"/>
          <w:b/>
          <w:bCs/>
          <w:color w:val="auto"/>
          <w:sz w:val="21"/>
          <w:szCs w:val="21"/>
        </w:rPr>
        <w:t xml:space="preserve">响应方（盖章）：            </w:t>
      </w:r>
    </w:p>
    <w:p w14:paraId="07F88E04">
      <w:pPr>
        <w:spacing w:line="480" w:lineRule="auto"/>
        <w:ind w:firstLine="4796" w:firstLineChars="2275"/>
        <w:rPr>
          <w:rFonts w:ascii="宋体" w:hAnsi="宋体" w:cs="宋体"/>
          <w:b/>
          <w:bCs/>
          <w:color w:val="auto"/>
          <w:szCs w:val="21"/>
          <w:u w:val="single"/>
        </w:rPr>
      </w:pPr>
      <w:r>
        <w:rPr>
          <w:rFonts w:hint="eastAsia" w:hAnsi="宋体" w:cs="宋体"/>
          <w:b/>
          <w:bCs/>
          <w:color w:val="auto"/>
          <w:szCs w:val="21"/>
        </w:rPr>
        <w:t>授权代表</w:t>
      </w:r>
      <w:r>
        <w:rPr>
          <w:rFonts w:hint="eastAsia" w:ascii="宋体" w:hAnsi="宋体" w:cs="宋体"/>
          <w:b/>
          <w:bCs/>
          <w:color w:val="auto"/>
          <w:szCs w:val="21"/>
        </w:rPr>
        <w:t>（签字</w:t>
      </w:r>
      <w:r>
        <w:rPr>
          <w:rFonts w:hint="eastAsia" w:ascii="宋体" w:hAnsi="宋体" w:cs="宋体"/>
          <w:b/>
          <w:bCs/>
          <w:color w:val="auto"/>
          <w:szCs w:val="21"/>
          <w:lang w:val="en-US" w:eastAsia="zh-CN"/>
        </w:rPr>
        <w:t>或法人代表章</w:t>
      </w:r>
      <w:r>
        <w:rPr>
          <w:rFonts w:hint="eastAsia" w:ascii="宋体" w:hAnsi="宋体" w:cs="宋体"/>
          <w:b/>
          <w:bCs/>
          <w:color w:val="auto"/>
          <w:szCs w:val="21"/>
        </w:rPr>
        <w:t>）：</w:t>
      </w:r>
      <w:r>
        <w:rPr>
          <w:rFonts w:hint="eastAsia" w:ascii="宋体" w:hAnsi="宋体" w:cs="宋体"/>
          <w:b/>
          <w:bCs/>
          <w:color w:val="auto"/>
          <w:szCs w:val="21"/>
          <w:u w:val="single"/>
        </w:rPr>
        <w:t xml:space="preserve">                 </w:t>
      </w:r>
    </w:p>
    <w:p w14:paraId="31843243">
      <w:pPr>
        <w:pStyle w:val="27"/>
        <w:spacing w:line="420" w:lineRule="exact"/>
        <w:ind w:left="-27" w:firstLine="4777" w:firstLineChars="2275"/>
        <w:rPr>
          <w:rFonts w:hAnsi="宋体" w:cs="宋体"/>
          <w:color w:val="auto"/>
          <w:sz w:val="21"/>
          <w:szCs w:val="21"/>
        </w:rPr>
      </w:pPr>
      <w:r>
        <w:rPr>
          <w:rFonts w:hint="eastAsia" w:hAnsi="宋体" w:cs="宋体"/>
          <w:color w:val="auto"/>
          <w:sz w:val="21"/>
          <w:szCs w:val="21"/>
        </w:rPr>
        <w:t>日期：      年   月   日</w:t>
      </w:r>
    </w:p>
    <w:p w14:paraId="30F0EDA0">
      <w:pPr>
        <w:autoSpaceDE w:val="0"/>
        <w:autoSpaceDN w:val="0"/>
        <w:spacing w:line="360" w:lineRule="auto"/>
        <w:rPr>
          <w:color w:val="auto"/>
          <w:szCs w:val="21"/>
          <w:highlight w:val="green"/>
        </w:rPr>
      </w:pPr>
    </w:p>
    <w:p w14:paraId="756BFE2E">
      <w:pPr>
        <w:adjustRightInd w:val="0"/>
        <w:snapToGrid w:val="0"/>
        <w:spacing w:line="320" w:lineRule="exact"/>
        <w:rPr>
          <w:rFonts w:ascii="宋体" w:hAnsi="宋体" w:cs="宋体"/>
          <w:b/>
          <w:color w:val="auto"/>
          <w:szCs w:val="21"/>
        </w:rPr>
      </w:pPr>
      <w:r>
        <w:rPr>
          <w:rFonts w:hint="eastAsia" w:ascii="宋体" w:hAnsi="宋体" w:cs="宋体"/>
          <w:b/>
          <w:color w:val="auto"/>
          <w:szCs w:val="21"/>
        </w:rPr>
        <w:t>说明：</w:t>
      </w:r>
    </w:p>
    <w:p w14:paraId="12DA1F72">
      <w:pPr>
        <w:pStyle w:val="20"/>
        <w:rPr>
          <w:b/>
          <w:bCs/>
          <w:color w:val="auto"/>
        </w:rPr>
      </w:pPr>
      <w:r>
        <w:rPr>
          <w:rFonts w:hint="eastAsia"/>
          <w:b/>
          <w:bCs/>
          <w:color w:val="auto"/>
        </w:rPr>
        <w:t>1.从业人员、营业收入、资产总额填报上一年度数据，无上一年度数据的新成立企业可不填报。</w:t>
      </w:r>
    </w:p>
    <w:p w14:paraId="7B837333">
      <w:pPr>
        <w:pStyle w:val="20"/>
        <w:rPr>
          <w:b/>
          <w:bCs/>
          <w:color w:val="auto"/>
        </w:rPr>
      </w:pPr>
      <w:r>
        <w:rPr>
          <w:rFonts w:hint="eastAsia"/>
          <w:b/>
          <w:bCs/>
          <w:color w:val="auto"/>
        </w:rPr>
        <w:t>2.本项目所属行业见前附表。</w:t>
      </w:r>
    </w:p>
    <w:p w14:paraId="7122A4FF">
      <w:pPr>
        <w:pStyle w:val="20"/>
        <w:rPr>
          <w:b/>
          <w:bCs/>
          <w:color w:val="auto"/>
        </w:rPr>
      </w:pPr>
      <w:r>
        <w:rPr>
          <w:rFonts w:hint="eastAsia"/>
          <w:b/>
          <w:bCs/>
          <w:color w:val="auto"/>
        </w:rPr>
        <w:t>3.中小企业划型标准规定（工信部联企业[2011]300号）附后。</w:t>
      </w:r>
    </w:p>
    <w:p w14:paraId="46DEAB26">
      <w:pPr>
        <w:pStyle w:val="20"/>
        <w:rPr>
          <w:b/>
          <w:bCs/>
          <w:color w:val="auto"/>
        </w:rPr>
      </w:pPr>
      <w:r>
        <w:rPr>
          <w:rFonts w:hint="eastAsia"/>
          <w:b/>
          <w:bCs/>
          <w:color w:val="auto"/>
        </w:rPr>
        <w:t>4.《中小企业声明函》格式不得擅自调整，格式中划横线的部分需要各投标人按实际情况如实填写，括号中的内容是对拟填写内容的说明。</w:t>
      </w:r>
    </w:p>
    <w:p w14:paraId="247486BB">
      <w:pPr>
        <w:pStyle w:val="20"/>
        <w:rPr>
          <w:b/>
          <w:bCs/>
          <w:color w:val="auto"/>
        </w:rPr>
      </w:pPr>
      <w:r>
        <w:rPr>
          <w:rFonts w:hint="eastAsia"/>
          <w:b/>
          <w:bCs/>
          <w:color w:val="auto"/>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4248AF78">
      <w:pPr>
        <w:pStyle w:val="20"/>
        <w:rPr>
          <w:b/>
          <w:bCs/>
          <w:color w:val="auto"/>
        </w:rPr>
      </w:pPr>
      <w:r>
        <w:rPr>
          <w:rFonts w:hint="eastAsia"/>
          <w:b/>
          <w:bCs/>
          <w:color w:val="auto"/>
        </w:rPr>
        <w:t>6</w:t>
      </w:r>
      <w:r>
        <w:rPr>
          <w:rFonts w:hint="eastAsia" w:ascii="宋体" w:hAnsi="宋体" w:cs="宋体"/>
          <w:b/>
          <w:color w:val="auto"/>
          <w:szCs w:val="21"/>
        </w:rPr>
        <w:t>.</w:t>
      </w:r>
      <w:r>
        <w:rPr>
          <w:rFonts w:hint="eastAsia"/>
          <w:b/>
          <w:bCs/>
          <w:color w:val="auto"/>
        </w:rPr>
        <w:t>投标人提供《中小企业声明函》内容不实的，属于提供虚假材料谋取中标、成交，依照《中华人民共和国政府采购法》等国家有关规定追究相应责任。</w:t>
      </w:r>
    </w:p>
    <w:p w14:paraId="1EC6B531">
      <w:pPr>
        <w:pStyle w:val="20"/>
        <w:rPr>
          <w:b/>
          <w:bCs/>
          <w:color w:val="auto"/>
        </w:rPr>
        <w:sectPr>
          <w:footerReference r:id="rId5" w:type="default"/>
          <w:pgSz w:w="11907" w:h="16840"/>
          <w:pgMar w:top="1134" w:right="1247" w:bottom="1247" w:left="1247" w:header="567" w:footer="794" w:gutter="0"/>
          <w:cols w:space="720" w:num="1"/>
        </w:sectPr>
      </w:pPr>
      <w:r>
        <w:rPr>
          <w:rFonts w:hint="eastAsia"/>
          <w:b/>
          <w:bCs/>
          <w:color w:val="auto"/>
        </w:rPr>
        <w:t>7.本项目仅以《中小企业声明函》作为评判投标人是否属于中小企业的唯一依据。</w:t>
      </w:r>
    </w:p>
    <w:p w14:paraId="62323954">
      <w:pPr>
        <w:pStyle w:val="27"/>
        <w:spacing w:before="120" w:after="120" w:line="360" w:lineRule="auto"/>
        <w:ind w:left="-27" w:firstLine="422"/>
        <w:rPr>
          <w:rFonts w:ascii="Times New Roman" w:hAnsi="Times New Roman"/>
          <w:b/>
          <w:color w:val="auto"/>
        </w:rPr>
      </w:pPr>
      <w:r>
        <w:rPr>
          <w:color w:val="auto"/>
        </w:rPr>
        <w:drawing>
          <wp:inline distT="0" distB="0" distL="114300" distR="114300">
            <wp:extent cx="8671560" cy="5244465"/>
            <wp:effectExtent l="0" t="0" r="15240" b="133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1"/>
                    <a:stretch>
                      <a:fillRect/>
                    </a:stretch>
                  </pic:blipFill>
                  <pic:spPr>
                    <a:xfrm>
                      <a:off x="0" y="0"/>
                      <a:ext cx="8671560" cy="5244465"/>
                    </a:xfrm>
                    <a:prstGeom prst="rect">
                      <a:avLst/>
                    </a:prstGeom>
                    <a:noFill/>
                    <a:ln>
                      <a:noFill/>
                    </a:ln>
                  </pic:spPr>
                </pic:pic>
              </a:graphicData>
            </a:graphic>
          </wp:inline>
        </w:drawing>
      </w:r>
    </w:p>
    <w:p w14:paraId="2302A142">
      <w:pPr>
        <w:pStyle w:val="27"/>
        <w:spacing w:before="120" w:after="120" w:line="360" w:lineRule="auto"/>
        <w:ind w:left="-27" w:firstLine="424"/>
        <w:rPr>
          <w:rFonts w:ascii="Times New Roman" w:hAnsi="Times New Roman"/>
          <w:b/>
          <w:color w:val="auto"/>
        </w:rPr>
        <w:sectPr>
          <w:pgSz w:w="16840" w:h="11907" w:orient="landscape"/>
          <w:pgMar w:top="1247" w:right="1134" w:bottom="1247" w:left="1247" w:header="567" w:footer="794" w:gutter="0"/>
          <w:cols w:space="720" w:num="1"/>
        </w:sectPr>
      </w:pPr>
    </w:p>
    <w:p w14:paraId="642923A0">
      <w:pPr>
        <w:pStyle w:val="27"/>
        <w:spacing w:before="120" w:after="120" w:line="360" w:lineRule="auto"/>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监狱企业声明函</w:t>
      </w:r>
    </w:p>
    <w:p w14:paraId="1A258D32">
      <w:pPr>
        <w:pStyle w:val="27"/>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【不属于监狱企业的无需填写、递交】</w:t>
      </w:r>
    </w:p>
    <w:p w14:paraId="790CFE63">
      <w:pPr>
        <w:adjustRightInd w:val="0"/>
        <w:snapToGrid w:val="0"/>
        <w:spacing w:line="288" w:lineRule="auto"/>
        <w:ind w:firstLine="373" w:firstLineChars="177"/>
        <w:rPr>
          <w:b/>
          <w:bCs/>
          <w:color w:val="auto"/>
          <w:szCs w:val="21"/>
        </w:rPr>
      </w:pPr>
      <w:r>
        <w:rPr>
          <w:rFonts w:hint="eastAsia"/>
          <w:b/>
          <w:bCs/>
          <w:color w:val="auto"/>
          <w:szCs w:val="21"/>
        </w:rPr>
        <w:t>监狱企业参加政府采购活动时，应当提供由省级以上监狱管理局、戒毒管理局（含新疆生产建设兵团）出具的属于监狱企业的证明文件。</w:t>
      </w:r>
    </w:p>
    <w:p w14:paraId="44FAB617">
      <w:pPr>
        <w:adjustRightInd w:val="0"/>
        <w:snapToGrid w:val="0"/>
        <w:spacing w:line="288" w:lineRule="auto"/>
        <w:rPr>
          <w:color w:val="auto"/>
          <w:szCs w:val="21"/>
        </w:rPr>
      </w:pPr>
    </w:p>
    <w:p w14:paraId="2704E96F">
      <w:pPr>
        <w:adjustRightInd w:val="0"/>
        <w:snapToGrid w:val="0"/>
        <w:spacing w:line="288" w:lineRule="auto"/>
        <w:rPr>
          <w:b/>
          <w:bCs/>
          <w:color w:val="auto"/>
          <w:szCs w:val="21"/>
        </w:rPr>
      </w:pPr>
      <w:r>
        <w:rPr>
          <w:rFonts w:hint="eastAsia"/>
          <w:b/>
          <w:bCs/>
          <w:color w:val="auto"/>
          <w:szCs w:val="21"/>
        </w:rPr>
        <w:t>说明：</w:t>
      </w:r>
    </w:p>
    <w:p w14:paraId="1856DBA4">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7A5A3DE1">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二、在政府采购活动中，监狱企业视同小型、微型企业，享受预留份额、评审中价格扣除等政府采购促进中小企业发展的政府采购政策。</w:t>
      </w:r>
    </w:p>
    <w:p w14:paraId="26DBAB6E">
      <w:pPr>
        <w:widowControl/>
        <w:adjustRightInd w:val="0"/>
        <w:snapToGrid w:val="0"/>
        <w:spacing w:line="288" w:lineRule="auto"/>
        <w:jc w:val="left"/>
        <w:rPr>
          <w:b/>
          <w:color w:val="auto"/>
          <w:spacing w:val="-6"/>
          <w:szCs w:val="21"/>
        </w:rPr>
      </w:pPr>
      <w:r>
        <w:rPr>
          <w:b/>
          <w:color w:val="auto"/>
          <w:spacing w:val="-6"/>
          <w:szCs w:val="21"/>
        </w:rPr>
        <w:br w:type="page"/>
      </w:r>
    </w:p>
    <w:p w14:paraId="06E5F70C">
      <w:pPr>
        <w:pStyle w:val="27"/>
        <w:spacing w:before="120" w:after="120" w:line="360" w:lineRule="auto"/>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残疾人福利性单位声明函</w:t>
      </w:r>
    </w:p>
    <w:p w14:paraId="611AFAC4">
      <w:pPr>
        <w:pStyle w:val="27"/>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【不属于残疾人福利性单位的无需填写、递交】</w:t>
      </w:r>
    </w:p>
    <w:p w14:paraId="6A99019B">
      <w:pPr>
        <w:spacing w:line="360" w:lineRule="auto"/>
        <w:ind w:firstLine="504" w:firstLineChars="200"/>
        <w:rPr>
          <w:rFonts w:hAnsi="宋体"/>
          <w:color w:val="auto"/>
          <w:spacing w:val="6"/>
          <w:sz w:val="24"/>
        </w:rPr>
      </w:pPr>
      <w:r>
        <w:rPr>
          <w:rFonts w:hint="eastAsia" w:hAnsi="宋体"/>
          <w:color w:val="auto"/>
          <w:spacing w:val="6"/>
          <w:sz w:val="24"/>
        </w:rPr>
        <w:t>本单位郑重声明，根据《财政部</w:t>
      </w:r>
      <w:r>
        <w:rPr>
          <w:color w:val="auto"/>
          <w:spacing w:val="6"/>
          <w:sz w:val="24"/>
        </w:rPr>
        <w:t xml:space="preserve"> </w:t>
      </w:r>
      <w:r>
        <w:rPr>
          <w:rFonts w:hint="eastAsia" w:hAnsi="宋体"/>
          <w:color w:val="auto"/>
          <w:spacing w:val="6"/>
          <w:sz w:val="24"/>
        </w:rPr>
        <w:t>民政部</w:t>
      </w:r>
      <w:r>
        <w:rPr>
          <w:color w:val="auto"/>
          <w:spacing w:val="6"/>
          <w:sz w:val="24"/>
        </w:rPr>
        <w:t xml:space="preserve"> </w:t>
      </w:r>
      <w:r>
        <w:rPr>
          <w:rFonts w:hint="eastAsia" w:hAnsi="宋体"/>
          <w:color w:val="auto"/>
          <w:spacing w:val="6"/>
          <w:sz w:val="24"/>
        </w:rPr>
        <w:t>中国残疾人联合会关于促进残疾人就业政府采购政策的通知》（财库</w:t>
      </w:r>
      <w:r>
        <w:rPr>
          <w:rFonts w:hint="eastAsia" w:hAnsi="宋体"/>
          <w:color w:val="auto"/>
          <w:sz w:val="24"/>
        </w:rPr>
        <w:t>〔</w:t>
      </w:r>
      <w:r>
        <w:rPr>
          <w:color w:val="auto"/>
          <w:sz w:val="24"/>
        </w:rPr>
        <w:t>2017</w:t>
      </w:r>
      <w:r>
        <w:rPr>
          <w:rFonts w:hint="eastAsia" w:hAnsi="宋体"/>
          <w:color w:val="auto"/>
          <w:sz w:val="24"/>
        </w:rPr>
        <w:t>〕</w:t>
      </w:r>
      <w:r>
        <w:rPr>
          <w:color w:val="auto"/>
          <w:sz w:val="24"/>
        </w:rPr>
        <w:t xml:space="preserve"> 141</w:t>
      </w:r>
      <w:r>
        <w:rPr>
          <w:rFonts w:hint="eastAsia" w:hAnsi="宋体"/>
          <w:color w:val="auto"/>
          <w:spacing w:val="6"/>
          <w:sz w:val="24"/>
        </w:rPr>
        <w:t>号）的规定，本单位为符合条件的残疾人福利性单位，且本单位参加</w:t>
      </w:r>
      <w:r>
        <w:rPr>
          <w:color w:val="auto"/>
          <w:spacing w:val="6"/>
          <w:sz w:val="24"/>
        </w:rPr>
        <w:t>______</w:t>
      </w:r>
      <w:r>
        <w:rPr>
          <w:rFonts w:hint="eastAsia" w:hAnsi="宋体"/>
          <w:color w:val="auto"/>
          <w:spacing w:val="6"/>
          <w:sz w:val="24"/>
        </w:rPr>
        <w:t>单位的</w:t>
      </w:r>
      <w:r>
        <w:rPr>
          <w:color w:val="auto"/>
          <w:spacing w:val="6"/>
          <w:sz w:val="24"/>
        </w:rPr>
        <w:t>______</w:t>
      </w:r>
      <w:r>
        <w:rPr>
          <w:rFonts w:hint="eastAsia" w:hAnsi="宋体"/>
          <w:color w:val="auto"/>
          <w:spacing w:val="6"/>
          <w:sz w:val="24"/>
        </w:rPr>
        <w:t>项目采购活动提供本单位制造的货物（由本单位承担工程</w:t>
      </w:r>
      <w:r>
        <w:rPr>
          <w:color w:val="auto"/>
          <w:spacing w:val="6"/>
          <w:sz w:val="24"/>
        </w:rPr>
        <w:t>/</w:t>
      </w:r>
      <w:r>
        <w:rPr>
          <w:rFonts w:hint="eastAsia" w:hAnsi="宋体"/>
          <w:color w:val="auto"/>
          <w:spacing w:val="6"/>
          <w:sz w:val="24"/>
        </w:rPr>
        <w:t>提供服务），或者提供其他残疾人福利性单位制造的货物（不包括使用非残疾人福利性单位注册商标的货物）。</w:t>
      </w:r>
    </w:p>
    <w:p w14:paraId="0011C72E">
      <w:pPr>
        <w:spacing w:line="360" w:lineRule="auto"/>
        <w:ind w:firstLine="504" w:firstLineChars="200"/>
        <w:rPr>
          <w:color w:val="auto"/>
          <w:spacing w:val="6"/>
          <w:sz w:val="24"/>
        </w:rPr>
      </w:pPr>
    </w:p>
    <w:p w14:paraId="0A83A958">
      <w:pPr>
        <w:spacing w:line="360" w:lineRule="auto"/>
        <w:ind w:firstLine="504" w:firstLineChars="200"/>
        <w:rPr>
          <w:rFonts w:hAnsi="宋体"/>
          <w:color w:val="auto"/>
          <w:spacing w:val="6"/>
          <w:sz w:val="24"/>
        </w:rPr>
      </w:pPr>
      <w:r>
        <w:rPr>
          <w:rFonts w:hint="eastAsia" w:hAnsi="宋体"/>
          <w:color w:val="auto"/>
          <w:spacing w:val="6"/>
          <w:sz w:val="24"/>
        </w:rPr>
        <w:t>本单位对上述声明的真实性负责。如有虚假，将依法承担相应责任。</w:t>
      </w:r>
    </w:p>
    <w:p w14:paraId="2F3E7266">
      <w:pPr>
        <w:pStyle w:val="53"/>
        <w:rPr>
          <w:color w:val="auto"/>
        </w:rPr>
      </w:pPr>
    </w:p>
    <w:p w14:paraId="368FAD61">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61E2C3B2">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1D2B8D37">
      <w:pPr>
        <w:pStyle w:val="27"/>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2A344A2B">
      <w:pPr>
        <w:adjustRightInd w:val="0"/>
        <w:snapToGrid w:val="0"/>
        <w:spacing w:line="288" w:lineRule="auto"/>
        <w:rPr>
          <w:rFonts w:ascii="宋体" w:hAnsi="宋体"/>
          <w:b/>
          <w:bCs/>
          <w:color w:val="auto"/>
          <w:szCs w:val="21"/>
        </w:rPr>
      </w:pPr>
    </w:p>
    <w:p w14:paraId="7AFD4B9E">
      <w:pPr>
        <w:adjustRightInd w:val="0"/>
        <w:snapToGrid w:val="0"/>
        <w:spacing w:line="288" w:lineRule="auto"/>
        <w:rPr>
          <w:rFonts w:ascii="宋体" w:hAnsi="宋体"/>
          <w:b/>
          <w:bCs/>
          <w:color w:val="auto"/>
          <w:szCs w:val="21"/>
        </w:rPr>
      </w:pPr>
      <w:r>
        <w:rPr>
          <w:rFonts w:hint="eastAsia" w:ascii="宋体" w:hAnsi="宋体"/>
          <w:b/>
          <w:bCs/>
          <w:color w:val="auto"/>
          <w:szCs w:val="21"/>
        </w:rPr>
        <w:t>说明：</w:t>
      </w:r>
    </w:p>
    <w:p w14:paraId="70038F1E">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0B3BFE5E">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7D4A3A17">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06AECB1C">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4DE615CA">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26AF13DE">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4303A37D">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4E18A37">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22E21D01">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44CFAB0E">
      <w:pPr>
        <w:adjustRightInd w:val="0"/>
        <w:snapToGrid w:val="0"/>
        <w:spacing w:line="288" w:lineRule="auto"/>
        <w:ind w:firstLine="420" w:firstLineChars="200"/>
        <w:rPr>
          <w:color w:val="auto"/>
          <w:sz w:val="24"/>
          <w:szCs w:val="24"/>
        </w:rPr>
      </w:pPr>
      <w:r>
        <w:rPr>
          <w:rFonts w:hint="eastAsia"/>
          <w:color w:val="auto"/>
          <w:sz w:val="21"/>
          <w:szCs w:val="21"/>
        </w:rPr>
        <w:t>残疾人福利性单位属于小型、微型企业的，不重复享受政策。</w:t>
      </w:r>
    </w:p>
    <w:p w14:paraId="7C20C6E4">
      <w:pPr>
        <w:rPr>
          <w:rFonts w:hint="eastAsia"/>
          <w:b/>
          <w:bCs/>
          <w:color w:val="auto"/>
          <w:sz w:val="84"/>
          <w:szCs w:val="84"/>
        </w:rPr>
      </w:pPr>
      <w:bookmarkStart w:id="532" w:name="_Toc8928_WPSOffice_Level1"/>
      <w:r>
        <w:rPr>
          <w:rFonts w:hint="eastAsia"/>
          <w:b/>
          <w:bCs/>
          <w:color w:val="auto"/>
          <w:sz w:val="84"/>
          <w:szCs w:val="84"/>
        </w:rPr>
        <w:br w:type="page"/>
      </w:r>
    </w:p>
    <w:p w14:paraId="57E651BF">
      <w:pPr>
        <w:adjustRightInd w:val="0"/>
        <w:snapToGrid w:val="0"/>
        <w:spacing w:line="288" w:lineRule="auto"/>
        <w:jc w:val="center"/>
        <w:outlineLvl w:val="0"/>
        <w:rPr>
          <w:b/>
          <w:bCs/>
          <w:color w:val="auto"/>
          <w:sz w:val="84"/>
          <w:szCs w:val="84"/>
        </w:rPr>
      </w:pPr>
      <w:bookmarkStart w:id="533" w:name="_Toc18828_WPSOffice_Level1"/>
      <w:r>
        <w:rPr>
          <w:rFonts w:hint="eastAsia"/>
          <w:b/>
          <w:bCs/>
          <w:color w:val="auto"/>
          <w:sz w:val="84"/>
          <w:szCs w:val="84"/>
        </w:rPr>
        <w:t>报价文件</w:t>
      </w:r>
      <w:bookmarkEnd w:id="532"/>
      <w:bookmarkEnd w:id="533"/>
    </w:p>
    <w:p w14:paraId="4CC3A1D3">
      <w:pPr>
        <w:pStyle w:val="6"/>
        <w:ind w:left="0" w:firstLine="0"/>
        <w:outlineLvl w:val="0"/>
        <w:rPr>
          <w:color w:val="auto"/>
        </w:rPr>
      </w:pPr>
      <w:bookmarkStart w:id="534" w:name="_Toc24712_WPSOffice_Level1"/>
      <w:bookmarkStart w:id="535" w:name="_Toc5395_WPSOffice_Level1"/>
      <w:bookmarkStart w:id="536" w:name="_Toc13470"/>
      <w:bookmarkStart w:id="537" w:name="_Toc19897"/>
      <w:bookmarkStart w:id="538" w:name="_Toc27484"/>
      <w:bookmarkStart w:id="539" w:name="_Toc23089"/>
      <w:bookmarkStart w:id="540" w:name="_Toc16624"/>
      <w:bookmarkStart w:id="541" w:name="_Toc24738"/>
      <w:bookmarkStart w:id="542" w:name="_Toc28619"/>
      <w:bookmarkStart w:id="543" w:name="_Toc11579"/>
      <w:bookmarkStart w:id="544" w:name="_Toc4455"/>
      <w:bookmarkStart w:id="545" w:name="_Toc28695"/>
      <w:bookmarkStart w:id="546" w:name="_Toc24403"/>
      <w:bookmarkStart w:id="547" w:name="_Toc14186"/>
      <w:bookmarkStart w:id="548" w:name="_Toc10749"/>
      <w:bookmarkStart w:id="549" w:name="_Toc25418"/>
      <w:bookmarkStart w:id="550" w:name="_Toc20907"/>
      <w:bookmarkStart w:id="551" w:name="_Toc23539"/>
      <w:bookmarkStart w:id="552" w:name="_Toc25012"/>
      <w:bookmarkStart w:id="553" w:name="_Toc19268"/>
      <w:bookmarkStart w:id="554" w:name="_Toc22542"/>
      <w:bookmarkStart w:id="555" w:name="_Toc18705"/>
      <w:bookmarkStart w:id="556" w:name="_Toc19949"/>
      <w:bookmarkStart w:id="557" w:name="_Toc3471"/>
      <w:bookmarkStart w:id="558" w:name="_Toc6771"/>
      <w:bookmarkStart w:id="559" w:name="_Toc14637"/>
      <w:bookmarkStart w:id="560" w:name="_Toc32416"/>
      <w:bookmarkStart w:id="561" w:name="_Toc15307"/>
      <w:bookmarkStart w:id="562" w:name="_Toc25971"/>
      <w:bookmarkStart w:id="563" w:name="_Toc13060"/>
      <w:bookmarkStart w:id="564" w:name="_Toc12332"/>
      <w:bookmarkStart w:id="565" w:name="_Toc16736"/>
      <w:bookmarkStart w:id="566" w:name="_Toc24678"/>
      <w:bookmarkStart w:id="567" w:name="_Toc25718"/>
      <w:bookmarkStart w:id="568" w:name="_Toc5206"/>
      <w:bookmarkStart w:id="569" w:name="_Toc23410"/>
      <w:bookmarkStart w:id="570" w:name="_Toc2198"/>
      <w:r>
        <w:rPr>
          <w:rFonts w:hint="eastAsia"/>
          <w:color w:val="auto"/>
        </w:rPr>
        <w:t>（1）初次报价一览表</w:t>
      </w:r>
      <w:bookmarkEnd w:id="534"/>
      <w:bookmarkEnd w:id="535"/>
    </w:p>
    <w:p w14:paraId="33D3E988">
      <w:pPr>
        <w:pStyle w:val="6"/>
        <w:tabs>
          <w:tab w:val="left" w:pos="0"/>
          <w:tab w:val="clear" w:pos="1275"/>
        </w:tabs>
        <w:ind w:left="15" w:hanging="15"/>
        <w:outlineLvl w:val="9"/>
        <w:rPr>
          <w:rFonts w:ascii="黑体" w:hAnsi="黑体" w:eastAsia="黑体" w:cs="黑体"/>
          <w:color w:val="auto"/>
          <w:szCs w:val="28"/>
        </w:rPr>
      </w:pPr>
    </w:p>
    <w:p w14:paraId="67953F20">
      <w:pPr>
        <w:jc w:val="center"/>
        <w:outlineLvl w:val="1"/>
        <w:rPr>
          <w:b/>
          <w:bCs/>
          <w:color w:val="auto"/>
          <w:sz w:val="32"/>
          <w:szCs w:val="32"/>
        </w:rPr>
      </w:pPr>
      <w:r>
        <w:rPr>
          <w:rFonts w:hint="eastAsia"/>
          <w:b/>
          <w:bCs/>
          <w:color w:val="auto"/>
          <w:sz w:val="32"/>
          <w:szCs w:val="32"/>
        </w:rPr>
        <w:t>初次报价一览表</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446B0849">
      <w:pPr>
        <w:spacing w:line="460" w:lineRule="exact"/>
        <w:rPr>
          <w:color w:val="auto"/>
          <w:sz w:val="24"/>
        </w:rPr>
      </w:pPr>
      <w:r>
        <w:rPr>
          <w:rFonts w:hint="eastAsia"/>
          <w:color w:val="auto"/>
          <w:sz w:val="24"/>
        </w:rPr>
        <w:t>项目名称：</w:t>
      </w:r>
    </w:p>
    <w:p w14:paraId="4AEE729B">
      <w:pPr>
        <w:spacing w:line="460" w:lineRule="exact"/>
        <w:rPr>
          <w:color w:val="auto"/>
          <w:sz w:val="24"/>
        </w:rPr>
      </w:pPr>
      <w:r>
        <w:rPr>
          <w:rFonts w:hint="eastAsia"/>
          <w:color w:val="auto"/>
          <w:sz w:val="24"/>
        </w:rPr>
        <w:t>项目编号：</w:t>
      </w:r>
    </w:p>
    <w:p w14:paraId="6014EE4E">
      <w:pPr>
        <w:rPr>
          <w:color w:val="auto"/>
        </w:rPr>
      </w:pP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14:paraId="7DF916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14:paraId="64612BEE">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p>
        </w:tc>
      </w:tr>
      <w:tr w14:paraId="46E542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14:paraId="0894BC80">
            <w:pPr>
              <w:spacing w:line="360" w:lineRule="auto"/>
              <w:rPr>
                <w:rFonts w:ascii="宋体" w:hAnsi="宋体"/>
                <w:b/>
                <w:color w:val="auto"/>
                <w:spacing w:val="-6"/>
                <w:sz w:val="24"/>
              </w:rPr>
            </w:pPr>
          </w:p>
          <w:p w14:paraId="57EB2D07">
            <w:pPr>
              <w:spacing w:line="360" w:lineRule="auto"/>
              <w:rPr>
                <w:rFonts w:ascii="宋体" w:hAnsi="宋体"/>
                <w:color w:val="auto"/>
                <w:spacing w:val="-6"/>
                <w:sz w:val="24"/>
                <w:u w:val="single"/>
              </w:rPr>
            </w:pPr>
            <w:r>
              <w:rPr>
                <w:rFonts w:hint="eastAsia" w:ascii="宋体" w:hAnsi="宋体"/>
                <w:color w:val="auto"/>
                <w:spacing w:val="-6"/>
                <w:sz w:val="24"/>
              </w:rPr>
              <w:t>金额大写：                             小写：</w:t>
            </w:r>
          </w:p>
          <w:p w14:paraId="07B7D082">
            <w:pPr>
              <w:spacing w:line="360" w:lineRule="auto"/>
              <w:rPr>
                <w:rFonts w:ascii="宋体" w:hAnsi="宋体"/>
                <w:color w:val="auto"/>
                <w:spacing w:val="-6"/>
                <w:sz w:val="24"/>
                <w:u w:val="single"/>
              </w:rPr>
            </w:pPr>
          </w:p>
          <w:p w14:paraId="28D9D85C">
            <w:pPr>
              <w:spacing w:line="360" w:lineRule="auto"/>
              <w:rPr>
                <w:rFonts w:ascii="宋体" w:hAnsi="宋体"/>
                <w:b/>
                <w:color w:val="auto"/>
                <w:spacing w:val="-6"/>
                <w:sz w:val="24"/>
              </w:rPr>
            </w:pPr>
            <w:r>
              <w:rPr>
                <w:rFonts w:hint="eastAsia" w:ascii="宋体" w:hAnsi="宋体"/>
                <w:color w:val="auto"/>
                <w:spacing w:val="-6"/>
                <w:sz w:val="24"/>
              </w:rPr>
              <w:t>单位：人民币元</w:t>
            </w:r>
          </w:p>
        </w:tc>
      </w:tr>
    </w:tbl>
    <w:p w14:paraId="25D719B2">
      <w:pPr>
        <w:pStyle w:val="42"/>
        <w:snapToGrid w:val="0"/>
        <w:spacing w:line="400" w:lineRule="exact"/>
        <w:rPr>
          <w:color w:val="auto"/>
          <w:szCs w:val="24"/>
        </w:rPr>
      </w:pPr>
      <w:r>
        <w:rPr>
          <w:rFonts w:hint="eastAsia"/>
          <w:color w:val="auto"/>
          <w:szCs w:val="24"/>
        </w:rPr>
        <w:t>注：本报价中应包含乙方完成本项目所需的一切费用，包括但不限于软件开发、数据清洗、调试、1年运维、全部文档、其他技术服务费、培训费、保修保换费、保险费、税费等。</w:t>
      </w:r>
    </w:p>
    <w:p w14:paraId="2E534090">
      <w:pPr>
        <w:pStyle w:val="42"/>
        <w:snapToGrid w:val="0"/>
        <w:spacing w:line="400" w:lineRule="exact"/>
        <w:rPr>
          <w:color w:val="auto"/>
          <w:szCs w:val="24"/>
        </w:rPr>
      </w:pPr>
      <w:r>
        <w:rPr>
          <w:rFonts w:hint="eastAsia"/>
          <w:color w:val="auto"/>
          <w:szCs w:val="24"/>
        </w:rPr>
        <w:t>货币单位：元（人民币）</w:t>
      </w:r>
    </w:p>
    <w:p w14:paraId="5EAA27DD">
      <w:pPr>
        <w:spacing w:line="360" w:lineRule="auto"/>
        <w:ind w:right="-21" w:rightChars="-10"/>
        <w:rPr>
          <w:color w:val="auto"/>
          <w:sz w:val="24"/>
        </w:rPr>
      </w:pPr>
    </w:p>
    <w:p w14:paraId="119108E9">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127FEB7B">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52A447D6">
      <w:pPr>
        <w:spacing w:before="240" w:beforeLines="100" w:after="240" w:afterLines="100"/>
        <w:jc w:val="left"/>
        <w:rPr>
          <w:color w:val="auto"/>
          <w:sz w:val="24"/>
          <w:szCs w:val="24"/>
        </w:rPr>
      </w:pPr>
      <w:r>
        <w:rPr>
          <w:rFonts w:hint="eastAsia" w:ascii="宋体" w:hAnsi="宋体" w:cs="宋体"/>
          <w:color w:val="auto"/>
          <w:sz w:val="24"/>
        </w:rPr>
        <w:t>日期：      年   月   日</w:t>
      </w:r>
    </w:p>
    <w:p w14:paraId="4BCFF9F2">
      <w:pPr>
        <w:spacing w:line="360" w:lineRule="auto"/>
        <w:ind w:right="-21" w:rightChars="-10"/>
        <w:rPr>
          <w:color w:val="auto"/>
          <w:sz w:val="24"/>
        </w:rPr>
      </w:pPr>
    </w:p>
    <w:p w14:paraId="70E9ECB4">
      <w:pPr>
        <w:tabs>
          <w:tab w:val="left" w:pos="1055"/>
        </w:tabs>
        <w:jc w:val="left"/>
        <w:rPr>
          <w:color w:val="auto"/>
        </w:rPr>
        <w:sectPr>
          <w:footerReference r:id="rId6" w:type="default"/>
          <w:pgSz w:w="11907" w:h="16840"/>
          <w:pgMar w:top="1134" w:right="1247" w:bottom="1247" w:left="1247" w:header="567" w:footer="794" w:gutter="0"/>
          <w:cols w:space="720" w:num="1"/>
        </w:sectPr>
      </w:pPr>
    </w:p>
    <w:bookmarkEnd w:id="563"/>
    <w:bookmarkEnd w:id="564"/>
    <w:bookmarkEnd w:id="565"/>
    <w:bookmarkEnd w:id="566"/>
    <w:bookmarkEnd w:id="567"/>
    <w:bookmarkEnd w:id="568"/>
    <w:bookmarkEnd w:id="569"/>
    <w:bookmarkEnd w:id="570"/>
    <w:p w14:paraId="66C6391E">
      <w:pPr>
        <w:adjustRightInd w:val="0"/>
        <w:snapToGrid w:val="0"/>
        <w:spacing w:line="288" w:lineRule="auto"/>
        <w:jc w:val="center"/>
        <w:outlineLvl w:val="0"/>
        <w:rPr>
          <w:b/>
          <w:bCs/>
          <w:color w:val="auto"/>
          <w:sz w:val="84"/>
          <w:szCs w:val="84"/>
        </w:rPr>
      </w:pPr>
      <w:bookmarkStart w:id="571" w:name="_Toc24918_WPSOffice_Level1"/>
      <w:bookmarkStart w:id="572" w:name="_Toc5100_WPSOffice_Level1"/>
      <w:bookmarkStart w:id="573" w:name="_Toc6658"/>
      <w:bookmarkStart w:id="574" w:name="_Toc13355"/>
      <w:bookmarkStart w:id="575" w:name="_Toc4011"/>
      <w:bookmarkStart w:id="576" w:name="_Toc11033"/>
      <w:bookmarkStart w:id="577" w:name="_Toc20322"/>
      <w:bookmarkStart w:id="578" w:name="_Toc10583"/>
      <w:bookmarkStart w:id="579" w:name="_Toc2960"/>
      <w:bookmarkStart w:id="580" w:name="_Toc9514"/>
      <w:bookmarkStart w:id="581" w:name="_Toc25574"/>
      <w:bookmarkStart w:id="582" w:name="_Toc3902"/>
      <w:bookmarkStart w:id="583" w:name="_Toc27765"/>
      <w:bookmarkStart w:id="584" w:name="_Toc27848"/>
      <w:bookmarkStart w:id="585" w:name="_Toc432"/>
      <w:bookmarkStart w:id="586" w:name="_Toc31197"/>
      <w:bookmarkStart w:id="587" w:name="_Toc32174"/>
      <w:bookmarkStart w:id="588" w:name="_Toc21390"/>
      <w:bookmarkStart w:id="589" w:name="_Toc4954"/>
      <w:bookmarkStart w:id="590" w:name="_Toc4882"/>
      <w:bookmarkStart w:id="591" w:name="_Toc4245"/>
      <w:bookmarkStart w:id="592" w:name="_Toc23382"/>
      <w:bookmarkStart w:id="593" w:name="_Toc22262"/>
      <w:bookmarkStart w:id="594" w:name="_Toc13604"/>
      <w:bookmarkStart w:id="595" w:name="_Toc2678"/>
      <w:bookmarkStart w:id="596" w:name="_Toc19321"/>
      <w:bookmarkStart w:id="597" w:name="_Toc29034"/>
      <w:bookmarkStart w:id="598" w:name="_Toc593"/>
      <w:bookmarkStart w:id="599" w:name="_Toc28796"/>
      <w:bookmarkStart w:id="600" w:name="_Toc10465"/>
      <w:bookmarkStart w:id="601" w:name="_Toc8554"/>
      <w:bookmarkStart w:id="602" w:name="_Toc21599"/>
      <w:bookmarkStart w:id="603" w:name="_Toc1234"/>
      <w:bookmarkStart w:id="604" w:name="_Toc30975"/>
      <w:bookmarkStart w:id="605" w:name="_Toc17483"/>
      <w:bookmarkStart w:id="606" w:name="_Toc5305"/>
      <w:bookmarkStart w:id="607" w:name="_Toc17061"/>
      <w:bookmarkStart w:id="608" w:name="_Toc118516210"/>
      <w:r>
        <w:rPr>
          <w:rFonts w:hint="eastAsia"/>
          <w:b/>
          <w:bCs/>
          <w:color w:val="auto"/>
          <w:sz w:val="84"/>
          <w:szCs w:val="84"/>
        </w:rPr>
        <w:t>商务和技术文件</w:t>
      </w:r>
      <w:bookmarkEnd w:id="571"/>
      <w:bookmarkEnd w:id="572"/>
    </w:p>
    <w:p w14:paraId="5A9BABF0">
      <w:pPr>
        <w:pStyle w:val="6"/>
        <w:tabs>
          <w:tab w:val="left" w:pos="0"/>
          <w:tab w:val="clear" w:pos="1275"/>
        </w:tabs>
        <w:ind w:left="15" w:hanging="15"/>
        <w:outlineLvl w:val="9"/>
        <w:rPr>
          <w:color w:val="auto"/>
          <w:sz w:val="24"/>
          <w:szCs w:val="24"/>
        </w:rPr>
      </w:pPr>
    </w:p>
    <w:p w14:paraId="524FD8D6">
      <w:pPr>
        <w:pStyle w:val="6"/>
        <w:ind w:left="0" w:firstLine="0"/>
        <w:outlineLvl w:val="0"/>
        <w:rPr>
          <w:color w:val="auto"/>
        </w:rPr>
      </w:pPr>
      <w:bookmarkStart w:id="609" w:name="_Toc24574_WPSOffice_Level1"/>
      <w:bookmarkStart w:id="610" w:name="_Toc14403_WPSOffice_Level1"/>
      <w:r>
        <w:rPr>
          <w:rFonts w:hint="eastAsia"/>
          <w:color w:val="auto"/>
        </w:rPr>
        <w:t>（1）磋商响应函</w:t>
      </w:r>
      <w:bookmarkEnd w:id="609"/>
      <w:bookmarkEnd w:id="610"/>
      <w:r>
        <w:rPr>
          <w:rFonts w:hint="eastAsia"/>
          <w:color w:val="auto"/>
        </w:rPr>
        <w:t xml:space="preserve">   </w:t>
      </w:r>
    </w:p>
    <w:p w14:paraId="2A02CD09">
      <w:pPr>
        <w:jc w:val="center"/>
        <w:outlineLvl w:val="1"/>
        <w:rPr>
          <w:b/>
          <w:color w:val="auto"/>
          <w:sz w:val="32"/>
          <w:szCs w:val="32"/>
        </w:rPr>
      </w:pPr>
      <w:r>
        <w:rPr>
          <w:rFonts w:hint="eastAsia"/>
          <w:b/>
          <w:color w:val="auto"/>
          <w:sz w:val="32"/>
          <w:szCs w:val="32"/>
        </w:rPr>
        <w:t>磋商响应函</w:t>
      </w:r>
    </w:p>
    <w:p w14:paraId="2ED31073">
      <w:pPr>
        <w:pStyle w:val="27"/>
        <w:ind w:left="-27" w:firstLine="530"/>
        <w:rPr>
          <w:rFonts w:ascii="Times New Roman" w:hAnsi="Times New Roman"/>
          <w:b/>
          <w:color w:val="auto"/>
          <w:sz w:val="30"/>
        </w:rPr>
      </w:pPr>
    </w:p>
    <w:p w14:paraId="13633861">
      <w:pPr>
        <w:pStyle w:val="27"/>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3197C3BF">
      <w:pPr>
        <w:pStyle w:val="27"/>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14:paraId="6E21B31C">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1</w:t>
      </w:r>
      <w:r>
        <w:rPr>
          <w:rFonts w:hint="eastAsia" w:ascii="Times New Roman" w:hAnsi="Times New Roman"/>
          <w:color w:val="auto"/>
          <w:sz w:val="24"/>
        </w:rPr>
        <w:t>、提供</w:t>
      </w:r>
      <w:r>
        <w:rPr>
          <w:rFonts w:hint="eastAsia" w:ascii="Times New Roman" w:hAnsi="Times New Roman"/>
          <w:color w:val="auto"/>
          <w:sz w:val="24"/>
          <w:lang w:val="en-US" w:eastAsia="zh-CN"/>
        </w:rPr>
        <w:t>磋商文件</w:t>
      </w:r>
      <w:r>
        <w:rPr>
          <w:rFonts w:hint="eastAsia" w:ascii="Times New Roman" w:hAnsi="Times New Roman"/>
          <w:color w:val="auto"/>
          <w:sz w:val="24"/>
        </w:rPr>
        <w:t>规定的电子加密</w:t>
      </w:r>
      <w:r>
        <w:rPr>
          <w:rFonts w:hint="eastAsia" w:ascii="Times New Roman" w:hAnsi="Times New Roman"/>
          <w:color w:val="auto"/>
          <w:sz w:val="24"/>
          <w:lang w:val="en-US" w:eastAsia="zh-CN"/>
        </w:rPr>
        <w:t>响应</w:t>
      </w:r>
      <w:r>
        <w:rPr>
          <w:rFonts w:hint="eastAsia" w:ascii="Times New Roman" w:hAnsi="Times New Roman"/>
          <w:color w:val="auto"/>
          <w:sz w:val="24"/>
        </w:rPr>
        <w:t>文件</w:t>
      </w:r>
      <w:r>
        <w:rPr>
          <w:rFonts w:hint="eastAsia" w:ascii="Times New Roman" w:hAnsi="Times New Roman"/>
          <w:color w:val="auto"/>
          <w:sz w:val="24"/>
          <w:lang w:eastAsia="zh-CN"/>
        </w:rPr>
        <w:t>。</w:t>
      </w:r>
    </w:p>
    <w:p w14:paraId="545E7B40">
      <w:pPr>
        <w:spacing w:line="312" w:lineRule="auto"/>
        <w:ind w:left="-25" w:leftChars="-12" w:firstLine="446" w:firstLineChars="186"/>
        <w:rPr>
          <w:color w:val="auto"/>
          <w:sz w:val="24"/>
        </w:rPr>
      </w:pPr>
      <w:r>
        <w:rPr>
          <w:color w:val="auto"/>
          <w:sz w:val="24"/>
        </w:rPr>
        <w:t>2</w:t>
      </w:r>
      <w:r>
        <w:rPr>
          <w:rFonts w:hint="eastAsia"/>
          <w:color w:val="auto"/>
          <w:sz w:val="24"/>
        </w:rPr>
        <w:t>、保证遵守磋商文件中的有关规定和收费标准</w:t>
      </w:r>
      <w:r>
        <w:rPr>
          <w:rFonts w:hint="eastAsia"/>
          <w:color w:val="auto"/>
          <w:sz w:val="24"/>
          <w:lang w:eastAsia="zh-CN"/>
        </w:rPr>
        <w:t>（</w:t>
      </w:r>
      <w:r>
        <w:rPr>
          <w:rFonts w:hint="eastAsia"/>
          <w:color w:val="auto"/>
          <w:sz w:val="24"/>
          <w:lang w:val="en-US" w:eastAsia="zh-CN"/>
        </w:rPr>
        <w:t>如有</w:t>
      </w:r>
      <w:r>
        <w:rPr>
          <w:rFonts w:hint="eastAsia"/>
          <w:color w:val="auto"/>
          <w:sz w:val="24"/>
          <w:lang w:eastAsia="zh-CN"/>
        </w:rPr>
        <w:t>）</w:t>
      </w:r>
      <w:r>
        <w:rPr>
          <w:rFonts w:hint="eastAsia"/>
          <w:color w:val="auto"/>
          <w:sz w:val="24"/>
        </w:rPr>
        <w:t>。</w:t>
      </w:r>
    </w:p>
    <w:p w14:paraId="4A5AE15A">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3</w:t>
      </w:r>
      <w:r>
        <w:rPr>
          <w:rFonts w:hint="eastAsia" w:ascii="Times New Roman" w:hAnsi="Times New Roman"/>
          <w:color w:val="auto"/>
          <w:sz w:val="24"/>
        </w:rPr>
        <w:t>、保证忠实地执行买卖双方所签的合同，并承担合同规定的责任义务。</w:t>
      </w:r>
    </w:p>
    <w:p w14:paraId="642EC30B">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14:paraId="324B0047">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14:paraId="30B1D23F">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7886E124">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778627AD">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4AE801DA">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9、与本响应有关的一切往来通讯请寄：</w:t>
      </w:r>
    </w:p>
    <w:p w14:paraId="272CC8C9">
      <w:pPr>
        <w:pStyle w:val="27"/>
        <w:spacing w:line="312" w:lineRule="auto"/>
        <w:ind w:left="-27" w:firstLine="720" w:firstLineChars="300"/>
        <w:rPr>
          <w:rFonts w:hint="eastAsia" w:ascii="Times New Roman" w:hAnsi="Times New Roman"/>
          <w:color w:val="auto"/>
          <w:sz w:val="24"/>
        </w:rPr>
      </w:pPr>
      <w:r>
        <w:rPr>
          <w:rFonts w:hint="eastAsia" w:ascii="Times New Roman" w:hAnsi="Times New Roman"/>
          <w:color w:val="auto"/>
          <w:sz w:val="24"/>
        </w:rPr>
        <w:t>联系人：</w:t>
      </w:r>
      <w:r>
        <w:rPr>
          <w:rFonts w:hint="eastAsia" w:ascii="Times New Roman" w:hAnsi="Times New Roman"/>
          <w:color w:val="auto"/>
          <w:sz w:val="24"/>
          <w:lang w:val="en-US" w:eastAsia="zh-CN"/>
        </w:rPr>
        <w:t xml:space="preserve">                </w:t>
      </w:r>
      <w:r>
        <w:rPr>
          <w:rFonts w:hint="eastAsia" w:ascii="Times New Roman" w:hAnsi="Times New Roman"/>
          <w:color w:val="auto"/>
          <w:sz w:val="24"/>
        </w:rPr>
        <w:t>职务：</w:t>
      </w:r>
    </w:p>
    <w:p w14:paraId="2DAC5814">
      <w:pPr>
        <w:pStyle w:val="27"/>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电子邮箱：</w:t>
      </w:r>
    </w:p>
    <w:p w14:paraId="683E5C5F">
      <w:pPr>
        <w:pStyle w:val="27"/>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5E496130">
      <w:pPr>
        <w:pStyle w:val="27"/>
        <w:spacing w:line="312" w:lineRule="auto"/>
        <w:ind w:firstLine="720" w:firstLineChars="300"/>
        <w:rPr>
          <w:rFonts w:ascii="Times New Roman" w:hAnsi="Times New Roman"/>
          <w:color w:val="auto"/>
          <w:sz w:val="24"/>
        </w:rPr>
      </w:pPr>
      <w:r>
        <w:rPr>
          <w:rFonts w:hint="eastAsia" w:ascii="Times New Roman" w:hAnsi="Times New Roman"/>
          <w:color w:val="auto"/>
          <w:sz w:val="24"/>
        </w:rPr>
        <w:t>开户银行：</w:t>
      </w:r>
      <w:r>
        <w:rPr>
          <w:rFonts w:hint="eastAsia" w:ascii="Times New Roman" w:hAnsi="Times New Roman"/>
          <w:color w:val="auto"/>
          <w:sz w:val="24"/>
          <w:lang w:val="en-US" w:eastAsia="zh-CN"/>
        </w:rPr>
        <w:t xml:space="preserve">              </w:t>
      </w:r>
      <w:r>
        <w:rPr>
          <w:rFonts w:hint="eastAsia" w:ascii="Times New Roman" w:hAnsi="Times New Roman"/>
          <w:color w:val="auto"/>
          <w:sz w:val="24"/>
        </w:rPr>
        <w:t>银行账号：</w:t>
      </w:r>
    </w:p>
    <w:p w14:paraId="1BA5CD5E">
      <w:pPr>
        <w:pStyle w:val="27"/>
        <w:spacing w:line="312" w:lineRule="auto"/>
        <w:ind w:left="-27" w:firstLine="422"/>
        <w:rPr>
          <w:rFonts w:ascii="Times New Roman" w:hAnsi="Times New Roman"/>
          <w:color w:val="auto"/>
          <w:sz w:val="24"/>
        </w:rPr>
      </w:pPr>
    </w:p>
    <w:p w14:paraId="11CF880B">
      <w:pPr>
        <w:pStyle w:val="27"/>
        <w:spacing w:line="312" w:lineRule="auto"/>
        <w:ind w:left="-27" w:firstLine="480" w:firstLineChars="200"/>
        <w:rPr>
          <w:rFonts w:ascii="Times New Roman" w:hAnsi="Times New Roman"/>
          <w:color w:val="auto"/>
          <w:sz w:val="24"/>
        </w:rPr>
      </w:pPr>
    </w:p>
    <w:p w14:paraId="00225727">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3C3DD4EC">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12DB6562">
      <w:pPr>
        <w:spacing w:before="240" w:beforeLines="100" w:after="240" w:afterLines="100"/>
        <w:jc w:val="left"/>
        <w:rPr>
          <w:color w:val="auto"/>
          <w:sz w:val="24"/>
          <w:szCs w:val="24"/>
        </w:rPr>
      </w:pPr>
      <w:r>
        <w:rPr>
          <w:rFonts w:hint="eastAsia" w:ascii="宋体" w:hAnsi="宋体" w:cs="宋体"/>
          <w:color w:val="auto"/>
          <w:sz w:val="24"/>
        </w:rPr>
        <w:t>日期：      年   月   日</w:t>
      </w:r>
    </w:p>
    <w:p w14:paraId="4D2F738E">
      <w:pPr>
        <w:rPr>
          <w:color w:val="auto"/>
          <w:sz w:val="24"/>
          <w:szCs w:val="24"/>
        </w:rPr>
      </w:pPr>
    </w:p>
    <w:p w14:paraId="3EA104DD">
      <w:pPr>
        <w:rPr>
          <w:rStyle w:val="57"/>
          <w:rFonts w:ascii="黑体" w:hAnsi="黑体" w:eastAsia="黑体" w:cs="黑体"/>
          <w:color w:val="auto"/>
          <w:szCs w:val="28"/>
        </w:rPr>
      </w:pPr>
      <w:r>
        <w:rPr>
          <w:rStyle w:val="57"/>
          <w:rFonts w:hint="eastAsia" w:ascii="黑体" w:hAnsi="黑体" w:eastAsia="黑体" w:cs="黑体"/>
          <w:color w:val="auto"/>
          <w:szCs w:val="28"/>
        </w:rPr>
        <w:br w:type="page"/>
      </w:r>
    </w:p>
    <w:p w14:paraId="44A0855E">
      <w:pPr>
        <w:pStyle w:val="6"/>
        <w:ind w:left="0" w:firstLine="0"/>
        <w:outlineLvl w:val="0"/>
        <w:rPr>
          <w:color w:val="auto"/>
        </w:rPr>
      </w:pPr>
      <w:bookmarkStart w:id="611" w:name="_Toc7293_WPSOffice_Level1"/>
      <w:bookmarkStart w:id="612" w:name="_Toc22793_WPSOffice_Level1"/>
      <w:r>
        <w:rPr>
          <w:rFonts w:hint="eastAsia"/>
          <w:color w:val="auto"/>
        </w:rPr>
        <w:t>（2）法定代表人授权书（非法定代表人参加时提供）</w:t>
      </w:r>
      <w:bookmarkEnd w:id="611"/>
      <w:bookmarkEnd w:id="612"/>
    </w:p>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14:paraId="327276A4">
      <w:pPr>
        <w:pStyle w:val="27"/>
        <w:tabs>
          <w:tab w:val="left" w:pos="450"/>
        </w:tabs>
        <w:spacing w:line="400" w:lineRule="atLeast"/>
        <w:ind w:left="-27" w:firstLine="422"/>
        <w:rPr>
          <w:rFonts w:ascii="Times New Roman" w:hAnsi="Times New Roman"/>
          <w:color w:val="auto"/>
          <w:sz w:val="24"/>
          <w:szCs w:val="24"/>
        </w:rPr>
      </w:pPr>
    </w:p>
    <w:p w14:paraId="168CDFBB">
      <w:pPr>
        <w:pStyle w:val="27"/>
        <w:tabs>
          <w:tab w:val="left" w:pos="450"/>
        </w:tabs>
        <w:spacing w:line="400" w:lineRule="atLeast"/>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法定代表人授权书</w:t>
      </w:r>
    </w:p>
    <w:p w14:paraId="16BDBEFD">
      <w:pPr>
        <w:pStyle w:val="27"/>
        <w:spacing w:line="600" w:lineRule="atLeast"/>
        <w:ind w:left="-27" w:firstLine="493"/>
        <w:rPr>
          <w:rFonts w:ascii="Times New Roman" w:hAnsi="Times New Roman"/>
          <w:color w:val="auto"/>
          <w:sz w:val="28"/>
          <w:u w:val="single"/>
        </w:rPr>
      </w:pPr>
    </w:p>
    <w:p w14:paraId="41FB0A8C">
      <w:pPr>
        <w:pStyle w:val="27"/>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2A38B159">
      <w:pPr>
        <w:pStyle w:val="27"/>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14:paraId="1325A493">
      <w:pPr>
        <w:pStyle w:val="27"/>
        <w:spacing w:line="600" w:lineRule="atLeast"/>
        <w:ind w:left="-27" w:firstLine="422"/>
        <w:rPr>
          <w:rFonts w:ascii="Times New Roman" w:hAnsi="Times New Roman"/>
          <w:color w:val="auto"/>
          <w:sz w:val="24"/>
          <w:szCs w:val="24"/>
        </w:rPr>
      </w:pPr>
    </w:p>
    <w:p w14:paraId="1E61EC38">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w:t>
      </w:r>
      <w:r>
        <w:rPr>
          <w:rFonts w:hint="eastAsia" w:ascii="宋体" w:hAnsi="宋体"/>
          <w:b/>
          <w:bCs/>
          <w:color w:val="auto"/>
          <w:spacing w:val="-6"/>
          <w:sz w:val="24"/>
          <w:szCs w:val="24"/>
          <w:u w:val="single"/>
          <w:lang w:eastAsia="zh-CN"/>
        </w:rPr>
        <w:t>2026年1月</w:t>
      </w:r>
      <w:r>
        <w:rPr>
          <w:rFonts w:hint="eastAsia" w:ascii="宋体" w:hAnsi="宋体"/>
          <w:b/>
          <w:bCs/>
          <w:color w:val="auto"/>
          <w:spacing w:val="-6"/>
          <w:sz w:val="24"/>
          <w:szCs w:val="24"/>
          <w:u w:val="single"/>
        </w:rPr>
        <w:t>（含）以后任意一月社保缴纳证明。</w:t>
      </w:r>
    </w:p>
    <w:p w14:paraId="0B72040B">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1B87E3C3">
      <w:pPr>
        <w:pStyle w:val="27"/>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w:t>
      </w:r>
      <w:r>
        <w:rPr>
          <w:rFonts w:hint="eastAsia" w:hAnsi="宋体" w:cs="宋体"/>
          <w:b/>
          <w:bCs/>
          <w:color w:val="auto"/>
          <w:sz w:val="24"/>
          <w:szCs w:val="24"/>
          <w:lang w:val="en-US" w:eastAsia="zh-CN"/>
        </w:rPr>
        <w:t>签字或法人代表章</w:t>
      </w:r>
      <w:r>
        <w:rPr>
          <w:rFonts w:hint="eastAsia" w:hAnsi="宋体" w:cs="宋体"/>
          <w:b/>
          <w:bCs/>
          <w:color w:val="auto"/>
          <w:sz w:val="24"/>
          <w:szCs w:val="24"/>
        </w:rPr>
        <w:t>）：</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2E981048">
      <w:pPr>
        <w:pStyle w:val="27"/>
        <w:spacing w:line="400" w:lineRule="atLeast"/>
        <w:ind w:left="-27" w:firstLine="422"/>
        <w:rPr>
          <w:rFonts w:ascii="Times New Roman" w:hAnsi="Times New Roman"/>
          <w:color w:val="auto"/>
          <w:sz w:val="24"/>
          <w:szCs w:val="24"/>
        </w:rPr>
      </w:pPr>
    </w:p>
    <w:p w14:paraId="4FDF238C">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30490518">
      <w:pPr>
        <w:pStyle w:val="27"/>
        <w:spacing w:line="400" w:lineRule="atLeast"/>
        <w:ind w:left="-27" w:firstLine="422"/>
        <w:rPr>
          <w:rFonts w:ascii="Times New Roman" w:hAnsi="Times New Roman"/>
          <w:color w:val="auto"/>
          <w:sz w:val="24"/>
          <w:szCs w:val="24"/>
        </w:rPr>
      </w:pPr>
    </w:p>
    <w:p w14:paraId="2C514E40">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71E3901B">
      <w:pPr>
        <w:pStyle w:val="27"/>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0BA155ED">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47C6318D">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06E36806">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32F8A3D1">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48CF6E8F">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700F5B80">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2552CCCE">
      <w:pPr>
        <w:pStyle w:val="27"/>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63425973">
      <w:pPr>
        <w:widowControl/>
        <w:ind w:firstLine="723" w:firstLineChars="225"/>
        <w:jc w:val="left"/>
        <w:outlineLvl w:val="2"/>
        <w:rPr>
          <w:b/>
          <w:color w:val="auto"/>
          <w:sz w:val="32"/>
          <w:szCs w:val="32"/>
        </w:rPr>
      </w:pPr>
      <w:r>
        <w:rPr>
          <w:rFonts w:hint="eastAsia"/>
          <w:b/>
          <w:color w:val="auto"/>
          <w:sz w:val="32"/>
          <w:szCs w:val="32"/>
        </w:rPr>
        <w:t>法定代表人身份证复印件（正反面）</w:t>
      </w:r>
    </w:p>
    <w:p w14:paraId="32933799">
      <w:pPr>
        <w:widowControl/>
        <w:ind w:firstLine="723" w:firstLineChars="225"/>
        <w:jc w:val="left"/>
        <w:rPr>
          <w:b/>
          <w:color w:val="auto"/>
          <w:sz w:val="32"/>
          <w:szCs w:val="32"/>
        </w:rPr>
      </w:pPr>
    </w:p>
    <w:p w14:paraId="6677DE0E">
      <w:pPr>
        <w:widowControl/>
        <w:ind w:firstLine="723" w:firstLineChars="225"/>
        <w:jc w:val="left"/>
        <w:outlineLvl w:val="2"/>
        <w:rPr>
          <w:b/>
          <w:color w:val="auto"/>
          <w:sz w:val="32"/>
          <w:szCs w:val="32"/>
        </w:rPr>
      </w:pPr>
      <w:r>
        <w:rPr>
          <w:rFonts w:hint="eastAsia"/>
          <w:b/>
          <w:color w:val="auto"/>
          <w:sz w:val="32"/>
          <w:szCs w:val="32"/>
        </w:rPr>
        <w:t>授权代表人身份证复印件（正反面）</w:t>
      </w:r>
    </w:p>
    <w:p w14:paraId="41F2AD46">
      <w:pPr>
        <w:widowControl/>
        <w:ind w:firstLine="723" w:firstLineChars="225"/>
        <w:jc w:val="left"/>
        <w:rPr>
          <w:b/>
          <w:color w:val="auto"/>
          <w:sz w:val="32"/>
          <w:szCs w:val="32"/>
        </w:rPr>
      </w:pPr>
    </w:p>
    <w:p w14:paraId="23BBEF2D">
      <w:pPr>
        <w:rPr>
          <w:rFonts w:ascii="宋体" w:hAnsi="宋体" w:cs="宋体"/>
          <w:b/>
          <w:color w:val="auto"/>
          <w:spacing w:val="-6"/>
          <w:sz w:val="24"/>
          <w:szCs w:val="24"/>
        </w:rPr>
      </w:pPr>
      <w:r>
        <w:rPr>
          <w:rFonts w:hint="eastAsia" w:ascii="宋体" w:hAnsi="宋体" w:cs="宋体"/>
          <w:b/>
          <w:color w:val="auto"/>
          <w:spacing w:val="-6"/>
          <w:sz w:val="24"/>
          <w:szCs w:val="24"/>
        </w:rPr>
        <w:br w:type="page"/>
      </w:r>
    </w:p>
    <w:p w14:paraId="19D09C88">
      <w:pPr>
        <w:pStyle w:val="6"/>
        <w:ind w:left="0" w:firstLine="0"/>
        <w:outlineLvl w:val="0"/>
        <w:rPr>
          <w:color w:val="auto"/>
        </w:rPr>
      </w:pPr>
      <w:bookmarkStart w:id="613" w:name="_Toc15363_WPSOffice_Level1"/>
      <w:bookmarkStart w:id="614" w:name="_Toc16907_WPSOffice_Level1"/>
      <w:r>
        <w:rPr>
          <w:rFonts w:hint="eastAsia"/>
          <w:color w:val="auto"/>
        </w:rPr>
        <w:t>（3）授权代表社保缴纳证明</w:t>
      </w:r>
      <w:bookmarkEnd w:id="613"/>
      <w:bookmarkEnd w:id="614"/>
    </w:p>
    <w:p w14:paraId="5467C667">
      <w:pPr>
        <w:rPr>
          <w:rFonts w:ascii="宋体" w:hAnsi="宋体" w:cs="宋体"/>
          <w:b/>
          <w:color w:val="auto"/>
          <w:spacing w:val="-6"/>
          <w:sz w:val="32"/>
          <w:szCs w:val="32"/>
        </w:rPr>
      </w:pPr>
    </w:p>
    <w:p w14:paraId="07E5231C">
      <w:pPr>
        <w:jc w:val="center"/>
        <w:outlineLvl w:val="1"/>
        <w:rPr>
          <w:rFonts w:ascii="宋体" w:hAnsi="宋体" w:cs="宋体"/>
          <w:b/>
          <w:color w:val="auto"/>
          <w:spacing w:val="-6"/>
          <w:sz w:val="32"/>
          <w:szCs w:val="32"/>
        </w:rPr>
      </w:pPr>
      <w:r>
        <w:rPr>
          <w:rFonts w:hint="eastAsia" w:ascii="宋体" w:hAnsi="宋体" w:cs="宋体"/>
          <w:b/>
          <w:color w:val="auto"/>
          <w:spacing w:val="-6"/>
          <w:sz w:val="32"/>
          <w:szCs w:val="32"/>
          <w:lang w:eastAsia="zh-CN"/>
        </w:rPr>
        <w:t>2026年1月</w:t>
      </w:r>
      <w:r>
        <w:rPr>
          <w:rFonts w:hint="eastAsia" w:ascii="宋体" w:hAnsi="宋体" w:cs="宋体"/>
          <w:b/>
          <w:color w:val="auto"/>
          <w:spacing w:val="-6"/>
          <w:sz w:val="32"/>
          <w:szCs w:val="32"/>
        </w:rPr>
        <w:t>（含）以后任意一月授权代表社保缴纳证明</w:t>
      </w:r>
    </w:p>
    <w:p w14:paraId="1813E2B2">
      <w:pPr>
        <w:spacing w:line="200" w:lineRule="atLeast"/>
        <w:ind w:firstLine="420"/>
        <w:jc w:val="center"/>
        <w:outlineLvl w:val="0"/>
        <w:rPr>
          <w:rFonts w:ascii="宋体" w:hAnsi="宋体"/>
          <w:b/>
          <w:color w:val="auto"/>
          <w:spacing w:val="-4"/>
          <w:sz w:val="28"/>
          <w:szCs w:val="28"/>
        </w:rPr>
      </w:pPr>
      <w:r>
        <w:rPr>
          <w:rFonts w:hint="eastAsia" w:ascii="宋体" w:hAnsi="宋体"/>
          <w:b/>
          <w:color w:val="auto"/>
          <w:spacing w:val="-6"/>
          <w:sz w:val="28"/>
          <w:szCs w:val="28"/>
        </w:rPr>
        <w:t>（授权代表为法定代表人可不提供）</w:t>
      </w:r>
    </w:p>
    <w:p w14:paraId="3A97F716">
      <w:pPr>
        <w:widowControl/>
        <w:ind w:firstLine="723" w:firstLineChars="225"/>
        <w:jc w:val="left"/>
        <w:rPr>
          <w:b/>
          <w:color w:val="auto"/>
          <w:sz w:val="32"/>
          <w:szCs w:val="32"/>
        </w:rPr>
      </w:pPr>
    </w:p>
    <w:p w14:paraId="5365B51C">
      <w:pPr>
        <w:widowControl/>
        <w:ind w:firstLine="723" w:firstLineChars="225"/>
        <w:jc w:val="left"/>
        <w:rPr>
          <w:b/>
          <w:color w:val="auto"/>
          <w:sz w:val="32"/>
          <w:szCs w:val="32"/>
        </w:rPr>
        <w:sectPr>
          <w:footerReference r:id="rId7" w:type="default"/>
          <w:pgSz w:w="11907" w:h="16840"/>
          <w:pgMar w:top="1134" w:right="1247" w:bottom="1247" w:left="1247" w:header="567" w:footer="794" w:gutter="0"/>
          <w:cols w:space="720" w:num="1"/>
        </w:sectPr>
      </w:pPr>
    </w:p>
    <w:p w14:paraId="341CA45D">
      <w:pPr>
        <w:pStyle w:val="6"/>
        <w:ind w:left="0" w:firstLine="0"/>
        <w:outlineLvl w:val="0"/>
        <w:rPr>
          <w:color w:val="auto"/>
        </w:rPr>
      </w:pPr>
      <w:bookmarkStart w:id="615" w:name="_Toc25749"/>
      <w:bookmarkStart w:id="616" w:name="_Toc26387"/>
      <w:bookmarkStart w:id="617" w:name="_Toc4883"/>
      <w:bookmarkStart w:id="618" w:name="_Toc23121"/>
      <w:bookmarkStart w:id="619" w:name="_Toc25890"/>
      <w:bookmarkStart w:id="620" w:name="_Toc30038"/>
      <w:bookmarkStart w:id="621" w:name="_Toc19676"/>
      <w:bookmarkStart w:id="622" w:name="_Toc21021"/>
      <w:bookmarkStart w:id="623" w:name="_Toc2212"/>
      <w:bookmarkStart w:id="624" w:name="_Toc14222"/>
      <w:bookmarkStart w:id="625" w:name="_Toc29419_WPSOffice_Level1"/>
      <w:bookmarkStart w:id="626" w:name="_Toc14112_WPSOffice_Level1"/>
      <w:bookmarkStart w:id="627" w:name="_Toc31758"/>
      <w:bookmarkStart w:id="628" w:name="_Toc30387"/>
      <w:bookmarkStart w:id="629" w:name="_Toc22103"/>
      <w:bookmarkStart w:id="630" w:name="_Toc14931"/>
      <w:bookmarkStart w:id="631" w:name="_Toc9338"/>
      <w:bookmarkStart w:id="632" w:name="_Toc3968"/>
      <w:bookmarkStart w:id="633" w:name="_Toc20129"/>
      <w:bookmarkStart w:id="634" w:name="_Toc24184"/>
      <w:bookmarkStart w:id="635" w:name="_Toc2974"/>
      <w:bookmarkStart w:id="636" w:name="_Toc12615"/>
      <w:bookmarkStart w:id="637" w:name="_Toc20443"/>
      <w:bookmarkStart w:id="638" w:name="_Toc32360"/>
      <w:bookmarkStart w:id="639" w:name="_Toc350"/>
      <w:bookmarkStart w:id="640" w:name="_Toc31568"/>
      <w:bookmarkStart w:id="641" w:name="_Toc31464"/>
      <w:bookmarkStart w:id="642" w:name="_Toc4577"/>
      <w:bookmarkStart w:id="643" w:name="_Toc11332"/>
      <w:bookmarkStart w:id="644" w:name="_Toc18481"/>
      <w:bookmarkStart w:id="645" w:name="_Toc26242"/>
      <w:bookmarkStart w:id="646" w:name="_Toc14198"/>
      <w:bookmarkStart w:id="647" w:name="_Toc2570"/>
      <w:bookmarkStart w:id="648" w:name="_Toc24848"/>
      <w:bookmarkStart w:id="649" w:name="_Toc28598"/>
      <w:bookmarkStart w:id="650" w:name="_Toc11813"/>
      <w:bookmarkStart w:id="651" w:name="_Toc26592"/>
      <w:bookmarkStart w:id="652" w:name="_Toc772"/>
      <w:bookmarkStart w:id="653" w:name="_Toc14954"/>
      <w:bookmarkStart w:id="654" w:name="_Toc5481"/>
      <w:r>
        <w:rPr>
          <w:rFonts w:hint="eastAsia"/>
          <w:color w:val="auto"/>
        </w:rPr>
        <w:t>（4）法定代表人资格证明书</w:t>
      </w:r>
      <w:bookmarkEnd w:id="615"/>
      <w:bookmarkEnd w:id="616"/>
      <w:bookmarkEnd w:id="617"/>
      <w:bookmarkEnd w:id="618"/>
      <w:bookmarkEnd w:id="619"/>
      <w:bookmarkEnd w:id="620"/>
      <w:bookmarkEnd w:id="621"/>
      <w:bookmarkEnd w:id="622"/>
      <w:bookmarkEnd w:id="623"/>
      <w:bookmarkEnd w:id="624"/>
      <w:r>
        <w:rPr>
          <w:rFonts w:hint="eastAsia"/>
          <w:color w:val="auto"/>
        </w:rPr>
        <w:t>（法定代表人参加时提供）</w:t>
      </w:r>
      <w:bookmarkEnd w:id="625"/>
      <w:bookmarkEnd w:id="626"/>
    </w:p>
    <w:p w14:paraId="0F822B0D">
      <w:pPr>
        <w:pStyle w:val="2"/>
        <w:ind w:left="0" w:leftChars="0" w:firstLine="0" w:firstLineChars="0"/>
        <w:rPr>
          <w:color w:val="auto"/>
        </w:rPr>
      </w:pPr>
    </w:p>
    <w:p w14:paraId="0406508A">
      <w:pPr>
        <w:pStyle w:val="27"/>
        <w:tabs>
          <w:tab w:val="left" w:pos="450"/>
        </w:tabs>
        <w:spacing w:line="400" w:lineRule="atLeast"/>
        <w:ind w:left="-27" w:firstLine="565"/>
        <w:jc w:val="center"/>
        <w:outlineLvl w:val="1"/>
        <w:rPr>
          <w:rFonts w:ascii="Times New Roman" w:hAnsi="Times New Roman"/>
          <w:b/>
          <w:color w:val="auto"/>
          <w:sz w:val="32"/>
          <w:szCs w:val="32"/>
        </w:rPr>
      </w:pPr>
      <w:bookmarkStart w:id="655" w:name="_Toc10019"/>
      <w:r>
        <w:rPr>
          <w:rFonts w:hint="eastAsia" w:ascii="Times New Roman" w:hAnsi="Times New Roman"/>
          <w:b/>
          <w:color w:val="auto"/>
          <w:sz w:val="32"/>
          <w:szCs w:val="32"/>
        </w:rPr>
        <w:t>法定代表人资格证明书</w:t>
      </w:r>
      <w:bookmarkEnd w:id="655"/>
    </w:p>
    <w:p w14:paraId="193772E2">
      <w:pPr>
        <w:spacing w:line="360" w:lineRule="auto"/>
        <w:jc w:val="center"/>
        <w:rPr>
          <w:b/>
          <w:color w:val="auto"/>
          <w:spacing w:val="-6"/>
          <w:sz w:val="24"/>
        </w:rPr>
      </w:pPr>
    </w:p>
    <w:p w14:paraId="14C62332">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2E6E4DAF">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37BBEDE4">
      <w:pPr>
        <w:spacing w:line="360" w:lineRule="auto"/>
        <w:ind w:firstLine="456" w:firstLineChars="200"/>
        <w:rPr>
          <w:bCs/>
          <w:color w:val="auto"/>
          <w:spacing w:val="-6"/>
          <w:sz w:val="24"/>
        </w:rPr>
      </w:pPr>
      <w:r>
        <w:rPr>
          <w:bCs/>
          <w:color w:val="auto"/>
          <w:spacing w:val="-6"/>
          <w:sz w:val="24"/>
        </w:rPr>
        <w:t>特此证明。</w:t>
      </w:r>
    </w:p>
    <w:p w14:paraId="2339BEAA">
      <w:pPr>
        <w:spacing w:line="360" w:lineRule="auto"/>
        <w:rPr>
          <w:bCs/>
          <w:color w:val="auto"/>
          <w:spacing w:val="-6"/>
          <w:sz w:val="24"/>
        </w:rPr>
      </w:pPr>
    </w:p>
    <w:tbl>
      <w:tblPr>
        <w:tblStyle w:val="4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0C02B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212E35AE">
            <w:pPr>
              <w:jc w:val="center"/>
              <w:rPr>
                <w:color w:val="auto"/>
                <w:sz w:val="24"/>
              </w:rPr>
            </w:pPr>
            <w:r>
              <w:rPr>
                <w:color w:val="auto"/>
                <w:sz w:val="24"/>
              </w:rPr>
              <w:t>法定代表人身份证(正、反面)复印件粘贴处</w:t>
            </w:r>
          </w:p>
          <w:p w14:paraId="1956C88D">
            <w:pPr>
              <w:spacing w:line="360" w:lineRule="auto"/>
              <w:jc w:val="center"/>
              <w:rPr>
                <w:bCs/>
                <w:color w:val="auto"/>
                <w:spacing w:val="-6"/>
                <w:sz w:val="24"/>
              </w:rPr>
            </w:pPr>
          </w:p>
        </w:tc>
      </w:tr>
    </w:tbl>
    <w:p w14:paraId="19D6B4ED">
      <w:pPr>
        <w:spacing w:line="360" w:lineRule="auto"/>
        <w:rPr>
          <w:bCs/>
          <w:color w:val="auto"/>
          <w:spacing w:val="-6"/>
          <w:sz w:val="24"/>
        </w:rPr>
      </w:pPr>
    </w:p>
    <w:p w14:paraId="51632768">
      <w:pPr>
        <w:spacing w:line="360" w:lineRule="auto"/>
        <w:ind w:right="456"/>
        <w:rPr>
          <w:b/>
          <w:bCs/>
          <w:color w:val="auto"/>
          <w:spacing w:val="-6"/>
          <w:sz w:val="24"/>
        </w:rPr>
      </w:pPr>
    </w:p>
    <w:p w14:paraId="1E8C0269">
      <w:pPr>
        <w:pStyle w:val="27"/>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w:t>
      </w:r>
      <w:r>
        <w:rPr>
          <w:rFonts w:hint="eastAsia" w:hAnsi="宋体" w:cs="宋体"/>
          <w:b/>
          <w:bCs/>
          <w:color w:val="auto"/>
          <w:sz w:val="24"/>
          <w:szCs w:val="24"/>
          <w:lang w:val="en-US" w:eastAsia="zh-CN"/>
        </w:rPr>
        <w:t>法人代表</w:t>
      </w:r>
      <w:r>
        <w:rPr>
          <w:rFonts w:hint="eastAsia" w:hAnsi="宋体" w:cs="宋体"/>
          <w:b/>
          <w:bCs/>
          <w:color w:val="auto"/>
          <w:sz w:val="24"/>
          <w:szCs w:val="24"/>
        </w:rPr>
        <w:t>章）：</w:t>
      </w:r>
      <w:r>
        <w:rPr>
          <w:rFonts w:hint="eastAsia" w:hAnsi="宋体" w:cs="宋体"/>
          <w:b/>
          <w:bCs/>
          <w:color w:val="auto"/>
          <w:sz w:val="24"/>
          <w:szCs w:val="24"/>
          <w:u w:val="single"/>
        </w:rPr>
        <w:t xml:space="preserve">                </w:t>
      </w:r>
    </w:p>
    <w:p w14:paraId="152CD435">
      <w:pPr>
        <w:pStyle w:val="27"/>
        <w:spacing w:line="400" w:lineRule="atLeast"/>
        <w:ind w:left="-27" w:firstLine="2530" w:firstLineChars="1050"/>
        <w:rPr>
          <w:rFonts w:ascii="Times New Roman" w:hAnsi="Times New Roman"/>
          <w:b/>
          <w:bCs/>
          <w:color w:val="auto"/>
          <w:sz w:val="24"/>
          <w:szCs w:val="24"/>
        </w:rPr>
      </w:pPr>
    </w:p>
    <w:p w14:paraId="07D43EDA">
      <w:pPr>
        <w:pStyle w:val="27"/>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70C0AC77">
      <w:pPr>
        <w:spacing w:line="360" w:lineRule="auto"/>
        <w:ind w:left="3578" w:leftChars="1704" w:right="456"/>
        <w:rPr>
          <w:b/>
          <w:bCs/>
          <w:color w:val="auto"/>
          <w:sz w:val="24"/>
          <w:szCs w:val="24"/>
        </w:rPr>
      </w:pPr>
      <w:r>
        <w:rPr>
          <w:rFonts w:hint="eastAsia"/>
          <w:b/>
          <w:bCs/>
          <w:color w:val="auto"/>
          <w:sz w:val="24"/>
          <w:szCs w:val="24"/>
        </w:rPr>
        <w:t xml:space="preserve"> </w:t>
      </w:r>
    </w:p>
    <w:p w14:paraId="3EC1A09C">
      <w:pPr>
        <w:spacing w:line="360" w:lineRule="auto"/>
        <w:ind w:left="3360" w:leftChars="1600" w:right="456"/>
        <w:rPr>
          <w:color w:val="auto"/>
          <w:sz w:val="24"/>
          <w:szCs w:val="24"/>
        </w:rPr>
      </w:pPr>
    </w:p>
    <w:p w14:paraId="1BB95760">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p w14:paraId="72DD1BAD">
      <w:pPr>
        <w:pStyle w:val="6"/>
        <w:ind w:left="0" w:firstLine="0"/>
        <w:outlineLvl w:val="0"/>
        <w:rPr>
          <w:color w:val="auto"/>
        </w:rPr>
      </w:pPr>
      <w:bookmarkStart w:id="656" w:name="_Toc9121_WPSOffice_Level1"/>
      <w:bookmarkStart w:id="657" w:name="_Toc15831_WPSOffice_Level1"/>
      <w:bookmarkStart w:id="658" w:name="_Toc15720"/>
      <w:bookmarkStart w:id="659" w:name="_Toc32367"/>
      <w:bookmarkStart w:id="660" w:name="_Toc24989"/>
      <w:bookmarkStart w:id="661" w:name="_Toc3893"/>
      <w:bookmarkStart w:id="662" w:name="_Toc21741"/>
      <w:bookmarkStart w:id="663" w:name="_Toc22052"/>
      <w:bookmarkStart w:id="664" w:name="_Toc30921"/>
      <w:bookmarkStart w:id="665" w:name="_Toc6625"/>
      <w:bookmarkStart w:id="666" w:name="_Toc4163"/>
      <w:bookmarkStart w:id="667" w:name="_Toc1553"/>
      <w:bookmarkStart w:id="668" w:name="_Toc2218"/>
      <w:bookmarkStart w:id="669" w:name="_Toc24530"/>
      <w:bookmarkStart w:id="670" w:name="_Toc20480"/>
      <w:bookmarkStart w:id="671" w:name="_Toc17126"/>
      <w:bookmarkStart w:id="672" w:name="_Toc25655"/>
      <w:bookmarkStart w:id="673" w:name="_Toc27347"/>
      <w:bookmarkStart w:id="674" w:name="_Toc27945"/>
      <w:bookmarkStart w:id="675" w:name="_Toc20101"/>
      <w:bookmarkStart w:id="676" w:name="_Toc11492"/>
      <w:bookmarkStart w:id="677" w:name="_Toc32465"/>
      <w:bookmarkStart w:id="678" w:name="_Toc23078"/>
      <w:bookmarkStart w:id="679" w:name="_Toc15510"/>
      <w:bookmarkStart w:id="680" w:name="_Toc17219"/>
      <w:bookmarkStart w:id="681" w:name="_Toc27024"/>
      <w:bookmarkStart w:id="682" w:name="_Toc16347"/>
      <w:bookmarkStart w:id="683" w:name="_Toc3162"/>
      <w:bookmarkStart w:id="684" w:name="_Toc30169"/>
      <w:bookmarkStart w:id="685" w:name="_Toc30022"/>
      <w:bookmarkStart w:id="686" w:name="_Toc29343"/>
      <w:bookmarkStart w:id="687" w:name="_Toc441"/>
      <w:bookmarkStart w:id="688" w:name="_Toc21937"/>
      <w:bookmarkStart w:id="689" w:name="_Toc26243"/>
      <w:bookmarkStart w:id="690" w:name="_Toc5970"/>
      <w:bookmarkStart w:id="691" w:name="_Toc1334"/>
      <w:bookmarkStart w:id="692" w:name="_Toc11889"/>
      <w:r>
        <w:rPr>
          <w:rFonts w:hint="eastAsia"/>
          <w:color w:val="auto"/>
        </w:rPr>
        <w:t>（5）采购需求偏离表</w:t>
      </w:r>
      <w:bookmarkEnd w:id="656"/>
      <w:bookmarkEnd w:id="657"/>
    </w:p>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p w14:paraId="71C22D86">
      <w:pPr>
        <w:jc w:val="center"/>
        <w:outlineLvl w:val="1"/>
        <w:rPr>
          <w:b/>
          <w:bCs/>
          <w:color w:val="auto"/>
          <w:sz w:val="32"/>
        </w:rPr>
      </w:pPr>
      <w:r>
        <w:rPr>
          <w:rFonts w:hint="eastAsia"/>
          <w:b/>
          <w:bCs/>
          <w:color w:val="auto"/>
          <w:sz w:val="32"/>
        </w:rPr>
        <w:t>采购需求偏离表</w:t>
      </w:r>
    </w:p>
    <w:p w14:paraId="379C6D36">
      <w:pPr>
        <w:rPr>
          <w:b/>
          <w:bCs/>
          <w:color w:val="auto"/>
          <w:sz w:val="32"/>
        </w:rPr>
      </w:pPr>
    </w:p>
    <w:p w14:paraId="6D3F2589">
      <w:pPr>
        <w:pStyle w:val="27"/>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14:paraId="653FFB44">
      <w:pPr>
        <w:pStyle w:val="27"/>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373E5FAC">
      <w:pPr>
        <w:pStyle w:val="27"/>
        <w:spacing w:line="400" w:lineRule="atLeast"/>
        <w:ind w:left="-27" w:firstLine="422"/>
        <w:rPr>
          <w:rFonts w:ascii="Times New Roman" w:hAnsi="Times New Roman"/>
          <w:color w:val="auto"/>
          <w:sz w:val="24"/>
        </w:rPr>
      </w:pPr>
    </w:p>
    <w:tbl>
      <w:tblPr>
        <w:tblStyle w:val="4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30815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6D494B56">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18910389">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0725BAE6">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3CAE70BE">
            <w:pPr>
              <w:jc w:val="center"/>
              <w:rPr>
                <w:rFonts w:ascii="宋体" w:hAnsi="宋体" w:cs="宋体"/>
                <w:b/>
                <w:bCs/>
                <w:color w:val="auto"/>
                <w:szCs w:val="21"/>
              </w:rPr>
            </w:pPr>
            <w:r>
              <w:rPr>
                <w:rFonts w:hint="eastAsia" w:ascii="宋体" w:hAnsi="宋体" w:cs="宋体"/>
                <w:b/>
                <w:bCs/>
                <w:color w:val="auto"/>
                <w:szCs w:val="21"/>
              </w:rPr>
              <w:t>是否偏离（提供说明）</w:t>
            </w:r>
          </w:p>
        </w:tc>
      </w:tr>
      <w:tr w14:paraId="6FC7B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6775DCD6">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14:paraId="5AFB1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4C379496">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2AF5ECC7">
            <w:pPr>
              <w:rPr>
                <w:rFonts w:ascii="宋体" w:hAnsi="宋体" w:cs="宋体"/>
                <w:color w:val="auto"/>
                <w:szCs w:val="21"/>
              </w:rPr>
            </w:pPr>
          </w:p>
        </w:tc>
        <w:tc>
          <w:tcPr>
            <w:tcW w:w="2574" w:type="dxa"/>
            <w:vAlign w:val="center"/>
          </w:tcPr>
          <w:p w14:paraId="272D73E1">
            <w:pPr>
              <w:rPr>
                <w:rFonts w:ascii="宋体" w:hAnsi="宋体" w:cs="宋体"/>
                <w:color w:val="auto"/>
                <w:szCs w:val="21"/>
              </w:rPr>
            </w:pPr>
          </w:p>
        </w:tc>
        <w:tc>
          <w:tcPr>
            <w:tcW w:w="2124" w:type="dxa"/>
            <w:vAlign w:val="center"/>
          </w:tcPr>
          <w:p w14:paraId="5473AC7D">
            <w:pPr>
              <w:rPr>
                <w:rFonts w:ascii="宋体" w:hAnsi="宋体" w:cs="宋体"/>
                <w:color w:val="auto"/>
                <w:szCs w:val="21"/>
              </w:rPr>
            </w:pPr>
          </w:p>
        </w:tc>
      </w:tr>
      <w:tr w14:paraId="414DA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6597D327">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2508B06E">
            <w:pPr>
              <w:rPr>
                <w:rFonts w:ascii="宋体" w:hAnsi="宋体" w:cs="宋体"/>
                <w:color w:val="auto"/>
                <w:szCs w:val="21"/>
              </w:rPr>
            </w:pPr>
          </w:p>
        </w:tc>
        <w:tc>
          <w:tcPr>
            <w:tcW w:w="2574" w:type="dxa"/>
            <w:vAlign w:val="center"/>
          </w:tcPr>
          <w:p w14:paraId="7FD60A97">
            <w:pPr>
              <w:rPr>
                <w:rFonts w:ascii="宋体" w:hAnsi="宋体" w:cs="宋体"/>
                <w:color w:val="auto"/>
                <w:szCs w:val="21"/>
              </w:rPr>
            </w:pPr>
          </w:p>
        </w:tc>
        <w:tc>
          <w:tcPr>
            <w:tcW w:w="2124" w:type="dxa"/>
            <w:vAlign w:val="center"/>
          </w:tcPr>
          <w:p w14:paraId="0860153F">
            <w:pPr>
              <w:rPr>
                <w:rFonts w:ascii="宋体" w:hAnsi="宋体" w:cs="宋体"/>
                <w:color w:val="auto"/>
                <w:szCs w:val="21"/>
              </w:rPr>
            </w:pPr>
          </w:p>
        </w:tc>
      </w:tr>
      <w:tr w14:paraId="1F7E6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CFC4388">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351EF4E2">
            <w:pPr>
              <w:rPr>
                <w:rFonts w:ascii="宋体" w:hAnsi="宋体" w:cs="宋体"/>
                <w:color w:val="auto"/>
                <w:szCs w:val="21"/>
              </w:rPr>
            </w:pPr>
          </w:p>
        </w:tc>
        <w:tc>
          <w:tcPr>
            <w:tcW w:w="2574" w:type="dxa"/>
            <w:vAlign w:val="center"/>
          </w:tcPr>
          <w:p w14:paraId="3F3D8242">
            <w:pPr>
              <w:rPr>
                <w:rFonts w:ascii="宋体" w:hAnsi="宋体" w:cs="宋体"/>
                <w:color w:val="auto"/>
                <w:szCs w:val="21"/>
              </w:rPr>
            </w:pPr>
          </w:p>
        </w:tc>
        <w:tc>
          <w:tcPr>
            <w:tcW w:w="2124" w:type="dxa"/>
            <w:vAlign w:val="center"/>
          </w:tcPr>
          <w:p w14:paraId="60E98CFC">
            <w:pPr>
              <w:rPr>
                <w:rFonts w:ascii="宋体" w:hAnsi="宋体" w:cs="宋体"/>
                <w:color w:val="auto"/>
                <w:szCs w:val="21"/>
              </w:rPr>
            </w:pPr>
          </w:p>
        </w:tc>
      </w:tr>
      <w:tr w14:paraId="41F63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7A76AF6">
            <w:pPr>
              <w:rPr>
                <w:rFonts w:ascii="宋体" w:hAnsi="宋体" w:cs="宋体"/>
                <w:color w:val="auto"/>
                <w:szCs w:val="21"/>
              </w:rPr>
            </w:pPr>
            <w:r>
              <w:rPr>
                <w:rFonts w:hint="eastAsia" w:ascii="宋体" w:hAnsi="宋体" w:cs="宋体"/>
                <w:b/>
                <w:bCs/>
                <w:color w:val="auto"/>
                <w:szCs w:val="21"/>
              </w:rPr>
              <w:t>技术参数、功能、服务等技术要求</w:t>
            </w:r>
          </w:p>
        </w:tc>
      </w:tr>
      <w:tr w14:paraId="517F7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1376706">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78359DFC">
            <w:pPr>
              <w:jc w:val="left"/>
              <w:rPr>
                <w:rFonts w:ascii="宋体" w:hAnsi="宋体" w:cs="宋体"/>
                <w:color w:val="auto"/>
                <w:szCs w:val="21"/>
              </w:rPr>
            </w:pPr>
          </w:p>
        </w:tc>
        <w:tc>
          <w:tcPr>
            <w:tcW w:w="2574" w:type="dxa"/>
            <w:vAlign w:val="center"/>
          </w:tcPr>
          <w:p w14:paraId="0BD8FAB0">
            <w:pPr>
              <w:jc w:val="left"/>
              <w:rPr>
                <w:rFonts w:ascii="宋体" w:hAnsi="宋体" w:cs="宋体"/>
                <w:color w:val="auto"/>
                <w:szCs w:val="21"/>
              </w:rPr>
            </w:pPr>
          </w:p>
        </w:tc>
        <w:tc>
          <w:tcPr>
            <w:tcW w:w="2124" w:type="dxa"/>
            <w:vAlign w:val="center"/>
          </w:tcPr>
          <w:p w14:paraId="3CB8494C">
            <w:pPr>
              <w:jc w:val="left"/>
              <w:rPr>
                <w:rFonts w:ascii="宋体" w:hAnsi="宋体" w:cs="宋体"/>
                <w:color w:val="auto"/>
                <w:szCs w:val="21"/>
              </w:rPr>
            </w:pPr>
          </w:p>
        </w:tc>
      </w:tr>
      <w:tr w14:paraId="1373B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735FAA3">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0A76D9E6">
            <w:pPr>
              <w:jc w:val="left"/>
              <w:rPr>
                <w:rFonts w:ascii="宋体" w:hAnsi="宋体" w:cs="宋体"/>
                <w:color w:val="auto"/>
                <w:szCs w:val="21"/>
              </w:rPr>
            </w:pPr>
          </w:p>
        </w:tc>
        <w:tc>
          <w:tcPr>
            <w:tcW w:w="2574" w:type="dxa"/>
            <w:vAlign w:val="center"/>
          </w:tcPr>
          <w:p w14:paraId="62991774">
            <w:pPr>
              <w:jc w:val="left"/>
              <w:rPr>
                <w:rFonts w:ascii="宋体" w:hAnsi="宋体" w:cs="宋体"/>
                <w:color w:val="auto"/>
                <w:szCs w:val="21"/>
              </w:rPr>
            </w:pPr>
          </w:p>
        </w:tc>
        <w:tc>
          <w:tcPr>
            <w:tcW w:w="2124" w:type="dxa"/>
            <w:vAlign w:val="center"/>
          </w:tcPr>
          <w:p w14:paraId="597CA2F2">
            <w:pPr>
              <w:jc w:val="left"/>
              <w:rPr>
                <w:rFonts w:ascii="宋体" w:hAnsi="宋体" w:cs="宋体"/>
                <w:color w:val="auto"/>
                <w:szCs w:val="21"/>
              </w:rPr>
            </w:pPr>
          </w:p>
        </w:tc>
      </w:tr>
      <w:tr w14:paraId="7A180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073C63E">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35BCE58A">
            <w:pPr>
              <w:jc w:val="left"/>
              <w:rPr>
                <w:rFonts w:ascii="宋体" w:hAnsi="宋体" w:cs="宋体"/>
                <w:color w:val="auto"/>
                <w:szCs w:val="21"/>
              </w:rPr>
            </w:pPr>
          </w:p>
        </w:tc>
        <w:tc>
          <w:tcPr>
            <w:tcW w:w="2574" w:type="dxa"/>
            <w:vAlign w:val="center"/>
          </w:tcPr>
          <w:p w14:paraId="662A8933">
            <w:pPr>
              <w:jc w:val="left"/>
              <w:rPr>
                <w:rFonts w:ascii="宋体" w:hAnsi="宋体" w:cs="宋体"/>
                <w:color w:val="auto"/>
                <w:szCs w:val="21"/>
              </w:rPr>
            </w:pPr>
          </w:p>
        </w:tc>
        <w:tc>
          <w:tcPr>
            <w:tcW w:w="2124" w:type="dxa"/>
            <w:vAlign w:val="center"/>
          </w:tcPr>
          <w:p w14:paraId="1070676C">
            <w:pPr>
              <w:jc w:val="left"/>
              <w:rPr>
                <w:rFonts w:ascii="宋体" w:hAnsi="宋体" w:cs="宋体"/>
                <w:color w:val="auto"/>
                <w:szCs w:val="21"/>
              </w:rPr>
            </w:pPr>
          </w:p>
        </w:tc>
      </w:tr>
    </w:tbl>
    <w:p w14:paraId="1A2B92D1">
      <w:pPr>
        <w:spacing w:line="360" w:lineRule="auto"/>
        <w:rPr>
          <w:rFonts w:ascii="宋体" w:hAnsi="宋体"/>
          <w:b/>
          <w:bCs/>
          <w:color w:val="auto"/>
          <w:spacing w:val="-6"/>
          <w:szCs w:val="21"/>
        </w:rPr>
      </w:pPr>
    </w:p>
    <w:p w14:paraId="42927AC2">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07239A32">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14:paraId="50C99F30">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14:paraId="42370B25">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71C5382F">
      <w:pPr>
        <w:pStyle w:val="27"/>
        <w:spacing w:line="400" w:lineRule="atLeast"/>
        <w:ind w:left="-27" w:firstLine="422"/>
        <w:rPr>
          <w:rFonts w:ascii="Times New Roman" w:hAnsi="Times New Roman"/>
          <w:color w:val="auto"/>
          <w:sz w:val="24"/>
        </w:rPr>
      </w:pPr>
    </w:p>
    <w:p w14:paraId="7638B979">
      <w:pPr>
        <w:pStyle w:val="27"/>
        <w:spacing w:line="400" w:lineRule="atLeast"/>
        <w:ind w:left="-27" w:firstLine="422"/>
        <w:rPr>
          <w:rFonts w:ascii="Times New Roman" w:hAnsi="Times New Roman"/>
          <w:color w:val="auto"/>
          <w:sz w:val="24"/>
        </w:rPr>
      </w:pPr>
    </w:p>
    <w:p w14:paraId="4C917D2A">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2AEF7232">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3E764371">
      <w:pPr>
        <w:spacing w:before="240" w:beforeLines="100" w:after="240" w:afterLines="100"/>
        <w:jc w:val="left"/>
        <w:rPr>
          <w:color w:val="auto"/>
          <w:sz w:val="24"/>
          <w:szCs w:val="24"/>
        </w:rPr>
      </w:pPr>
      <w:r>
        <w:rPr>
          <w:rFonts w:hint="eastAsia" w:ascii="宋体" w:hAnsi="宋体" w:cs="宋体"/>
          <w:color w:val="auto"/>
          <w:sz w:val="24"/>
        </w:rPr>
        <w:t>日期：      年   月   日</w:t>
      </w:r>
    </w:p>
    <w:p w14:paraId="62E6C892">
      <w:pPr>
        <w:pStyle w:val="27"/>
        <w:spacing w:line="400" w:lineRule="atLeast"/>
        <w:ind w:left="-27" w:firstLine="528"/>
        <w:rPr>
          <w:rFonts w:ascii="Times New Roman" w:hAnsi="Times New Roman"/>
          <w:color w:val="auto"/>
          <w:sz w:val="30"/>
        </w:rPr>
      </w:pPr>
    </w:p>
    <w:p w14:paraId="3E94A495">
      <w:pPr>
        <w:pStyle w:val="6"/>
        <w:ind w:left="0" w:firstLine="0"/>
        <w:outlineLvl w:val="0"/>
        <w:rPr>
          <w:color w:val="auto"/>
        </w:rPr>
      </w:pPr>
      <w:r>
        <w:rPr>
          <w:bCs/>
          <w:color w:val="auto"/>
          <w:sz w:val="32"/>
        </w:rPr>
        <w:br w:type="page"/>
      </w:r>
      <w:bookmarkStart w:id="693" w:name="_Toc21752_WPSOffice_Level1"/>
      <w:bookmarkStart w:id="694" w:name="_Toc4017_WPSOffice_Level1"/>
      <w:bookmarkStart w:id="695" w:name="_Toc1162"/>
      <w:bookmarkStart w:id="696" w:name="_Toc10611"/>
      <w:bookmarkStart w:id="697" w:name="_Toc4311"/>
      <w:bookmarkStart w:id="698" w:name="_Toc19442"/>
      <w:bookmarkStart w:id="699" w:name="_Toc32055"/>
      <w:bookmarkStart w:id="700" w:name="_Toc14028"/>
      <w:bookmarkStart w:id="701" w:name="_Toc18149"/>
      <w:bookmarkStart w:id="702" w:name="_Toc2658"/>
      <w:bookmarkStart w:id="703" w:name="_Toc24911"/>
      <w:bookmarkStart w:id="704" w:name="_Toc10664"/>
      <w:bookmarkStart w:id="705" w:name="_Toc12636"/>
      <w:bookmarkStart w:id="706" w:name="_Toc21740"/>
      <w:bookmarkStart w:id="707" w:name="_Toc8117"/>
      <w:bookmarkStart w:id="708" w:name="_Toc28469"/>
      <w:bookmarkStart w:id="709" w:name="_Toc23576"/>
      <w:bookmarkStart w:id="710" w:name="_Toc5267"/>
      <w:bookmarkStart w:id="711" w:name="_Toc21423"/>
      <w:bookmarkStart w:id="712" w:name="_Toc24720"/>
      <w:bookmarkStart w:id="713" w:name="_Toc13064"/>
      <w:bookmarkStart w:id="714" w:name="_Toc12587"/>
      <w:bookmarkStart w:id="715" w:name="_Toc27408"/>
      <w:bookmarkStart w:id="716" w:name="_Toc31984"/>
      <w:bookmarkStart w:id="717" w:name="_Toc27033"/>
      <w:bookmarkStart w:id="718" w:name="_Toc18959"/>
      <w:bookmarkStart w:id="719" w:name="_Toc13471"/>
      <w:bookmarkStart w:id="720" w:name="_Toc5561"/>
      <w:bookmarkStart w:id="721" w:name="_Toc29052"/>
      <w:bookmarkStart w:id="722" w:name="_Toc25833"/>
      <w:bookmarkStart w:id="723" w:name="_Toc15291"/>
      <w:bookmarkStart w:id="724" w:name="_Toc16944"/>
      <w:bookmarkStart w:id="725" w:name="_Toc5417"/>
      <w:bookmarkStart w:id="726" w:name="_Toc21289"/>
      <w:bookmarkStart w:id="727" w:name="_Toc21842"/>
      <w:bookmarkStart w:id="728" w:name="_Toc31125"/>
      <w:bookmarkStart w:id="729" w:name="_Toc7973"/>
      <w:bookmarkStart w:id="730" w:name="_Toc22688"/>
      <w:bookmarkStart w:id="731" w:name="_Toc25187"/>
      <w:bookmarkStart w:id="732" w:name="_Toc16423"/>
      <w:bookmarkStart w:id="733" w:name="_Toc15898"/>
      <w:bookmarkStart w:id="734" w:name="_Toc1110"/>
      <w:bookmarkStart w:id="735" w:name="_Toc22794"/>
      <w:bookmarkStart w:id="736" w:name="_Toc17790"/>
      <w:bookmarkStart w:id="737" w:name="_Toc14653"/>
      <w:bookmarkStart w:id="738" w:name="_Toc13985"/>
      <w:bookmarkStart w:id="739" w:name="_Toc19416"/>
      <w:bookmarkStart w:id="740" w:name="_Toc23122"/>
      <w:bookmarkStart w:id="741" w:name="_Toc20418"/>
      <w:bookmarkStart w:id="742" w:name="_Toc16636"/>
      <w:bookmarkStart w:id="743" w:name="_Toc32508"/>
      <w:bookmarkStart w:id="744" w:name="_Toc27705"/>
      <w:bookmarkStart w:id="745" w:name="_Toc23923"/>
      <w:bookmarkStart w:id="746" w:name="_Toc26450"/>
      <w:bookmarkStart w:id="747" w:name="_Toc3061"/>
      <w:bookmarkStart w:id="748" w:name="_Toc26665"/>
      <w:bookmarkStart w:id="749" w:name="_Toc16502"/>
      <w:bookmarkStart w:id="750" w:name="_Toc12787"/>
      <w:bookmarkStart w:id="751" w:name="_Toc3703"/>
      <w:bookmarkStart w:id="752" w:name="_Toc9470"/>
      <w:bookmarkStart w:id="753" w:name="_Toc22720"/>
      <w:bookmarkStart w:id="754" w:name="_Toc18451"/>
      <w:r>
        <w:rPr>
          <w:rFonts w:hint="eastAsia"/>
          <w:color w:val="auto"/>
        </w:rPr>
        <w:t>（6）响应方基本情况表</w:t>
      </w:r>
      <w:bookmarkEnd w:id="693"/>
      <w:bookmarkEnd w:id="694"/>
    </w:p>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p w14:paraId="3B13B156">
      <w:pPr>
        <w:jc w:val="center"/>
        <w:outlineLvl w:val="1"/>
        <w:rPr>
          <w:b/>
          <w:bCs/>
          <w:color w:val="auto"/>
          <w:sz w:val="32"/>
        </w:rPr>
      </w:pPr>
      <w:r>
        <w:rPr>
          <w:rFonts w:hint="eastAsia"/>
          <w:b/>
          <w:bCs/>
          <w:color w:val="auto"/>
          <w:sz w:val="32"/>
        </w:rPr>
        <w:t>响应方基本情况表</w:t>
      </w:r>
    </w:p>
    <w:tbl>
      <w:tblPr>
        <w:tblStyle w:val="45"/>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37DE3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592A22D">
            <w:pPr>
              <w:spacing w:line="360" w:lineRule="auto"/>
              <w:jc w:val="center"/>
              <w:rPr>
                <w:rFonts w:ascii="宋体" w:hAnsi="宋体" w:cs="宋体"/>
                <w:color w:val="auto"/>
                <w:sz w:val="24"/>
                <w:szCs w:val="24"/>
              </w:rPr>
            </w:pPr>
            <w:r>
              <w:rPr>
                <w:rFonts w:hint="eastAsia" w:ascii="宋体" w:hAnsi="宋体" w:cs="宋体"/>
                <w:color w:val="auto"/>
                <w:sz w:val="24"/>
                <w:szCs w:val="24"/>
              </w:rPr>
              <w:t>1</w:t>
            </w:r>
          </w:p>
        </w:tc>
        <w:tc>
          <w:tcPr>
            <w:tcW w:w="8868" w:type="dxa"/>
            <w:gridSpan w:val="3"/>
            <w:vAlign w:val="center"/>
          </w:tcPr>
          <w:p w14:paraId="5B13F125">
            <w:pPr>
              <w:spacing w:line="360" w:lineRule="auto"/>
              <w:rPr>
                <w:rFonts w:ascii="宋体" w:hAnsi="宋体" w:cs="宋体"/>
                <w:color w:val="auto"/>
                <w:sz w:val="24"/>
                <w:szCs w:val="24"/>
              </w:rPr>
            </w:pPr>
            <w:r>
              <w:rPr>
                <w:rFonts w:hint="eastAsia" w:ascii="宋体" w:hAnsi="宋体" w:cs="宋体"/>
                <w:color w:val="auto"/>
                <w:sz w:val="24"/>
                <w:szCs w:val="24"/>
              </w:rPr>
              <w:t>企业名称：</w:t>
            </w:r>
          </w:p>
        </w:tc>
      </w:tr>
      <w:tr w14:paraId="28B29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7DC3AEB">
            <w:pPr>
              <w:spacing w:line="360" w:lineRule="auto"/>
              <w:jc w:val="center"/>
              <w:rPr>
                <w:rFonts w:ascii="宋体" w:hAnsi="宋体" w:cs="宋体"/>
                <w:color w:val="auto"/>
                <w:sz w:val="24"/>
                <w:szCs w:val="24"/>
              </w:rPr>
            </w:pPr>
            <w:r>
              <w:rPr>
                <w:rFonts w:hint="eastAsia" w:ascii="宋体" w:hAnsi="宋体" w:cs="宋体"/>
                <w:color w:val="auto"/>
                <w:sz w:val="24"/>
                <w:szCs w:val="24"/>
              </w:rPr>
              <w:t>2</w:t>
            </w:r>
          </w:p>
        </w:tc>
        <w:tc>
          <w:tcPr>
            <w:tcW w:w="8868" w:type="dxa"/>
            <w:gridSpan w:val="3"/>
            <w:vAlign w:val="center"/>
          </w:tcPr>
          <w:p w14:paraId="2AA7EEC5">
            <w:pPr>
              <w:spacing w:line="360" w:lineRule="auto"/>
              <w:rPr>
                <w:rFonts w:ascii="宋体" w:hAnsi="宋体" w:cs="宋体"/>
                <w:color w:val="auto"/>
                <w:sz w:val="24"/>
                <w:szCs w:val="24"/>
              </w:rPr>
            </w:pPr>
            <w:r>
              <w:rPr>
                <w:rFonts w:hint="eastAsia" w:ascii="宋体" w:hAnsi="宋体" w:cs="宋体"/>
                <w:color w:val="auto"/>
                <w:sz w:val="24"/>
                <w:szCs w:val="24"/>
              </w:rPr>
              <w:t>总部地址：</w:t>
            </w:r>
          </w:p>
        </w:tc>
      </w:tr>
      <w:tr w14:paraId="44681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C1FD3E9">
            <w:pPr>
              <w:spacing w:line="360" w:lineRule="auto"/>
              <w:jc w:val="center"/>
              <w:rPr>
                <w:rFonts w:ascii="宋体" w:hAnsi="宋体" w:cs="宋体"/>
                <w:color w:val="auto"/>
                <w:sz w:val="24"/>
                <w:szCs w:val="24"/>
              </w:rPr>
            </w:pPr>
            <w:r>
              <w:rPr>
                <w:rFonts w:hint="eastAsia" w:ascii="宋体" w:hAnsi="宋体" w:cs="宋体"/>
                <w:color w:val="auto"/>
                <w:sz w:val="24"/>
                <w:szCs w:val="24"/>
              </w:rPr>
              <w:t>3</w:t>
            </w:r>
          </w:p>
        </w:tc>
        <w:tc>
          <w:tcPr>
            <w:tcW w:w="8868" w:type="dxa"/>
            <w:gridSpan w:val="3"/>
            <w:vAlign w:val="center"/>
          </w:tcPr>
          <w:p w14:paraId="352A7935">
            <w:pPr>
              <w:spacing w:line="360" w:lineRule="auto"/>
              <w:rPr>
                <w:rFonts w:ascii="宋体" w:hAnsi="宋体" w:cs="宋体"/>
                <w:color w:val="auto"/>
                <w:sz w:val="24"/>
                <w:szCs w:val="24"/>
              </w:rPr>
            </w:pPr>
            <w:r>
              <w:rPr>
                <w:rFonts w:hint="eastAsia" w:ascii="宋体" w:hAnsi="宋体" w:cs="宋体"/>
                <w:color w:val="auto"/>
                <w:sz w:val="24"/>
                <w:szCs w:val="24"/>
              </w:rPr>
              <w:t>当地代表处地址：</w:t>
            </w:r>
          </w:p>
        </w:tc>
      </w:tr>
      <w:tr w14:paraId="4222D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29954E0D">
            <w:pPr>
              <w:spacing w:line="360" w:lineRule="auto"/>
              <w:jc w:val="center"/>
              <w:rPr>
                <w:rFonts w:ascii="宋体" w:hAnsi="宋体" w:cs="宋体"/>
                <w:color w:val="auto"/>
                <w:sz w:val="24"/>
                <w:szCs w:val="24"/>
              </w:rPr>
            </w:pPr>
            <w:r>
              <w:rPr>
                <w:rFonts w:hint="eastAsia" w:ascii="宋体" w:hAnsi="宋体" w:cs="宋体"/>
                <w:color w:val="auto"/>
                <w:sz w:val="24"/>
                <w:szCs w:val="24"/>
              </w:rPr>
              <w:t>4</w:t>
            </w:r>
          </w:p>
        </w:tc>
        <w:tc>
          <w:tcPr>
            <w:tcW w:w="4305" w:type="dxa"/>
            <w:gridSpan w:val="2"/>
            <w:vAlign w:val="center"/>
          </w:tcPr>
          <w:p w14:paraId="29417C2D">
            <w:pPr>
              <w:spacing w:line="360" w:lineRule="auto"/>
              <w:rPr>
                <w:rFonts w:ascii="宋体" w:hAnsi="宋体" w:cs="宋体"/>
                <w:color w:val="auto"/>
                <w:sz w:val="24"/>
                <w:szCs w:val="24"/>
              </w:rPr>
            </w:pPr>
            <w:r>
              <w:rPr>
                <w:rFonts w:hint="eastAsia" w:ascii="宋体" w:hAnsi="宋体" w:cs="宋体"/>
                <w:color w:val="auto"/>
                <w:sz w:val="24"/>
                <w:szCs w:val="24"/>
              </w:rPr>
              <w:t>电话：</w:t>
            </w:r>
          </w:p>
        </w:tc>
        <w:tc>
          <w:tcPr>
            <w:tcW w:w="4563" w:type="dxa"/>
            <w:vAlign w:val="center"/>
          </w:tcPr>
          <w:p w14:paraId="32E04F02">
            <w:pPr>
              <w:spacing w:line="360" w:lineRule="auto"/>
              <w:rPr>
                <w:rFonts w:ascii="宋体" w:hAnsi="宋体" w:cs="宋体"/>
                <w:color w:val="auto"/>
                <w:sz w:val="24"/>
                <w:szCs w:val="24"/>
              </w:rPr>
            </w:pPr>
            <w:r>
              <w:rPr>
                <w:rFonts w:hint="eastAsia" w:ascii="宋体" w:hAnsi="宋体" w:cs="宋体"/>
                <w:color w:val="auto"/>
                <w:sz w:val="24"/>
                <w:szCs w:val="24"/>
              </w:rPr>
              <w:t>联系人：</w:t>
            </w:r>
          </w:p>
        </w:tc>
      </w:tr>
      <w:tr w14:paraId="391AC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727C250">
            <w:pPr>
              <w:spacing w:line="360" w:lineRule="auto"/>
              <w:jc w:val="center"/>
              <w:rPr>
                <w:rFonts w:ascii="宋体" w:hAnsi="宋体" w:cs="宋体"/>
                <w:color w:val="auto"/>
                <w:sz w:val="24"/>
                <w:szCs w:val="24"/>
              </w:rPr>
            </w:pPr>
            <w:r>
              <w:rPr>
                <w:rFonts w:hint="eastAsia" w:ascii="宋体" w:hAnsi="宋体" w:cs="宋体"/>
                <w:color w:val="auto"/>
                <w:sz w:val="24"/>
                <w:szCs w:val="24"/>
              </w:rPr>
              <w:t>5</w:t>
            </w:r>
          </w:p>
        </w:tc>
        <w:tc>
          <w:tcPr>
            <w:tcW w:w="4305" w:type="dxa"/>
            <w:gridSpan w:val="2"/>
            <w:vAlign w:val="center"/>
          </w:tcPr>
          <w:p w14:paraId="259D38CA">
            <w:pPr>
              <w:spacing w:line="360" w:lineRule="auto"/>
              <w:rPr>
                <w:rFonts w:ascii="宋体" w:hAnsi="宋体" w:cs="宋体"/>
                <w:color w:val="auto"/>
                <w:sz w:val="24"/>
                <w:szCs w:val="24"/>
              </w:rPr>
            </w:pPr>
            <w:r>
              <w:rPr>
                <w:rFonts w:hint="eastAsia" w:ascii="宋体" w:hAnsi="宋体" w:cs="宋体"/>
                <w:color w:val="auto"/>
                <w:sz w:val="24"/>
                <w:szCs w:val="24"/>
              </w:rPr>
              <w:t>传真：</w:t>
            </w:r>
          </w:p>
        </w:tc>
        <w:tc>
          <w:tcPr>
            <w:tcW w:w="4563" w:type="dxa"/>
            <w:vAlign w:val="center"/>
          </w:tcPr>
          <w:p w14:paraId="63779E3A">
            <w:pPr>
              <w:spacing w:line="360" w:lineRule="auto"/>
              <w:rPr>
                <w:rFonts w:ascii="宋体" w:hAnsi="宋体" w:cs="宋体"/>
                <w:color w:val="auto"/>
                <w:sz w:val="24"/>
                <w:szCs w:val="24"/>
              </w:rPr>
            </w:pPr>
            <w:r>
              <w:rPr>
                <w:rFonts w:hint="eastAsia" w:ascii="宋体" w:hAnsi="宋体" w:cs="宋体"/>
                <w:color w:val="auto"/>
                <w:sz w:val="24"/>
                <w:szCs w:val="24"/>
              </w:rPr>
              <w:t>电子信箱：</w:t>
            </w:r>
          </w:p>
        </w:tc>
      </w:tr>
      <w:tr w14:paraId="6FF37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829203F">
            <w:pPr>
              <w:spacing w:line="360" w:lineRule="auto"/>
              <w:jc w:val="center"/>
              <w:rPr>
                <w:rFonts w:ascii="宋体" w:hAnsi="宋体" w:cs="宋体"/>
                <w:color w:val="auto"/>
                <w:sz w:val="24"/>
                <w:szCs w:val="24"/>
              </w:rPr>
            </w:pPr>
            <w:r>
              <w:rPr>
                <w:rFonts w:hint="eastAsia" w:ascii="宋体" w:hAnsi="宋体" w:cs="宋体"/>
                <w:color w:val="auto"/>
                <w:sz w:val="24"/>
                <w:szCs w:val="24"/>
              </w:rPr>
              <w:t>6</w:t>
            </w:r>
          </w:p>
        </w:tc>
        <w:tc>
          <w:tcPr>
            <w:tcW w:w="4305" w:type="dxa"/>
            <w:gridSpan w:val="2"/>
            <w:vAlign w:val="center"/>
          </w:tcPr>
          <w:p w14:paraId="4CC7EFAA">
            <w:pPr>
              <w:spacing w:line="360" w:lineRule="auto"/>
              <w:rPr>
                <w:rFonts w:ascii="宋体" w:hAnsi="宋体" w:cs="宋体"/>
                <w:color w:val="auto"/>
                <w:sz w:val="24"/>
                <w:szCs w:val="24"/>
              </w:rPr>
            </w:pPr>
            <w:r>
              <w:rPr>
                <w:rFonts w:hint="eastAsia" w:ascii="宋体" w:hAnsi="宋体" w:cs="宋体"/>
                <w:color w:val="auto"/>
                <w:sz w:val="24"/>
                <w:szCs w:val="24"/>
              </w:rPr>
              <w:t>注册地：</w:t>
            </w:r>
          </w:p>
        </w:tc>
        <w:tc>
          <w:tcPr>
            <w:tcW w:w="4563" w:type="dxa"/>
            <w:vAlign w:val="center"/>
          </w:tcPr>
          <w:p w14:paraId="7110B842">
            <w:pPr>
              <w:spacing w:line="360" w:lineRule="auto"/>
              <w:rPr>
                <w:rFonts w:ascii="宋体" w:hAnsi="宋体" w:cs="宋体"/>
                <w:color w:val="auto"/>
                <w:sz w:val="24"/>
                <w:szCs w:val="24"/>
              </w:rPr>
            </w:pPr>
            <w:r>
              <w:rPr>
                <w:rFonts w:hint="eastAsia" w:ascii="宋体" w:hAnsi="宋体" w:cs="宋体"/>
                <w:color w:val="auto"/>
                <w:sz w:val="24"/>
                <w:szCs w:val="24"/>
              </w:rPr>
              <w:t>注册年份：</w:t>
            </w:r>
          </w:p>
        </w:tc>
      </w:tr>
      <w:tr w14:paraId="0FDBE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AA02124">
            <w:pPr>
              <w:spacing w:line="360" w:lineRule="auto"/>
              <w:jc w:val="center"/>
              <w:rPr>
                <w:rFonts w:ascii="宋体" w:hAnsi="宋体" w:cs="宋体"/>
                <w:color w:val="auto"/>
                <w:sz w:val="24"/>
                <w:szCs w:val="24"/>
              </w:rPr>
            </w:pPr>
            <w:r>
              <w:rPr>
                <w:rFonts w:hint="eastAsia" w:ascii="宋体" w:hAnsi="宋体" w:cs="宋体"/>
                <w:color w:val="auto"/>
                <w:sz w:val="24"/>
                <w:szCs w:val="24"/>
              </w:rPr>
              <w:t>7</w:t>
            </w:r>
          </w:p>
        </w:tc>
        <w:tc>
          <w:tcPr>
            <w:tcW w:w="8868" w:type="dxa"/>
            <w:gridSpan w:val="3"/>
            <w:vAlign w:val="center"/>
          </w:tcPr>
          <w:p w14:paraId="10A5DEE4">
            <w:pP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相关证书</w:t>
            </w:r>
            <w:r>
              <w:rPr>
                <w:rFonts w:hint="eastAsia" w:ascii="宋体" w:hAnsi="宋体" w:cs="宋体"/>
                <w:color w:val="auto"/>
                <w:sz w:val="24"/>
                <w:szCs w:val="24"/>
              </w:rPr>
              <w:t>（</w:t>
            </w:r>
            <w:r>
              <w:rPr>
                <w:rFonts w:hint="eastAsia" w:ascii="宋体" w:hAnsi="宋体" w:cs="宋体"/>
                <w:color w:val="auto"/>
                <w:sz w:val="24"/>
                <w:szCs w:val="24"/>
                <w:lang w:val="en-US" w:eastAsia="zh-CN"/>
              </w:rPr>
              <w:t>如有，</w:t>
            </w:r>
            <w:r>
              <w:rPr>
                <w:rFonts w:hint="eastAsia" w:ascii="宋体" w:hAnsi="宋体" w:cs="宋体"/>
                <w:color w:val="auto"/>
                <w:sz w:val="24"/>
                <w:szCs w:val="24"/>
              </w:rPr>
              <w:t>请附上有关证书的扫描件</w:t>
            </w:r>
            <w:r>
              <w:rPr>
                <w:rFonts w:hint="eastAsia" w:ascii="宋体" w:hAnsi="宋体" w:cs="宋体"/>
                <w:color w:val="auto"/>
                <w:sz w:val="24"/>
                <w:szCs w:val="24"/>
                <w:lang w:val="en-US" w:eastAsia="zh-CN"/>
              </w:rPr>
              <w:t>并加盖公章</w:t>
            </w:r>
            <w:r>
              <w:rPr>
                <w:rFonts w:hint="eastAsia" w:ascii="宋体" w:hAnsi="宋体" w:cs="宋体"/>
                <w:color w:val="auto"/>
                <w:sz w:val="24"/>
                <w:szCs w:val="24"/>
              </w:rPr>
              <w:t>）</w:t>
            </w:r>
            <w:r>
              <w:rPr>
                <w:rFonts w:hint="eastAsia" w:ascii="宋体" w:hAnsi="宋体" w:cs="宋体"/>
                <w:color w:val="auto"/>
                <w:sz w:val="24"/>
                <w:szCs w:val="24"/>
                <w:lang w:eastAsia="zh-CN"/>
              </w:rPr>
              <w:t>：</w:t>
            </w:r>
            <w:r>
              <w:rPr>
                <w:rFonts w:hint="eastAsia" w:ascii="宋体" w:hAnsi="宋体" w:cs="宋体"/>
                <w:color w:val="auto"/>
                <w:sz w:val="24"/>
                <w:szCs w:val="24"/>
                <w:u w:val="single"/>
                <w:lang w:val="en-US" w:eastAsia="zh-CN"/>
              </w:rPr>
              <w:t xml:space="preserve">                  </w:t>
            </w:r>
          </w:p>
        </w:tc>
      </w:tr>
      <w:tr w14:paraId="55337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3E0B348">
            <w:pPr>
              <w:spacing w:line="360" w:lineRule="auto"/>
              <w:jc w:val="center"/>
              <w:rPr>
                <w:rFonts w:hint="eastAsia" w:ascii="宋体" w:hAnsi="宋体" w:eastAsia="宋体" w:cs="宋体"/>
                <w:color w:val="auto"/>
                <w:sz w:val="24"/>
                <w:szCs w:val="24"/>
              </w:rPr>
            </w:pPr>
            <w:r>
              <w:rPr>
                <w:rFonts w:hint="eastAsia" w:ascii="宋体" w:hAnsi="宋体" w:cs="宋体"/>
                <w:color w:val="auto"/>
                <w:sz w:val="24"/>
                <w:szCs w:val="24"/>
                <w:lang w:val="en-US" w:eastAsia="zh-CN"/>
              </w:rPr>
              <w:t>8</w:t>
            </w:r>
          </w:p>
        </w:tc>
        <w:tc>
          <w:tcPr>
            <w:tcW w:w="2520" w:type="dxa"/>
            <w:vAlign w:val="center"/>
          </w:tcPr>
          <w:p w14:paraId="79E66C78">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其他需要说明的情况</w:t>
            </w:r>
          </w:p>
        </w:tc>
        <w:tc>
          <w:tcPr>
            <w:tcW w:w="6348" w:type="dxa"/>
            <w:gridSpan w:val="2"/>
            <w:vAlign w:val="center"/>
          </w:tcPr>
          <w:p w14:paraId="4EAED67D">
            <w:pPr>
              <w:spacing w:line="360" w:lineRule="auto"/>
              <w:rPr>
                <w:rFonts w:hint="eastAsia" w:ascii="宋体" w:hAnsi="宋体" w:eastAsia="宋体" w:cs="宋体"/>
                <w:color w:val="auto"/>
                <w:sz w:val="24"/>
                <w:szCs w:val="24"/>
              </w:rPr>
            </w:pPr>
          </w:p>
        </w:tc>
      </w:tr>
    </w:tbl>
    <w:p w14:paraId="5D35C71F">
      <w:pPr>
        <w:spacing w:line="360" w:lineRule="auto"/>
        <w:ind w:firstLine="240" w:firstLineChars="100"/>
        <w:rPr>
          <w:color w:val="auto"/>
          <w:sz w:val="24"/>
          <w:szCs w:val="24"/>
        </w:rPr>
      </w:pPr>
      <w:r>
        <w:rPr>
          <w:rFonts w:hint="eastAsia"/>
          <w:color w:val="auto"/>
          <w:sz w:val="24"/>
          <w:szCs w:val="24"/>
        </w:rPr>
        <w:t>说明：</w:t>
      </w:r>
    </w:p>
    <w:p w14:paraId="0C3E7744">
      <w:pPr>
        <w:spacing w:line="360" w:lineRule="auto"/>
        <w:ind w:firstLine="360" w:firstLineChars="150"/>
        <w:jc w:val="left"/>
        <w:outlineLvl w:val="2"/>
        <w:rPr>
          <w:color w:val="auto"/>
          <w:sz w:val="24"/>
          <w:szCs w:val="24"/>
        </w:rPr>
      </w:pPr>
      <w:r>
        <w:rPr>
          <w:color w:val="auto"/>
          <w:sz w:val="24"/>
          <w:szCs w:val="24"/>
        </w:rPr>
        <w:t>1</w:t>
      </w:r>
      <w:r>
        <w:rPr>
          <w:rFonts w:hint="eastAsia"/>
          <w:color w:val="auto"/>
          <w:sz w:val="24"/>
          <w:szCs w:val="24"/>
        </w:rPr>
        <w:t>、表格如不够，可按同样格式扩展。</w:t>
      </w:r>
    </w:p>
    <w:p w14:paraId="79A779D5">
      <w:pPr>
        <w:spacing w:line="360" w:lineRule="auto"/>
        <w:ind w:firstLine="360" w:firstLineChars="150"/>
        <w:jc w:val="left"/>
        <w:outlineLvl w:val="2"/>
        <w:rPr>
          <w:color w:val="auto"/>
          <w:sz w:val="24"/>
          <w:szCs w:val="24"/>
        </w:rPr>
      </w:pPr>
      <w:r>
        <w:rPr>
          <w:color w:val="auto"/>
          <w:sz w:val="24"/>
          <w:szCs w:val="24"/>
        </w:rPr>
        <w:t>2</w:t>
      </w:r>
      <w:r>
        <w:rPr>
          <w:rFonts w:hint="eastAsia"/>
          <w:color w:val="auto"/>
          <w:sz w:val="24"/>
          <w:szCs w:val="24"/>
        </w:rPr>
        <w:t>、证书、资信材料等，根据评分标准要求提供。</w:t>
      </w:r>
    </w:p>
    <w:p w14:paraId="3DE5D66C">
      <w:pPr>
        <w:spacing w:line="360" w:lineRule="auto"/>
        <w:ind w:firstLine="360" w:firstLineChars="150"/>
        <w:jc w:val="left"/>
        <w:rPr>
          <w:color w:val="auto"/>
          <w:sz w:val="24"/>
          <w:szCs w:val="24"/>
        </w:rPr>
      </w:pPr>
    </w:p>
    <w:p w14:paraId="0A3B9246">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4BD016D9">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5B825797">
      <w:pPr>
        <w:spacing w:before="240" w:beforeLines="100" w:after="240" w:afterLines="100"/>
        <w:jc w:val="left"/>
        <w:rPr>
          <w:color w:val="auto"/>
          <w:sz w:val="24"/>
          <w:szCs w:val="24"/>
        </w:rPr>
      </w:pPr>
      <w:r>
        <w:rPr>
          <w:rFonts w:hint="eastAsia" w:ascii="宋体" w:hAnsi="宋体" w:cs="宋体"/>
          <w:color w:val="auto"/>
          <w:sz w:val="24"/>
        </w:rPr>
        <w:t>日期：      年   月   日</w:t>
      </w:r>
    </w:p>
    <w:p w14:paraId="4B178D71">
      <w:pPr>
        <w:widowControl/>
        <w:ind w:firstLine="843" w:firstLineChars="400"/>
        <w:jc w:val="left"/>
        <w:rPr>
          <w:b/>
          <w:color w:val="auto"/>
          <w:szCs w:val="21"/>
        </w:rPr>
        <w:sectPr>
          <w:type w:val="nextColumn"/>
          <w:pgSz w:w="11907" w:h="16840"/>
          <w:pgMar w:top="1134" w:right="1247" w:bottom="1247" w:left="1247" w:header="567" w:footer="794" w:gutter="0"/>
          <w:cols w:space="720" w:num="1"/>
        </w:sectPr>
      </w:pPr>
    </w:p>
    <w:p w14:paraId="6154C0D7">
      <w:pPr>
        <w:pStyle w:val="6"/>
        <w:ind w:left="0" w:firstLine="0"/>
        <w:outlineLvl w:val="0"/>
        <w:rPr>
          <w:color w:val="auto"/>
        </w:rPr>
      </w:pPr>
      <w:bookmarkStart w:id="755" w:name="_Toc14424_WPSOffice_Level1"/>
      <w:bookmarkStart w:id="756" w:name="_Toc4980_WPSOffice_Level1"/>
      <w:bookmarkStart w:id="757" w:name="_Toc18777"/>
      <w:bookmarkStart w:id="758" w:name="_Toc21110"/>
      <w:bookmarkStart w:id="759" w:name="_Toc17265"/>
      <w:bookmarkStart w:id="760" w:name="_Toc5024"/>
      <w:bookmarkStart w:id="761" w:name="_Toc24426"/>
      <w:bookmarkStart w:id="762" w:name="_Toc3327"/>
      <w:bookmarkStart w:id="763" w:name="_Toc3841"/>
      <w:bookmarkStart w:id="764" w:name="_Toc16592"/>
      <w:bookmarkStart w:id="765" w:name="_Toc20174"/>
      <w:bookmarkStart w:id="766" w:name="_Toc21767"/>
      <w:r>
        <w:rPr>
          <w:rFonts w:hint="eastAsia"/>
          <w:color w:val="auto"/>
        </w:rPr>
        <w:t>（7）供应商同类合同一览表</w:t>
      </w:r>
      <w:bookmarkEnd w:id="755"/>
      <w:bookmarkEnd w:id="756"/>
    </w:p>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7"/>
    <w:bookmarkEnd w:id="758"/>
    <w:bookmarkEnd w:id="759"/>
    <w:bookmarkEnd w:id="760"/>
    <w:bookmarkEnd w:id="761"/>
    <w:bookmarkEnd w:id="762"/>
    <w:bookmarkEnd w:id="763"/>
    <w:bookmarkEnd w:id="764"/>
    <w:bookmarkEnd w:id="765"/>
    <w:bookmarkEnd w:id="766"/>
    <w:p w14:paraId="070E3EE2">
      <w:pPr>
        <w:adjustRightInd w:val="0"/>
        <w:snapToGrid w:val="0"/>
        <w:spacing w:line="288" w:lineRule="auto"/>
        <w:jc w:val="center"/>
        <w:outlineLvl w:val="1"/>
        <w:rPr>
          <w:rFonts w:hint="eastAsia"/>
          <w:color w:val="auto"/>
          <w:sz w:val="24"/>
          <w:szCs w:val="24"/>
        </w:rPr>
      </w:pPr>
      <w:bookmarkStart w:id="767" w:name="_Toc18264"/>
      <w:r>
        <w:rPr>
          <w:rFonts w:hint="eastAsia"/>
          <w:color w:val="auto"/>
          <w:sz w:val="24"/>
          <w:szCs w:val="24"/>
        </w:rPr>
        <w:t>同类合同一览表</w:t>
      </w:r>
    </w:p>
    <w:tbl>
      <w:tblPr>
        <w:tblStyle w:val="46"/>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2768B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26A1D2B1">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14:paraId="5AF904AF">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14:paraId="4FEAEA58">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14:paraId="1C1BAB4A">
            <w:pPr>
              <w:adjustRightInd w:val="0"/>
              <w:snapToGrid w:val="0"/>
              <w:spacing w:line="288" w:lineRule="auto"/>
              <w:jc w:val="center"/>
              <w:rPr>
                <w:color w:val="auto"/>
                <w:sz w:val="24"/>
                <w:szCs w:val="24"/>
              </w:rPr>
            </w:pPr>
            <w:r>
              <w:rPr>
                <w:rFonts w:hint="eastAsia"/>
                <w:color w:val="auto"/>
                <w:sz w:val="24"/>
                <w:szCs w:val="24"/>
              </w:rPr>
              <w:t>合同金额</w:t>
            </w:r>
          </w:p>
          <w:p w14:paraId="7104CA7F">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14:paraId="36FAAF85">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14:paraId="32EA171A">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14:paraId="534A318E">
            <w:pPr>
              <w:adjustRightInd w:val="0"/>
              <w:snapToGrid w:val="0"/>
              <w:spacing w:line="288" w:lineRule="auto"/>
              <w:jc w:val="center"/>
              <w:rPr>
                <w:color w:val="auto"/>
                <w:sz w:val="24"/>
                <w:szCs w:val="24"/>
              </w:rPr>
            </w:pPr>
            <w:r>
              <w:rPr>
                <w:rFonts w:hint="eastAsia"/>
                <w:color w:val="auto"/>
                <w:sz w:val="24"/>
                <w:szCs w:val="24"/>
              </w:rPr>
              <w:t>采购单位</w:t>
            </w:r>
          </w:p>
          <w:p w14:paraId="70AF6E88">
            <w:pPr>
              <w:adjustRightInd w:val="0"/>
              <w:snapToGrid w:val="0"/>
              <w:spacing w:line="288" w:lineRule="auto"/>
              <w:jc w:val="center"/>
              <w:rPr>
                <w:color w:val="auto"/>
                <w:sz w:val="24"/>
                <w:szCs w:val="24"/>
              </w:rPr>
            </w:pPr>
            <w:r>
              <w:rPr>
                <w:rFonts w:hint="eastAsia"/>
                <w:color w:val="auto"/>
                <w:sz w:val="24"/>
                <w:szCs w:val="24"/>
              </w:rPr>
              <w:t>联系人及电话</w:t>
            </w:r>
          </w:p>
        </w:tc>
      </w:tr>
      <w:tr w14:paraId="75998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35951462">
            <w:pPr>
              <w:adjustRightInd w:val="0"/>
              <w:snapToGrid w:val="0"/>
              <w:spacing w:line="288" w:lineRule="auto"/>
              <w:jc w:val="center"/>
              <w:rPr>
                <w:color w:val="auto"/>
                <w:sz w:val="24"/>
                <w:szCs w:val="24"/>
              </w:rPr>
            </w:pPr>
          </w:p>
        </w:tc>
        <w:tc>
          <w:tcPr>
            <w:tcW w:w="1380" w:type="dxa"/>
            <w:vAlign w:val="center"/>
          </w:tcPr>
          <w:p w14:paraId="070688D1">
            <w:pPr>
              <w:adjustRightInd w:val="0"/>
              <w:snapToGrid w:val="0"/>
              <w:spacing w:line="288" w:lineRule="auto"/>
              <w:jc w:val="center"/>
              <w:rPr>
                <w:color w:val="auto"/>
                <w:sz w:val="24"/>
                <w:szCs w:val="24"/>
              </w:rPr>
            </w:pPr>
          </w:p>
        </w:tc>
        <w:tc>
          <w:tcPr>
            <w:tcW w:w="1510" w:type="dxa"/>
            <w:vAlign w:val="center"/>
          </w:tcPr>
          <w:p w14:paraId="33165599">
            <w:pPr>
              <w:adjustRightInd w:val="0"/>
              <w:snapToGrid w:val="0"/>
              <w:spacing w:line="288" w:lineRule="auto"/>
              <w:jc w:val="center"/>
              <w:rPr>
                <w:color w:val="auto"/>
                <w:sz w:val="24"/>
                <w:szCs w:val="24"/>
              </w:rPr>
            </w:pPr>
          </w:p>
        </w:tc>
        <w:tc>
          <w:tcPr>
            <w:tcW w:w="1256" w:type="dxa"/>
            <w:vAlign w:val="center"/>
          </w:tcPr>
          <w:p w14:paraId="3E617B9B">
            <w:pPr>
              <w:adjustRightInd w:val="0"/>
              <w:snapToGrid w:val="0"/>
              <w:spacing w:line="288" w:lineRule="auto"/>
              <w:jc w:val="center"/>
              <w:rPr>
                <w:color w:val="auto"/>
                <w:sz w:val="24"/>
                <w:szCs w:val="24"/>
              </w:rPr>
            </w:pPr>
          </w:p>
        </w:tc>
        <w:tc>
          <w:tcPr>
            <w:tcW w:w="732" w:type="dxa"/>
            <w:vAlign w:val="center"/>
          </w:tcPr>
          <w:p w14:paraId="4F8445D8">
            <w:pPr>
              <w:adjustRightInd w:val="0"/>
              <w:snapToGrid w:val="0"/>
              <w:spacing w:line="288" w:lineRule="auto"/>
              <w:jc w:val="center"/>
              <w:rPr>
                <w:color w:val="auto"/>
                <w:sz w:val="24"/>
                <w:szCs w:val="24"/>
              </w:rPr>
            </w:pPr>
          </w:p>
        </w:tc>
        <w:tc>
          <w:tcPr>
            <w:tcW w:w="1005" w:type="dxa"/>
            <w:vAlign w:val="center"/>
          </w:tcPr>
          <w:p w14:paraId="5F95545D">
            <w:pPr>
              <w:adjustRightInd w:val="0"/>
              <w:snapToGrid w:val="0"/>
              <w:spacing w:line="288" w:lineRule="auto"/>
              <w:jc w:val="center"/>
              <w:rPr>
                <w:color w:val="auto"/>
                <w:sz w:val="24"/>
                <w:szCs w:val="24"/>
              </w:rPr>
            </w:pPr>
          </w:p>
        </w:tc>
        <w:tc>
          <w:tcPr>
            <w:tcW w:w="1675" w:type="dxa"/>
            <w:vAlign w:val="center"/>
          </w:tcPr>
          <w:p w14:paraId="3674BFBB">
            <w:pPr>
              <w:adjustRightInd w:val="0"/>
              <w:snapToGrid w:val="0"/>
              <w:spacing w:line="288" w:lineRule="auto"/>
              <w:jc w:val="center"/>
              <w:rPr>
                <w:color w:val="auto"/>
                <w:sz w:val="24"/>
                <w:szCs w:val="24"/>
              </w:rPr>
            </w:pPr>
          </w:p>
        </w:tc>
      </w:tr>
      <w:tr w14:paraId="557C1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2A4EB491">
            <w:pPr>
              <w:adjustRightInd w:val="0"/>
              <w:snapToGrid w:val="0"/>
              <w:spacing w:line="288" w:lineRule="auto"/>
              <w:jc w:val="center"/>
              <w:rPr>
                <w:color w:val="auto"/>
                <w:sz w:val="24"/>
                <w:szCs w:val="24"/>
              </w:rPr>
            </w:pPr>
          </w:p>
        </w:tc>
        <w:tc>
          <w:tcPr>
            <w:tcW w:w="1380" w:type="dxa"/>
            <w:vAlign w:val="center"/>
          </w:tcPr>
          <w:p w14:paraId="05AEEE26">
            <w:pPr>
              <w:adjustRightInd w:val="0"/>
              <w:snapToGrid w:val="0"/>
              <w:spacing w:line="288" w:lineRule="auto"/>
              <w:jc w:val="center"/>
              <w:rPr>
                <w:color w:val="auto"/>
                <w:sz w:val="24"/>
                <w:szCs w:val="24"/>
              </w:rPr>
            </w:pPr>
          </w:p>
        </w:tc>
        <w:tc>
          <w:tcPr>
            <w:tcW w:w="1510" w:type="dxa"/>
            <w:vAlign w:val="center"/>
          </w:tcPr>
          <w:p w14:paraId="55958A01">
            <w:pPr>
              <w:adjustRightInd w:val="0"/>
              <w:snapToGrid w:val="0"/>
              <w:spacing w:line="288" w:lineRule="auto"/>
              <w:jc w:val="center"/>
              <w:rPr>
                <w:color w:val="auto"/>
                <w:sz w:val="24"/>
                <w:szCs w:val="24"/>
              </w:rPr>
            </w:pPr>
          </w:p>
        </w:tc>
        <w:tc>
          <w:tcPr>
            <w:tcW w:w="1256" w:type="dxa"/>
            <w:vAlign w:val="center"/>
          </w:tcPr>
          <w:p w14:paraId="191D7E45">
            <w:pPr>
              <w:adjustRightInd w:val="0"/>
              <w:snapToGrid w:val="0"/>
              <w:spacing w:line="288" w:lineRule="auto"/>
              <w:jc w:val="center"/>
              <w:rPr>
                <w:color w:val="auto"/>
                <w:sz w:val="24"/>
                <w:szCs w:val="24"/>
              </w:rPr>
            </w:pPr>
          </w:p>
        </w:tc>
        <w:tc>
          <w:tcPr>
            <w:tcW w:w="732" w:type="dxa"/>
            <w:vAlign w:val="center"/>
          </w:tcPr>
          <w:p w14:paraId="0F2D9EC0">
            <w:pPr>
              <w:adjustRightInd w:val="0"/>
              <w:snapToGrid w:val="0"/>
              <w:spacing w:line="288" w:lineRule="auto"/>
              <w:jc w:val="center"/>
              <w:rPr>
                <w:color w:val="auto"/>
                <w:sz w:val="24"/>
                <w:szCs w:val="24"/>
              </w:rPr>
            </w:pPr>
          </w:p>
        </w:tc>
        <w:tc>
          <w:tcPr>
            <w:tcW w:w="1005" w:type="dxa"/>
            <w:vAlign w:val="center"/>
          </w:tcPr>
          <w:p w14:paraId="60E64306">
            <w:pPr>
              <w:adjustRightInd w:val="0"/>
              <w:snapToGrid w:val="0"/>
              <w:spacing w:line="288" w:lineRule="auto"/>
              <w:jc w:val="center"/>
              <w:rPr>
                <w:color w:val="auto"/>
                <w:sz w:val="24"/>
                <w:szCs w:val="24"/>
              </w:rPr>
            </w:pPr>
          </w:p>
        </w:tc>
        <w:tc>
          <w:tcPr>
            <w:tcW w:w="1675" w:type="dxa"/>
            <w:vAlign w:val="center"/>
          </w:tcPr>
          <w:p w14:paraId="0EC92AE1">
            <w:pPr>
              <w:adjustRightInd w:val="0"/>
              <w:snapToGrid w:val="0"/>
              <w:spacing w:line="288" w:lineRule="auto"/>
              <w:jc w:val="center"/>
              <w:rPr>
                <w:color w:val="auto"/>
                <w:sz w:val="24"/>
                <w:szCs w:val="24"/>
              </w:rPr>
            </w:pPr>
          </w:p>
        </w:tc>
      </w:tr>
      <w:tr w14:paraId="7830E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102889B3">
            <w:pPr>
              <w:adjustRightInd w:val="0"/>
              <w:snapToGrid w:val="0"/>
              <w:spacing w:line="288" w:lineRule="auto"/>
              <w:jc w:val="center"/>
              <w:rPr>
                <w:color w:val="auto"/>
                <w:sz w:val="24"/>
                <w:szCs w:val="24"/>
              </w:rPr>
            </w:pPr>
          </w:p>
        </w:tc>
        <w:tc>
          <w:tcPr>
            <w:tcW w:w="1380" w:type="dxa"/>
            <w:vAlign w:val="center"/>
          </w:tcPr>
          <w:p w14:paraId="697BE899">
            <w:pPr>
              <w:adjustRightInd w:val="0"/>
              <w:snapToGrid w:val="0"/>
              <w:spacing w:line="288" w:lineRule="auto"/>
              <w:jc w:val="center"/>
              <w:rPr>
                <w:color w:val="auto"/>
                <w:sz w:val="24"/>
                <w:szCs w:val="24"/>
              </w:rPr>
            </w:pPr>
          </w:p>
        </w:tc>
        <w:tc>
          <w:tcPr>
            <w:tcW w:w="1510" w:type="dxa"/>
            <w:vAlign w:val="center"/>
          </w:tcPr>
          <w:p w14:paraId="65FB753F">
            <w:pPr>
              <w:adjustRightInd w:val="0"/>
              <w:snapToGrid w:val="0"/>
              <w:spacing w:line="288" w:lineRule="auto"/>
              <w:jc w:val="center"/>
              <w:rPr>
                <w:color w:val="auto"/>
                <w:sz w:val="24"/>
                <w:szCs w:val="24"/>
              </w:rPr>
            </w:pPr>
          </w:p>
        </w:tc>
        <w:tc>
          <w:tcPr>
            <w:tcW w:w="1256" w:type="dxa"/>
            <w:vAlign w:val="center"/>
          </w:tcPr>
          <w:p w14:paraId="0496D7F5">
            <w:pPr>
              <w:adjustRightInd w:val="0"/>
              <w:snapToGrid w:val="0"/>
              <w:spacing w:line="288" w:lineRule="auto"/>
              <w:jc w:val="center"/>
              <w:rPr>
                <w:color w:val="auto"/>
                <w:sz w:val="24"/>
                <w:szCs w:val="24"/>
              </w:rPr>
            </w:pPr>
          </w:p>
        </w:tc>
        <w:tc>
          <w:tcPr>
            <w:tcW w:w="732" w:type="dxa"/>
            <w:vAlign w:val="center"/>
          </w:tcPr>
          <w:p w14:paraId="65BA9914">
            <w:pPr>
              <w:adjustRightInd w:val="0"/>
              <w:snapToGrid w:val="0"/>
              <w:spacing w:line="288" w:lineRule="auto"/>
              <w:jc w:val="center"/>
              <w:rPr>
                <w:color w:val="auto"/>
                <w:sz w:val="24"/>
                <w:szCs w:val="24"/>
              </w:rPr>
            </w:pPr>
          </w:p>
        </w:tc>
        <w:tc>
          <w:tcPr>
            <w:tcW w:w="1005" w:type="dxa"/>
            <w:vAlign w:val="center"/>
          </w:tcPr>
          <w:p w14:paraId="5F551421">
            <w:pPr>
              <w:adjustRightInd w:val="0"/>
              <w:snapToGrid w:val="0"/>
              <w:spacing w:line="288" w:lineRule="auto"/>
              <w:jc w:val="center"/>
              <w:rPr>
                <w:color w:val="auto"/>
                <w:sz w:val="24"/>
                <w:szCs w:val="24"/>
              </w:rPr>
            </w:pPr>
          </w:p>
        </w:tc>
        <w:tc>
          <w:tcPr>
            <w:tcW w:w="1675" w:type="dxa"/>
            <w:vAlign w:val="center"/>
          </w:tcPr>
          <w:p w14:paraId="6CF72135">
            <w:pPr>
              <w:adjustRightInd w:val="0"/>
              <w:snapToGrid w:val="0"/>
              <w:spacing w:line="288" w:lineRule="auto"/>
              <w:jc w:val="center"/>
              <w:rPr>
                <w:color w:val="auto"/>
                <w:sz w:val="24"/>
                <w:szCs w:val="24"/>
              </w:rPr>
            </w:pPr>
          </w:p>
        </w:tc>
      </w:tr>
      <w:tr w14:paraId="76878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5B68E95B">
            <w:pPr>
              <w:adjustRightInd w:val="0"/>
              <w:snapToGrid w:val="0"/>
              <w:spacing w:line="288" w:lineRule="auto"/>
              <w:jc w:val="center"/>
              <w:rPr>
                <w:color w:val="auto"/>
                <w:sz w:val="24"/>
                <w:szCs w:val="24"/>
              </w:rPr>
            </w:pPr>
          </w:p>
        </w:tc>
        <w:tc>
          <w:tcPr>
            <w:tcW w:w="1380" w:type="dxa"/>
            <w:vAlign w:val="center"/>
          </w:tcPr>
          <w:p w14:paraId="3B4B32F6">
            <w:pPr>
              <w:adjustRightInd w:val="0"/>
              <w:snapToGrid w:val="0"/>
              <w:spacing w:line="288" w:lineRule="auto"/>
              <w:jc w:val="center"/>
              <w:rPr>
                <w:color w:val="auto"/>
                <w:sz w:val="24"/>
                <w:szCs w:val="24"/>
              </w:rPr>
            </w:pPr>
          </w:p>
        </w:tc>
        <w:tc>
          <w:tcPr>
            <w:tcW w:w="1510" w:type="dxa"/>
            <w:vAlign w:val="center"/>
          </w:tcPr>
          <w:p w14:paraId="0A2CC45E">
            <w:pPr>
              <w:adjustRightInd w:val="0"/>
              <w:snapToGrid w:val="0"/>
              <w:spacing w:line="288" w:lineRule="auto"/>
              <w:jc w:val="center"/>
              <w:rPr>
                <w:color w:val="auto"/>
                <w:sz w:val="24"/>
                <w:szCs w:val="24"/>
              </w:rPr>
            </w:pPr>
          </w:p>
        </w:tc>
        <w:tc>
          <w:tcPr>
            <w:tcW w:w="1256" w:type="dxa"/>
            <w:vAlign w:val="center"/>
          </w:tcPr>
          <w:p w14:paraId="12D01075">
            <w:pPr>
              <w:adjustRightInd w:val="0"/>
              <w:snapToGrid w:val="0"/>
              <w:spacing w:line="288" w:lineRule="auto"/>
              <w:jc w:val="center"/>
              <w:rPr>
                <w:color w:val="auto"/>
                <w:sz w:val="24"/>
                <w:szCs w:val="24"/>
              </w:rPr>
            </w:pPr>
          </w:p>
        </w:tc>
        <w:tc>
          <w:tcPr>
            <w:tcW w:w="732" w:type="dxa"/>
            <w:vAlign w:val="center"/>
          </w:tcPr>
          <w:p w14:paraId="38AC69CE">
            <w:pPr>
              <w:adjustRightInd w:val="0"/>
              <w:snapToGrid w:val="0"/>
              <w:spacing w:line="288" w:lineRule="auto"/>
              <w:jc w:val="center"/>
              <w:rPr>
                <w:color w:val="auto"/>
                <w:sz w:val="24"/>
                <w:szCs w:val="24"/>
              </w:rPr>
            </w:pPr>
          </w:p>
        </w:tc>
        <w:tc>
          <w:tcPr>
            <w:tcW w:w="1005" w:type="dxa"/>
            <w:vAlign w:val="center"/>
          </w:tcPr>
          <w:p w14:paraId="6E38DE26">
            <w:pPr>
              <w:adjustRightInd w:val="0"/>
              <w:snapToGrid w:val="0"/>
              <w:spacing w:line="288" w:lineRule="auto"/>
              <w:jc w:val="center"/>
              <w:rPr>
                <w:color w:val="auto"/>
                <w:sz w:val="24"/>
                <w:szCs w:val="24"/>
              </w:rPr>
            </w:pPr>
          </w:p>
        </w:tc>
        <w:tc>
          <w:tcPr>
            <w:tcW w:w="1675" w:type="dxa"/>
            <w:vAlign w:val="center"/>
          </w:tcPr>
          <w:p w14:paraId="32B378B4">
            <w:pPr>
              <w:adjustRightInd w:val="0"/>
              <w:snapToGrid w:val="0"/>
              <w:spacing w:line="288" w:lineRule="auto"/>
              <w:jc w:val="center"/>
              <w:rPr>
                <w:color w:val="auto"/>
                <w:sz w:val="24"/>
                <w:szCs w:val="24"/>
              </w:rPr>
            </w:pPr>
          </w:p>
        </w:tc>
      </w:tr>
    </w:tbl>
    <w:p w14:paraId="3F2FA6D7">
      <w:pPr>
        <w:adjustRightInd w:val="0"/>
        <w:snapToGrid w:val="0"/>
        <w:spacing w:line="288" w:lineRule="auto"/>
        <w:rPr>
          <w:color w:val="auto"/>
          <w:sz w:val="24"/>
          <w:szCs w:val="24"/>
        </w:rPr>
      </w:pPr>
    </w:p>
    <w:p w14:paraId="36A86A55">
      <w:pPr>
        <w:adjustRightInd w:val="0"/>
        <w:snapToGrid w:val="0"/>
        <w:spacing w:line="288" w:lineRule="auto"/>
        <w:rPr>
          <w:color w:val="auto"/>
          <w:sz w:val="24"/>
          <w:szCs w:val="24"/>
        </w:rPr>
      </w:pPr>
      <w:r>
        <w:rPr>
          <w:rFonts w:hint="eastAsia"/>
          <w:color w:val="auto"/>
          <w:sz w:val="24"/>
          <w:szCs w:val="24"/>
        </w:rPr>
        <w:t>说明：</w:t>
      </w:r>
    </w:p>
    <w:p w14:paraId="4F3C9C1B">
      <w:pPr>
        <w:adjustRightInd w:val="0"/>
        <w:snapToGrid w:val="0"/>
        <w:spacing w:line="288" w:lineRule="auto"/>
        <w:rPr>
          <w:color w:val="auto"/>
          <w:sz w:val="24"/>
          <w:szCs w:val="24"/>
        </w:rPr>
      </w:pPr>
      <w:r>
        <w:rPr>
          <w:rFonts w:hint="eastAsia"/>
          <w:color w:val="auto"/>
          <w:sz w:val="24"/>
          <w:szCs w:val="24"/>
        </w:rPr>
        <w:t>1.供应商须提供上述业绩合同扫描件；</w:t>
      </w:r>
    </w:p>
    <w:p w14:paraId="697E7B23">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14:paraId="49D81335">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14:paraId="2E025236">
      <w:pPr>
        <w:pStyle w:val="27"/>
        <w:spacing w:line="360" w:lineRule="auto"/>
        <w:ind w:left="-27" w:firstLine="424"/>
        <w:rPr>
          <w:rFonts w:ascii="Times New Roman" w:hAnsi="Times New Roman"/>
          <w:b/>
          <w:bCs/>
          <w:color w:val="auto"/>
          <w:sz w:val="24"/>
          <w:szCs w:val="24"/>
        </w:rPr>
      </w:pPr>
    </w:p>
    <w:p w14:paraId="2F0713A6">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4FBD8643">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036610A1">
      <w:pPr>
        <w:spacing w:line="360" w:lineRule="auto"/>
        <w:rPr>
          <w:color w:val="auto"/>
          <w:sz w:val="24"/>
          <w:szCs w:val="24"/>
        </w:rPr>
      </w:pPr>
      <w:r>
        <w:rPr>
          <w:rFonts w:hint="eastAsia" w:ascii="宋体" w:hAnsi="宋体" w:cs="宋体"/>
          <w:color w:val="auto"/>
          <w:sz w:val="24"/>
        </w:rPr>
        <w:t>日期：      年   月   日</w:t>
      </w:r>
    </w:p>
    <w:p w14:paraId="075C842C">
      <w:pPr>
        <w:rPr>
          <w:rFonts w:ascii="黑体" w:hAnsi="黑体" w:eastAsia="黑体" w:cs="黑体"/>
          <w:color w:val="auto"/>
          <w:sz w:val="28"/>
          <w:szCs w:val="28"/>
        </w:rPr>
      </w:pPr>
      <w:bookmarkStart w:id="768" w:name="_Toc9100"/>
      <w:bookmarkStart w:id="769" w:name="_Toc12743"/>
      <w:bookmarkStart w:id="770" w:name="_Toc27754"/>
      <w:bookmarkStart w:id="771" w:name="_Toc21474"/>
      <w:bookmarkStart w:id="772" w:name="_Toc9428"/>
      <w:bookmarkStart w:id="773" w:name="_Toc27736"/>
      <w:bookmarkStart w:id="774" w:name="_Toc20235"/>
      <w:bookmarkStart w:id="775" w:name="_Toc25395"/>
      <w:bookmarkStart w:id="776" w:name="_Toc16499"/>
      <w:bookmarkStart w:id="777" w:name="_Toc28010"/>
      <w:bookmarkStart w:id="778" w:name="_Toc18122"/>
      <w:bookmarkStart w:id="779" w:name="_Toc25847"/>
      <w:bookmarkStart w:id="780" w:name="_Toc1352"/>
      <w:bookmarkStart w:id="781" w:name="_Toc20421"/>
      <w:bookmarkStart w:id="782" w:name="_Toc9650"/>
      <w:bookmarkStart w:id="783" w:name="_Toc31965"/>
      <w:bookmarkStart w:id="784" w:name="_Toc27924"/>
      <w:bookmarkStart w:id="785" w:name="_Toc5640"/>
      <w:bookmarkStart w:id="786" w:name="_Toc29300"/>
      <w:bookmarkStart w:id="787" w:name="_Toc22005"/>
      <w:bookmarkStart w:id="788" w:name="_Toc23972"/>
      <w:bookmarkStart w:id="789" w:name="_Toc24884"/>
      <w:bookmarkStart w:id="790" w:name="_Toc29974"/>
      <w:bookmarkStart w:id="791" w:name="_Toc8383"/>
      <w:bookmarkStart w:id="792" w:name="_Toc30618"/>
      <w:bookmarkStart w:id="793" w:name="_Toc6410"/>
      <w:bookmarkStart w:id="794" w:name="_Toc26175"/>
      <w:bookmarkStart w:id="795" w:name="_Toc21901"/>
      <w:bookmarkStart w:id="796" w:name="_Toc11435"/>
      <w:bookmarkStart w:id="797" w:name="_Toc3809"/>
      <w:bookmarkStart w:id="798" w:name="_Toc32660"/>
      <w:r>
        <w:rPr>
          <w:rFonts w:hint="eastAsia" w:ascii="黑体" w:hAnsi="黑体" w:eastAsia="黑体" w:cs="黑体"/>
          <w:color w:val="auto"/>
          <w:sz w:val="28"/>
          <w:szCs w:val="28"/>
        </w:rPr>
        <w:br w:type="page"/>
      </w:r>
    </w:p>
    <w:p w14:paraId="536D40F0">
      <w:pPr>
        <w:pStyle w:val="6"/>
        <w:ind w:left="0" w:firstLine="0"/>
        <w:outlineLvl w:val="0"/>
        <w:rPr>
          <w:color w:val="auto"/>
        </w:rPr>
      </w:pPr>
      <w:bookmarkStart w:id="799" w:name="_Toc31572_WPSOffice_Level1"/>
      <w:bookmarkStart w:id="800" w:name="_Toc400_WPSOffice_Level1"/>
      <w:r>
        <w:rPr>
          <w:rFonts w:hint="eastAsia"/>
          <w:color w:val="auto"/>
        </w:rPr>
        <w:t>（8）</w:t>
      </w:r>
      <w:bookmarkEnd w:id="768"/>
      <w:bookmarkEnd w:id="769"/>
      <w:bookmarkEnd w:id="770"/>
      <w:r>
        <w:rPr>
          <w:rFonts w:hint="eastAsia"/>
          <w:color w:val="auto"/>
        </w:rPr>
        <w:t>详细技术和服务方案</w:t>
      </w:r>
      <w:bookmarkEnd w:id="771"/>
      <w:bookmarkEnd w:id="772"/>
      <w:bookmarkEnd w:id="773"/>
      <w:bookmarkEnd w:id="774"/>
      <w:bookmarkEnd w:id="775"/>
      <w:bookmarkEnd w:id="776"/>
      <w:bookmarkEnd w:id="777"/>
      <w:bookmarkEnd w:id="799"/>
      <w:bookmarkEnd w:id="800"/>
    </w:p>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p w14:paraId="58481178">
      <w:pPr>
        <w:spacing w:line="420" w:lineRule="exact"/>
        <w:rPr>
          <w:color w:val="auto"/>
          <w:sz w:val="24"/>
        </w:rPr>
      </w:pPr>
      <w:r>
        <w:rPr>
          <w:rFonts w:hint="eastAsia"/>
          <w:color w:val="auto"/>
          <w:sz w:val="24"/>
        </w:rPr>
        <w:t>（根据采购需求及评分标准要求编制</w:t>
      </w:r>
      <w:r>
        <w:rPr>
          <w:rFonts w:hint="eastAsia"/>
          <w:color w:val="auto"/>
          <w:sz w:val="24"/>
          <w:lang w:eastAsia="zh-CN"/>
        </w:rPr>
        <w:t>，</w:t>
      </w:r>
      <w:r>
        <w:rPr>
          <w:rFonts w:hint="eastAsia"/>
          <w:color w:val="auto"/>
          <w:sz w:val="24"/>
          <w:lang w:val="en-US" w:eastAsia="zh-CN"/>
        </w:rPr>
        <w:t>含需求分析、实施方案、培训计划、售后服务方案等</w:t>
      </w:r>
      <w:r>
        <w:rPr>
          <w:rFonts w:hint="eastAsia"/>
          <w:color w:val="auto"/>
          <w:sz w:val="24"/>
        </w:rPr>
        <w:t>）</w:t>
      </w:r>
    </w:p>
    <w:p w14:paraId="566DF95F">
      <w:pPr>
        <w:pStyle w:val="27"/>
        <w:snapToGrid w:val="0"/>
        <w:spacing w:line="440" w:lineRule="exact"/>
        <w:ind w:left="-27" w:firstLine="422"/>
        <w:rPr>
          <w:rFonts w:asciiTheme="majorEastAsia" w:hAnsiTheme="majorEastAsia" w:eastAsiaTheme="majorEastAsia" w:cstheme="majorEastAsia"/>
          <w:color w:val="auto"/>
          <w:sz w:val="24"/>
          <w:szCs w:val="24"/>
        </w:rPr>
      </w:pPr>
    </w:p>
    <w:p w14:paraId="4E07FC10">
      <w:pPr>
        <w:spacing w:before="312" w:beforeLines="100" w:after="312" w:afterLines="100"/>
        <w:jc w:val="left"/>
        <w:rPr>
          <w:color w:val="auto"/>
          <w:sz w:val="24"/>
          <w:szCs w:val="24"/>
        </w:rPr>
      </w:pPr>
    </w:p>
    <w:p w14:paraId="27343D94">
      <w:pPr>
        <w:rPr>
          <w:color w:val="auto"/>
        </w:rPr>
      </w:pPr>
    </w:p>
    <w:p w14:paraId="68CE8752">
      <w:pPr>
        <w:pStyle w:val="6"/>
        <w:ind w:left="0" w:firstLine="0"/>
        <w:outlineLvl w:val="0"/>
        <w:rPr>
          <w:color w:val="auto"/>
        </w:rPr>
      </w:pPr>
      <w:bookmarkStart w:id="801" w:name="_Toc23685"/>
      <w:bookmarkStart w:id="802" w:name="_Toc19068"/>
      <w:bookmarkStart w:id="803" w:name="_Toc21572"/>
      <w:bookmarkStart w:id="804" w:name="_Toc10148"/>
      <w:bookmarkStart w:id="805" w:name="_Toc13211"/>
      <w:bookmarkStart w:id="806" w:name="_Toc21017"/>
      <w:bookmarkStart w:id="807" w:name="_Toc3089"/>
      <w:bookmarkStart w:id="808" w:name="_Toc32595_WPSOffice_Level1"/>
      <w:bookmarkStart w:id="809" w:name="_Toc14897"/>
      <w:bookmarkStart w:id="810" w:name="_Toc3307_WPSOffice_Level1"/>
      <w:bookmarkStart w:id="811" w:name="_Toc1664"/>
      <w:bookmarkStart w:id="812" w:name="_Toc1378"/>
      <w:r>
        <w:rPr>
          <w:rFonts w:hint="eastAsia"/>
          <w:color w:val="auto"/>
        </w:rPr>
        <w:t>（9）</w:t>
      </w:r>
      <w:bookmarkEnd w:id="801"/>
      <w:r>
        <w:rPr>
          <w:rFonts w:hint="eastAsia"/>
          <w:color w:val="auto"/>
        </w:rPr>
        <w:t>项目组成员一览表</w:t>
      </w:r>
      <w:bookmarkEnd w:id="802"/>
      <w:bookmarkEnd w:id="803"/>
      <w:bookmarkEnd w:id="804"/>
      <w:bookmarkEnd w:id="805"/>
      <w:bookmarkEnd w:id="806"/>
      <w:bookmarkEnd w:id="807"/>
      <w:bookmarkEnd w:id="808"/>
      <w:bookmarkEnd w:id="809"/>
      <w:bookmarkEnd w:id="810"/>
    </w:p>
    <w:bookmarkEnd w:id="811"/>
    <w:bookmarkEnd w:id="812"/>
    <w:tbl>
      <w:tblPr>
        <w:tblStyle w:val="45"/>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14:paraId="24534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vAlign w:val="top"/>
          </w:tcPr>
          <w:p w14:paraId="53E0CC48">
            <w:pPr>
              <w:pStyle w:val="27"/>
              <w:snapToGrid w:val="0"/>
              <w:spacing w:line="440" w:lineRule="exact"/>
              <w:jc w:val="center"/>
              <w:rPr>
                <w:color w:val="auto"/>
                <w:sz w:val="21"/>
                <w:szCs w:val="21"/>
              </w:rPr>
            </w:pPr>
            <w:r>
              <w:rPr>
                <w:rFonts w:hint="eastAsia"/>
                <w:color w:val="auto"/>
                <w:sz w:val="21"/>
                <w:szCs w:val="21"/>
              </w:rPr>
              <w:t>姓名</w:t>
            </w:r>
          </w:p>
        </w:tc>
        <w:tc>
          <w:tcPr>
            <w:tcW w:w="1326" w:type="dxa"/>
            <w:vAlign w:val="top"/>
          </w:tcPr>
          <w:p w14:paraId="6DBA15EC">
            <w:pPr>
              <w:pStyle w:val="27"/>
              <w:snapToGrid w:val="0"/>
              <w:spacing w:line="440" w:lineRule="exact"/>
              <w:jc w:val="center"/>
              <w:rPr>
                <w:color w:val="auto"/>
                <w:sz w:val="21"/>
                <w:szCs w:val="21"/>
              </w:rPr>
            </w:pPr>
            <w:r>
              <w:rPr>
                <w:rFonts w:hint="eastAsia"/>
                <w:color w:val="auto"/>
                <w:sz w:val="21"/>
                <w:szCs w:val="21"/>
              </w:rPr>
              <w:t>学历</w:t>
            </w:r>
          </w:p>
        </w:tc>
        <w:tc>
          <w:tcPr>
            <w:tcW w:w="1327" w:type="dxa"/>
            <w:vAlign w:val="top"/>
          </w:tcPr>
          <w:p w14:paraId="0116F603">
            <w:pPr>
              <w:pStyle w:val="27"/>
              <w:snapToGrid w:val="0"/>
              <w:spacing w:line="440" w:lineRule="exact"/>
              <w:jc w:val="center"/>
              <w:rPr>
                <w:rFonts w:hint="default" w:eastAsia="宋体"/>
                <w:color w:val="auto"/>
                <w:sz w:val="21"/>
                <w:szCs w:val="21"/>
                <w:lang w:val="en-US" w:eastAsia="zh-CN"/>
              </w:rPr>
            </w:pPr>
            <w:r>
              <w:rPr>
                <w:rFonts w:hint="eastAsia"/>
                <w:color w:val="auto"/>
                <w:sz w:val="21"/>
                <w:szCs w:val="21"/>
              </w:rPr>
              <w:t>职称</w:t>
            </w:r>
            <w:r>
              <w:rPr>
                <w:rFonts w:hint="eastAsia"/>
                <w:color w:val="auto"/>
                <w:sz w:val="21"/>
                <w:szCs w:val="21"/>
                <w:lang w:val="en-US" w:eastAsia="zh-CN"/>
              </w:rPr>
              <w:t>或证书名称</w:t>
            </w:r>
          </w:p>
        </w:tc>
        <w:tc>
          <w:tcPr>
            <w:tcW w:w="1327" w:type="dxa"/>
            <w:vAlign w:val="top"/>
          </w:tcPr>
          <w:p w14:paraId="7C91B2B1">
            <w:pPr>
              <w:pStyle w:val="27"/>
              <w:snapToGrid w:val="0"/>
              <w:spacing w:line="440" w:lineRule="exact"/>
              <w:jc w:val="center"/>
              <w:rPr>
                <w:color w:val="auto"/>
                <w:sz w:val="21"/>
                <w:szCs w:val="21"/>
              </w:rPr>
            </w:pPr>
            <w:r>
              <w:rPr>
                <w:rFonts w:hint="eastAsia"/>
                <w:color w:val="auto"/>
                <w:sz w:val="21"/>
                <w:szCs w:val="21"/>
              </w:rPr>
              <w:t>证书编号</w:t>
            </w:r>
          </w:p>
        </w:tc>
        <w:tc>
          <w:tcPr>
            <w:tcW w:w="1327" w:type="dxa"/>
            <w:vAlign w:val="top"/>
          </w:tcPr>
          <w:p w14:paraId="2F9E5305">
            <w:pPr>
              <w:pStyle w:val="27"/>
              <w:snapToGrid w:val="0"/>
              <w:spacing w:line="440" w:lineRule="exact"/>
              <w:jc w:val="center"/>
              <w:rPr>
                <w:color w:val="auto"/>
                <w:sz w:val="21"/>
                <w:szCs w:val="21"/>
              </w:rPr>
            </w:pPr>
            <w:r>
              <w:rPr>
                <w:rFonts w:hint="eastAsia"/>
                <w:color w:val="auto"/>
                <w:sz w:val="21"/>
                <w:szCs w:val="21"/>
              </w:rPr>
              <w:t>发证部门</w:t>
            </w:r>
          </w:p>
        </w:tc>
        <w:tc>
          <w:tcPr>
            <w:tcW w:w="1648" w:type="dxa"/>
            <w:vAlign w:val="top"/>
          </w:tcPr>
          <w:p w14:paraId="66A77FEB">
            <w:pPr>
              <w:pStyle w:val="27"/>
              <w:snapToGrid w:val="0"/>
              <w:spacing w:line="440" w:lineRule="exact"/>
              <w:jc w:val="center"/>
              <w:rPr>
                <w:color w:val="auto"/>
                <w:sz w:val="21"/>
                <w:szCs w:val="21"/>
              </w:rPr>
            </w:pPr>
            <w:r>
              <w:rPr>
                <w:rFonts w:hint="eastAsia"/>
                <w:color w:val="auto"/>
                <w:sz w:val="21"/>
                <w:szCs w:val="21"/>
              </w:rPr>
              <w:t>持证有效期</w:t>
            </w:r>
          </w:p>
        </w:tc>
      </w:tr>
      <w:tr w14:paraId="36D42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7FB245B2">
            <w:pPr>
              <w:pStyle w:val="27"/>
              <w:snapToGrid w:val="0"/>
              <w:spacing w:line="440" w:lineRule="exact"/>
              <w:ind w:left="-27" w:firstLine="370"/>
              <w:rPr>
                <w:color w:val="auto"/>
                <w:sz w:val="21"/>
                <w:szCs w:val="21"/>
              </w:rPr>
            </w:pPr>
          </w:p>
        </w:tc>
        <w:tc>
          <w:tcPr>
            <w:tcW w:w="1326" w:type="dxa"/>
          </w:tcPr>
          <w:p w14:paraId="19B61B8A">
            <w:pPr>
              <w:pStyle w:val="27"/>
              <w:snapToGrid w:val="0"/>
              <w:spacing w:line="440" w:lineRule="exact"/>
              <w:ind w:left="-27" w:firstLine="370"/>
              <w:rPr>
                <w:color w:val="auto"/>
                <w:sz w:val="21"/>
                <w:szCs w:val="21"/>
              </w:rPr>
            </w:pPr>
          </w:p>
        </w:tc>
        <w:tc>
          <w:tcPr>
            <w:tcW w:w="1327" w:type="dxa"/>
          </w:tcPr>
          <w:p w14:paraId="66CF5CD6">
            <w:pPr>
              <w:pStyle w:val="27"/>
              <w:snapToGrid w:val="0"/>
              <w:spacing w:line="440" w:lineRule="exact"/>
              <w:ind w:left="-27" w:firstLine="370"/>
              <w:rPr>
                <w:color w:val="auto"/>
                <w:sz w:val="21"/>
                <w:szCs w:val="21"/>
              </w:rPr>
            </w:pPr>
          </w:p>
        </w:tc>
        <w:tc>
          <w:tcPr>
            <w:tcW w:w="1327" w:type="dxa"/>
          </w:tcPr>
          <w:p w14:paraId="7F813A22">
            <w:pPr>
              <w:pStyle w:val="27"/>
              <w:snapToGrid w:val="0"/>
              <w:spacing w:line="440" w:lineRule="exact"/>
              <w:ind w:left="-27" w:firstLine="370"/>
              <w:rPr>
                <w:color w:val="auto"/>
                <w:sz w:val="21"/>
                <w:szCs w:val="21"/>
              </w:rPr>
            </w:pPr>
          </w:p>
        </w:tc>
        <w:tc>
          <w:tcPr>
            <w:tcW w:w="1327" w:type="dxa"/>
          </w:tcPr>
          <w:p w14:paraId="431C499E">
            <w:pPr>
              <w:pStyle w:val="27"/>
              <w:snapToGrid w:val="0"/>
              <w:spacing w:line="440" w:lineRule="exact"/>
              <w:ind w:left="-27" w:firstLine="370"/>
              <w:rPr>
                <w:color w:val="auto"/>
                <w:sz w:val="21"/>
                <w:szCs w:val="21"/>
              </w:rPr>
            </w:pPr>
          </w:p>
        </w:tc>
        <w:tc>
          <w:tcPr>
            <w:tcW w:w="1648" w:type="dxa"/>
          </w:tcPr>
          <w:p w14:paraId="14C31B90">
            <w:pPr>
              <w:pStyle w:val="27"/>
              <w:snapToGrid w:val="0"/>
              <w:spacing w:line="440" w:lineRule="exact"/>
              <w:ind w:left="-27" w:firstLine="370"/>
              <w:rPr>
                <w:color w:val="auto"/>
                <w:sz w:val="21"/>
                <w:szCs w:val="21"/>
              </w:rPr>
            </w:pPr>
          </w:p>
        </w:tc>
      </w:tr>
      <w:tr w14:paraId="37875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7F4FE15B">
            <w:pPr>
              <w:pStyle w:val="27"/>
              <w:snapToGrid w:val="0"/>
              <w:spacing w:line="440" w:lineRule="exact"/>
              <w:ind w:left="-27" w:firstLine="370"/>
              <w:rPr>
                <w:color w:val="auto"/>
                <w:sz w:val="21"/>
                <w:szCs w:val="21"/>
              </w:rPr>
            </w:pPr>
          </w:p>
        </w:tc>
        <w:tc>
          <w:tcPr>
            <w:tcW w:w="1326" w:type="dxa"/>
          </w:tcPr>
          <w:p w14:paraId="4561801F">
            <w:pPr>
              <w:pStyle w:val="27"/>
              <w:snapToGrid w:val="0"/>
              <w:spacing w:line="440" w:lineRule="exact"/>
              <w:ind w:left="-27" w:firstLine="370"/>
              <w:rPr>
                <w:color w:val="auto"/>
                <w:sz w:val="21"/>
                <w:szCs w:val="21"/>
              </w:rPr>
            </w:pPr>
          </w:p>
        </w:tc>
        <w:tc>
          <w:tcPr>
            <w:tcW w:w="1327" w:type="dxa"/>
          </w:tcPr>
          <w:p w14:paraId="54487021">
            <w:pPr>
              <w:pStyle w:val="27"/>
              <w:snapToGrid w:val="0"/>
              <w:spacing w:line="440" w:lineRule="exact"/>
              <w:ind w:left="-27" w:firstLine="370"/>
              <w:rPr>
                <w:color w:val="auto"/>
                <w:sz w:val="21"/>
                <w:szCs w:val="21"/>
              </w:rPr>
            </w:pPr>
          </w:p>
        </w:tc>
        <w:tc>
          <w:tcPr>
            <w:tcW w:w="1327" w:type="dxa"/>
          </w:tcPr>
          <w:p w14:paraId="00134477">
            <w:pPr>
              <w:pStyle w:val="27"/>
              <w:snapToGrid w:val="0"/>
              <w:spacing w:line="440" w:lineRule="exact"/>
              <w:ind w:left="-27" w:firstLine="370"/>
              <w:rPr>
                <w:color w:val="auto"/>
                <w:sz w:val="21"/>
                <w:szCs w:val="21"/>
              </w:rPr>
            </w:pPr>
          </w:p>
        </w:tc>
        <w:tc>
          <w:tcPr>
            <w:tcW w:w="1327" w:type="dxa"/>
          </w:tcPr>
          <w:p w14:paraId="2E44BAE8">
            <w:pPr>
              <w:pStyle w:val="27"/>
              <w:snapToGrid w:val="0"/>
              <w:spacing w:line="440" w:lineRule="exact"/>
              <w:ind w:left="-27" w:firstLine="370"/>
              <w:rPr>
                <w:color w:val="auto"/>
                <w:sz w:val="21"/>
                <w:szCs w:val="21"/>
              </w:rPr>
            </w:pPr>
          </w:p>
        </w:tc>
        <w:tc>
          <w:tcPr>
            <w:tcW w:w="1648" w:type="dxa"/>
          </w:tcPr>
          <w:p w14:paraId="1A2F2D76">
            <w:pPr>
              <w:pStyle w:val="27"/>
              <w:snapToGrid w:val="0"/>
              <w:spacing w:line="440" w:lineRule="exact"/>
              <w:ind w:left="-27" w:firstLine="370"/>
              <w:rPr>
                <w:color w:val="auto"/>
                <w:sz w:val="21"/>
                <w:szCs w:val="21"/>
              </w:rPr>
            </w:pPr>
          </w:p>
        </w:tc>
      </w:tr>
      <w:tr w14:paraId="3BD75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26" w:type="dxa"/>
          </w:tcPr>
          <w:p w14:paraId="20767286">
            <w:pPr>
              <w:pStyle w:val="27"/>
              <w:snapToGrid w:val="0"/>
              <w:spacing w:line="440" w:lineRule="exact"/>
              <w:ind w:left="-27" w:firstLine="370"/>
              <w:rPr>
                <w:color w:val="auto"/>
                <w:sz w:val="21"/>
                <w:szCs w:val="21"/>
              </w:rPr>
            </w:pPr>
          </w:p>
        </w:tc>
        <w:tc>
          <w:tcPr>
            <w:tcW w:w="1326" w:type="dxa"/>
          </w:tcPr>
          <w:p w14:paraId="5D9D114A">
            <w:pPr>
              <w:pStyle w:val="27"/>
              <w:snapToGrid w:val="0"/>
              <w:spacing w:line="440" w:lineRule="exact"/>
              <w:ind w:left="-27" w:firstLine="370"/>
              <w:rPr>
                <w:color w:val="auto"/>
                <w:sz w:val="21"/>
                <w:szCs w:val="21"/>
              </w:rPr>
            </w:pPr>
          </w:p>
        </w:tc>
        <w:tc>
          <w:tcPr>
            <w:tcW w:w="1327" w:type="dxa"/>
          </w:tcPr>
          <w:p w14:paraId="58E16165">
            <w:pPr>
              <w:pStyle w:val="27"/>
              <w:snapToGrid w:val="0"/>
              <w:spacing w:line="440" w:lineRule="exact"/>
              <w:ind w:left="-27" w:firstLine="370"/>
              <w:rPr>
                <w:color w:val="auto"/>
                <w:sz w:val="21"/>
                <w:szCs w:val="21"/>
              </w:rPr>
            </w:pPr>
          </w:p>
        </w:tc>
        <w:tc>
          <w:tcPr>
            <w:tcW w:w="1327" w:type="dxa"/>
          </w:tcPr>
          <w:p w14:paraId="2BBCAEFD">
            <w:pPr>
              <w:pStyle w:val="27"/>
              <w:snapToGrid w:val="0"/>
              <w:spacing w:line="440" w:lineRule="exact"/>
              <w:ind w:left="-27" w:firstLine="370"/>
              <w:rPr>
                <w:color w:val="auto"/>
                <w:sz w:val="21"/>
                <w:szCs w:val="21"/>
              </w:rPr>
            </w:pPr>
          </w:p>
        </w:tc>
        <w:tc>
          <w:tcPr>
            <w:tcW w:w="1327" w:type="dxa"/>
          </w:tcPr>
          <w:p w14:paraId="032F8F0E">
            <w:pPr>
              <w:pStyle w:val="27"/>
              <w:snapToGrid w:val="0"/>
              <w:spacing w:line="440" w:lineRule="exact"/>
              <w:ind w:left="-27" w:firstLine="370"/>
              <w:rPr>
                <w:color w:val="auto"/>
                <w:sz w:val="21"/>
                <w:szCs w:val="21"/>
              </w:rPr>
            </w:pPr>
          </w:p>
        </w:tc>
        <w:tc>
          <w:tcPr>
            <w:tcW w:w="1648" w:type="dxa"/>
          </w:tcPr>
          <w:p w14:paraId="018C24BF">
            <w:pPr>
              <w:pStyle w:val="27"/>
              <w:snapToGrid w:val="0"/>
              <w:spacing w:line="440" w:lineRule="exact"/>
              <w:ind w:left="-27" w:firstLine="370"/>
              <w:rPr>
                <w:color w:val="auto"/>
                <w:sz w:val="21"/>
                <w:szCs w:val="21"/>
              </w:rPr>
            </w:pPr>
          </w:p>
        </w:tc>
      </w:tr>
      <w:tr w14:paraId="06AF3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6C785869">
            <w:pPr>
              <w:pStyle w:val="27"/>
              <w:snapToGrid w:val="0"/>
              <w:spacing w:line="440" w:lineRule="exact"/>
              <w:ind w:left="-27" w:firstLine="370"/>
              <w:rPr>
                <w:color w:val="auto"/>
                <w:sz w:val="21"/>
                <w:szCs w:val="21"/>
              </w:rPr>
            </w:pPr>
          </w:p>
        </w:tc>
        <w:tc>
          <w:tcPr>
            <w:tcW w:w="1326" w:type="dxa"/>
          </w:tcPr>
          <w:p w14:paraId="00CD9E5B">
            <w:pPr>
              <w:pStyle w:val="27"/>
              <w:snapToGrid w:val="0"/>
              <w:spacing w:line="440" w:lineRule="exact"/>
              <w:ind w:left="-27" w:firstLine="370"/>
              <w:rPr>
                <w:color w:val="auto"/>
                <w:sz w:val="21"/>
                <w:szCs w:val="21"/>
              </w:rPr>
            </w:pPr>
          </w:p>
        </w:tc>
        <w:tc>
          <w:tcPr>
            <w:tcW w:w="1327" w:type="dxa"/>
          </w:tcPr>
          <w:p w14:paraId="65EE3424">
            <w:pPr>
              <w:pStyle w:val="27"/>
              <w:snapToGrid w:val="0"/>
              <w:spacing w:line="440" w:lineRule="exact"/>
              <w:ind w:left="-27" w:firstLine="370"/>
              <w:rPr>
                <w:color w:val="auto"/>
                <w:sz w:val="21"/>
                <w:szCs w:val="21"/>
              </w:rPr>
            </w:pPr>
          </w:p>
        </w:tc>
        <w:tc>
          <w:tcPr>
            <w:tcW w:w="1327" w:type="dxa"/>
          </w:tcPr>
          <w:p w14:paraId="1C982363">
            <w:pPr>
              <w:pStyle w:val="27"/>
              <w:snapToGrid w:val="0"/>
              <w:spacing w:line="440" w:lineRule="exact"/>
              <w:ind w:left="-27" w:firstLine="370"/>
              <w:rPr>
                <w:color w:val="auto"/>
                <w:sz w:val="21"/>
                <w:szCs w:val="21"/>
              </w:rPr>
            </w:pPr>
          </w:p>
        </w:tc>
        <w:tc>
          <w:tcPr>
            <w:tcW w:w="1327" w:type="dxa"/>
          </w:tcPr>
          <w:p w14:paraId="355A5218">
            <w:pPr>
              <w:pStyle w:val="27"/>
              <w:snapToGrid w:val="0"/>
              <w:spacing w:line="440" w:lineRule="exact"/>
              <w:ind w:left="-27" w:firstLine="370"/>
              <w:rPr>
                <w:color w:val="auto"/>
                <w:sz w:val="21"/>
                <w:szCs w:val="21"/>
              </w:rPr>
            </w:pPr>
          </w:p>
        </w:tc>
        <w:tc>
          <w:tcPr>
            <w:tcW w:w="1648" w:type="dxa"/>
          </w:tcPr>
          <w:p w14:paraId="43A59761">
            <w:pPr>
              <w:pStyle w:val="27"/>
              <w:snapToGrid w:val="0"/>
              <w:spacing w:line="440" w:lineRule="exact"/>
              <w:ind w:left="-27" w:firstLine="370"/>
              <w:rPr>
                <w:color w:val="auto"/>
                <w:sz w:val="21"/>
                <w:szCs w:val="21"/>
              </w:rPr>
            </w:pPr>
          </w:p>
        </w:tc>
      </w:tr>
      <w:tr w14:paraId="03E28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7657D3DA">
            <w:pPr>
              <w:pStyle w:val="27"/>
              <w:snapToGrid w:val="0"/>
              <w:spacing w:line="440" w:lineRule="exact"/>
              <w:ind w:left="-27" w:firstLine="370"/>
              <w:rPr>
                <w:color w:val="auto"/>
                <w:sz w:val="21"/>
                <w:szCs w:val="21"/>
              </w:rPr>
            </w:pPr>
          </w:p>
        </w:tc>
        <w:tc>
          <w:tcPr>
            <w:tcW w:w="1326" w:type="dxa"/>
          </w:tcPr>
          <w:p w14:paraId="0BAE856D">
            <w:pPr>
              <w:pStyle w:val="27"/>
              <w:snapToGrid w:val="0"/>
              <w:spacing w:line="440" w:lineRule="exact"/>
              <w:ind w:left="-27" w:firstLine="370"/>
              <w:rPr>
                <w:color w:val="auto"/>
                <w:sz w:val="21"/>
                <w:szCs w:val="21"/>
              </w:rPr>
            </w:pPr>
          </w:p>
        </w:tc>
        <w:tc>
          <w:tcPr>
            <w:tcW w:w="1327" w:type="dxa"/>
          </w:tcPr>
          <w:p w14:paraId="1705D38A">
            <w:pPr>
              <w:pStyle w:val="27"/>
              <w:snapToGrid w:val="0"/>
              <w:spacing w:line="440" w:lineRule="exact"/>
              <w:ind w:left="-27" w:firstLine="370"/>
              <w:rPr>
                <w:color w:val="auto"/>
                <w:sz w:val="21"/>
                <w:szCs w:val="21"/>
              </w:rPr>
            </w:pPr>
          </w:p>
        </w:tc>
        <w:tc>
          <w:tcPr>
            <w:tcW w:w="1327" w:type="dxa"/>
          </w:tcPr>
          <w:p w14:paraId="70E16483">
            <w:pPr>
              <w:pStyle w:val="27"/>
              <w:snapToGrid w:val="0"/>
              <w:spacing w:line="440" w:lineRule="exact"/>
              <w:ind w:left="-27" w:firstLine="370"/>
              <w:rPr>
                <w:color w:val="auto"/>
                <w:sz w:val="21"/>
                <w:szCs w:val="21"/>
              </w:rPr>
            </w:pPr>
          </w:p>
        </w:tc>
        <w:tc>
          <w:tcPr>
            <w:tcW w:w="1327" w:type="dxa"/>
          </w:tcPr>
          <w:p w14:paraId="39E0C4B2">
            <w:pPr>
              <w:pStyle w:val="27"/>
              <w:snapToGrid w:val="0"/>
              <w:spacing w:line="440" w:lineRule="exact"/>
              <w:ind w:left="-27" w:firstLine="370"/>
              <w:rPr>
                <w:color w:val="auto"/>
                <w:sz w:val="21"/>
                <w:szCs w:val="21"/>
              </w:rPr>
            </w:pPr>
          </w:p>
        </w:tc>
        <w:tc>
          <w:tcPr>
            <w:tcW w:w="1648" w:type="dxa"/>
          </w:tcPr>
          <w:p w14:paraId="6CE4C4E5">
            <w:pPr>
              <w:pStyle w:val="27"/>
              <w:snapToGrid w:val="0"/>
              <w:spacing w:line="440" w:lineRule="exact"/>
              <w:ind w:left="-27" w:firstLine="370"/>
              <w:rPr>
                <w:color w:val="auto"/>
                <w:sz w:val="21"/>
                <w:szCs w:val="21"/>
              </w:rPr>
            </w:pPr>
          </w:p>
        </w:tc>
      </w:tr>
    </w:tbl>
    <w:p w14:paraId="1D723931">
      <w:pPr>
        <w:pStyle w:val="27"/>
        <w:snapToGrid w:val="0"/>
        <w:spacing w:line="440" w:lineRule="exact"/>
        <w:ind w:left="-27" w:firstLine="370"/>
        <w:rPr>
          <w:color w:val="auto"/>
          <w:sz w:val="21"/>
          <w:szCs w:val="21"/>
        </w:rPr>
      </w:pPr>
      <w:r>
        <w:rPr>
          <w:rFonts w:hint="eastAsia"/>
          <w:color w:val="auto"/>
          <w:sz w:val="21"/>
          <w:szCs w:val="21"/>
        </w:rPr>
        <w:t>注：附学历职称</w:t>
      </w:r>
      <w:r>
        <w:rPr>
          <w:rFonts w:hint="eastAsia"/>
          <w:color w:val="auto"/>
          <w:sz w:val="21"/>
          <w:szCs w:val="21"/>
          <w:lang w:val="en-US" w:eastAsia="zh-CN"/>
        </w:rPr>
        <w:t>和其他</w:t>
      </w:r>
      <w:r>
        <w:rPr>
          <w:rFonts w:hint="eastAsia"/>
          <w:color w:val="auto"/>
          <w:sz w:val="21"/>
          <w:szCs w:val="21"/>
        </w:rPr>
        <w:t>证书复印件、与用人单位签订的劳动合同复印件（含个人基本资料、批准项目内容）</w:t>
      </w:r>
      <w:r>
        <w:rPr>
          <w:rFonts w:hint="eastAsia"/>
          <w:color w:val="auto"/>
          <w:sz w:val="21"/>
          <w:szCs w:val="21"/>
          <w:lang w:val="en-US" w:eastAsia="zh-CN"/>
        </w:rPr>
        <w:t>或社保证明材料</w:t>
      </w:r>
      <w:r>
        <w:rPr>
          <w:rFonts w:hint="eastAsia"/>
          <w:color w:val="auto"/>
          <w:sz w:val="21"/>
          <w:szCs w:val="21"/>
        </w:rPr>
        <w:t>。</w:t>
      </w:r>
    </w:p>
    <w:p w14:paraId="1DE8AF36">
      <w:pPr>
        <w:pStyle w:val="27"/>
        <w:spacing w:line="360" w:lineRule="auto"/>
        <w:ind w:left="-27" w:firstLine="422"/>
        <w:rPr>
          <w:rFonts w:ascii="Times New Roman" w:hAnsi="Times New Roman"/>
          <w:color w:val="auto"/>
          <w:sz w:val="24"/>
          <w:szCs w:val="24"/>
        </w:rPr>
      </w:pPr>
    </w:p>
    <w:p w14:paraId="5DC5E4FE">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67ED78EC">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5A757D8B">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14:paraId="1266D56F">
      <w:pPr>
        <w:pStyle w:val="6"/>
        <w:ind w:left="0" w:firstLine="0"/>
        <w:jc w:val="left"/>
        <w:outlineLvl w:val="9"/>
        <w:rPr>
          <w:rFonts w:ascii="黑体" w:hAnsi="黑体" w:eastAsia="黑体" w:cs="黑体"/>
          <w:color w:val="auto"/>
          <w:sz w:val="24"/>
          <w:szCs w:val="24"/>
        </w:rPr>
      </w:pPr>
    </w:p>
    <w:p w14:paraId="5922677E">
      <w:pPr>
        <w:pStyle w:val="6"/>
        <w:ind w:left="0" w:firstLine="0"/>
        <w:outlineLvl w:val="0"/>
        <w:rPr>
          <w:color w:val="auto"/>
        </w:rPr>
      </w:pPr>
      <w:bookmarkStart w:id="813" w:name="_Toc8944_WPSOffice_Level1"/>
      <w:bookmarkStart w:id="814" w:name="_Toc31661"/>
      <w:bookmarkStart w:id="815" w:name="_Toc20727_WPSOffice_Level1"/>
      <w:bookmarkStart w:id="816" w:name="_Toc2271"/>
      <w:bookmarkStart w:id="817" w:name="_Toc15835"/>
      <w:bookmarkStart w:id="818" w:name="_Toc14194"/>
      <w:bookmarkStart w:id="819" w:name="_Toc3296"/>
      <w:bookmarkStart w:id="820" w:name="_Toc29121"/>
      <w:bookmarkStart w:id="821" w:name="_Toc30223"/>
      <w:bookmarkStart w:id="822" w:name="_Toc10021"/>
      <w:bookmarkStart w:id="823" w:name="_Toc13735"/>
      <w:bookmarkStart w:id="824" w:name="_Toc20288"/>
      <w:r>
        <w:rPr>
          <w:rFonts w:hint="eastAsia"/>
          <w:color w:val="auto"/>
        </w:rPr>
        <w:t>（10）关于对磋商文件中有关条款的拒绝声明</w:t>
      </w:r>
      <w:bookmarkEnd w:id="767"/>
      <w:r>
        <w:rPr>
          <w:rFonts w:hint="eastAsia"/>
          <w:color w:val="auto"/>
        </w:rPr>
        <w:t>(如有)</w:t>
      </w:r>
      <w:bookmarkEnd w:id="813"/>
      <w:bookmarkEnd w:id="814"/>
      <w:bookmarkEnd w:id="815"/>
      <w:bookmarkEnd w:id="816"/>
      <w:bookmarkEnd w:id="817"/>
      <w:bookmarkEnd w:id="818"/>
      <w:bookmarkEnd w:id="819"/>
      <w:bookmarkEnd w:id="820"/>
      <w:bookmarkEnd w:id="821"/>
      <w:bookmarkEnd w:id="822"/>
      <w:bookmarkEnd w:id="823"/>
      <w:bookmarkEnd w:id="824"/>
      <w:r>
        <w:rPr>
          <w:rFonts w:hint="eastAsia"/>
          <w:color w:val="auto"/>
        </w:rPr>
        <w:t xml:space="preserve"> </w:t>
      </w:r>
    </w:p>
    <w:bookmarkEnd w:id="274"/>
    <w:bookmarkEnd w:id="608"/>
    <w:p w14:paraId="34948F35">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69F2DDD6">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3FE5986E">
      <w:pPr>
        <w:spacing w:before="312" w:beforeLines="100" w:after="312" w:afterLines="100"/>
        <w:jc w:val="left"/>
        <w:rPr>
          <w:color w:val="auto"/>
          <w:sz w:val="24"/>
        </w:rPr>
      </w:pPr>
      <w:r>
        <w:rPr>
          <w:rFonts w:hint="eastAsia" w:ascii="宋体" w:hAnsi="宋体" w:cs="宋体"/>
          <w:color w:val="auto"/>
          <w:sz w:val="24"/>
        </w:rPr>
        <w:t>日期：      年   月   日</w:t>
      </w:r>
    </w:p>
    <w:p w14:paraId="2514176A">
      <w:pPr>
        <w:pStyle w:val="6"/>
        <w:ind w:left="0" w:firstLine="0"/>
        <w:jc w:val="left"/>
        <w:outlineLvl w:val="0"/>
        <w:rPr>
          <w:color w:val="auto"/>
        </w:rPr>
      </w:pPr>
      <w:bookmarkStart w:id="825" w:name="_Toc13752_WPSOffice_Level1"/>
      <w:bookmarkStart w:id="826" w:name="_Toc19759_WPSOffice_Level1"/>
      <w:r>
        <w:rPr>
          <w:rFonts w:hint="eastAsia"/>
          <w:color w:val="auto"/>
        </w:rPr>
        <w:t>评分标准索引表</w:t>
      </w:r>
      <w:bookmarkEnd w:id="825"/>
      <w:bookmarkEnd w:id="826"/>
    </w:p>
    <w:p w14:paraId="3F828DB0">
      <w:pPr>
        <w:jc w:val="center"/>
        <w:outlineLvl w:val="0"/>
        <w:rPr>
          <w:color w:val="auto"/>
          <w:sz w:val="36"/>
          <w:szCs w:val="36"/>
        </w:rPr>
      </w:pPr>
      <w:bookmarkStart w:id="827" w:name="_Toc25465_WPSOffice_Level1"/>
      <w:bookmarkStart w:id="828" w:name="_Toc2847_WPSOffice_Level1"/>
      <w:r>
        <w:rPr>
          <w:rFonts w:hint="eastAsia"/>
          <w:color w:val="auto"/>
          <w:sz w:val="36"/>
          <w:szCs w:val="36"/>
        </w:rPr>
        <w:t>评分标准索引表</w:t>
      </w:r>
      <w:bookmarkEnd w:id="827"/>
      <w:bookmarkEnd w:id="828"/>
    </w:p>
    <w:tbl>
      <w:tblPr>
        <w:tblStyle w:val="45"/>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30E38E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5D0BEF04">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73961760">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54793B23">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14:paraId="14AB28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7D227C5C">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14:paraId="50B8F9D6">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4AA6D78C">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49B9FC91">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08046135">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14:paraId="48C09C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14:paraId="44BD58B2">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41C591C">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1933A7BD">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5B83BF8">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6F4A6A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0C478B46">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F0C5758">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BD5011A">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46852C3">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1EA270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0C53B610">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61C94FF">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6FF3CA5C">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4624F5E">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450302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2D95F572">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4CF2C92">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6036DC1">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0C376D9B">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45CDF1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79FFD606">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E2A0F2C">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1989D09">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962A9CF">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21E5DA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329A35B1">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BB77CDF">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6CB1C3EB">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2F75006">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2E731B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617F921B">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14:paraId="768C39B9">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438E8A45">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79F2AF0F">
            <w:pPr>
              <w:jc w:val="left"/>
              <w:rPr>
                <w:rFonts w:ascii="楷体_GB2312" w:eastAsia="楷体_GB2312"/>
                <w:color w:val="auto"/>
                <w:sz w:val="24"/>
                <w:szCs w:val="24"/>
              </w:rPr>
            </w:pPr>
            <w:r>
              <w:rPr>
                <w:rFonts w:hint="eastAsia" w:ascii="仿宋_GB2312" w:eastAsia="仿宋_GB2312"/>
                <w:color w:val="auto"/>
                <w:sz w:val="24"/>
                <w:szCs w:val="24"/>
              </w:rPr>
              <w:t>第XX-XX页</w:t>
            </w:r>
          </w:p>
        </w:tc>
      </w:tr>
      <w:tr w14:paraId="667D87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1FE5717D">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4E43F93D">
            <w:pPr>
              <w:rPr>
                <w:color w:val="auto"/>
                <w:sz w:val="24"/>
                <w:szCs w:val="24"/>
              </w:rPr>
            </w:pPr>
          </w:p>
          <w:p w14:paraId="58F5AEDE">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42DE35A5">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5FB83077">
            <w:pPr>
              <w:jc w:val="left"/>
              <w:rPr>
                <w:rFonts w:ascii="楷体_GB2312" w:eastAsia="楷体_GB2312"/>
                <w:color w:val="auto"/>
                <w:sz w:val="24"/>
                <w:szCs w:val="24"/>
              </w:rPr>
            </w:pPr>
            <w:r>
              <w:rPr>
                <w:rFonts w:hint="eastAsia" w:ascii="仿宋_GB2312" w:eastAsia="仿宋_GB2312"/>
                <w:color w:val="auto"/>
                <w:sz w:val="24"/>
                <w:szCs w:val="24"/>
              </w:rPr>
              <w:t>……</w:t>
            </w:r>
          </w:p>
        </w:tc>
      </w:tr>
      <w:tr w14:paraId="32629B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7565F112">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09F17459">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034BD9EB">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4F35EED3">
            <w:pPr>
              <w:jc w:val="left"/>
              <w:rPr>
                <w:rFonts w:ascii="楷体_GB2312" w:eastAsia="楷体_GB2312"/>
                <w:color w:val="auto"/>
                <w:sz w:val="24"/>
                <w:szCs w:val="24"/>
              </w:rPr>
            </w:pPr>
          </w:p>
        </w:tc>
      </w:tr>
      <w:tr w14:paraId="7956C8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1E276983">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66FC7B0D">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0B5D4057">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1A0DA366">
            <w:pPr>
              <w:jc w:val="left"/>
              <w:rPr>
                <w:rFonts w:ascii="楷体_GB2312" w:eastAsia="楷体_GB2312"/>
                <w:color w:val="auto"/>
                <w:sz w:val="24"/>
                <w:szCs w:val="24"/>
              </w:rPr>
            </w:pPr>
          </w:p>
        </w:tc>
      </w:tr>
      <w:tr w14:paraId="0C6EC3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14:paraId="2F4D223A">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6154CF94">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18AB5539">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19F09F04">
            <w:pPr>
              <w:jc w:val="left"/>
              <w:rPr>
                <w:rFonts w:ascii="楷体_GB2312" w:eastAsia="楷体_GB2312"/>
                <w:color w:val="auto"/>
                <w:sz w:val="24"/>
                <w:szCs w:val="24"/>
              </w:rPr>
            </w:pPr>
          </w:p>
        </w:tc>
      </w:tr>
      <w:tr w14:paraId="0E3A2E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00CB23E2">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5A7D280">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672F6AA6">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127F76B0">
            <w:pPr>
              <w:jc w:val="left"/>
              <w:rPr>
                <w:rFonts w:ascii="楷体_GB2312" w:eastAsia="楷体_GB2312"/>
                <w:color w:val="auto"/>
                <w:sz w:val="24"/>
                <w:szCs w:val="24"/>
              </w:rPr>
            </w:pPr>
          </w:p>
        </w:tc>
      </w:tr>
      <w:tr w14:paraId="4A4824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260ABB14">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64D9D648">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3A8AB640">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75978F83">
            <w:pPr>
              <w:jc w:val="left"/>
              <w:rPr>
                <w:rFonts w:ascii="楷体_GB2312" w:eastAsia="楷体_GB2312"/>
                <w:color w:val="auto"/>
                <w:sz w:val="24"/>
                <w:szCs w:val="24"/>
              </w:rPr>
            </w:pPr>
          </w:p>
        </w:tc>
      </w:tr>
    </w:tbl>
    <w:p w14:paraId="1AB595AA">
      <w:pPr>
        <w:pStyle w:val="8"/>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sectPr>
      <w:headerReference r:id="rId8" w:type="default"/>
      <w:footerReference r:id="rId9"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0000000000000000000"/>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Century Gothic">
    <w:altName w:val="Noto Naskh Arabic"/>
    <w:panose1 w:val="020B0502020202020204"/>
    <w:charset w:val="00"/>
    <w:family w:val="swiss"/>
    <w:pitch w:val="default"/>
    <w:sig w:usb0="00000000" w:usb1="00000000" w:usb2="00000000" w:usb3="00000000" w:csb0="2000009F" w:csb1="DFD70000"/>
  </w:font>
  <w:font w:name="Noto Naskh Arabic">
    <w:panose1 w:val="020B0502040504020204"/>
    <w:charset w:val="00"/>
    <w:family w:val="auto"/>
    <w:pitch w:val="default"/>
    <w:sig w:usb0="80002003" w:usb1="80002000" w:usb2="00000008" w:usb3="00000000" w:csb0="00000041" w:csb1="00080000"/>
  </w:font>
  <w:font w:name="楷体_GB2312">
    <w:altName w:val="方正楷体_GBK"/>
    <w:panose1 w:val="00000000000000000000"/>
    <w:charset w:val="86"/>
    <w:family w:val="modern"/>
    <w:pitch w:val="default"/>
    <w:sig w:usb0="00000000" w:usb1="00000000" w:usb2="00000000" w:usb3="00000000" w:csb0="00040000" w:csb1="00000000"/>
  </w:font>
  <w:font w:name="??">
    <w:altName w:val="汉仪叶叶相思体简"/>
    <w:panose1 w:val="00000000000000000000"/>
    <w:charset w:val="00"/>
    <w:family w:val="roman"/>
    <w:pitch w:val="default"/>
    <w:sig w:usb0="00000000" w:usb1="00000000" w:usb2="00000000" w:usb3="00000000" w:csb0="00000001" w:csb1="00000000"/>
  </w:font>
  <w:font w:name="汉仪叶叶相思体简">
    <w:panose1 w:val="02010509060101010101"/>
    <w:charset w:val="86"/>
    <w:family w:val="auto"/>
    <w:pitch w:val="default"/>
    <w:sig w:usb0="00000001" w:usb1="080E0000" w:usb2="00000000" w:usb3="00000000" w:csb0="00040000" w:csb1="00000000"/>
  </w:font>
  <w:font w:name="Times">
    <w:altName w:val="DejaVu Sans"/>
    <w:panose1 w:val="02020603050405020304"/>
    <w:charset w:val="00"/>
    <w:family w:val="roman"/>
    <w:pitch w:val="default"/>
    <w:sig w:usb0="00000000" w:usb1="00000000" w:usb2="00000008" w:usb3="00000000" w:csb0="000001FF" w:csb1="00000000"/>
  </w:font>
  <w:font w:name="Arial Narrow">
    <w:altName w:val="DejaVu Sans"/>
    <w:panose1 w:val="020B0606020202030204"/>
    <w:charset w:val="00"/>
    <w:family w:val="swiss"/>
    <w:pitch w:val="default"/>
    <w:sig w:usb0="00000000" w:usb1="00000000" w:usb2="00000000" w:usb3="00000000" w:csb0="2000009F" w:csb1="DFD70000"/>
  </w:font>
  <w:font w:name="Tahoma">
    <w:altName w:val="DejaVu Sans"/>
    <w:panose1 w:val="020B0604030504040204"/>
    <w:charset w:val="00"/>
    <w:family w:val="swiss"/>
    <w:pitch w:val="default"/>
    <w:sig w:usb0="00000000" w:usb1="00000000" w:usb2="00000029" w:usb3="00000000" w:csb0="200101FF" w:csb1="20280000"/>
  </w:font>
  <w:font w:name="Verdana">
    <w:altName w:val="DejaVu Sans"/>
    <w:panose1 w:val="020B0604030504040204"/>
    <w:charset w:val="00"/>
    <w:family w:val="swiss"/>
    <w:pitch w:val="default"/>
    <w:sig w:usb0="00000000" w:usb1="00000000" w:usb2="00000010" w:usb3="00000000" w:csb0="2000019F" w:csb1="00000000"/>
  </w:font>
  <w:font w:name="Arial Unicode MS">
    <w:altName w:val="DejaVu Sans"/>
    <w:panose1 w:val="020B0604020202020204"/>
    <w:charset w:val="86"/>
    <w:family w:val="auto"/>
    <w:pitch w:val="default"/>
    <w:sig w:usb0="00000000" w:usb1="00000000" w:usb2="0000003F" w:usb3="00000000" w:csb0="603F01FF" w:csb1="FFFF0000"/>
  </w:font>
  <w:font w:name="MS Mincho">
    <w:altName w:val="方正书宋_GBK"/>
    <w:panose1 w:val="02020609040205080304"/>
    <w:charset w:val="80"/>
    <w:family w:val="modern"/>
    <w:pitch w:val="default"/>
    <w:sig w:usb0="00000000" w:usb1="00000000" w:usb2="08000012" w:usb3="00000000" w:csb0="0002009F" w:csb1="00000000"/>
  </w:font>
  <w:font w:name="仿宋">
    <w:altName w:val="方正仿宋_GBK"/>
    <w:panose1 w:val="02010609060101010101"/>
    <w:charset w:val="86"/>
    <w:family w:val="modern"/>
    <w:pitch w:val="default"/>
    <w:sig w:usb0="00000000" w:usb1="00000000" w:usb2="00000016" w:usb3="00000000" w:csb0="00040001" w:csb1="00000000"/>
  </w:font>
  <w:font w:name="GWZT-EN">
    <w:panose1 w:val="02020400000000000000"/>
    <w:charset w:val="86"/>
    <w:family w:val="auto"/>
    <w:pitch w:val="default"/>
    <w:sig w:usb0="A00002BF" w:usb1="38CF7CFA" w:usb2="00082016" w:usb3="00000000" w:csb0="00040001" w:csb1="00000000"/>
  </w:font>
  <w:font w:name="国标宋体-超大字符集扩">
    <w:panose1 w:val="000005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47F495">
    <w:pPr>
      <w:pStyle w:val="32"/>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14:paraId="48D13C6B">
    <w:pPr>
      <w:pStyle w:val="3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2D272A54">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3B86DA38">
    <w:pPr>
      <w:pStyle w:val="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14:paraId="187AFC08">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3BAF4581">
    <w:pPr>
      <w:pStyle w:val="3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8745"/>
    </w:sdtPr>
    <w:sdtContent>
      <w:p w14:paraId="5581A34F">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109318E6">
    <w:pPr>
      <w:pStyle w:val="3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034460"/>
    </w:sdtPr>
    <w:sdtContent>
      <w:p w14:paraId="7A6519BA">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38E25BEE">
    <w:pPr>
      <w:pStyle w:val="32"/>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A3198">
    <w:pPr>
      <w:pStyle w:val="3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0096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2BCF89C"/>
    <w:multiLevelType w:val="singleLevel"/>
    <w:tmpl w:val="E2BCF89C"/>
    <w:lvl w:ilvl="0" w:tentative="0">
      <w:start w:val="2"/>
      <w:numFmt w:val="decimal"/>
      <w:suff w:val="space"/>
      <w:lvlText w:val="%1."/>
      <w:lvlJc w:val="left"/>
    </w:lvl>
  </w:abstractNum>
  <w:abstractNum w:abstractNumId="1">
    <w:nsid w:val="58232F2B"/>
    <w:multiLevelType w:val="singleLevel"/>
    <w:tmpl w:val="58232F2B"/>
    <w:lvl w:ilvl="0" w:tentative="0">
      <w:start w:val="1"/>
      <w:numFmt w:val="decimal"/>
      <w:suff w:val="nothing"/>
      <w:lvlText w:val="%1、"/>
      <w:lvlJc w:val="left"/>
      <w:rPr>
        <w:rFonts w:cs="Times New Roman"/>
      </w:rPr>
    </w:lvl>
  </w:abstractNum>
  <w:abstractNum w:abstractNumId="2">
    <w:nsid w:val="58233165"/>
    <w:multiLevelType w:val="singleLevel"/>
    <w:tmpl w:val="58233165"/>
    <w:lvl w:ilvl="0" w:tentative="0">
      <w:start w:val="1"/>
      <w:numFmt w:val="decimal"/>
      <w:suff w:val="nothing"/>
      <w:lvlText w:val="%1、"/>
      <w:lvlJc w:val="left"/>
      <w:rPr>
        <w:rFonts w:cs="Times New Roman"/>
      </w:rPr>
    </w:lvl>
  </w:abstractNum>
  <w:abstractNum w:abstractNumId="3">
    <w:nsid w:val="58302A53"/>
    <w:multiLevelType w:val="singleLevel"/>
    <w:tmpl w:val="58302A53"/>
    <w:lvl w:ilvl="0" w:tentative="0">
      <w:start w:val="1"/>
      <w:numFmt w:val="decimal"/>
      <w:suff w:val="nothing"/>
      <w:lvlText w:val="%1、"/>
      <w:lvlJc w:val="left"/>
      <w:rPr>
        <w:rFonts w:cs="Times New Roman"/>
      </w:rPr>
    </w:lvl>
  </w:abstractNum>
  <w:abstractNum w:abstractNumId="4">
    <w:nsid w:val="58303257"/>
    <w:multiLevelType w:val="singleLevel"/>
    <w:tmpl w:val="58303257"/>
    <w:lvl w:ilvl="0" w:tentative="0">
      <w:start w:val="4"/>
      <w:numFmt w:val="decimal"/>
      <w:suff w:val="nothing"/>
      <w:lvlText w:val="%1、"/>
      <w:lvlJc w:val="left"/>
      <w:rPr>
        <w:rFonts w:cs="Times New Roman"/>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3OGZlOWRlMDg5YTczYTE1NDkxNWZiZjA3Mjg0NjI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40069E"/>
    <w:rsid w:val="025F6B08"/>
    <w:rsid w:val="026A341E"/>
    <w:rsid w:val="02964D1B"/>
    <w:rsid w:val="029730A3"/>
    <w:rsid w:val="02A47215"/>
    <w:rsid w:val="02D12D2D"/>
    <w:rsid w:val="030335B6"/>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402321"/>
    <w:rsid w:val="06800FCE"/>
    <w:rsid w:val="068F69D2"/>
    <w:rsid w:val="06B04356"/>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7847D7"/>
    <w:rsid w:val="0BBC36C6"/>
    <w:rsid w:val="0BE10289"/>
    <w:rsid w:val="0BEE0DBC"/>
    <w:rsid w:val="0C174C18"/>
    <w:rsid w:val="0C211ED5"/>
    <w:rsid w:val="0C2E6932"/>
    <w:rsid w:val="0CBF7754"/>
    <w:rsid w:val="0CC528B5"/>
    <w:rsid w:val="0CDA3CA2"/>
    <w:rsid w:val="0CEE45DA"/>
    <w:rsid w:val="0D4E7977"/>
    <w:rsid w:val="0D532037"/>
    <w:rsid w:val="0D6E3A97"/>
    <w:rsid w:val="0D8D05A5"/>
    <w:rsid w:val="0E1C650B"/>
    <w:rsid w:val="0E6D27A8"/>
    <w:rsid w:val="0E795F8B"/>
    <w:rsid w:val="0ECA1B00"/>
    <w:rsid w:val="0ECF7F21"/>
    <w:rsid w:val="0EDE2DED"/>
    <w:rsid w:val="0F4F4A45"/>
    <w:rsid w:val="0F8A2BF1"/>
    <w:rsid w:val="0F996CAE"/>
    <w:rsid w:val="0FE11F6D"/>
    <w:rsid w:val="100D436D"/>
    <w:rsid w:val="10125DF6"/>
    <w:rsid w:val="10585C66"/>
    <w:rsid w:val="10655CF3"/>
    <w:rsid w:val="106A25F5"/>
    <w:rsid w:val="107D4D34"/>
    <w:rsid w:val="10E2258A"/>
    <w:rsid w:val="112F4308"/>
    <w:rsid w:val="113C7040"/>
    <w:rsid w:val="11566119"/>
    <w:rsid w:val="11662F70"/>
    <w:rsid w:val="11BD412D"/>
    <w:rsid w:val="11D70154"/>
    <w:rsid w:val="12160F3D"/>
    <w:rsid w:val="124F3295"/>
    <w:rsid w:val="129271C8"/>
    <w:rsid w:val="12942E23"/>
    <w:rsid w:val="12FB36A7"/>
    <w:rsid w:val="132B1A23"/>
    <w:rsid w:val="132C05DC"/>
    <w:rsid w:val="134276A3"/>
    <w:rsid w:val="134452EC"/>
    <w:rsid w:val="1348702C"/>
    <w:rsid w:val="135358EB"/>
    <w:rsid w:val="13A84B48"/>
    <w:rsid w:val="13F817FF"/>
    <w:rsid w:val="1443726E"/>
    <w:rsid w:val="144C002E"/>
    <w:rsid w:val="144D0E93"/>
    <w:rsid w:val="14576DE3"/>
    <w:rsid w:val="147B3BEE"/>
    <w:rsid w:val="148003C6"/>
    <w:rsid w:val="148E7F8B"/>
    <w:rsid w:val="149D0920"/>
    <w:rsid w:val="14BA1458"/>
    <w:rsid w:val="15971EE1"/>
    <w:rsid w:val="15B74962"/>
    <w:rsid w:val="15BA18AE"/>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00CA"/>
    <w:rsid w:val="19F46637"/>
    <w:rsid w:val="1A132B0D"/>
    <w:rsid w:val="1A391F9C"/>
    <w:rsid w:val="1A48253B"/>
    <w:rsid w:val="1A9C7638"/>
    <w:rsid w:val="1AD71F73"/>
    <w:rsid w:val="1ADC630F"/>
    <w:rsid w:val="1B0B2A6F"/>
    <w:rsid w:val="1B243D9B"/>
    <w:rsid w:val="1B724A2E"/>
    <w:rsid w:val="1B872A27"/>
    <w:rsid w:val="1BE50EE4"/>
    <w:rsid w:val="1BF62A92"/>
    <w:rsid w:val="1C147238"/>
    <w:rsid w:val="1C387BAF"/>
    <w:rsid w:val="1C656C23"/>
    <w:rsid w:val="1C830DC2"/>
    <w:rsid w:val="1CCB4DC5"/>
    <w:rsid w:val="1CCD7468"/>
    <w:rsid w:val="1CE11AAA"/>
    <w:rsid w:val="1CE722BA"/>
    <w:rsid w:val="1D787921"/>
    <w:rsid w:val="1D9C79B2"/>
    <w:rsid w:val="1E040B49"/>
    <w:rsid w:val="1E4D11E1"/>
    <w:rsid w:val="1E4E6DD0"/>
    <w:rsid w:val="1E846C1E"/>
    <w:rsid w:val="1EAD0322"/>
    <w:rsid w:val="1EC52D37"/>
    <w:rsid w:val="1EE559BD"/>
    <w:rsid w:val="202B3AD6"/>
    <w:rsid w:val="20667D7A"/>
    <w:rsid w:val="20D81670"/>
    <w:rsid w:val="20D81F1B"/>
    <w:rsid w:val="2134234B"/>
    <w:rsid w:val="21452182"/>
    <w:rsid w:val="214D6A34"/>
    <w:rsid w:val="218D1CD2"/>
    <w:rsid w:val="21BD09EA"/>
    <w:rsid w:val="21EB729B"/>
    <w:rsid w:val="22044051"/>
    <w:rsid w:val="22892AA6"/>
    <w:rsid w:val="22D812F5"/>
    <w:rsid w:val="22DD3099"/>
    <w:rsid w:val="230463DC"/>
    <w:rsid w:val="230962AA"/>
    <w:rsid w:val="233050BD"/>
    <w:rsid w:val="23395957"/>
    <w:rsid w:val="23607914"/>
    <w:rsid w:val="23EB2BDC"/>
    <w:rsid w:val="242E2776"/>
    <w:rsid w:val="243A7591"/>
    <w:rsid w:val="24583E8C"/>
    <w:rsid w:val="248064B3"/>
    <w:rsid w:val="24923600"/>
    <w:rsid w:val="249609EF"/>
    <w:rsid w:val="249D3873"/>
    <w:rsid w:val="249E2CA0"/>
    <w:rsid w:val="24B01E41"/>
    <w:rsid w:val="250716C5"/>
    <w:rsid w:val="250E667B"/>
    <w:rsid w:val="251C4DAA"/>
    <w:rsid w:val="2537376A"/>
    <w:rsid w:val="255958E8"/>
    <w:rsid w:val="257847ED"/>
    <w:rsid w:val="258E2AB0"/>
    <w:rsid w:val="259D5474"/>
    <w:rsid w:val="25DB4EBE"/>
    <w:rsid w:val="267E6FB9"/>
    <w:rsid w:val="26804E34"/>
    <w:rsid w:val="26AA5D19"/>
    <w:rsid w:val="26BA509C"/>
    <w:rsid w:val="26CA1627"/>
    <w:rsid w:val="27056576"/>
    <w:rsid w:val="270A5318"/>
    <w:rsid w:val="2716314E"/>
    <w:rsid w:val="272E643D"/>
    <w:rsid w:val="27355263"/>
    <w:rsid w:val="2768115F"/>
    <w:rsid w:val="279E3AA4"/>
    <w:rsid w:val="27C24AC7"/>
    <w:rsid w:val="27F75337"/>
    <w:rsid w:val="289F1376"/>
    <w:rsid w:val="28A45687"/>
    <w:rsid w:val="28BD0AC4"/>
    <w:rsid w:val="28D10507"/>
    <w:rsid w:val="28E067DC"/>
    <w:rsid w:val="28FC7D11"/>
    <w:rsid w:val="292F3A03"/>
    <w:rsid w:val="294A2728"/>
    <w:rsid w:val="299311CE"/>
    <w:rsid w:val="299F2D1F"/>
    <w:rsid w:val="29AD1484"/>
    <w:rsid w:val="29C5768F"/>
    <w:rsid w:val="29CF6A5C"/>
    <w:rsid w:val="29E14AC1"/>
    <w:rsid w:val="29F56AA3"/>
    <w:rsid w:val="29F64BF1"/>
    <w:rsid w:val="2A9968AF"/>
    <w:rsid w:val="2AA0764D"/>
    <w:rsid w:val="2ADD277D"/>
    <w:rsid w:val="2B8A312A"/>
    <w:rsid w:val="2BBA7E25"/>
    <w:rsid w:val="2BE50DC7"/>
    <w:rsid w:val="2C0626B2"/>
    <w:rsid w:val="2C0E3CCB"/>
    <w:rsid w:val="2C35262E"/>
    <w:rsid w:val="2C3E2062"/>
    <w:rsid w:val="2C552502"/>
    <w:rsid w:val="2C661887"/>
    <w:rsid w:val="2CDE209F"/>
    <w:rsid w:val="2CFE239F"/>
    <w:rsid w:val="2D3A3B2C"/>
    <w:rsid w:val="2D3F44B8"/>
    <w:rsid w:val="2D5759CC"/>
    <w:rsid w:val="2D583FD1"/>
    <w:rsid w:val="2DC2506A"/>
    <w:rsid w:val="2DC9042A"/>
    <w:rsid w:val="2DCE736A"/>
    <w:rsid w:val="2DD17E36"/>
    <w:rsid w:val="2DF24891"/>
    <w:rsid w:val="2E1065CE"/>
    <w:rsid w:val="2E292EFC"/>
    <w:rsid w:val="2E7C4872"/>
    <w:rsid w:val="2EE177B1"/>
    <w:rsid w:val="2F0033F9"/>
    <w:rsid w:val="2F2A117B"/>
    <w:rsid w:val="2FB34C91"/>
    <w:rsid w:val="2FB63DA8"/>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06407"/>
    <w:rsid w:val="32647F70"/>
    <w:rsid w:val="32B834E1"/>
    <w:rsid w:val="32C527D2"/>
    <w:rsid w:val="331F01E6"/>
    <w:rsid w:val="33541A32"/>
    <w:rsid w:val="33620C1E"/>
    <w:rsid w:val="33B404B6"/>
    <w:rsid w:val="34175A29"/>
    <w:rsid w:val="348C752F"/>
    <w:rsid w:val="34C635D4"/>
    <w:rsid w:val="34E77027"/>
    <w:rsid w:val="351B138D"/>
    <w:rsid w:val="35281E46"/>
    <w:rsid w:val="356B0399"/>
    <w:rsid w:val="35B0027F"/>
    <w:rsid w:val="362C0AB4"/>
    <w:rsid w:val="363A027A"/>
    <w:rsid w:val="365F5EB5"/>
    <w:rsid w:val="366A6AF9"/>
    <w:rsid w:val="36B12ED9"/>
    <w:rsid w:val="36CF347B"/>
    <w:rsid w:val="36F26518"/>
    <w:rsid w:val="36F96BCC"/>
    <w:rsid w:val="37020A28"/>
    <w:rsid w:val="371A6FD6"/>
    <w:rsid w:val="37B347B6"/>
    <w:rsid w:val="38203594"/>
    <w:rsid w:val="386D6DD1"/>
    <w:rsid w:val="38767D48"/>
    <w:rsid w:val="38774730"/>
    <w:rsid w:val="38857AA9"/>
    <w:rsid w:val="388A1E5F"/>
    <w:rsid w:val="38AC7189"/>
    <w:rsid w:val="38D80705"/>
    <w:rsid w:val="394B6871"/>
    <w:rsid w:val="395249E2"/>
    <w:rsid w:val="396C31F2"/>
    <w:rsid w:val="396D7233"/>
    <w:rsid w:val="399333CD"/>
    <w:rsid w:val="39A66375"/>
    <w:rsid w:val="39C845F6"/>
    <w:rsid w:val="39F63344"/>
    <w:rsid w:val="3A2727A3"/>
    <w:rsid w:val="3A754CE5"/>
    <w:rsid w:val="3A926CC8"/>
    <w:rsid w:val="3B19339C"/>
    <w:rsid w:val="3B397CB5"/>
    <w:rsid w:val="3B3F12E2"/>
    <w:rsid w:val="3BB0774F"/>
    <w:rsid w:val="3BC5739B"/>
    <w:rsid w:val="3C1424D2"/>
    <w:rsid w:val="3C711292"/>
    <w:rsid w:val="3C8E02AC"/>
    <w:rsid w:val="3CAD6580"/>
    <w:rsid w:val="3CB2229B"/>
    <w:rsid w:val="3CCF6C31"/>
    <w:rsid w:val="3D1D778F"/>
    <w:rsid w:val="3D501530"/>
    <w:rsid w:val="3DE06960"/>
    <w:rsid w:val="3E4F09D2"/>
    <w:rsid w:val="3E95517E"/>
    <w:rsid w:val="3EA67927"/>
    <w:rsid w:val="3EAC7DCE"/>
    <w:rsid w:val="3ECD4BCD"/>
    <w:rsid w:val="3F495F7F"/>
    <w:rsid w:val="3FEC27DE"/>
    <w:rsid w:val="403A7CC0"/>
    <w:rsid w:val="4068172D"/>
    <w:rsid w:val="40DB4E75"/>
    <w:rsid w:val="41043FD2"/>
    <w:rsid w:val="41D50910"/>
    <w:rsid w:val="42311557"/>
    <w:rsid w:val="42466D08"/>
    <w:rsid w:val="42655CCD"/>
    <w:rsid w:val="42801AE4"/>
    <w:rsid w:val="42C53929"/>
    <w:rsid w:val="42CF43AB"/>
    <w:rsid w:val="42FD37A7"/>
    <w:rsid w:val="43042F99"/>
    <w:rsid w:val="43213292"/>
    <w:rsid w:val="433576D8"/>
    <w:rsid w:val="43CB0A25"/>
    <w:rsid w:val="43E05414"/>
    <w:rsid w:val="43EE26C4"/>
    <w:rsid w:val="44124F75"/>
    <w:rsid w:val="44A31987"/>
    <w:rsid w:val="45C10DFD"/>
    <w:rsid w:val="460556DC"/>
    <w:rsid w:val="463140E3"/>
    <w:rsid w:val="46B3132C"/>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4641C6"/>
    <w:rsid w:val="4961356F"/>
    <w:rsid w:val="499C4463"/>
    <w:rsid w:val="499D3BCB"/>
    <w:rsid w:val="49AD5AB1"/>
    <w:rsid w:val="4A060C4B"/>
    <w:rsid w:val="4A1F0E82"/>
    <w:rsid w:val="4A5C6148"/>
    <w:rsid w:val="4AA62FC5"/>
    <w:rsid w:val="4B3E37C1"/>
    <w:rsid w:val="4B655C97"/>
    <w:rsid w:val="4B9A2DE0"/>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2C4362"/>
    <w:rsid w:val="4EBD615B"/>
    <w:rsid w:val="4EE7316A"/>
    <w:rsid w:val="4F25345A"/>
    <w:rsid w:val="4F2F66DD"/>
    <w:rsid w:val="4F465A7A"/>
    <w:rsid w:val="4F7C13F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A27C5F"/>
    <w:rsid w:val="55E03E57"/>
    <w:rsid w:val="562F16E6"/>
    <w:rsid w:val="563474CA"/>
    <w:rsid w:val="56C50BAB"/>
    <w:rsid w:val="56D62A5C"/>
    <w:rsid w:val="56ED6E80"/>
    <w:rsid w:val="56FC0F2C"/>
    <w:rsid w:val="573E3DB0"/>
    <w:rsid w:val="577416AB"/>
    <w:rsid w:val="578909FF"/>
    <w:rsid w:val="57B60CD6"/>
    <w:rsid w:val="57FFBDEB"/>
    <w:rsid w:val="580C0DD4"/>
    <w:rsid w:val="58406AD2"/>
    <w:rsid w:val="5863030F"/>
    <w:rsid w:val="587347A5"/>
    <w:rsid w:val="58A42191"/>
    <w:rsid w:val="58DC6E10"/>
    <w:rsid w:val="593122DC"/>
    <w:rsid w:val="595D4F93"/>
    <w:rsid w:val="59714A77"/>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DD1D32"/>
    <w:rsid w:val="5DE979FF"/>
    <w:rsid w:val="5DF04B2E"/>
    <w:rsid w:val="5E313E73"/>
    <w:rsid w:val="5E357545"/>
    <w:rsid w:val="5E44155F"/>
    <w:rsid w:val="5E723BE7"/>
    <w:rsid w:val="5E872B7D"/>
    <w:rsid w:val="5EA97330"/>
    <w:rsid w:val="5EE80260"/>
    <w:rsid w:val="5EF722AB"/>
    <w:rsid w:val="5F1140AB"/>
    <w:rsid w:val="5F1E69A0"/>
    <w:rsid w:val="5F38083D"/>
    <w:rsid w:val="5F921998"/>
    <w:rsid w:val="5FDC7177"/>
    <w:rsid w:val="5FE810A9"/>
    <w:rsid w:val="601C2B39"/>
    <w:rsid w:val="6056681E"/>
    <w:rsid w:val="606D4A0A"/>
    <w:rsid w:val="60A125B7"/>
    <w:rsid w:val="613E2503"/>
    <w:rsid w:val="61600F39"/>
    <w:rsid w:val="620879CF"/>
    <w:rsid w:val="625369BB"/>
    <w:rsid w:val="627F3A77"/>
    <w:rsid w:val="630E1CFC"/>
    <w:rsid w:val="63302D32"/>
    <w:rsid w:val="63396263"/>
    <w:rsid w:val="63497C01"/>
    <w:rsid w:val="635151C8"/>
    <w:rsid w:val="63564E2D"/>
    <w:rsid w:val="6377241E"/>
    <w:rsid w:val="63AC078B"/>
    <w:rsid w:val="63CE1327"/>
    <w:rsid w:val="63E17D6C"/>
    <w:rsid w:val="63FA54D4"/>
    <w:rsid w:val="640C0830"/>
    <w:rsid w:val="64346ED9"/>
    <w:rsid w:val="64477A45"/>
    <w:rsid w:val="644E4B1D"/>
    <w:rsid w:val="64644126"/>
    <w:rsid w:val="64860D8D"/>
    <w:rsid w:val="64EE128C"/>
    <w:rsid w:val="65302B18"/>
    <w:rsid w:val="65387BCC"/>
    <w:rsid w:val="66010763"/>
    <w:rsid w:val="66236AEB"/>
    <w:rsid w:val="66717484"/>
    <w:rsid w:val="669A4710"/>
    <w:rsid w:val="66B27242"/>
    <w:rsid w:val="66B972FF"/>
    <w:rsid w:val="66D15726"/>
    <w:rsid w:val="66F62F65"/>
    <w:rsid w:val="671A40F9"/>
    <w:rsid w:val="67204193"/>
    <w:rsid w:val="67377E27"/>
    <w:rsid w:val="673C7CA8"/>
    <w:rsid w:val="67436696"/>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DA28CE"/>
    <w:rsid w:val="6AF3718C"/>
    <w:rsid w:val="6B02433A"/>
    <w:rsid w:val="6B0A2093"/>
    <w:rsid w:val="6B1204A8"/>
    <w:rsid w:val="6B152CD2"/>
    <w:rsid w:val="6B295339"/>
    <w:rsid w:val="6B34474A"/>
    <w:rsid w:val="6B5C6196"/>
    <w:rsid w:val="6BA65738"/>
    <w:rsid w:val="6BFE62B7"/>
    <w:rsid w:val="6C210B77"/>
    <w:rsid w:val="6C3C550E"/>
    <w:rsid w:val="6C6945F1"/>
    <w:rsid w:val="6C75253F"/>
    <w:rsid w:val="6C76084C"/>
    <w:rsid w:val="6CD22F7E"/>
    <w:rsid w:val="6CF1659A"/>
    <w:rsid w:val="6D485105"/>
    <w:rsid w:val="6D85714F"/>
    <w:rsid w:val="6DA96750"/>
    <w:rsid w:val="6DB02AF0"/>
    <w:rsid w:val="6DDDA11F"/>
    <w:rsid w:val="6DED1766"/>
    <w:rsid w:val="6DEF2B06"/>
    <w:rsid w:val="6DF46045"/>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F173EA"/>
    <w:rsid w:val="6FF22FB7"/>
    <w:rsid w:val="705C02A8"/>
    <w:rsid w:val="705F7BC1"/>
    <w:rsid w:val="7149776C"/>
    <w:rsid w:val="717A589F"/>
    <w:rsid w:val="71B74803"/>
    <w:rsid w:val="71D344DF"/>
    <w:rsid w:val="71EA2681"/>
    <w:rsid w:val="72565E22"/>
    <w:rsid w:val="72605C7C"/>
    <w:rsid w:val="72DA1F17"/>
    <w:rsid w:val="730C4B46"/>
    <w:rsid w:val="731821F0"/>
    <w:rsid w:val="739A7608"/>
    <w:rsid w:val="73A60546"/>
    <w:rsid w:val="73C21E59"/>
    <w:rsid w:val="73E75B0C"/>
    <w:rsid w:val="73EE1EF1"/>
    <w:rsid w:val="73F02BC4"/>
    <w:rsid w:val="746E6A90"/>
    <w:rsid w:val="74863E77"/>
    <w:rsid w:val="74C0081A"/>
    <w:rsid w:val="751500ED"/>
    <w:rsid w:val="7519058A"/>
    <w:rsid w:val="75243706"/>
    <w:rsid w:val="75291C1C"/>
    <w:rsid w:val="752D32CB"/>
    <w:rsid w:val="756C780D"/>
    <w:rsid w:val="757C704B"/>
    <w:rsid w:val="75901B4C"/>
    <w:rsid w:val="75AC0ADB"/>
    <w:rsid w:val="75C0317E"/>
    <w:rsid w:val="76083C1D"/>
    <w:rsid w:val="76866775"/>
    <w:rsid w:val="768C5B5D"/>
    <w:rsid w:val="769E7DAB"/>
    <w:rsid w:val="76AE283F"/>
    <w:rsid w:val="76B42471"/>
    <w:rsid w:val="76DA2CF4"/>
    <w:rsid w:val="76DC22F4"/>
    <w:rsid w:val="770472F5"/>
    <w:rsid w:val="775C0AB5"/>
    <w:rsid w:val="7797212E"/>
    <w:rsid w:val="77AE407D"/>
    <w:rsid w:val="785173F2"/>
    <w:rsid w:val="785D2EF0"/>
    <w:rsid w:val="78913A5E"/>
    <w:rsid w:val="78E40A8A"/>
    <w:rsid w:val="790A76C0"/>
    <w:rsid w:val="791D4BC5"/>
    <w:rsid w:val="792A2563"/>
    <w:rsid w:val="79352EE7"/>
    <w:rsid w:val="79787732"/>
    <w:rsid w:val="797D0282"/>
    <w:rsid w:val="79866985"/>
    <w:rsid w:val="798D7B3C"/>
    <w:rsid w:val="79950701"/>
    <w:rsid w:val="7A2A74A2"/>
    <w:rsid w:val="7A4F73D6"/>
    <w:rsid w:val="7AA2699A"/>
    <w:rsid w:val="7B140310"/>
    <w:rsid w:val="7B4F0262"/>
    <w:rsid w:val="7B5E1D50"/>
    <w:rsid w:val="7B636AFA"/>
    <w:rsid w:val="7B7760C9"/>
    <w:rsid w:val="7B8414B2"/>
    <w:rsid w:val="7C376D58"/>
    <w:rsid w:val="7C4B1C8A"/>
    <w:rsid w:val="7C6F730C"/>
    <w:rsid w:val="7C9020F0"/>
    <w:rsid w:val="7CCB17EF"/>
    <w:rsid w:val="7CD82E9A"/>
    <w:rsid w:val="7D00550F"/>
    <w:rsid w:val="7D344D95"/>
    <w:rsid w:val="7D450117"/>
    <w:rsid w:val="7D485DF1"/>
    <w:rsid w:val="7D5052A6"/>
    <w:rsid w:val="7D9E0F23"/>
    <w:rsid w:val="7E2824B1"/>
    <w:rsid w:val="7E4F670F"/>
    <w:rsid w:val="7E71281E"/>
    <w:rsid w:val="7E765088"/>
    <w:rsid w:val="7E795837"/>
    <w:rsid w:val="7E846B6E"/>
    <w:rsid w:val="7E923D2B"/>
    <w:rsid w:val="7ECE74C9"/>
    <w:rsid w:val="7ED51511"/>
    <w:rsid w:val="7ED747C2"/>
    <w:rsid w:val="7EE221B9"/>
    <w:rsid w:val="7F1C3CE3"/>
    <w:rsid w:val="7F383916"/>
    <w:rsid w:val="7F836F34"/>
    <w:rsid w:val="7FB57991"/>
    <w:rsid w:val="7FC46688"/>
    <w:rsid w:val="7FC65CA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4">
    <w:name w:val="heading 1"/>
    <w:basedOn w:val="1"/>
    <w:next w:val="1"/>
    <w:link w:val="55"/>
    <w:qFormat/>
    <w:uiPriority w:val="99"/>
    <w:pPr>
      <w:keepNext/>
      <w:keepLines/>
      <w:adjustRightInd w:val="0"/>
      <w:spacing w:before="340" w:after="330" w:line="360" w:lineRule="auto"/>
      <w:jc w:val="center"/>
      <w:outlineLvl w:val="0"/>
    </w:pPr>
    <w:rPr>
      <w:rFonts w:eastAsia="黑体"/>
      <w:b/>
      <w:kern w:val="44"/>
      <w:sz w:val="36"/>
    </w:rPr>
  </w:style>
  <w:style w:type="paragraph" w:styleId="5">
    <w:name w:val="heading 2"/>
    <w:basedOn w:val="1"/>
    <w:next w:val="1"/>
    <w:link w:val="56"/>
    <w:qFormat/>
    <w:uiPriority w:val="99"/>
    <w:pPr>
      <w:keepNext/>
      <w:keepLines/>
      <w:spacing w:before="260" w:after="260" w:line="413" w:lineRule="auto"/>
      <w:outlineLvl w:val="1"/>
    </w:pPr>
    <w:rPr>
      <w:rFonts w:ascii="Arial" w:hAnsi="Arial" w:eastAsia="黑体"/>
      <w:b/>
      <w:kern w:val="44"/>
      <w:sz w:val="28"/>
    </w:rPr>
  </w:style>
  <w:style w:type="paragraph" w:styleId="6">
    <w:name w:val="heading 3"/>
    <w:basedOn w:val="1"/>
    <w:next w:val="1"/>
    <w:link w:val="57"/>
    <w:qFormat/>
    <w:uiPriority w:val="99"/>
    <w:pPr>
      <w:keepNext/>
      <w:tabs>
        <w:tab w:val="left" w:pos="1275"/>
      </w:tabs>
      <w:spacing w:line="216" w:lineRule="auto"/>
      <w:ind w:left="1275" w:hanging="720"/>
      <w:outlineLvl w:val="2"/>
    </w:pPr>
    <w:rPr>
      <w:rFonts w:ascii="宋体"/>
      <w:b/>
      <w:kern w:val="2"/>
      <w:sz w:val="28"/>
    </w:rPr>
  </w:style>
  <w:style w:type="paragraph" w:styleId="7">
    <w:name w:val="heading 4"/>
    <w:basedOn w:val="1"/>
    <w:next w:val="8"/>
    <w:link w:val="58"/>
    <w:qFormat/>
    <w:uiPriority w:val="99"/>
    <w:pPr>
      <w:keepNext/>
      <w:tabs>
        <w:tab w:val="left" w:pos="1035"/>
      </w:tabs>
      <w:spacing w:line="216" w:lineRule="auto"/>
      <w:ind w:left="1035" w:hanging="420"/>
      <w:outlineLvl w:val="3"/>
    </w:pPr>
    <w:rPr>
      <w:rFonts w:ascii="黑体" w:eastAsia="黑体"/>
      <w:b/>
      <w:kern w:val="2"/>
      <w:sz w:val="24"/>
    </w:rPr>
  </w:style>
  <w:style w:type="paragraph" w:styleId="9">
    <w:name w:val="heading 5"/>
    <w:basedOn w:val="1"/>
    <w:next w:val="1"/>
    <w:link w:val="59"/>
    <w:qFormat/>
    <w:uiPriority w:val="99"/>
    <w:pPr>
      <w:keepNext/>
      <w:keepLines/>
      <w:spacing w:before="280" w:after="290" w:line="376" w:lineRule="auto"/>
      <w:outlineLvl w:val="4"/>
    </w:pPr>
    <w:rPr>
      <w:b/>
      <w:bCs/>
      <w:sz w:val="28"/>
      <w:szCs w:val="28"/>
    </w:rPr>
  </w:style>
  <w:style w:type="paragraph" w:styleId="10">
    <w:name w:val="heading 6"/>
    <w:basedOn w:val="1"/>
    <w:next w:val="1"/>
    <w:link w:val="60"/>
    <w:qFormat/>
    <w:uiPriority w:val="99"/>
    <w:pPr>
      <w:keepNext/>
      <w:keepLines/>
      <w:spacing w:before="240" w:after="64" w:line="320" w:lineRule="auto"/>
      <w:outlineLvl w:val="5"/>
    </w:pPr>
    <w:rPr>
      <w:rFonts w:ascii="黑体" w:hAnsi="黑体" w:eastAsia="楷体"/>
      <w:b/>
      <w:kern w:val="2"/>
      <w:sz w:val="24"/>
    </w:rPr>
  </w:style>
  <w:style w:type="paragraph" w:styleId="11">
    <w:name w:val="heading 7"/>
    <w:basedOn w:val="1"/>
    <w:next w:val="8"/>
    <w:link w:val="61"/>
    <w:qFormat/>
    <w:uiPriority w:val="99"/>
    <w:pPr>
      <w:keepNext/>
      <w:keepLines/>
      <w:spacing w:before="240" w:after="64" w:line="320" w:lineRule="auto"/>
      <w:outlineLvl w:val="6"/>
    </w:pPr>
    <w:rPr>
      <w:rFonts w:ascii="Arial" w:hAnsi="Arial"/>
      <w:b/>
      <w:kern w:val="2"/>
      <w:sz w:val="24"/>
    </w:rPr>
  </w:style>
  <w:style w:type="paragraph" w:styleId="12">
    <w:name w:val="heading 8"/>
    <w:basedOn w:val="1"/>
    <w:next w:val="8"/>
    <w:link w:val="62"/>
    <w:qFormat/>
    <w:uiPriority w:val="99"/>
    <w:pPr>
      <w:keepNext/>
      <w:keepLines/>
      <w:spacing w:before="240" w:after="64" w:line="320" w:lineRule="auto"/>
      <w:outlineLvl w:val="7"/>
    </w:pPr>
    <w:rPr>
      <w:rFonts w:ascii="黑体" w:hAnsi="黑体" w:eastAsia="楷体"/>
      <w:kern w:val="2"/>
      <w:sz w:val="24"/>
    </w:rPr>
  </w:style>
  <w:style w:type="paragraph" w:styleId="13">
    <w:name w:val="heading 9"/>
    <w:basedOn w:val="1"/>
    <w:next w:val="8"/>
    <w:link w:val="63"/>
    <w:qFormat/>
    <w:uiPriority w:val="99"/>
    <w:pPr>
      <w:keepNext/>
      <w:keepLines/>
      <w:spacing w:before="240" w:after="64" w:line="320" w:lineRule="auto"/>
      <w:outlineLvl w:val="8"/>
    </w:pPr>
    <w:rPr>
      <w:rFonts w:ascii="黑体" w:hAnsi="黑体" w:eastAsia="楷体"/>
      <w:kern w:val="2"/>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76"/>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3">
    <w:name w:val="Body Text Indent"/>
    <w:basedOn w:val="1"/>
    <w:next w:val="2"/>
    <w:link w:val="70"/>
    <w:qFormat/>
    <w:uiPriority w:val="99"/>
    <w:pPr>
      <w:adjustRightInd w:val="0"/>
      <w:spacing w:line="360" w:lineRule="auto"/>
      <w:ind w:firstLine="490"/>
      <w:jc w:val="left"/>
    </w:pPr>
    <w:rPr>
      <w:rFonts w:ascii="宋体" w:hAnsi="宋体"/>
      <w:sz w:val="24"/>
    </w:rPr>
  </w:style>
  <w:style w:type="paragraph" w:styleId="8">
    <w:name w:val="Normal Indent"/>
    <w:basedOn w:val="1"/>
    <w:next w:val="1"/>
    <w:link w:val="94"/>
    <w:qFormat/>
    <w:uiPriority w:val="99"/>
    <w:pPr>
      <w:ind w:firstLine="420"/>
    </w:pPr>
    <w:rPr>
      <w:kern w:val="2"/>
    </w:rPr>
  </w:style>
  <w:style w:type="paragraph" w:styleId="14">
    <w:name w:val="toc 7"/>
    <w:basedOn w:val="1"/>
    <w:next w:val="1"/>
    <w:qFormat/>
    <w:uiPriority w:val="99"/>
    <w:pPr>
      <w:ind w:left="1260"/>
      <w:jc w:val="left"/>
    </w:pPr>
    <w:rPr>
      <w:rFonts w:ascii="Arial" w:hAnsi="Arial" w:cs="Arial"/>
      <w:kern w:val="2"/>
      <w:sz w:val="18"/>
      <w:szCs w:val="18"/>
    </w:rPr>
  </w:style>
  <w:style w:type="paragraph" w:styleId="15">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6">
    <w:name w:val="caption"/>
    <w:basedOn w:val="1"/>
    <w:next w:val="1"/>
    <w:qFormat/>
    <w:uiPriority w:val="99"/>
    <w:rPr>
      <w:rFonts w:ascii="黑体" w:hAnsi="黑体" w:eastAsia="楷体" w:cs="黑体"/>
      <w:kern w:val="2"/>
      <w:sz w:val="20"/>
    </w:rPr>
  </w:style>
  <w:style w:type="paragraph" w:styleId="17">
    <w:name w:val="Document Map"/>
    <w:basedOn w:val="1"/>
    <w:link w:val="68"/>
    <w:qFormat/>
    <w:uiPriority w:val="99"/>
    <w:pPr>
      <w:shd w:val="clear" w:color="auto" w:fill="000080"/>
    </w:pPr>
  </w:style>
  <w:style w:type="paragraph" w:styleId="18">
    <w:name w:val="annotation text"/>
    <w:basedOn w:val="1"/>
    <w:link w:val="64"/>
    <w:qFormat/>
    <w:uiPriority w:val="99"/>
    <w:pPr>
      <w:jc w:val="left"/>
    </w:pPr>
    <w:rPr>
      <w:kern w:val="2"/>
    </w:rPr>
  </w:style>
  <w:style w:type="paragraph" w:styleId="19">
    <w:name w:val="Body Text 3"/>
    <w:basedOn w:val="1"/>
    <w:link w:val="69"/>
    <w:qFormat/>
    <w:uiPriority w:val="99"/>
    <w:pPr>
      <w:spacing w:after="120" w:line="480" w:lineRule="exact"/>
    </w:pPr>
    <w:rPr>
      <w:kern w:val="2"/>
      <w:sz w:val="16"/>
    </w:rPr>
  </w:style>
  <w:style w:type="paragraph" w:styleId="20">
    <w:name w:val="Body Text"/>
    <w:basedOn w:val="1"/>
    <w:next w:val="21"/>
    <w:link w:val="66"/>
    <w:qFormat/>
    <w:uiPriority w:val="99"/>
    <w:pPr>
      <w:spacing w:after="120"/>
    </w:pPr>
  </w:style>
  <w:style w:type="paragraph" w:styleId="21">
    <w:name w:val="Body Text First Indent"/>
    <w:basedOn w:val="20"/>
    <w:next w:val="22"/>
    <w:link w:val="67"/>
    <w:qFormat/>
    <w:uiPriority w:val="99"/>
    <w:pPr>
      <w:ind w:firstLine="420" w:firstLineChars="100"/>
    </w:pPr>
  </w:style>
  <w:style w:type="paragraph" w:styleId="22">
    <w:name w:val="toc 6"/>
    <w:basedOn w:val="1"/>
    <w:next w:val="1"/>
    <w:qFormat/>
    <w:uiPriority w:val="99"/>
    <w:pPr>
      <w:ind w:left="1050"/>
      <w:jc w:val="left"/>
    </w:pPr>
    <w:rPr>
      <w:rFonts w:ascii="Arial" w:hAnsi="Arial" w:cs="Arial"/>
      <w:kern w:val="2"/>
      <w:sz w:val="18"/>
      <w:szCs w:val="18"/>
    </w:rPr>
  </w:style>
  <w:style w:type="paragraph" w:styleId="23">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4">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5">
    <w:name w:val="toc 5"/>
    <w:basedOn w:val="1"/>
    <w:next w:val="1"/>
    <w:qFormat/>
    <w:uiPriority w:val="99"/>
    <w:pPr>
      <w:ind w:left="840"/>
      <w:jc w:val="left"/>
    </w:pPr>
    <w:rPr>
      <w:rFonts w:ascii="Arial" w:hAnsi="Arial" w:cs="Arial"/>
      <w:kern w:val="2"/>
      <w:sz w:val="18"/>
      <w:szCs w:val="18"/>
    </w:rPr>
  </w:style>
  <w:style w:type="paragraph" w:styleId="26">
    <w:name w:val="toc 3"/>
    <w:basedOn w:val="1"/>
    <w:next w:val="1"/>
    <w:semiHidden/>
    <w:qFormat/>
    <w:uiPriority w:val="99"/>
    <w:pPr>
      <w:ind w:left="840" w:leftChars="400"/>
    </w:pPr>
  </w:style>
  <w:style w:type="paragraph" w:styleId="27">
    <w:name w:val="Plain Text"/>
    <w:basedOn w:val="1"/>
    <w:next w:val="28"/>
    <w:link w:val="71"/>
    <w:qFormat/>
    <w:uiPriority w:val="99"/>
    <w:rPr>
      <w:rFonts w:ascii="宋体" w:hAnsi="Courier New"/>
      <w:sz w:val="18"/>
    </w:rPr>
  </w:style>
  <w:style w:type="paragraph" w:styleId="28">
    <w:name w:val="Date"/>
    <w:basedOn w:val="1"/>
    <w:next w:val="1"/>
    <w:link w:val="72"/>
    <w:qFormat/>
    <w:uiPriority w:val="99"/>
    <w:pPr>
      <w:ind w:left="2500" w:leftChars="2500"/>
    </w:pPr>
    <w:rPr>
      <w:rFonts w:ascii="宋体" w:hAnsi="宋体"/>
      <w:kern w:val="2"/>
      <w:sz w:val="24"/>
    </w:rPr>
  </w:style>
  <w:style w:type="paragraph" w:styleId="29">
    <w:name w:val="toc 8"/>
    <w:basedOn w:val="1"/>
    <w:next w:val="1"/>
    <w:qFormat/>
    <w:uiPriority w:val="99"/>
    <w:pPr>
      <w:ind w:left="1470"/>
      <w:jc w:val="left"/>
    </w:pPr>
    <w:rPr>
      <w:rFonts w:ascii="Arial" w:hAnsi="Arial" w:cs="Arial"/>
      <w:kern w:val="2"/>
      <w:sz w:val="18"/>
      <w:szCs w:val="18"/>
    </w:rPr>
  </w:style>
  <w:style w:type="paragraph" w:styleId="30">
    <w:name w:val="Body Text Indent 2"/>
    <w:basedOn w:val="1"/>
    <w:link w:val="73"/>
    <w:qFormat/>
    <w:uiPriority w:val="99"/>
    <w:pPr>
      <w:spacing w:after="120" w:line="480" w:lineRule="auto"/>
      <w:ind w:left="420" w:leftChars="200"/>
    </w:pPr>
    <w:rPr>
      <w:kern w:val="2"/>
    </w:rPr>
  </w:style>
  <w:style w:type="paragraph" w:styleId="31">
    <w:name w:val="Balloon Text"/>
    <w:basedOn w:val="1"/>
    <w:link w:val="74"/>
    <w:qFormat/>
    <w:uiPriority w:val="99"/>
    <w:rPr>
      <w:sz w:val="18"/>
    </w:rPr>
  </w:style>
  <w:style w:type="paragraph" w:styleId="32">
    <w:name w:val="footer"/>
    <w:basedOn w:val="1"/>
    <w:link w:val="75"/>
    <w:qFormat/>
    <w:uiPriority w:val="99"/>
    <w:pPr>
      <w:tabs>
        <w:tab w:val="center" w:pos="4153"/>
        <w:tab w:val="right" w:pos="8306"/>
      </w:tabs>
      <w:snapToGrid w:val="0"/>
      <w:jc w:val="left"/>
    </w:pPr>
    <w:rPr>
      <w:sz w:val="18"/>
    </w:rPr>
  </w:style>
  <w:style w:type="paragraph" w:styleId="33">
    <w:name w:val="header"/>
    <w:basedOn w:val="1"/>
    <w:link w:val="77"/>
    <w:qFormat/>
    <w:uiPriority w:val="99"/>
    <w:pPr>
      <w:pBdr>
        <w:bottom w:val="single" w:color="auto" w:sz="6" w:space="1"/>
      </w:pBdr>
      <w:tabs>
        <w:tab w:val="center" w:pos="4153"/>
        <w:tab w:val="right" w:pos="8306"/>
      </w:tabs>
      <w:snapToGrid w:val="0"/>
      <w:jc w:val="center"/>
    </w:pPr>
    <w:rPr>
      <w:sz w:val="18"/>
    </w:rPr>
  </w:style>
  <w:style w:type="paragraph" w:styleId="34">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5">
    <w:name w:val="toc 4"/>
    <w:basedOn w:val="1"/>
    <w:next w:val="1"/>
    <w:qFormat/>
    <w:uiPriority w:val="99"/>
    <w:pPr>
      <w:ind w:left="630"/>
      <w:jc w:val="left"/>
    </w:pPr>
    <w:rPr>
      <w:rFonts w:ascii="Arial" w:hAnsi="Arial" w:cs="Arial"/>
      <w:kern w:val="2"/>
      <w:sz w:val="18"/>
      <w:szCs w:val="18"/>
    </w:rPr>
  </w:style>
  <w:style w:type="paragraph" w:styleId="36">
    <w:name w:val="Subtitle"/>
    <w:basedOn w:val="1"/>
    <w:next w:val="1"/>
    <w:link w:val="78"/>
    <w:qFormat/>
    <w:uiPriority w:val="99"/>
    <w:pPr>
      <w:spacing w:before="240" w:after="60" w:line="312" w:lineRule="auto"/>
      <w:jc w:val="center"/>
      <w:outlineLvl w:val="1"/>
    </w:pPr>
    <w:rPr>
      <w:rFonts w:ascii="Cambria" w:hAnsi="Cambria"/>
      <w:b/>
      <w:bCs/>
      <w:kern w:val="28"/>
      <w:sz w:val="32"/>
      <w:szCs w:val="32"/>
    </w:rPr>
  </w:style>
  <w:style w:type="paragraph" w:styleId="37">
    <w:name w:val="List 5"/>
    <w:basedOn w:val="1"/>
    <w:qFormat/>
    <w:uiPriority w:val="99"/>
    <w:pPr>
      <w:ind w:left="100" w:leftChars="800" w:hanging="200" w:hangingChars="200"/>
    </w:pPr>
    <w:rPr>
      <w:rFonts w:ascii="Arial" w:hAnsi="Arial" w:cs="Arial"/>
      <w:kern w:val="2"/>
    </w:rPr>
  </w:style>
  <w:style w:type="paragraph" w:styleId="38">
    <w:name w:val="Body Text Indent 3"/>
    <w:basedOn w:val="1"/>
    <w:link w:val="79"/>
    <w:qFormat/>
    <w:uiPriority w:val="99"/>
    <w:pPr>
      <w:spacing w:after="120"/>
      <w:ind w:left="420" w:leftChars="200"/>
    </w:pPr>
    <w:rPr>
      <w:sz w:val="16"/>
    </w:rPr>
  </w:style>
  <w:style w:type="paragraph" w:styleId="39">
    <w:name w:val="toc 2"/>
    <w:basedOn w:val="1"/>
    <w:next w:val="1"/>
    <w:qFormat/>
    <w:uiPriority w:val="99"/>
    <w:pPr>
      <w:ind w:left="420" w:leftChars="200"/>
    </w:pPr>
  </w:style>
  <w:style w:type="paragraph" w:styleId="40">
    <w:name w:val="toc 9"/>
    <w:basedOn w:val="1"/>
    <w:next w:val="1"/>
    <w:qFormat/>
    <w:uiPriority w:val="99"/>
    <w:pPr>
      <w:ind w:left="1680"/>
      <w:jc w:val="left"/>
    </w:pPr>
    <w:rPr>
      <w:rFonts w:ascii="Arial" w:hAnsi="Arial" w:cs="Arial"/>
      <w:kern w:val="2"/>
      <w:sz w:val="18"/>
      <w:szCs w:val="18"/>
    </w:rPr>
  </w:style>
  <w:style w:type="paragraph" w:styleId="41">
    <w:name w:val="Body Text 2"/>
    <w:basedOn w:val="1"/>
    <w:link w:val="80"/>
    <w:qFormat/>
    <w:uiPriority w:val="99"/>
    <w:pPr>
      <w:spacing w:line="120" w:lineRule="atLeast"/>
    </w:pPr>
    <w:rPr>
      <w:kern w:val="2"/>
      <w:sz w:val="24"/>
    </w:rPr>
  </w:style>
  <w:style w:type="paragraph" w:styleId="42">
    <w:name w:val="Normal (Web)"/>
    <w:basedOn w:val="1"/>
    <w:qFormat/>
    <w:uiPriority w:val="99"/>
    <w:pPr>
      <w:widowControl/>
      <w:spacing w:before="100" w:beforeAutospacing="1" w:after="100" w:afterAutospacing="1"/>
      <w:jc w:val="left"/>
    </w:pPr>
    <w:rPr>
      <w:rFonts w:ascii="宋体" w:hAnsi="宋体"/>
      <w:sz w:val="24"/>
    </w:rPr>
  </w:style>
  <w:style w:type="paragraph" w:styleId="43">
    <w:name w:val="Title"/>
    <w:basedOn w:val="1"/>
    <w:link w:val="81"/>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4">
    <w:name w:val="annotation subject"/>
    <w:basedOn w:val="18"/>
    <w:next w:val="18"/>
    <w:link w:val="65"/>
    <w:qFormat/>
    <w:uiPriority w:val="99"/>
    <w:rPr>
      <w:b/>
      <w:bCs/>
    </w:rPr>
  </w:style>
  <w:style w:type="table" w:styleId="46">
    <w:name w:val="Table Grid"/>
    <w:basedOn w:val="4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99"/>
    <w:rPr>
      <w:rFonts w:cs="Times New Roman"/>
      <w:b/>
    </w:rPr>
  </w:style>
  <w:style w:type="character" w:styleId="49">
    <w:name w:val="page number"/>
    <w:basedOn w:val="47"/>
    <w:qFormat/>
    <w:uiPriority w:val="99"/>
    <w:rPr>
      <w:rFonts w:cs="Times New Roman"/>
    </w:rPr>
  </w:style>
  <w:style w:type="character" w:styleId="50">
    <w:name w:val="FollowedHyperlink"/>
    <w:basedOn w:val="47"/>
    <w:qFormat/>
    <w:uiPriority w:val="99"/>
    <w:rPr>
      <w:rFonts w:eastAsia="仿宋_GB2312" w:cs="Times New Roman"/>
      <w:color w:val="800080"/>
      <w:sz w:val="28"/>
      <w:u w:val="single"/>
    </w:rPr>
  </w:style>
  <w:style w:type="character" w:styleId="51">
    <w:name w:val="Hyperlink"/>
    <w:basedOn w:val="47"/>
    <w:qFormat/>
    <w:uiPriority w:val="99"/>
    <w:rPr>
      <w:rFonts w:cs="Times New Roman"/>
      <w:color w:val="0000FF"/>
      <w:u w:val="single"/>
    </w:rPr>
  </w:style>
  <w:style w:type="character" w:styleId="52">
    <w:name w:val="annotation reference"/>
    <w:basedOn w:val="47"/>
    <w:qFormat/>
    <w:uiPriority w:val="99"/>
    <w:rPr>
      <w:rFonts w:cs="Times New Roman"/>
      <w:sz w:val="21"/>
    </w:rPr>
  </w:style>
  <w:style w:type="paragraph" w:customStyle="1" w:styleId="53">
    <w:name w:val="Default"/>
    <w:next w:val="54"/>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4">
    <w:name w:val="toc 71"/>
    <w:next w:val="1"/>
    <w:qFormat/>
    <w:uiPriority w:val="0"/>
    <w:pPr>
      <w:wordWrap w:val="0"/>
      <w:ind w:left="2550"/>
      <w:jc w:val="both"/>
    </w:pPr>
    <w:rPr>
      <w:rFonts w:ascii="Calibri" w:hAnsi="Calibri" w:eastAsia="宋体" w:cs="Times New Roman"/>
      <w:sz w:val="21"/>
      <w:szCs w:val="22"/>
      <w:lang w:val="en-US" w:eastAsia="zh-CN" w:bidi="ar-SA"/>
    </w:rPr>
  </w:style>
  <w:style w:type="character" w:customStyle="1" w:styleId="55">
    <w:name w:val="标题 1 字符"/>
    <w:basedOn w:val="47"/>
    <w:link w:val="4"/>
    <w:qFormat/>
    <w:locked/>
    <w:uiPriority w:val="99"/>
    <w:rPr>
      <w:rFonts w:eastAsia="黑体" w:cs="Times New Roman"/>
      <w:b/>
      <w:kern w:val="44"/>
      <w:sz w:val="36"/>
    </w:rPr>
  </w:style>
  <w:style w:type="character" w:customStyle="1" w:styleId="56">
    <w:name w:val="标题 2 字符"/>
    <w:basedOn w:val="47"/>
    <w:link w:val="5"/>
    <w:qFormat/>
    <w:locked/>
    <w:uiPriority w:val="99"/>
    <w:rPr>
      <w:rFonts w:ascii="Arial" w:hAnsi="Arial" w:eastAsia="黑体" w:cs="Times New Roman"/>
      <w:b/>
      <w:snapToGrid w:val="0"/>
      <w:kern w:val="44"/>
      <w:sz w:val="28"/>
    </w:rPr>
  </w:style>
  <w:style w:type="character" w:customStyle="1" w:styleId="57">
    <w:name w:val="标题 3 字符"/>
    <w:basedOn w:val="47"/>
    <w:link w:val="6"/>
    <w:qFormat/>
    <w:locked/>
    <w:uiPriority w:val="99"/>
    <w:rPr>
      <w:rFonts w:ascii="宋体" w:cs="Times New Roman"/>
      <w:b/>
      <w:kern w:val="2"/>
      <w:sz w:val="28"/>
    </w:rPr>
  </w:style>
  <w:style w:type="character" w:customStyle="1" w:styleId="58">
    <w:name w:val="标题 4 字符"/>
    <w:basedOn w:val="47"/>
    <w:link w:val="7"/>
    <w:qFormat/>
    <w:locked/>
    <w:uiPriority w:val="99"/>
    <w:rPr>
      <w:rFonts w:ascii="黑体" w:eastAsia="黑体" w:cs="Times New Roman"/>
      <w:b/>
      <w:kern w:val="2"/>
      <w:sz w:val="24"/>
    </w:rPr>
  </w:style>
  <w:style w:type="character" w:customStyle="1" w:styleId="59">
    <w:name w:val="标题 5 字符"/>
    <w:basedOn w:val="47"/>
    <w:link w:val="9"/>
    <w:qFormat/>
    <w:locked/>
    <w:uiPriority w:val="99"/>
    <w:rPr>
      <w:rFonts w:cs="Times New Roman"/>
      <w:b/>
      <w:snapToGrid w:val="0"/>
      <w:sz w:val="28"/>
    </w:rPr>
  </w:style>
  <w:style w:type="character" w:customStyle="1" w:styleId="60">
    <w:name w:val="标题 6 字符"/>
    <w:basedOn w:val="47"/>
    <w:link w:val="10"/>
    <w:qFormat/>
    <w:locked/>
    <w:uiPriority w:val="99"/>
    <w:rPr>
      <w:rFonts w:ascii="黑体" w:hAnsi="黑体" w:eastAsia="楷体" w:cs="Times New Roman"/>
      <w:b/>
      <w:kern w:val="2"/>
      <w:sz w:val="24"/>
    </w:rPr>
  </w:style>
  <w:style w:type="character" w:customStyle="1" w:styleId="61">
    <w:name w:val="标题 7 字符"/>
    <w:basedOn w:val="47"/>
    <w:link w:val="11"/>
    <w:qFormat/>
    <w:locked/>
    <w:uiPriority w:val="99"/>
    <w:rPr>
      <w:rFonts w:ascii="Arial" w:hAnsi="Arial" w:cs="Times New Roman"/>
      <w:b/>
      <w:kern w:val="2"/>
      <w:sz w:val="24"/>
    </w:rPr>
  </w:style>
  <w:style w:type="character" w:customStyle="1" w:styleId="62">
    <w:name w:val="标题 8 字符"/>
    <w:basedOn w:val="47"/>
    <w:link w:val="12"/>
    <w:qFormat/>
    <w:locked/>
    <w:uiPriority w:val="99"/>
    <w:rPr>
      <w:rFonts w:ascii="黑体" w:hAnsi="黑体" w:eastAsia="楷体" w:cs="Times New Roman"/>
      <w:kern w:val="2"/>
      <w:sz w:val="24"/>
    </w:rPr>
  </w:style>
  <w:style w:type="character" w:customStyle="1" w:styleId="63">
    <w:name w:val="标题 9 字符"/>
    <w:basedOn w:val="47"/>
    <w:link w:val="13"/>
    <w:qFormat/>
    <w:locked/>
    <w:uiPriority w:val="99"/>
    <w:rPr>
      <w:rFonts w:ascii="黑体" w:hAnsi="黑体" w:eastAsia="楷体" w:cs="Times New Roman"/>
      <w:kern w:val="2"/>
      <w:sz w:val="21"/>
    </w:rPr>
  </w:style>
  <w:style w:type="character" w:customStyle="1" w:styleId="64">
    <w:name w:val="批注文字 字符"/>
    <w:basedOn w:val="47"/>
    <w:link w:val="18"/>
    <w:qFormat/>
    <w:locked/>
    <w:uiPriority w:val="99"/>
    <w:rPr>
      <w:rFonts w:cs="Times New Roman"/>
      <w:kern w:val="2"/>
      <w:sz w:val="21"/>
    </w:rPr>
  </w:style>
  <w:style w:type="character" w:customStyle="1" w:styleId="65">
    <w:name w:val="批注主题 字符"/>
    <w:basedOn w:val="64"/>
    <w:link w:val="44"/>
    <w:qFormat/>
    <w:locked/>
    <w:uiPriority w:val="99"/>
    <w:rPr>
      <w:rFonts w:cs="Times New Roman"/>
      <w:b/>
      <w:kern w:val="2"/>
      <w:sz w:val="21"/>
    </w:rPr>
  </w:style>
  <w:style w:type="character" w:customStyle="1" w:styleId="66">
    <w:name w:val="正文文本 字符"/>
    <w:basedOn w:val="47"/>
    <w:link w:val="20"/>
    <w:qFormat/>
    <w:locked/>
    <w:uiPriority w:val="99"/>
    <w:rPr>
      <w:rFonts w:cs="Times New Roman"/>
      <w:snapToGrid w:val="0"/>
      <w:sz w:val="21"/>
    </w:rPr>
  </w:style>
  <w:style w:type="character" w:customStyle="1" w:styleId="67">
    <w:name w:val="正文文本首行缩进 字符"/>
    <w:basedOn w:val="66"/>
    <w:link w:val="21"/>
    <w:qFormat/>
    <w:locked/>
    <w:uiPriority w:val="99"/>
    <w:rPr>
      <w:rFonts w:cs="Times New Roman"/>
      <w:snapToGrid w:val="0"/>
      <w:sz w:val="21"/>
    </w:rPr>
  </w:style>
  <w:style w:type="character" w:customStyle="1" w:styleId="68">
    <w:name w:val="文档结构图 字符"/>
    <w:basedOn w:val="47"/>
    <w:link w:val="17"/>
    <w:qFormat/>
    <w:locked/>
    <w:uiPriority w:val="99"/>
    <w:rPr>
      <w:rFonts w:cs="Times New Roman"/>
      <w:snapToGrid w:val="0"/>
      <w:sz w:val="21"/>
      <w:shd w:val="clear" w:color="auto" w:fill="000080"/>
    </w:rPr>
  </w:style>
  <w:style w:type="character" w:customStyle="1" w:styleId="69">
    <w:name w:val="正文文本 3 字符"/>
    <w:basedOn w:val="47"/>
    <w:link w:val="19"/>
    <w:semiHidden/>
    <w:qFormat/>
    <w:locked/>
    <w:uiPriority w:val="99"/>
    <w:rPr>
      <w:rFonts w:cs="Times New Roman"/>
      <w:kern w:val="0"/>
      <w:sz w:val="16"/>
      <w:szCs w:val="16"/>
    </w:rPr>
  </w:style>
  <w:style w:type="character" w:customStyle="1" w:styleId="70">
    <w:name w:val="正文文本缩进 字符"/>
    <w:basedOn w:val="47"/>
    <w:link w:val="3"/>
    <w:qFormat/>
    <w:locked/>
    <w:uiPriority w:val="99"/>
    <w:rPr>
      <w:rFonts w:ascii="宋体" w:eastAsia="宋体" w:cs="Times New Roman"/>
      <w:snapToGrid w:val="0"/>
      <w:sz w:val="24"/>
    </w:rPr>
  </w:style>
  <w:style w:type="character" w:customStyle="1" w:styleId="71">
    <w:name w:val="纯文本 字符"/>
    <w:basedOn w:val="47"/>
    <w:link w:val="27"/>
    <w:qFormat/>
    <w:locked/>
    <w:uiPriority w:val="99"/>
    <w:rPr>
      <w:rFonts w:ascii="宋体" w:hAnsi="Courier New" w:cs="Times New Roman"/>
      <w:sz w:val="18"/>
    </w:rPr>
  </w:style>
  <w:style w:type="character" w:customStyle="1" w:styleId="72">
    <w:name w:val="日期 字符"/>
    <w:basedOn w:val="47"/>
    <w:link w:val="28"/>
    <w:qFormat/>
    <w:locked/>
    <w:uiPriority w:val="99"/>
    <w:rPr>
      <w:rFonts w:ascii="宋体" w:eastAsia="宋体" w:cs="Times New Roman"/>
      <w:kern w:val="2"/>
      <w:sz w:val="24"/>
    </w:rPr>
  </w:style>
  <w:style w:type="character" w:customStyle="1" w:styleId="73">
    <w:name w:val="正文文本缩进 2 字符"/>
    <w:basedOn w:val="47"/>
    <w:link w:val="30"/>
    <w:qFormat/>
    <w:locked/>
    <w:uiPriority w:val="99"/>
    <w:rPr>
      <w:rFonts w:cs="Times New Roman"/>
      <w:kern w:val="2"/>
      <w:sz w:val="21"/>
    </w:rPr>
  </w:style>
  <w:style w:type="character" w:customStyle="1" w:styleId="74">
    <w:name w:val="批注框文本 字符"/>
    <w:basedOn w:val="47"/>
    <w:link w:val="31"/>
    <w:qFormat/>
    <w:locked/>
    <w:uiPriority w:val="99"/>
    <w:rPr>
      <w:rFonts w:cs="Times New Roman"/>
      <w:snapToGrid w:val="0"/>
      <w:sz w:val="18"/>
    </w:rPr>
  </w:style>
  <w:style w:type="character" w:customStyle="1" w:styleId="75">
    <w:name w:val="页脚 字符"/>
    <w:basedOn w:val="47"/>
    <w:link w:val="32"/>
    <w:qFormat/>
    <w:locked/>
    <w:uiPriority w:val="99"/>
    <w:rPr>
      <w:rFonts w:eastAsia="宋体" w:cs="Times New Roman"/>
      <w:snapToGrid w:val="0"/>
      <w:sz w:val="18"/>
      <w:lang w:val="en-US" w:eastAsia="zh-CN"/>
    </w:rPr>
  </w:style>
  <w:style w:type="character" w:customStyle="1" w:styleId="76">
    <w:name w:val="正文文本首行缩进 2 字符"/>
    <w:basedOn w:val="70"/>
    <w:link w:val="2"/>
    <w:qFormat/>
    <w:locked/>
    <w:uiPriority w:val="99"/>
    <w:rPr>
      <w:rFonts w:ascii="宋体" w:eastAsia="宋体" w:cs="Times New Roman"/>
      <w:snapToGrid w:val="0"/>
      <w:kern w:val="2"/>
      <w:sz w:val="24"/>
    </w:rPr>
  </w:style>
  <w:style w:type="character" w:customStyle="1" w:styleId="77">
    <w:name w:val="页眉 字符"/>
    <w:basedOn w:val="47"/>
    <w:link w:val="33"/>
    <w:qFormat/>
    <w:locked/>
    <w:uiPriority w:val="99"/>
    <w:rPr>
      <w:rFonts w:eastAsia="宋体" w:cs="Times New Roman"/>
      <w:snapToGrid w:val="0"/>
      <w:sz w:val="18"/>
      <w:lang w:val="en-US" w:eastAsia="zh-CN"/>
    </w:rPr>
  </w:style>
  <w:style w:type="character" w:customStyle="1" w:styleId="78">
    <w:name w:val="副标题 字符"/>
    <w:basedOn w:val="47"/>
    <w:link w:val="36"/>
    <w:qFormat/>
    <w:locked/>
    <w:uiPriority w:val="99"/>
    <w:rPr>
      <w:rFonts w:ascii="Cambria" w:hAnsi="Cambria" w:cs="Times New Roman"/>
      <w:b/>
      <w:snapToGrid w:val="0"/>
      <w:kern w:val="28"/>
      <w:sz w:val="32"/>
    </w:rPr>
  </w:style>
  <w:style w:type="character" w:customStyle="1" w:styleId="79">
    <w:name w:val="正文文本缩进 3 字符"/>
    <w:basedOn w:val="47"/>
    <w:link w:val="38"/>
    <w:qFormat/>
    <w:locked/>
    <w:uiPriority w:val="99"/>
    <w:rPr>
      <w:rFonts w:cs="Times New Roman"/>
      <w:snapToGrid w:val="0"/>
      <w:sz w:val="16"/>
    </w:rPr>
  </w:style>
  <w:style w:type="character" w:customStyle="1" w:styleId="80">
    <w:name w:val="正文文本 2 字符"/>
    <w:basedOn w:val="47"/>
    <w:link w:val="41"/>
    <w:qFormat/>
    <w:locked/>
    <w:uiPriority w:val="99"/>
    <w:rPr>
      <w:rFonts w:eastAsia="宋体" w:cs="Times New Roman"/>
      <w:kern w:val="2"/>
      <w:sz w:val="24"/>
      <w:lang w:val="en-US" w:eastAsia="zh-CN"/>
    </w:rPr>
  </w:style>
  <w:style w:type="character" w:customStyle="1" w:styleId="81">
    <w:name w:val="标题 字符"/>
    <w:basedOn w:val="47"/>
    <w:link w:val="43"/>
    <w:qFormat/>
    <w:locked/>
    <w:uiPriority w:val="99"/>
    <w:rPr>
      <w:rFonts w:ascii="Arial" w:hAnsi="Arial" w:cs="Times New Roman"/>
      <w:b/>
      <w:spacing w:val="60"/>
      <w:kern w:val="2"/>
      <w:sz w:val="24"/>
    </w:rPr>
  </w:style>
  <w:style w:type="character" w:customStyle="1" w:styleId="82">
    <w:name w:val="页眉 Char1"/>
    <w:semiHidden/>
    <w:qFormat/>
    <w:uiPriority w:val="99"/>
    <w:rPr>
      <w:kern w:val="2"/>
      <w:sz w:val="18"/>
    </w:rPr>
  </w:style>
  <w:style w:type="character" w:customStyle="1" w:styleId="83">
    <w:name w:val="font11"/>
    <w:basedOn w:val="47"/>
    <w:qFormat/>
    <w:uiPriority w:val="99"/>
    <w:rPr>
      <w:rFonts w:ascii="宋体" w:hAnsi="宋体" w:eastAsia="宋体"/>
      <w:b/>
      <w:color w:val="000000"/>
      <w:sz w:val="24"/>
      <w:u w:val="none"/>
    </w:rPr>
  </w:style>
  <w:style w:type="character" w:customStyle="1" w:styleId="84">
    <w:name w:val="正文标准 Char"/>
    <w:link w:val="85"/>
    <w:qFormat/>
    <w:locked/>
    <w:uiPriority w:val="99"/>
    <w:rPr>
      <w:kern w:val="2"/>
      <w:sz w:val="21"/>
    </w:rPr>
  </w:style>
  <w:style w:type="paragraph" w:customStyle="1" w:styleId="85">
    <w:name w:val="正文标准"/>
    <w:basedOn w:val="1"/>
    <w:link w:val="84"/>
    <w:qFormat/>
    <w:uiPriority w:val="99"/>
    <w:pPr>
      <w:spacing w:beforeLines="50"/>
      <w:ind w:firstLine="200" w:firstLineChars="200"/>
    </w:pPr>
    <w:rPr>
      <w:kern w:val="2"/>
    </w:rPr>
  </w:style>
  <w:style w:type="character" w:customStyle="1" w:styleId="86">
    <w:name w:val="font01"/>
    <w:basedOn w:val="47"/>
    <w:qFormat/>
    <w:uiPriority w:val="99"/>
    <w:rPr>
      <w:rFonts w:ascii="Calibri" w:hAnsi="Calibri"/>
      <w:b/>
      <w:color w:val="000000"/>
      <w:sz w:val="24"/>
      <w:u w:val="none"/>
    </w:rPr>
  </w:style>
  <w:style w:type="character" w:customStyle="1" w:styleId="87">
    <w:name w:val="font31"/>
    <w:basedOn w:val="47"/>
    <w:qFormat/>
    <w:uiPriority w:val="99"/>
    <w:rPr>
      <w:rFonts w:ascii="Calibri" w:hAnsi="Calibri"/>
      <w:color w:val="000000"/>
      <w:sz w:val="24"/>
      <w:u w:val="none"/>
    </w:rPr>
  </w:style>
  <w:style w:type="character" w:customStyle="1" w:styleId="88">
    <w:name w:val="表正文 Char"/>
    <w:qFormat/>
    <w:uiPriority w:val="99"/>
    <w:rPr>
      <w:rFonts w:ascii="Arial" w:hAnsi="Arial" w:eastAsia="宋体"/>
      <w:lang w:val="en-US" w:eastAsia="zh-CN"/>
    </w:rPr>
  </w:style>
  <w:style w:type="character" w:customStyle="1" w:styleId="89">
    <w:name w:val="zbggmain style9"/>
    <w:qFormat/>
    <w:uiPriority w:val="99"/>
    <w:rPr>
      <w:rFonts w:ascii="Courier New" w:eastAsia="Times New Roman"/>
      <w:b/>
      <w:kern w:val="2"/>
      <w:sz w:val="32"/>
      <w:lang w:val="en-US" w:eastAsia="zh-CN"/>
    </w:rPr>
  </w:style>
  <w:style w:type="character" w:customStyle="1" w:styleId="90">
    <w:name w:val="apple-converted-space"/>
    <w:qFormat/>
    <w:uiPriority w:val="99"/>
    <w:rPr>
      <w:rFonts w:eastAsia="仿宋_GB2312"/>
      <w:sz w:val="28"/>
    </w:rPr>
  </w:style>
  <w:style w:type="character" w:customStyle="1" w:styleId="91">
    <w:name w:val="zbggtop11 style5"/>
    <w:qFormat/>
    <w:uiPriority w:val="99"/>
    <w:rPr>
      <w:rFonts w:eastAsia="仿宋_GB2312"/>
      <w:sz w:val="28"/>
    </w:rPr>
  </w:style>
  <w:style w:type="character" w:customStyle="1" w:styleId="92">
    <w:name w:val="标题 1 Char"/>
    <w:qFormat/>
    <w:uiPriority w:val="99"/>
    <w:rPr>
      <w:rFonts w:eastAsia="黑体"/>
      <w:b/>
      <w:snapToGrid w:val="0"/>
      <w:kern w:val="44"/>
      <w:sz w:val="36"/>
      <w:lang w:val="en-US" w:eastAsia="zh-CN"/>
    </w:rPr>
  </w:style>
  <w:style w:type="character" w:customStyle="1" w:styleId="93">
    <w:name w:val="正文文本缩进 3 Char1"/>
    <w:semiHidden/>
    <w:qFormat/>
    <w:uiPriority w:val="99"/>
    <w:rPr>
      <w:kern w:val="2"/>
      <w:sz w:val="16"/>
    </w:rPr>
  </w:style>
  <w:style w:type="character" w:customStyle="1" w:styleId="94">
    <w:name w:val="正文缩进 字符"/>
    <w:link w:val="8"/>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7"/>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7"/>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8"/>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7"/>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5"/>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7"/>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7"/>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6"/>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5"/>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8"/>
    <w:qFormat/>
    <w:uiPriority w:val="99"/>
    <w:pPr>
      <w:spacing w:line="460" w:lineRule="exact"/>
      <w:ind w:firstLine="536" w:firstLineChars="200"/>
    </w:pPr>
    <w:rPr>
      <w:rFonts w:cs="宋体"/>
      <w:spacing w:val="6"/>
      <w:kern w:val="24"/>
      <w:sz w:val="24"/>
      <w:szCs w:val="24"/>
    </w:rPr>
  </w:style>
  <w:style w:type="paragraph" w:customStyle="1" w:styleId="190">
    <w:name w:val="小节"/>
    <w:basedOn w:val="6"/>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 w:type="paragraph" w:customStyle="1" w:styleId="195">
    <w:name w:val="正文首行缩进 21"/>
    <w:basedOn w:val="3"/>
    <w:qFormat/>
    <w:uiPriority w:val="0"/>
    <w:pPr>
      <w:spacing w:before="0" w:after="120" w:line="240" w:lineRule="auto"/>
      <w:ind w:left="420" w:firstLine="420"/>
      <w:jc w:val="both"/>
    </w:pPr>
    <w:rPr>
      <w:rFonts w:cs="Times New Roman"/>
      <w:kern w:val="2"/>
      <w:sz w:val="21"/>
      <w:szCs w:val="24"/>
    </w:rPr>
  </w:style>
  <w:style w:type="paragraph" w:customStyle="1" w:styleId="196">
    <w:name w:val="WPSOffice手动目录 1"/>
    <w:uiPriority w:val="0"/>
    <w:pPr>
      <w:ind w:leftChars="0"/>
    </w:pPr>
    <w:rPr>
      <w:rFonts w:ascii="Calibri" w:hAnsi="Calibri"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glossaryDocument" Target="glossary/document.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c8d84b5c-fdc4-4a93-8bde-4aa05c94e18d}"/>
        <w:style w:val=""/>
        <w:category>
          <w:name w:val="常规"/>
          <w:gallery w:val="placeholder"/>
        </w:category>
        <w:types>
          <w:type w:val="bbPlcHdr"/>
        </w:types>
        <w:behaviors>
          <w:behavior w:val="content"/>
        </w:behaviors>
        <w:description w:val=""/>
        <w:guid w:val="{c8d84b5c-fdc4-4a93-8bde-4aa05c94e18d}"/>
      </w:docPartPr>
      <w:docPartBody>
        <w:p w14:paraId="77F1AD94">
          <w:r>
            <w:rPr>
              <w:color w:val="808080"/>
            </w:rPr>
            <w:t>单击此处输入文字。</w:t>
          </w:r>
        </w:p>
      </w:docPartBody>
    </w:docPart>
    <w:docPart>
      <w:docPartPr>
        <w:name w:val="{bdf87fdb-bcb7-45a5-87f9-ed6349d97aea}"/>
        <w:style w:val=""/>
        <w:category>
          <w:name w:val="常规"/>
          <w:gallery w:val="placeholder"/>
        </w:category>
        <w:types>
          <w:type w:val="bbPlcHdr"/>
        </w:types>
        <w:behaviors>
          <w:behavior w:val="content"/>
        </w:behaviors>
        <w:description w:val=""/>
        <w:guid w:val="{bdf87fdb-bcb7-45a5-87f9-ed6349d97aea}"/>
      </w:docPartPr>
      <w:docPartBody>
        <w:p w14:paraId="45D13683">
          <w:r>
            <w:rPr>
              <w:color w:val="808080"/>
            </w:rPr>
            <w:t>单击此处输入文字。</w:t>
          </w:r>
        </w:p>
      </w:docPartBody>
    </w:docPart>
    <w:docPart>
      <w:docPartPr>
        <w:name w:val="{45fdce17-ef40-494e-bc31-6d8dd4d1af7d}"/>
        <w:style w:val=""/>
        <w:category>
          <w:name w:val="常规"/>
          <w:gallery w:val="placeholder"/>
        </w:category>
        <w:types>
          <w:type w:val="bbPlcHdr"/>
        </w:types>
        <w:behaviors>
          <w:behavior w:val="content"/>
        </w:behaviors>
        <w:description w:val=""/>
        <w:guid w:val="{45fdce17-ef40-494e-bc31-6d8dd4d1af7d}"/>
      </w:docPartPr>
      <w:docPartBody>
        <w:p w14:paraId="2E070644">
          <w:r>
            <w:rPr>
              <w:color w:val="808080"/>
            </w:rPr>
            <w:t>单击此处输入文字。</w:t>
          </w:r>
        </w:p>
      </w:docPartBody>
    </w:docPart>
    <w:docPart>
      <w:docPartPr>
        <w:name w:val="{f9089bba-9e5c-4afb-b2c4-04a536f2f5fb}"/>
        <w:style w:val=""/>
        <w:category>
          <w:name w:val="常规"/>
          <w:gallery w:val="placeholder"/>
        </w:category>
        <w:types>
          <w:type w:val="bbPlcHdr"/>
        </w:types>
        <w:behaviors>
          <w:behavior w:val="content"/>
        </w:behaviors>
        <w:description w:val=""/>
        <w:guid w:val="{f9089bba-9e5c-4afb-b2c4-04a536f2f5fb}"/>
      </w:docPartPr>
      <w:docPartBody>
        <w:p w14:paraId="7A9AFA12">
          <w:r>
            <w:rPr>
              <w:color w:val="808080"/>
            </w:rPr>
            <w:t>单击此处输入文字。</w:t>
          </w:r>
        </w:p>
      </w:docPartBody>
    </w:docPart>
    <w:docPart>
      <w:docPartPr>
        <w:name w:val="{c0bb8c38-7da5-4066-ba3f-5dabb7623320}"/>
        <w:style w:val=""/>
        <w:category>
          <w:name w:val="常规"/>
          <w:gallery w:val="placeholder"/>
        </w:category>
        <w:types>
          <w:type w:val="bbPlcHdr"/>
        </w:types>
        <w:behaviors>
          <w:behavior w:val="content"/>
        </w:behaviors>
        <w:description w:val=""/>
        <w:guid w:val="{c0bb8c38-7da5-4066-ba3f-5dabb7623320}"/>
      </w:docPartPr>
      <w:docPartBody>
        <w:p w14:paraId="4EC26261">
          <w:r>
            <w:rPr>
              <w:color w:val="808080"/>
            </w:rPr>
            <w:t>单击此处输入文字。</w:t>
          </w:r>
        </w:p>
      </w:docPartBody>
    </w:docPart>
    <w:docPart>
      <w:docPartPr>
        <w:name w:val="{8ded1eb7-b10b-40d8-8872-75ee7e5cbc62}"/>
        <w:style w:val=""/>
        <w:category>
          <w:name w:val="常规"/>
          <w:gallery w:val="placeholder"/>
        </w:category>
        <w:types>
          <w:type w:val="bbPlcHdr"/>
        </w:types>
        <w:behaviors>
          <w:behavior w:val="content"/>
        </w:behaviors>
        <w:description w:val=""/>
        <w:guid w:val="{8ded1eb7-b10b-40d8-8872-75ee7e5cbc62}"/>
      </w:docPartPr>
      <w:docPartBody>
        <w:p w14:paraId="3A63BCB8">
          <w:r>
            <w:rPr>
              <w:color w:val="808080"/>
            </w:rPr>
            <w:t>单击此处输入文字。</w:t>
          </w:r>
        </w:p>
      </w:docPartBody>
    </w:docPart>
    <w:docPart>
      <w:docPartPr>
        <w:name w:val="{08ddf5a9-fd1c-4bc1-a786-097da3dc01d9}"/>
        <w:style w:val=""/>
        <w:category>
          <w:name w:val="常规"/>
          <w:gallery w:val="placeholder"/>
        </w:category>
        <w:types>
          <w:type w:val="bbPlcHdr"/>
        </w:types>
        <w:behaviors>
          <w:behavior w:val="content"/>
        </w:behaviors>
        <w:description w:val=""/>
        <w:guid w:val="{08ddf5a9-fd1c-4bc1-a786-097da3dc01d9}"/>
      </w:docPartPr>
      <w:docPartBody>
        <w:p w14:paraId="69F0A36E">
          <w:r>
            <w:rPr>
              <w:color w:val="808080"/>
            </w:rPr>
            <w:t>单击此处输入文字。</w:t>
          </w:r>
        </w:p>
      </w:docPartBody>
    </w:docPart>
    <w:docPart>
      <w:docPartPr>
        <w:name w:val="{c17ac0ae-1c87-4ee4-835d-a6566b392cff}"/>
        <w:style w:val=""/>
        <w:category>
          <w:name w:val="常规"/>
          <w:gallery w:val="placeholder"/>
        </w:category>
        <w:types>
          <w:type w:val="bbPlcHdr"/>
        </w:types>
        <w:behaviors>
          <w:behavior w:val="content"/>
        </w:behaviors>
        <w:description w:val=""/>
        <w:guid w:val="{c17ac0ae-1c87-4ee4-835d-a6566b392cff}"/>
      </w:docPartPr>
      <w:docPartBody>
        <w:p w14:paraId="761ACCFC">
          <w:r>
            <w:rPr>
              <w:color w:val="808080"/>
            </w:rPr>
            <w:t>单击此处输入文字。</w:t>
          </w:r>
        </w:p>
      </w:docPartBody>
    </w:docPart>
    <w:docPart>
      <w:docPartPr>
        <w:name w:val="{ae431b9c-69e9-4d46-aa98-4ccefc57ebec}"/>
        <w:style w:val=""/>
        <w:category>
          <w:name w:val="常规"/>
          <w:gallery w:val="placeholder"/>
        </w:category>
        <w:types>
          <w:type w:val="bbPlcHdr"/>
        </w:types>
        <w:behaviors>
          <w:behavior w:val="content"/>
        </w:behaviors>
        <w:description w:val=""/>
        <w:guid w:val="{ae431b9c-69e9-4d46-aa98-4ccefc57ebec}"/>
      </w:docPartPr>
      <w:docPartBody>
        <w:p w14:paraId="66BF8380">
          <w:r>
            <w:rPr>
              <w:color w:val="808080"/>
            </w:rPr>
            <w:t>单击此处输入文字。</w:t>
          </w:r>
        </w:p>
      </w:docPartBody>
    </w:docPart>
    <w:docPart>
      <w:docPartPr>
        <w:name w:val="{56bfa9eb-2b9f-4577-9b50-5da65bb50ebe}"/>
        <w:style w:val=""/>
        <w:category>
          <w:name w:val="常规"/>
          <w:gallery w:val="placeholder"/>
        </w:category>
        <w:types>
          <w:type w:val="bbPlcHdr"/>
        </w:types>
        <w:behaviors>
          <w:behavior w:val="content"/>
        </w:behaviors>
        <w:description w:val=""/>
        <w:guid w:val="{56bfa9eb-2b9f-4577-9b50-5da65bb50ebe}"/>
      </w:docPartPr>
      <w:docPartBody>
        <w:p w14:paraId="3841BC62">
          <w:r>
            <w:rPr>
              <w:color w:val="808080"/>
            </w:rPr>
            <w:t>单击此处输入文字。</w:t>
          </w:r>
        </w:p>
      </w:docPartBody>
    </w:docPart>
    <w:docPart>
      <w:docPartPr>
        <w:name w:val="{3f7b6af1-8a1e-417e-93cc-20ff45e86242}"/>
        <w:style w:val=""/>
        <w:category>
          <w:name w:val="常规"/>
          <w:gallery w:val="placeholder"/>
        </w:category>
        <w:types>
          <w:type w:val="bbPlcHdr"/>
        </w:types>
        <w:behaviors>
          <w:behavior w:val="content"/>
        </w:behaviors>
        <w:description w:val=""/>
        <w:guid w:val="{3f7b6af1-8a1e-417e-93cc-20ff45e86242}"/>
      </w:docPartPr>
      <w:docPartBody>
        <w:p w14:paraId="4D631AF3">
          <w:r>
            <w:rPr>
              <w:color w:val="808080"/>
            </w:rPr>
            <w:t>单击此处输入文字。</w:t>
          </w:r>
        </w:p>
      </w:docPartBody>
    </w:docPart>
    <w:docPart>
      <w:docPartPr>
        <w:name w:val="{c99ea11b-09e3-4daf-80f4-eb6d8c169ef7}"/>
        <w:style w:val=""/>
        <w:category>
          <w:name w:val="常规"/>
          <w:gallery w:val="placeholder"/>
        </w:category>
        <w:types>
          <w:type w:val="bbPlcHdr"/>
        </w:types>
        <w:behaviors>
          <w:behavior w:val="content"/>
        </w:behaviors>
        <w:description w:val=""/>
        <w:guid w:val="{c99ea11b-09e3-4daf-80f4-eb6d8c169ef7}"/>
      </w:docPartPr>
      <w:docPartBody>
        <w:p w14:paraId="7E4AD9B2">
          <w:r>
            <w:rPr>
              <w:color w:val="808080"/>
            </w:rPr>
            <w:t>单击此处输入文字。</w:t>
          </w:r>
        </w:p>
      </w:docPartBody>
    </w:docPart>
    <w:docPart>
      <w:docPartPr>
        <w:name w:val="{5db7875b-aca0-4ff4-a2ce-3dca5ad8e0ea}"/>
        <w:style w:val=""/>
        <w:category>
          <w:name w:val="常规"/>
          <w:gallery w:val="placeholder"/>
        </w:category>
        <w:types>
          <w:type w:val="bbPlcHdr"/>
        </w:types>
        <w:behaviors>
          <w:behavior w:val="content"/>
        </w:behaviors>
        <w:description w:val=""/>
        <w:guid w:val="{5db7875b-aca0-4ff4-a2ce-3dca5ad8e0ea}"/>
      </w:docPartPr>
      <w:docPartBody>
        <w:p w14:paraId="5AADCA3B">
          <w:r>
            <w:rPr>
              <w:color w:val="808080"/>
            </w:rPr>
            <w:t>单击此处输入文字。</w:t>
          </w:r>
        </w:p>
      </w:docPartBody>
    </w:docPart>
    <w:docPart>
      <w:docPartPr>
        <w:name w:val="{477f0753-f2dc-4141-b55e-ec62ec95400e}"/>
        <w:style w:val=""/>
        <w:category>
          <w:name w:val="常规"/>
          <w:gallery w:val="placeholder"/>
        </w:category>
        <w:types>
          <w:type w:val="bbPlcHdr"/>
        </w:types>
        <w:behaviors>
          <w:behavior w:val="content"/>
        </w:behaviors>
        <w:description w:val=""/>
        <w:guid w:val="{477f0753-f2dc-4141-b55e-ec62ec95400e}"/>
      </w:docPartPr>
      <w:docPartBody>
        <w:p w14:paraId="28DA088C">
          <w:r>
            <w:rPr>
              <w:color w:val="808080"/>
            </w:rPr>
            <w:t>单击此处输入文字。</w:t>
          </w:r>
        </w:p>
      </w:docPartBody>
    </w:docPart>
    <w:docPart>
      <w:docPartPr>
        <w:name w:val="{f1419b14-2d42-4ee3-85be-d3c2ff8b6c47}"/>
        <w:style w:val=""/>
        <w:category>
          <w:name w:val="常规"/>
          <w:gallery w:val="placeholder"/>
        </w:category>
        <w:types>
          <w:type w:val="bbPlcHdr"/>
        </w:types>
        <w:behaviors>
          <w:behavior w:val="content"/>
        </w:behaviors>
        <w:description w:val=""/>
        <w:guid w:val="{f1419b14-2d42-4ee3-85be-d3c2ff8b6c47}"/>
      </w:docPartPr>
      <w:docPartBody>
        <w:p w14:paraId="7CD47F52">
          <w:r>
            <w:rPr>
              <w:color w:val="808080"/>
            </w:rPr>
            <w:t>单击此处输入文字。</w:t>
          </w:r>
        </w:p>
      </w:docPartBody>
    </w:docPart>
    <w:docPart>
      <w:docPartPr>
        <w:name w:val="{6f049473-9e7d-47ca-aed4-9738cccb0359}"/>
        <w:style w:val=""/>
        <w:category>
          <w:name w:val="常规"/>
          <w:gallery w:val="placeholder"/>
        </w:category>
        <w:types>
          <w:type w:val="bbPlcHdr"/>
        </w:types>
        <w:behaviors>
          <w:behavior w:val="content"/>
        </w:behaviors>
        <w:description w:val=""/>
        <w:guid w:val="{6f049473-9e7d-47ca-aed4-9738cccb0359}"/>
      </w:docPartPr>
      <w:docPartBody>
        <w:p w14:paraId="6E9673F6">
          <w:r>
            <w:rPr>
              <w:color w:val="808080"/>
            </w:rPr>
            <w:t>单击此处输入文字。</w:t>
          </w:r>
        </w:p>
      </w:docPartBody>
    </w:docPart>
    <w:docPart>
      <w:docPartPr>
        <w:name w:val="{ca09eef4-3c74-495a-8500-611ca1e4d190}"/>
        <w:style w:val=""/>
        <w:category>
          <w:name w:val="常规"/>
          <w:gallery w:val="placeholder"/>
        </w:category>
        <w:types>
          <w:type w:val="bbPlcHdr"/>
        </w:types>
        <w:behaviors>
          <w:behavior w:val="content"/>
        </w:behaviors>
        <w:description w:val=""/>
        <w:guid w:val="{ca09eef4-3c74-495a-8500-611ca1e4d190}"/>
      </w:docPartPr>
      <w:docPartBody>
        <w:p w14:paraId="5A3284B1">
          <w:r>
            <w:rPr>
              <w:color w:val="808080"/>
            </w:rPr>
            <w:t>单击此处输入文字。</w:t>
          </w:r>
        </w:p>
      </w:docPartBody>
    </w:docPart>
    <w:docPart>
      <w:docPartPr>
        <w:name w:val="{a5958c2c-12eb-4951-944c-fb7d04a51382}"/>
        <w:style w:val=""/>
        <w:category>
          <w:name w:val="常规"/>
          <w:gallery w:val="placeholder"/>
        </w:category>
        <w:types>
          <w:type w:val="bbPlcHdr"/>
        </w:types>
        <w:behaviors>
          <w:behavior w:val="content"/>
        </w:behaviors>
        <w:description w:val=""/>
        <w:guid w:val="{a5958c2c-12eb-4951-944c-fb7d04a51382}"/>
      </w:docPartPr>
      <w:docPartBody>
        <w:p w14:paraId="587D49D9">
          <w:r>
            <w:rPr>
              <w:color w:val="808080"/>
            </w:rPr>
            <w:t>单击此处输入文字。</w:t>
          </w:r>
        </w:p>
      </w:docPartBody>
    </w:docPart>
    <w:docPart>
      <w:docPartPr>
        <w:name w:val="{431606aa-abb9-4156-92bb-f97ff1a66fd5}"/>
        <w:style w:val=""/>
        <w:category>
          <w:name w:val="常规"/>
          <w:gallery w:val="placeholder"/>
        </w:category>
        <w:types>
          <w:type w:val="bbPlcHdr"/>
        </w:types>
        <w:behaviors>
          <w:behavior w:val="content"/>
        </w:behaviors>
        <w:description w:val=""/>
        <w:guid w:val="{431606aa-abb9-4156-92bb-f97ff1a66fd5}"/>
      </w:docPartPr>
      <w:docPartBody>
        <w:p w14:paraId="5FDC1A55">
          <w:r>
            <w:rPr>
              <w:color w:val="808080"/>
            </w:rPr>
            <w:t>单击此处输入文字。</w:t>
          </w:r>
        </w:p>
      </w:docPartBody>
    </w:docPart>
    <w:docPart>
      <w:docPartPr>
        <w:name w:val="{51dd69ef-e312-4e96-af01-f1a4dc42842d}"/>
        <w:style w:val=""/>
        <w:category>
          <w:name w:val="常规"/>
          <w:gallery w:val="placeholder"/>
        </w:category>
        <w:types>
          <w:type w:val="bbPlcHdr"/>
        </w:types>
        <w:behaviors>
          <w:behavior w:val="content"/>
        </w:behaviors>
        <w:description w:val=""/>
        <w:guid w:val="{51dd69ef-e312-4e96-af01-f1a4dc42842d}"/>
      </w:docPartPr>
      <w:docPartBody>
        <w:p w14:paraId="62B3B049">
          <w:r>
            <w:rPr>
              <w:color w:val="808080"/>
            </w:rPr>
            <w:t>单击此处输入文字。</w:t>
          </w:r>
        </w:p>
      </w:docPartBody>
    </w:docPart>
    <w:docPart>
      <w:docPartPr>
        <w:name w:val="{540a9bd7-920e-4aa6-b49b-11d5c2638a84}"/>
        <w:style w:val=""/>
        <w:category>
          <w:name w:val="常规"/>
          <w:gallery w:val="placeholder"/>
        </w:category>
        <w:types>
          <w:type w:val="bbPlcHdr"/>
        </w:types>
        <w:behaviors>
          <w:behavior w:val="content"/>
        </w:behaviors>
        <w:description w:val=""/>
        <w:guid w:val="{540a9bd7-920e-4aa6-b49b-11d5c2638a84}"/>
      </w:docPartPr>
      <w:docPartBody>
        <w:p w14:paraId="6FA52168">
          <w:r>
            <w:rPr>
              <w:color w:val="808080"/>
            </w:rPr>
            <w:t>单击此处输入文字。</w:t>
          </w:r>
        </w:p>
      </w:docPartBody>
    </w:docPart>
    <w:docPart>
      <w:docPartPr>
        <w:name w:val="{d57b43dc-5eb0-4419-8832-e824feb7a6d3}"/>
        <w:style w:val=""/>
        <w:category>
          <w:name w:val="常规"/>
          <w:gallery w:val="placeholder"/>
        </w:category>
        <w:types>
          <w:type w:val="bbPlcHdr"/>
        </w:types>
        <w:behaviors>
          <w:behavior w:val="content"/>
        </w:behaviors>
        <w:description w:val=""/>
        <w:guid w:val="{d57b43dc-5eb0-4419-8832-e824feb7a6d3}"/>
      </w:docPartPr>
      <w:docPartBody>
        <w:p w14:paraId="23BE79E5">
          <w:r>
            <w:rPr>
              <w:color w:val="808080"/>
            </w:rPr>
            <w:t>单击此处输入文字。</w:t>
          </w:r>
        </w:p>
      </w:docPartBody>
    </w:docPart>
    <w:docPart>
      <w:docPartPr>
        <w:name w:val="{2175a4a7-db8d-4281-9ccc-baf6056b47ff}"/>
        <w:style w:val=""/>
        <w:category>
          <w:name w:val="常规"/>
          <w:gallery w:val="placeholder"/>
        </w:category>
        <w:types>
          <w:type w:val="bbPlcHdr"/>
        </w:types>
        <w:behaviors>
          <w:behavior w:val="content"/>
        </w:behaviors>
        <w:description w:val=""/>
        <w:guid w:val="{2175a4a7-db8d-4281-9ccc-baf6056b47ff}"/>
      </w:docPartPr>
      <w:docPartBody>
        <w:p w14:paraId="1E97DA7D">
          <w:r>
            <w:rPr>
              <w:color w:val="808080"/>
            </w:rPr>
            <w:t>单击此处输入文字。</w:t>
          </w:r>
        </w:p>
      </w:docPartBody>
    </w:docPart>
    <w:docPart>
      <w:docPartPr>
        <w:name w:val="{7f394106-1fb3-4a5c-9378-80d909b4e623}"/>
        <w:style w:val=""/>
        <w:category>
          <w:name w:val="常规"/>
          <w:gallery w:val="placeholder"/>
        </w:category>
        <w:types>
          <w:type w:val="bbPlcHdr"/>
        </w:types>
        <w:behaviors>
          <w:behavior w:val="content"/>
        </w:behaviors>
        <w:description w:val=""/>
        <w:guid w:val="{7f394106-1fb3-4a5c-9378-80d909b4e623}"/>
      </w:docPartPr>
      <w:docPartBody>
        <w:p w14:paraId="00F3BB73">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国标宋体-超大字符集扩">
    <w:panose1 w:val="000005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Lenovo</Company>
  <Pages>42</Pages>
  <Words>29336</Words>
  <Characters>30473</Characters>
  <Lines>257</Lines>
  <Paragraphs>72</Paragraphs>
  <TotalTime>69</TotalTime>
  <ScaleCrop>false</ScaleCrop>
  <LinksUpToDate>false</LinksUpToDate>
  <CharactersWithSpaces>32392</CharactersWithSpaces>
  <Application>WPS Office_12.8.2.18605_F1E327BC-269C-435d-A152-05C5408002CA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2018-07-16T23:39:00Z</dcterms:created>
  <dc:creator>小周</dc:creator>
  <cp:lastModifiedBy>施翔</cp:lastModifiedBy>
  <cp:lastPrinted>2026-09-28T13:51:21Z</cp:lastPrinted>
  <dcterms:modified xsi:type="dcterms:W3CDTF">2026-09-28T14:55:04Z</dcterms:modified>
  <dc:title>aaa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2052-12.8.2.18605</vt:lpwstr>
  </property>
  <property fmtid="{D5CDD505-2E9C-101B-9397-08002B2CF9AE}" pid="3" name="ICV">
    <vt:lpwstr>8EDFB732A38A4CAC96E18AD3A56F0EB4</vt:lpwstr>
  </property>
  <property fmtid="{D5CDD505-2E9C-101B-9397-08002B2CF9AE}" pid="4" name="KSOTemplateDocerSaveRecord">
    <vt:lpwstr>eyJoZGlkIjoiNWNhZTI1NTViMGE5MjNhNmFmZjc2ZDJlYzlmZTQ3MGQiLCJ1c2VySWQiOiI0NTY5Mzg0ODAifQ==</vt:lpwstr>
  </property>
</Properties>
</file>