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FF094">
      <w:pPr>
        <w:spacing w:line="360" w:lineRule="auto"/>
        <w:jc w:val="center"/>
        <w:rPr>
          <w:rFonts w:ascii="宋体" w:hAnsi="宋体" w:cs="宋体"/>
          <w:b/>
          <w:color w:val="auto"/>
          <w:sz w:val="24"/>
          <w:highlight w:val="none"/>
        </w:rPr>
      </w:pPr>
    </w:p>
    <w:p w14:paraId="6FF5306A">
      <w:pPr>
        <w:spacing w:line="360" w:lineRule="auto"/>
        <w:jc w:val="center"/>
        <w:rPr>
          <w:rFonts w:ascii="宋体" w:hAnsi="宋体" w:cs="宋体"/>
          <w:b/>
          <w:color w:val="auto"/>
          <w:sz w:val="24"/>
          <w:highlight w:val="none"/>
        </w:rPr>
      </w:pPr>
    </w:p>
    <w:p w14:paraId="313CE597">
      <w:pPr>
        <w:adjustRightInd/>
        <w:spacing w:line="360" w:lineRule="auto"/>
        <w:jc w:val="center"/>
        <w:rPr>
          <w:rFonts w:ascii="宋体" w:hAnsi="宋体" w:cs="宋体"/>
          <w:b/>
          <w:color w:val="auto"/>
          <w:sz w:val="44"/>
          <w:szCs w:val="44"/>
          <w:highlight w:val="none"/>
        </w:rPr>
      </w:pPr>
    </w:p>
    <w:p w14:paraId="0313E73C">
      <w:pPr>
        <w:adjustRightInd/>
        <w:spacing w:line="360" w:lineRule="auto"/>
        <w:jc w:val="center"/>
        <w:rPr>
          <w:rFonts w:ascii="宋体" w:hAnsi="宋体" w:cs="宋体"/>
          <w:b/>
          <w:color w:val="auto"/>
          <w:sz w:val="48"/>
          <w:szCs w:val="48"/>
          <w:highlight w:val="none"/>
        </w:rPr>
      </w:pPr>
    </w:p>
    <w:p w14:paraId="4F6EA7BB">
      <w:pPr>
        <w:adjustRightInd/>
        <w:spacing w:line="360" w:lineRule="auto"/>
        <w:jc w:val="center"/>
        <w:rPr>
          <w:rFonts w:hint="eastAsia" w:ascii="宋体" w:hAnsi="宋体" w:eastAsia="宋体" w:cs="宋体"/>
          <w:color w:val="auto"/>
          <w:sz w:val="48"/>
          <w:szCs w:val="48"/>
          <w:highlight w:val="none"/>
          <w:lang w:eastAsia="zh-CN"/>
        </w:rPr>
      </w:pPr>
      <w:r>
        <w:rPr>
          <w:rFonts w:hint="eastAsia" w:ascii="宋体" w:hAnsi="宋体" w:cs="宋体"/>
          <w:color w:val="auto"/>
          <w:sz w:val="48"/>
          <w:szCs w:val="48"/>
          <w:highlight w:val="none"/>
          <w:lang w:eastAsia="zh-CN"/>
        </w:rPr>
        <w:t>杭州电子科技大学家具更新项目</w:t>
      </w:r>
    </w:p>
    <w:p w14:paraId="40178E8B">
      <w:pPr>
        <w:adjustRightInd/>
        <w:spacing w:line="360" w:lineRule="auto"/>
        <w:jc w:val="center"/>
        <w:rPr>
          <w:rFonts w:ascii="宋体" w:hAnsi="宋体" w:cs="宋体"/>
          <w:color w:val="auto"/>
          <w:sz w:val="48"/>
          <w:szCs w:val="48"/>
          <w:highlight w:val="none"/>
        </w:rPr>
      </w:pPr>
      <w:r>
        <w:rPr>
          <w:rFonts w:hint="eastAsia" w:ascii="宋体" w:hAnsi="宋体" w:cs="宋体"/>
          <w:color w:val="auto"/>
          <w:sz w:val="48"/>
          <w:szCs w:val="48"/>
          <w:highlight w:val="none"/>
        </w:rPr>
        <w:t>公开招标文件</w:t>
      </w:r>
    </w:p>
    <w:p w14:paraId="61D16E03">
      <w:pPr>
        <w:adjustRightInd/>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（电子招投标）</w:t>
      </w:r>
    </w:p>
    <w:p w14:paraId="3740820D">
      <w:pPr>
        <w:snapToGrid w:val="0"/>
        <w:spacing w:line="360" w:lineRule="auto"/>
        <w:jc w:val="center"/>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编号:</w:t>
      </w:r>
      <w:r>
        <w:rPr>
          <w:rFonts w:hint="eastAsia" w:ascii="宋体" w:hAnsi="宋体" w:cs="宋体"/>
          <w:color w:val="auto"/>
          <w:sz w:val="30"/>
          <w:szCs w:val="30"/>
          <w:highlight w:val="none"/>
          <w:lang w:eastAsia="zh-CN"/>
        </w:rPr>
        <w:t>330000263030150000343</w:t>
      </w:r>
      <w:r>
        <w:rPr>
          <w:rFonts w:hint="eastAsia" w:ascii="宋体" w:hAnsi="宋体" w:cs="宋体"/>
          <w:color w:val="auto"/>
          <w:sz w:val="30"/>
          <w:szCs w:val="30"/>
          <w:highlight w:val="none"/>
          <w:lang w:val="en-US" w:eastAsia="zh-CN"/>
        </w:rPr>
        <w:t>-ZXZB-HD-202602G</w:t>
      </w:r>
    </w:p>
    <w:p w14:paraId="4AA2182E">
      <w:pPr>
        <w:snapToGrid w:val="0"/>
        <w:spacing w:line="360" w:lineRule="auto"/>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采购计划文号：[2026]28143号</w:t>
      </w:r>
      <w:r>
        <w:rPr>
          <w:rFonts w:hint="eastAsia" w:ascii="宋体" w:hAnsi="宋体" w:cs="宋体"/>
          <w:color w:val="auto"/>
          <w:sz w:val="30"/>
          <w:szCs w:val="30"/>
          <w:highlight w:val="none"/>
          <w:lang w:eastAsia="zh-CN"/>
        </w:rPr>
        <w:t>、[2026]28144号、</w:t>
      </w:r>
      <w:r>
        <w:rPr>
          <w:rFonts w:hint="eastAsia" w:ascii="宋体" w:hAnsi="宋体" w:eastAsia="宋体" w:cs="宋体"/>
          <w:color w:val="auto"/>
          <w:sz w:val="30"/>
          <w:szCs w:val="30"/>
          <w:highlight w:val="none"/>
        </w:rPr>
        <w:t>[2026]28145号</w:t>
      </w:r>
      <w:r>
        <w:rPr>
          <w:rFonts w:hint="eastAsia" w:ascii="宋体" w:hAnsi="宋体" w:cs="宋体"/>
          <w:color w:val="auto"/>
          <w:sz w:val="30"/>
          <w:szCs w:val="30"/>
          <w:highlight w:val="none"/>
          <w:lang w:eastAsia="zh-CN"/>
        </w:rPr>
        <w:t>、</w:t>
      </w:r>
      <w:r>
        <w:rPr>
          <w:rFonts w:hint="eastAsia" w:ascii="宋体" w:hAnsi="宋体" w:eastAsia="宋体" w:cs="宋体"/>
          <w:color w:val="auto"/>
          <w:sz w:val="30"/>
          <w:szCs w:val="30"/>
          <w:highlight w:val="none"/>
        </w:rPr>
        <w:t>[2026]28146号</w:t>
      </w:r>
      <w:r>
        <w:rPr>
          <w:rFonts w:hint="eastAsia" w:ascii="宋体" w:hAnsi="宋体" w:cs="宋体"/>
          <w:color w:val="auto"/>
          <w:sz w:val="30"/>
          <w:szCs w:val="30"/>
          <w:highlight w:val="none"/>
          <w:lang w:eastAsia="zh-CN"/>
        </w:rPr>
        <w:t>、[2026]28147号、[2026]28148号、</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"https://middle.zcygov.cn/purchaseplan_front/" \l "/plan/list/view?_app_=zcy.purchase-plan&amp;id=1000000000017945587" \t "https://middle.zcygov.cn/purchaseplan_front/" \l "/procurement-plan/plan/_blank"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[2026]28149号</w:t>
      </w:r>
      <w:r>
        <w:rPr>
          <w:rFonts w:hint="eastAsia" w:ascii="宋体" w:hAnsi="宋体" w:eastAsia="宋体" w:cs="宋体"/>
          <w:color w:val="auto"/>
          <w:sz w:val="30"/>
          <w:szCs w:val="30"/>
          <w:highlight w:val="none"/>
        </w:rPr>
        <w:fldChar w:fldCharType="end"/>
      </w:r>
      <w:r>
        <w:rPr>
          <w:rFonts w:hint="eastAsia" w:ascii="宋体" w:hAnsi="宋体" w:cs="宋体"/>
          <w:color w:val="auto"/>
          <w:sz w:val="30"/>
          <w:szCs w:val="30"/>
          <w:highlight w:val="none"/>
          <w:lang w:eastAsia="zh-CN"/>
        </w:rPr>
        <w:t>、[2026]28150号、[2026]28151号、[2026]28152号、[2026]28153号、[2026]28154号</w:t>
      </w:r>
    </w:p>
    <w:p w14:paraId="6E762853">
      <w:pPr>
        <w:adjustRightInd/>
        <w:spacing w:line="360" w:lineRule="auto"/>
        <w:rPr>
          <w:rFonts w:ascii="宋体" w:hAnsi="宋体" w:cs="宋体"/>
          <w:color w:val="auto"/>
          <w:sz w:val="28"/>
          <w:szCs w:val="20"/>
          <w:highlight w:val="none"/>
        </w:rPr>
      </w:pPr>
    </w:p>
    <w:p w14:paraId="443D459B">
      <w:pPr>
        <w:spacing w:line="360" w:lineRule="auto"/>
        <w:jc w:val="center"/>
        <w:rPr>
          <w:rFonts w:ascii="宋体" w:hAnsi="宋体" w:cs="宋体"/>
          <w:color w:val="auto"/>
          <w:sz w:val="24"/>
          <w:highlight w:val="none"/>
        </w:rPr>
      </w:pPr>
    </w:p>
    <w:p w14:paraId="1DF834BA">
      <w:pPr>
        <w:spacing w:line="360" w:lineRule="auto"/>
        <w:rPr>
          <w:rFonts w:ascii="宋体" w:hAnsi="宋体" w:cs="宋体"/>
          <w:color w:val="auto"/>
          <w:sz w:val="32"/>
          <w:szCs w:val="32"/>
          <w:highlight w:val="none"/>
        </w:rPr>
      </w:pPr>
    </w:p>
    <w:p w14:paraId="3EB8E76B">
      <w:pPr>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杭州电子科技大学</w:t>
      </w:r>
    </w:p>
    <w:p w14:paraId="03BFE1B3">
      <w:pPr>
        <w:spacing w:line="360" w:lineRule="auto"/>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浙江致信招标代理有限公司</w:t>
      </w:r>
    </w:p>
    <w:p w14:paraId="6DC17F33">
      <w:pPr>
        <w:snapToGrid w:val="0"/>
        <w:spacing w:line="360"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lang w:val="en-US" w:eastAsia="zh-CN"/>
        </w:rPr>
        <w:t>2026</w:t>
      </w:r>
      <w:r>
        <w:rPr>
          <w:rFonts w:hint="eastAsia" w:ascii="宋体" w:hAnsi="宋体" w:cs="宋体"/>
          <w:bCs/>
          <w:color w:val="auto"/>
          <w:sz w:val="32"/>
          <w:szCs w:val="32"/>
          <w:highlight w:val="none"/>
        </w:rPr>
        <w:t>年</w:t>
      </w:r>
      <w:r>
        <w:rPr>
          <w:rFonts w:hint="eastAsia" w:ascii="宋体" w:hAnsi="宋体" w:cs="宋体"/>
          <w:bCs/>
          <w:color w:val="auto"/>
          <w:sz w:val="32"/>
          <w:szCs w:val="32"/>
          <w:highlight w:val="none"/>
          <w:lang w:val="en-US" w:eastAsia="zh-CN"/>
        </w:rPr>
        <w:t>6</w:t>
      </w:r>
      <w:r>
        <w:rPr>
          <w:rFonts w:hint="eastAsia" w:ascii="宋体" w:hAnsi="宋体" w:cs="宋体"/>
          <w:bCs/>
          <w:color w:val="auto"/>
          <w:sz w:val="32"/>
          <w:szCs w:val="32"/>
          <w:highlight w:val="none"/>
        </w:rPr>
        <w:t>月</w:t>
      </w:r>
    </w:p>
    <w:p w14:paraId="3E3F59C8">
      <w:pPr>
        <w:spacing w:line="360" w:lineRule="auto"/>
        <w:jc w:val="center"/>
        <w:rPr>
          <w:rFonts w:ascii="宋体" w:hAnsi="宋体" w:cs="宋体"/>
          <w:color w:val="auto"/>
          <w:sz w:val="24"/>
          <w:highlight w:val="none"/>
        </w:rPr>
      </w:pPr>
      <w:r>
        <w:rPr>
          <w:rFonts w:hint="eastAsia" w:ascii="宋体" w:hAnsi="宋体" w:cs="宋体"/>
          <w:color w:val="auto"/>
          <w:sz w:val="24"/>
          <w:highlight w:val="none"/>
        </w:rPr>
        <w:br w:type="page"/>
      </w:r>
      <w:bookmarkStart w:id="0" w:name="_Hlt67893495"/>
      <w:bookmarkEnd w:id="0"/>
    </w:p>
    <w:p w14:paraId="034E2D6B">
      <w:pPr>
        <w:spacing w:line="360" w:lineRule="auto"/>
        <w:jc w:val="center"/>
        <w:rPr>
          <w:rFonts w:ascii="宋体" w:hAnsi="宋体" w:cs="宋体"/>
          <w:color w:val="auto"/>
          <w:sz w:val="24"/>
          <w:highlight w:val="none"/>
        </w:rPr>
      </w:pPr>
    </w:p>
    <w:p w14:paraId="769D8F6B">
      <w:pPr>
        <w:spacing w:line="36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目  录</w:t>
      </w:r>
    </w:p>
    <w:p w14:paraId="20FC493A">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TOC \o "1-2" \h \u </w:instrText>
      </w:r>
      <w:r>
        <w:rPr>
          <w:rFonts w:ascii="宋体" w:hAnsi="宋体" w:cs="宋体"/>
          <w:color w:val="auto"/>
          <w:sz w:val="24"/>
          <w:highlight w:val="none"/>
        </w:rPr>
        <w:fldChar w:fldCharType="separate"/>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_Toc4938 </w:instrText>
      </w:r>
      <w:r>
        <w:rPr>
          <w:rFonts w:ascii="宋体" w:hAnsi="宋体" w:cs="宋体"/>
          <w:color w:val="auto"/>
          <w:sz w:val="24"/>
          <w:highlight w:val="none"/>
        </w:rPr>
        <w:fldChar w:fldCharType="separate"/>
      </w:r>
      <w:r>
        <w:rPr>
          <w:rFonts w:hint="eastAsia"/>
          <w:color w:val="auto"/>
          <w:sz w:val="24"/>
          <w:highlight w:val="none"/>
        </w:rPr>
        <w:t xml:space="preserve">第一部分 </w:t>
      </w:r>
      <w:r>
        <w:rPr>
          <w:rFonts w:hint="eastAsia"/>
          <w:color w:val="auto"/>
          <w:sz w:val="24"/>
          <w:highlight w:val="none"/>
          <w:lang w:val="en-US" w:eastAsia="zh-CN"/>
        </w:rPr>
        <w:t>投标邀请</w:t>
      </w:r>
      <w:r>
        <w:rPr>
          <w:color w:val="auto"/>
          <w:sz w:val="24"/>
          <w:highlight w:val="none"/>
        </w:rPr>
        <w:tab/>
      </w:r>
      <w:r>
        <w:rPr>
          <w:color w:val="auto"/>
          <w:sz w:val="24"/>
          <w:highlight w:val="none"/>
        </w:rPr>
        <w:fldChar w:fldCharType="begin"/>
      </w:r>
      <w:r>
        <w:rPr>
          <w:color w:val="auto"/>
          <w:sz w:val="24"/>
          <w:highlight w:val="none"/>
        </w:rPr>
        <w:instrText xml:space="preserve"> PAGEREF _Toc4938 </w:instrText>
      </w:r>
      <w:r>
        <w:rPr>
          <w:color w:val="auto"/>
          <w:sz w:val="24"/>
          <w:highlight w:val="none"/>
        </w:rPr>
        <w:fldChar w:fldCharType="separate"/>
      </w:r>
      <w:r>
        <w:rPr>
          <w:color w:val="auto"/>
          <w:sz w:val="24"/>
          <w:highlight w:val="none"/>
        </w:rPr>
        <w:t>3</w:t>
      </w:r>
      <w:r>
        <w:rPr>
          <w:color w:val="auto"/>
          <w:sz w:val="24"/>
          <w:highlight w:val="none"/>
        </w:rPr>
        <w:fldChar w:fldCharType="end"/>
      </w:r>
      <w:r>
        <w:rPr>
          <w:rFonts w:ascii="宋体" w:hAnsi="宋体" w:cs="宋体"/>
          <w:color w:val="auto"/>
          <w:sz w:val="24"/>
          <w:highlight w:val="none"/>
        </w:rPr>
        <w:fldChar w:fldCharType="end"/>
      </w:r>
    </w:p>
    <w:p w14:paraId="751D2F71">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_Toc10750 </w:instrText>
      </w:r>
      <w:r>
        <w:rPr>
          <w:rFonts w:ascii="宋体" w:hAnsi="宋体" w:cs="宋体"/>
          <w:color w:val="auto"/>
          <w:sz w:val="24"/>
          <w:highlight w:val="none"/>
        </w:rPr>
        <w:fldChar w:fldCharType="separate"/>
      </w:r>
      <w:r>
        <w:rPr>
          <w:rFonts w:hint="eastAsia"/>
          <w:color w:val="auto"/>
          <w:sz w:val="24"/>
          <w:highlight w:val="none"/>
        </w:rPr>
        <w:t>第二部分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_Toc10750 </w:instrText>
      </w:r>
      <w:r>
        <w:rPr>
          <w:color w:val="auto"/>
          <w:sz w:val="24"/>
          <w:highlight w:val="none"/>
        </w:rPr>
        <w:fldChar w:fldCharType="separate"/>
      </w:r>
      <w:r>
        <w:rPr>
          <w:color w:val="auto"/>
          <w:sz w:val="24"/>
          <w:highlight w:val="none"/>
        </w:rPr>
        <w:t>8</w:t>
      </w:r>
      <w:r>
        <w:rPr>
          <w:color w:val="auto"/>
          <w:sz w:val="24"/>
          <w:highlight w:val="none"/>
        </w:rPr>
        <w:fldChar w:fldCharType="end"/>
      </w:r>
      <w:r>
        <w:rPr>
          <w:rFonts w:ascii="宋体" w:hAnsi="宋体" w:cs="宋体"/>
          <w:color w:val="auto"/>
          <w:sz w:val="24"/>
          <w:highlight w:val="none"/>
        </w:rPr>
        <w:fldChar w:fldCharType="end"/>
      </w:r>
    </w:p>
    <w:p w14:paraId="74ED9A7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_Toc21222 </w:instrText>
      </w:r>
      <w:r>
        <w:rPr>
          <w:rFonts w:ascii="宋体" w:hAnsi="宋体" w:cs="宋体"/>
          <w:color w:val="auto"/>
          <w:sz w:val="24"/>
          <w:highlight w:val="none"/>
        </w:rPr>
        <w:fldChar w:fldCharType="separate"/>
      </w:r>
      <w:r>
        <w:rPr>
          <w:rFonts w:hint="eastAsia"/>
          <w:color w:val="auto"/>
          <w:sz w:val="24"/>
          <w:highlight w:val="none"/>
        </w:rPr>
        <w:t>前附表</w:t>
      </w:r>
      <w:r>
        <w:rPr>
          <w:color w:val="auto"/>
          <w:sz w:val="24"/>
          <w:highlight w:val="none"/>
        </w:rPr>
        <w:tab/>
      </w:r>
      <w:r>
        <w:rPr>
          <w:color w:val="auto"/>
          <w:sz w:val="24"/>
          <w:highlight w:val="none"/>
        </w:rPr>
        <w:fldChar w:fldCharType="begin"/>
      </w:r>
      <w:r>
        <w:rPr>
          <w:color w:val="auto"/>
          <w:sz w:val="24"/>
          <w:highlight w:val="none"/>
        </w:rPr>
        <w:instrText xml:space="preserve"> PAGEREF _Toc21222 </w:instrText>
      </w:r>
      <w:r>
        <w:rPr>
          <w:color w:val="auto"/>
          <w:sz w:val="24"/>
          <w:highlight w:val="none"/>
        </w:rPr>
        <w:fldChar w:fldCharType="separate"/>
      </w:r>
      <w:r>
        <w:rPr>
          <w:color w:val="auto"/>
          <w:sz w:val="24"/>
          <w:highlight w:val="none"/>
        </w:rPr>
        <w:t>8</w:t>
      </w:r>
      <w:r>
        <w:rPr>
          <w:color w:val="auto"/>
          <w:sz w:val="24"/>
          <w:highlight w:val="none"/>
        </w:rPr>
        <w:fldChar w:fldCharType="end"/>
      </w:r>
      <w:r>
        <w:rPr>
          <w:rFonts w:ascii="宋体" w:hAnsi="宋体" w:cs="宋体"/>
          <w:color w:val="auto"/>
          <w:sz w:val="24"/>
          <w:highlight w:val="none"/>
        </w:rPr>
        <w:fldChar w:fldCharType="end"/>
      </w:r>
    </w:p>
    <w:p w14:paraId="7049DFD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_Toc17814 </w:instrText>
      </w:r>
      <w:r>
        <w:rPr>
          <w:rFonts w:ascii="宋体" w:hAnsi="宋体" w:cs="宋体"/>
          <w:color w:val="auto"/>
          <w:sz w:val="24"/>
          <w:highlight w:val="none"/>
        </w:rPr>
        <w:fldChar w:fldCharType="separate"/>
      </w:r>
      <w:r>
        <w:rPr>
          <w:rFonts w:hint="eastAsia"/>
          <w:color w:val="auto"/>
          <w:sz w:val="24"/>
          <w:highlight w:val="none"/>
        </w:rPr>
        <w:t>一、总则</w:t>
      </w:r>
      <w:r>
        <w:rPr>
          <w:color w:val="auto"/>
          <w:sz w:val="24"/>
          <w:highlight w:val="none"/>
        </w:rPr>
        <w:tab/>
      </w:r>
      <w:r>
        <w:rPr>
          <w:color w:val="auto"/>
          <w:sz w:val="24"/>
          <w:highlight w:val="none"/>
        </w:rPr>
        <w:fldChar w:fldCharType="begin"/>
      </w:r>
      <w:r>
        <w:rPr>
          <w:color w:val="auto"/>
          <w:sz w:val="24"/>
          <w:highlight w:val="none"/>
        </w:rPr>
        <w:instrText xml:space="preserve"> PAGEREF _Toc17814 </w:instrText>
      </w:r>
      <w:r>
        <w:rPr>
          <w:color w:val="auto"/>
          <w:sz w:val="24"/>
          <w:highlight w:val="none"/>
        </w:rPr>
        <w:fldChar w:fldCharType="separate"/>
      </w:r>
      <w:r>
        <w:rPr>
          <w:color w:val="auto"/>
          <w:sz w:val="24"/>
          <w:highlight w:val="none"/>
        </w:rPr>
        <w:t>16</w:t>
      </w:r>
      <w:r>
        <w:rPr>
          <w:color w:val="auto"/>
          <w:sz w:val="24"/>
          <w:highlight w:val="none"/>
        </w:rPr>
        <w:fldChar w:fldCharType="end"/>
      </w:r>
      <w:r>
        <w:rPr>
          <w:rFonts w:ascii="宋体" w:hAnsi="宋体" w:cs="宋体"/>
          <w:color w:val="auto"/>
          <w:sz w:val="24"/>
          <w:highlight w:val="none"/>
        </w:rPr>
        <w:fldChar w:fldCharType="end"/>
      </w:r>
    </w:p>
    <w:p w14:paraId="7126AB6A">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_Toc18429 </w:instrText>
      </w:r>
      <w:r>
        <w:rPr>
          <w:rFonts w:ascii="宋体" w:hAnsi="宋体" w:cs="宋体"/>
          <w:color w:val="auto"/>
          <w:sz w:val="24"/>
          <w:highlight w:val="none"/>
        </w:rPr>
        <w:fldChar w:fldCharType="separate"/>
      </w:r>
      <w:r>
        <w:rPr>
          <w:rFonts w:hint="eastAsia"/>
          <w:color w:val="auto"/>
          <w:sz w:val="24"/>
          <w:highlight w:val="none"/>
        </w:rPr>
        <w:t>二、招标文件的构成、澄清、修改</w:t>
      </w:r>
      <w:r>
        <w:rPr>
          <w:color w:val="auto"/>
          <w:sz w:val="24"/>
          <w:highlight w:val="none"/>
        </w:rPr>
        <w:tab/>
      </w:r>
      <w:r>
        <w:rPr>
          <w:color w:val="auto"/>
          <w:sz w:val="24"/>
          <w:highlight w:val="none"/>
        </w:rPr>
        <w:fldChar w:fldCharType="begin"/>
      </w:r>
      <w:r>
        <w:rPr>
          <w:color w:val="auto"/>
          <w:sz w:val="24"/>
          <w:highlight w:val="none"/>
        </w:rPr>
        <w:instrText xml:space="preserve"> PAGEREF _Toc18429 </w:instrText>
      </w:r>
      <w:r>
        <w:rPr>
          <w:color w:val="auto"/>
          <w:sz w:val="24"/>
          <w:highlight w:val="none"/>
        </w:rPr>
        <w:fldChar w:fldCharType="separate"/>
      </w:r>
      <w:r>
        <w:rPr>
          <w:color w:val="auto"/>
          <w:sz w:val="24"/>
          <w:highlight w:val="none"/>
        </w:rPr>
        <w:t>21</w:t>
      </w:r>
      <w:r>
        <w:rPr>
          <w:color w:val="auto"/>
          <w:sz w:val="24"/>
          <w:highlight w:val="none"/>
        </w:rPr>
        <w:fldChar w:fldCharType="end"/>
      </w:r>
      <w:r>
        <w:rPr>
          <w:rFonts w:ascii="宋体" w:hAnsi="宋体" w:cs="宋体"/>
          <w:color w:val="auto"/>
          <w:sz w:val="24"/>
          <w:highlight w:val="none"/>
        </w:rPr>
        <w:fldChar w:fldCharType="end"/>
      </w:r>
    </w:p>
    <w:p w14:paraId="6A824CB2">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_Toc2391 </w:instrText>
      </w:r>
      <w:r>
        <w:rPr>
          <w:rFonts w:ascii="宋体" w:hAnsi="宋体" w:cs="宋体"/>
          <w:color w:val="auto"/>
          <w:sz w:val="24"/>
          <w:highlight w:val="none"/>
        </w:rPr>
        <w:fldChar w:fldCharType="separate"/>
      </w:r>
      <w:r>
        <w:rPr>
          <w:rFonts w:hint="eastAsia"/>
          <w:color w:val="auto"/>
          <w:sz w:val="24"/>
          <w:highlight w:val="none"/>
        </w:rPr>
        <w:t>三、投标</w:t>
      </w:r>
      <w:r>
        <w:rPr>
          <w:color w:val="auto"/>
          <w:sz w:val="24"/>
          <w:highlight w:val="none"/>
        </w:rPr>
        <w:tab/>
      </w:r>
      <w:r>
        <w:rPr>
          <w:color w:val="auto"/>
          <w:sz w:val="24"/>
          <w:highlight w:val="none"/>
        </w:rPr>
        <w:fldChar w:fldCharType="begin"/>
      </w:r>
      <w:r>
        <w:rPr>
          <w:color w:val="auto"/>
          <w:sz w:val="24"/>
          <w:highlight w:val="none"/>
        </w:rPr>
        <w:instrText xml:space="preserve"> PAGEREF _Toc2391 </w:instrText>
      </w:r>
      <w:r>
        <w:rPr>
          <w:color w:val="auto"/>
          <w:sz w:val="24"/>
          <w:highlight w:val="none"/>
        </w:rPr>
        <w:fldChar w:fldCharType="separate"/>
      </w:r>
      <w:r>
        <w:rPr>
          <w:color w:val="auto"/>
          <w:sz w:val="24"/>
          <w:highlight w:val="none"/>
        </w:rPr>
        <w:t>22</w:t>
      </w:r>
      <w:r>
        <w:rPr>
          <w:color w:val="auto"/>
          <w:sz w:val="24"/>
          <w:highlight w:val="none"/>
        </w:rPr>
        <w:fldChar w:fldCharType="end"/>
      </w:r>
      <w:r>
        <w:rPr>
          <w:rFonts w:ascii="宋体" w:hAnsi="宋体" w:cs="宋体"/>
          <w:color w:val="auto"/>
          <w:sz w:val="24"/>
          <w:highlight w:val="none"/>
        </w:rPr>
        <w:fldChar w:fldCharType="end"/>
      </w:r>
    </w:p>
    <w:p w14:paraId="3FA0FD07">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_Toc9160 </w:instrText>
      </w:r>
      <w:r>
        <w:rPr>
          <w:rFonts w:ascii="宋体" w:hAnsi="宋体" w:cs="宋体"/>
          <w:color w:val="auto"/>
          <w:sz w:val="24"/>
          <w:highlight w:val="none"/>
        </w:rPr>
        <w:fldChar w:fldCharType="separate"/>
      </w:r>
      <w:r>
        <w:rPr>
          <w:rFonts w:hint="eastAsia"/>
          <w:color w:val="auto"/>
          <w:sz w:val="24"/>
          <w:highlight w:val="none"/>
        </w:rPr>
        <w:t>四、开标、资格审查与信用信息查询</w:t>
      </w:r>
      <w:r>
        <w:rPr>
          <w:color w:val="auto"/>
          <w:sz w:val="24"/>
          <w:highlight w:val="none"/>
        </w:rPr>
        <w:tab/>
      </w:r>
      <w:r>
        <w:rPr>
          <w:color w:val="auto"/>
          <w:sz w:val="24"/>
          <w:highlight w:val="none"/>
        </w:rPr>
        <w:fldChar w:fldCharType="begin"/>
      </w:r>
      <w:r>
        <w:rPr>
          <w:color w:val="auto"/>
          <w:sz w:val="24"/>
          <w:highlight w:val="none"/>
        </w:rPr>
        <w:instrText xml:space="preserve"> PAGEREF _Toc9160 </w:instrText>
      </w:r>
      <w:r>
        <w:rPr>
          <w:color w:val="auto"/>
          <w:sz w:val="24"/>
          <w:highlight w:val="none"/>
        </w:rPr>
        <w:fldChar w:fldCharType="separate"/>
      </w:r>
      <w:r>
        <w:rPr>
          <w:color w:val="auto"/>
          <w:sz w:val="24"/>
          <w:highlight w:val="none"/>
        </w:rPr>
        <w:t>25</w:t>
      </w:r>
      <w:r>
        <w:rPr>
          <w:color w:val="auto"/>
          <w:sz w:val="24"/>
          <w:highlight w:val="none"/>
        </w:rPr>
        <w:fldChar w:fldCharType="end"/>
      </w:r>
      <w:r>
        <w:rPr>
          <w:rFonts w:ascii="宋体" w:hAnsi="宋体" w:cs="宋体"/>
          <w:color w:val="auto"/>
          <w:sz w:val="24"/>
          <w:highlight w:val="none"/>
        </w:rPr>
        <w:fldChar w:fldCharType="end"/>
      </w:r>
    </w:p>
    <w:p w14:paraId="421E7D4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_Toc20583 </w:instrText>
      </w:r>
      <w:r>
        <w:rPr>
          <w:rFonts w:ascii="宋体" w:hAnsi="宋体" w:cs="宋体"/>
          <w:color w:val="auto"/>
          <w:sz w:val="24"/>
          <w:highlight w:val="none"/>
        </w:rPr>
        <w:fldChar w:fldCharType="separate"/>
      </w:r>
      <w:r>
        <w:rPr>
          <w:rFonts w:hint="eastAsia"/>
          <w:color w:val="auto"/>
          <w:sz w:val="24"/>
          <w:highlight w:val="none"/>
        </w:rPr>
        <w:t>五、评标</w:t>
      </w:r>
      <w:r>
        <w:rPr>
          <w:color w:val="auto"/>
          <w:sz w:val="24"/>
          <w:highlight w:val="none"/>
        </w:rPr>
        <w:tab/>
      </w:r>
      <w:r>
        <w:rPr>
          <w:color w:val="auto"/>
          <w:sz w:val="24"/>
          <w:highlight w:val="none"/>
        </w:rPr>
        <w:fldChar w:fldCharType="begin"/>
      </w:r>
      <w:r>
        <w:rPr>
          <w:color w:val="auto"/>
          <w:sz w:val="24"/>
          <w:highlight w:val="none"/>
        </w:rPr>
        <w:instrText xml:space="preserve"> PAGEREF _Toc20583 </w:instrText>
      </w:r>
      <w:r>
        <w:rPr>
          <w:color w:val="auto"/>
          <w:sz w:val="24"/>
          <w:highlight w:val="none"/>
        </w:rPr>
        <w:fldChar w:fldCharType="separate"/>
      </w:r>
      <w:r>
        <w:rPr>
          <w:color w:val="auto"/>
          <w:sz w:val="24"/>
          <w:highlight w:val="none"/>
        </w:rPr>
        <w:t>26</w:t>
      </w:r>
      <w:r>
        <w:rPr>
          <w:color w:val="auto"/>
          <w:sz w:val="24"/>
          <w:highlight w:val="none"/>
        </w:rPr>
        <w:fldChar w:fldCharType="end"/>
      </w:r>
      <w:r>
        <w:rPr>
          <w:rFonts w:ascii="宋体" w:hAnsi="宋体" w:cs="宋体"/>
          <w:color w:val="auto"/>
          <w:sz w:val="24"/>
          <w:highlight w:val="none"/>
        </w:rPr>
        <w:fldChar w:fldCharType="end"/>
      </w:r>
    </w:p>
    <w:p w14:paraId="6B52BDB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_Toc20578 </w:instrText>
      </w:r>
      <w:r>
        <w:rPr>
          <w:rFonts w:ascii="宋体" w:hAnsi="宋体" w:cs="宋体"/>
          <w:color w:val="auto"/>
          <w:sz w:val="24"/>
          <w:highlight w:val="none"/>
        </w:rPr>
        <w:fldChar w:fldCharType="separate"/>
      </w:r>
      <w:r>
        <w:rPr>
          <w:rFonts w:hint="eastAsia"/>
          <w:color w:val="auto"/>
          <w:sz w:val="24"/>
          <w:highlight w:val="none"/>
        </w:rPr>
        <w:t>六、定标</w:t>
      </w:r>
      <w:r>
        <w:rPr>
          <w:color w:val="auto"/>
          <w:sz w:val="24"/>
          <w:highlight w:val="none"/>
        </w:rPr>
        <w:tab/>
      </w:r>
      <w:r>
        <w:rPr>
          <w:color w:val="auto"/>
          <w:sz w:val="24"/>
          <w:highlight w:val="none"/>
        </w:rPr>
        <w:fldChar w:fldCharType="begin"/>
      </w:r>
      <w:r>
        <w:rPr>
          <w:color w:val="auto"/>
          <w:sz w:val="24"/>
          <w:highlight w:val="none"/>
        </w:rPr>
        <w:instrText xml:space="preserve"> PAGEREF _Toc20578 </w:instrText>
      </w:r>
      <w:r>
        <w:rPr>
          <w:color w:val="auto"/>
          <w:sz w:val="24"/>
          <w:highlight w:val="none"/>
        </w:rPr>
        <w:fldChar w:fldCharType="separate"/>
      </w:r>
      <w:r>
        <w:rPr>
          <w:color w:val="auto"/>
          <w:sz w:val="24"/>
          <w:highlight w:val="none"/>
        </w:rPr>
        <w:t>26</w:t>
      </w:r>
      <w:r>
        <w:rPr>
          <w:color w:val="auto"/>
          <w:sz w:val="24"/>
          <w:highlight w:val="none"/>
        </w:rPr>
        <w:fldChar w:fldCharType="end"/>
      </w:r>
      <w:r>
        <w:rPr>
          <w:rFonts w:ascii="宋体" w:hAnsi="宋体" w:cs="宋体"/>
          <w:color w:val="auto"/>
          <w:sz w:val="24"/>
          <w:highlight w:val="none"/>
        </w:rPr>
        <w:fldChar w:fldCharType="end"/>
      </w:r>
    </w:p>
    <w:p w14:paraId="700224B5">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_Toc4571 </w:instrText>
      </w:r>
      <w:r>
        <w:rPr>
          <w:rFonts w:ascii="宋体" w:hAnsi="宋体" w:cs="宋体"/>
          <w:color w:val="auto"/>
          <w:sz w:val="24"/>
          <w:highlight w:val="none"/>
        </w:rPr>
        <w:fldChar w:fldCharType="separate"/>
      </w:r>
      <w:r>
        <w:rPr>
          <w:rFonts w:hint="eastAsia"/>
          <w:color w:val="auto"/>
          <w:sz w:val="24"/>
          <w:highlight w:val="none"/>
        </w:rPr>
        <w:t>七、合同授予</w:t>
      </w:r>
      <w:r>
        <w:rPr>
          <w:color w:val="auto"/>
          <w:sz w:val="24"/>
          <w:highlight w:val="none"/>
        </w:rPr>
        <w:tab/>
      </w:r>
      <w:r>
        <w:rPr>
          <w:color w:val="auto"/>
          <w:sz w:val="24"/>
          <w:highlight w:val="none"/>
        </w:rPr>
        <w:fldChar w:fldCharType="begin"/>
      </w:r>
      <w:r>
        <w:rPr>
          <w:color w:val="auto"/>
          <w:sz w:val="24"/>
          <w:highlight w:val="none"/>
        </w:rPr>
        <w:instrText xml:space="preserve"> PAGEREF _Toc4571 </w:instrText>
      </w:r>
      <w:r>
        <w:rPr>
          <w:color w:val="auto"/>
          <w:sz w:val="24"/>
          <w:highlight w:val="none"/>
        </w:rPr>
        <w:fldChar w:fldCharType="separate"/>
      </w:r>
      <w:r>
        <w:rPr>
          <w:color w:val="auto"/>
          <w:sz w:val="24"/>
          <w:highlight w:val="none"/>
        </w:rPr>
        <w:t>27</w:t>
      </w:r>
      <w:r>
        <w:rPr>
          <w:color w:val="auto"/>
          <w:sz w:val="24"/>
          <w:highlight w:val="none"/>
        </w:rPr>
        <w:fldChar w:fldCharType="end"/>
      </w:r>
      <w:r>
        <w:rPr>
          <w:rFonts w:ascii="宋体" w:hAnsi="宋体" w:cs="宋体"/>
          <w:color w:val="auto"/>
          <w:sz w:val="24"/>
          <w:highlight w:val="none"/>
        </w:rPr>
        <w:fldChar w:fldCharType="end"/>
      </w:r>
    </w:p>
    <w:p w14:paraId="58998564">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_Toc30283 </w:instrText>
      </w:r>
      <w:r>
        <w:rPr>
          <w:rFonts w:ascii="宋体" w:hAnsi="宋体" w:cs="宋体"/>
          <w:color w:val="auto"/>
          <w:sz w:val="24"/>
          <w:highlight w:val="none"/>
        </w:rPr>
        <w:fldChar w:fldCharType="separate"/>
      </w:r>
      <w:r>
        <w:rPr>
          <w:rFonts w:hint="eastAsia"/>
          <w:color w:val="auto"/>
          <w:sz w:val="24"/>
          <w:highlight w:val="none"/>
        </w:rPr>
        <w:t>八、电子交易活动的中止</w:t>
      </w:r>
      <w:r>
        <w:rPr>
          <w:color w:val="auto"/>
          <w:sz w:val="24"/>
          <w:highlight w:val="none"/>
        </w:rPr>
        <w:tab/>
      </w:r>
      <w:r>
        <w:rPr>
          <w:color w:val="auto"/>
          <w:sz w:val="24"/>
          <w:highlight w:val="none"/>
        </w:rPr>
        <w:fldChar w:fldCharType="begin"/>
      </w:r>
      <w:r>
        <w:rPr>
          <w:color w:val="auto"/>
          <w:sz w:val="24"/>
          <w:highlight w:val="none"/>
        </w:rPr>
        <w:instrText xml:space="preserve"> PAGEREF _Toc30283 </w:instrText>
      </w:r>
      <w:r>
        <w:rPr>
          <w:color w:val="auto"/>
          <w:sz w:val="24"/>
          <w:highlight w:val="none"/>
        </w:rPr>
        <w:fldChar w:fldCharType="separate"/>
      </w:r>
      <w:r>
        <w:rPr>
          <w:color w:val="auto"/>
          <w:sz w:val="24"/>
          <w:highlight w:val="none"/>
        </w:rPr>
        <w:t>28</w:t>
      </w:r>
      <w:r>
        <w:rPr>
          <w:color w:val="auto"/>
          <w:sz w:val="24"/>
          <w:highlight w:val="none"/>
        </w:rPr>
        <w:fldChar w:fldCharType="end"/>
      </w:r>
      <w:r>
        <w:rPr>
          <w:rFonts w:ascii="宋体" w:hAnsi="宋体" w:cs="宋体"/>
          <w:color w:val="auto"/>
          <w:sz w:val="24"/>
          <w:highlight w:val="none"/>
        </w:rPr>
        <w:fldChar w:fldCharType="end"/>
      </w:r>
    </w:p>
    <w:p w14:paraId="341E739B">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_Toc24757 </w:instrText>
      </w:r>
      <w:r>
        <w:rPr>
          <w:rFonts w:ascii="宋体" w:hAnsi="宋体" w:cs="宋体"/>
          <w:color w:val="auto"/>
          <w:sz w:val="24"/>
          <w:highlight w:val="none"/>
        </w:rPr>
        <w:fldChar w:fldCharType="separate"/>
      </w:r>
      <w:r>
        <w:rPr>
          <w:rFonts w:hint="eastAsia"/>
          <w:color w:val="auto"/>
          <w:sz w:val="24"/>
          <w:highlight w:val="none"/>
        </w:rPr>
        <w:t>九、验收</w:t>
      </w:r>
      <w:r>
        <w:rPr>
          <w:color w:val="auto"/>
          <w:sz w:val="24"/>
          <w:highlight w:val="none"/>
        </w:rPr>
        <w:tab/>
      </w:r>
      <w:r>
        <w:rPr>
          <w:color w:val="auto"/>
          <w:sz w:val="24"/>
          <w:highlight w:val="none"/>
        </w:rPr>
        <w:fldChar w:fldCharType="begin"/>
      </w:r>
      <w:r>
        <w:rPr>
          <w:color w:val="auto"/>
          <w:sz w:val="24"/>
          <w:highlight w:val="none"/>
        </w:rPr>
        <w:instrText xml:space="preserve"> PAGEREF _Toc24757 </w:instrText>
      </w:r>
      <w:r>
        <w:rPr>
          <w:color w:val="auto"/>
          <w:sz w:val="24"/>
          <w:highlight w:val="none"/>
        </w:rPr>
        <w:fldChar w:fldCharType="separate"/>
      </w:r>
      <w:r>
        <w:rPr>
          <w:color w:val="auto"/>
          <w:sz w:val="24"/>
          <w:highlight w:val="none"/>
        </w:rPr>
        <w:t>29</w:t>
      </w:r>
      <w:r>
        <w:rPr>
          <w:color w:val="auto"/>
          <w:sz w:val="24"/>
          <w:highlight w:val="none"/>
        </w:rPr>
        <w:fldChar w:fldCharType="end"/>
      </w:r>
      <w:r>
        <w:rPr>
          <w:rFonts w:ascii="宋体" w:hAnsi="宋体" w:cs="宋体"/>
          <w:color w:val="auto"/>
          <w:sz w:val="24"/>
          <w:highlight w:val="none"/>
        </w:rPr>
        <w:fldChar w:fldCharType="end"/>
      </w:r>
    </w:p>
    <w:p w14:paraId="77319666">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_Toc19235 </w:instrText>
      </w:r>
      <w:r>
        <w:rPr>
          <w:rFonts w:ascii="宋体" w:hAnsi="宋体" w:cs="宋体"/>
          <w:color w:val="auto"/>
          <w:sz w:val="24"/>
          <w:highlight w:val="none"/>
        </w:rPr>
        <w:fldChar w:fldCharType="separate"/>
      </w:r>
      <w:r>
        <w:rPr>
          <w:rFonts w:hint="eastAsia"/>
          <w:color w:val="auto"/>
          <w:sz w:val="24"/>
          <w:highlight w:val="none"/>
        </w:rPr>
        <w:t>第三部分 采购需求</w:t>
      </w:r>
      <w:r>
        <w:rPr>
          <w:color w:val="auto"/>
          <w:sz w:val="24"/>
          <w:highlight w:val="none"/>
        </w:rPr>
        <w:tab/>
      </w:r>
      <w:r>
        <w:rPr>
          <w:color w:val="auto"/>
          <w:sz w:val="24"/>
          <w:highlight w:val="none"/>
        </w:rPr>
        <w:fldChar w:fldCharType="begin"/>
      </w:r>
      <w:r>
        <w:rPr>
          <w:color w:val="auto"/>
          <w:sz w:val="24"/>
          <w:highlight w:val="none"/>
        </w:rPr>
        <w:instrText xml:space="preserve"> PAGEREF _Toc19235 </w:instrText>
      </w:r>
      <w:r>
        <w:rPr>
          <w:color w:val="auto"/>
          <w:sz w:val="24"/>
          <w:highlight w:val="none"/>
        </w:rPr>
        <w:fldChar w:fldCharType="separate"/>
      </w:r>
      <w:r>
        <w:rPr>
          <w:color w:val="auto"/>
          <w:sz w:val="24"/>
          <w:highlight w:val="none"/>
        </w:rPr>
        <w:t>30</w:t>
      </w:r>
      <w:r>
        <w:rPr>
          <w:color w:val="auto"/>
          <w:sz w:val="24"/>
          <w:highlight w:val="none"/>
        </w:rPr>
        <w:fldChar w:fldCharType="end"/>
      </w:r>
      <w:r>
        <w:rPr>
          <w:rFonts w:ascii="宋体" w:hAnsi="宋体" w:cs="宋体"/>
          <w:color w:val="auto"/>
          <w:sz w:val="24"/>
          <w:highlight w:val="none"/>
        </w:rPr>
        <w:fldChar w:fldCharType="end"/>
      </w:r>
    </w:p>
    <w:p w14:paraId="75B8C125">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_Toc9022 </w:instrText>
      </w:r>
      <w:r>
        <w:rPr>
          <w:rFonts w:ascii="宋体" w:hAnsi="宋体" w:cs="宋体"/>
          <w:color w:val="auto"/>
          <w:sz w:val="24"/>
          <w:highlight w:val="none"/>
        </w:rPr>
        <w:fldChar w:fldCharType="separate"/>
      </w:r>
      <w:r>
        <w:rPr>
          <w:rFonts w:hint="eastAsia"/>
          <w:color w:val="auto"/>
          <w:sz w:val="24"/>
          <w:highlight w:val="none"/>
        </w:rPr>
        <w:t>第四部分 评标办法</w:t>
      </w:r>
      <w:r>
        <w:rPr>
          <w:color w:val="auto"/>
          <w:sz w:val="24"/>
          <w:highlight w:val="none"/>
        </w:rPr>
        <w:tab/>
      </w:r>
      <w:r>
        <w:rPr>
          <w:color w:val="auto"/>
          <w:sz w:val="24"/>
          <w:highlight w:val="none"/>
        </w:rPr>
        <w:fldChar w:fldCharType="begin"/>
      </w:r>
      <w:r>
        <w:rPr>
          <w:color w:val="auto"/>
          <w:sz w:val="24"/>
          <w:highlight w:val="none"/>
        </w:rPr>
        <w:instrText xml:space="preserve"> PAGEREF _Toc9022 </w:instrText>
      </w:r>
      <w:r>
        <w:rPr>
          <w:color w:val="auto"/>
          <w:sz w:val="24"/>
          <w:highlight w:val="none"/>
        </w:rPr>
        <w:fldChar w:fldCharType="separate"/>
      </w:r>
      <w:r>
        <w:rPr>
          <w:color w:val="auto"/>
          <w:sz w:val="24"/>
          <w:highlight w:val="none"/>
        </w:rPr>
        <w:t>34</w:t>
      </w:r>
      <w:r>
        <w:rPr>
          <w:color w:val="auto"/>
          <w:sz w:val="24"/>
          <w:highlight w:val="none"/>
        </w:rPr>
        <w:fldChar w:fldCharType="end"/>
      </w:r>
      <w:r>
        <w:rPr>
          <w:rFonts w:ascii="宋体" w:hAnsi="宋体" w:cs="宋体"/>
          <w:color w:val="auto"/>
          <w:sz w:val="24"/>
          <w:highlight w:val="none"/>
        </w:rPr>
        <w:fldChar w:fldCharType="end"/>
      </w:r>
    </w:p>
    <w:p w14:paraId="75530ED1">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_Toc7267 </w:instrText>
      </w:r>
      <w:r>
        <w:rPr>
          <w:rFonts w:ascii="宋体" w:hAnsi="宋体" w:cs="宋体"/>
          <w:color w:val="auto"/>
          <w:sz w:val="24"/>
          <w:highlight w:val="none"/>
        </w:rPr>
        <w:fldChar w:fldCharType="separate"/>
      </w:r>
      <w:r>
        <w:rPr>
          <w:rFonts w:hint="eastAsia"/>
          <w:color w:val="auto"/>
          <w:sz w:val="24"/>
          <w:highlight w:val="none"/>
        </w:rPr>
        <w:t>评标办法前附表</w:t>
      </w:r>
      <w:r>
        <w:rPr>
          <w:color w:val="auto"/>
          <w:sz w:val="24"/>
          <w:highlight w:val="none"/>
        </w:rPr>
        <w:tab/>
      </w:r>
      <w:r>
        <w:rPr>
          <w:color w:val="auto"/>
          <w:sz w:val="24"/>
          <w:highlight w:val="none"/>
        </w:rPr>
        <w:fldChar w:fldCharType="begin"/>
      </w:r>
      <w:r>
        <w:rPr>
          <w:color w:val="auto"/>
          <w:sz w:val="24"/>
          <w:highlight w:val="none"/>
        </w:rPr>
        <w:instrText xml:space="preserve"> PAGEREF _Toc7267 </w:instrText>
      </w:r>
      <w:r>
        <w:rPr>
          <w:color w:val="auto"/>
          <w:sz w:val="24"/>
          <w:highlight w:val="none"/>
        </w:rPr>
        <w:fldChar w:fldCharType="separate"/>
      </w:r>
      <w:r>
        <w:rPr>
          <w:color w:val="auto"/>
          <w:sz w:val="24"/>
          <w:highlight w:val="none"/>
        </w:rPr>
        <w:t>34</w:t>
      </w:r>
      <w:r>
        <w:rPr>
          <w:color w:val="auto"/>
          <w:sz w:val="24"/>
          <w:highlight w:val="none"/>
        </w:rPr>
        <w:fldChar w:fldCharType="end"/>
      </w:r>
      <w:r>
        <w:rPr>
          <w:rFonts w:ascii="宋体" w:hAnsi="宋体" w:cs="宋体"/>
          <w:color w:val="auto"/>
          <w:sz w:val="24"/>
          <w:highlight w:val="none"/>
        </w:rPr>
        <w:fldChar w:fldCharType="end"/>
      </w:r>
    </w:p>
    <w:p w14:paraId="2DA0C6CC">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_Toc8326 </w:instrText>
      </w:r>
      <w:r>
        <w:rPr>
          <w:rFonts w:ascii="宋体" w:hAnsi="宋体" w:cs="宋体"/>
          <w:color w:val="auto"/>
          <w:sz w:val="24"/>
          <w:highlight w:val="none"/>
        </w:rPr>
        <w:fldChar w:fldCharType="separate"/>
      </w:r>
      <w:r>
        <w:rPr>
          <w:rFonts w:hint="eastAsia"/>
          <w:color w:val="auto"/>
          <w:sz w:val="24"/>
          <w:highlight w:val="none"/>
        </w:rPr>
        <w:t>一、评标方法</w:t>
      </w:r>
      <w:r>
        <w:rPr>
          <w:color w:val="auto"/>
          <w:sz w:val="24"/>
          <w:highlight w:val="none"/>
        </w:rPr>
        <w:tab/>
      </w:r>
      <w:r>
        <w:rPr>
          <w:color w:val="auto"/>
          <w:sz w:val="24"/>
          <w:highlight w:val="none"/>
        </w:rPr>
        <w:fldChar w:fldCharType="begin"/>
      </w:r>
      <w:r>
        <w:rPr>
          <w:color w:val="auto"/>
          <w:sz w:val="24"/>
          <w:highlight w:val="none"/>
        </w:rPr>
        <w:instrText xml:space="preserve"> PAGEREF _Toc8326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7DB14683">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_Toc23985 </w:instrText>
      </w:r>
      <w:r>
        <w:rPr>
          <w:rFonts w:ascii="宋体" w:hAnsi="宋体" w:cs="宋体"/>
          <w:color w:val="auto"/>
          <w:sz w:val="24"/>
          <w:highlight w:val="none"/>
        </w:rPr>
        <w:fldChar w:fldCharType="separate"/>
      </w:r>
      <w:r>
        <w:rPr>
          <w:rFonts w:hint="eastAsia"/>
          <w:color w:val="auto"/>
          <w:sz w:val="24"/>
          <w:highlight w:val="none"/>
        </w:rPr>
        <w:t>二、评标标准</w:t>
      </w:r>
      <w:r>
        <w:rPr>
          <w:color w:val="auto"/>
          <w:sz w:val="24"/>
          <w:highlight w:val="none"/>
        </w:rPr>
        <w:tab/>
      </w:r>
      <w:r>
        <w:rPr>
          <w:color w:val="auto"/>
          <w:sz w:val="24"/>
          <w:highlight w:val="none"/>
        </w:rPr>
        <w:fldChar w:fldCharType="begin"/>
      </w:r>
      <w:r>
        <w:rPr>
          <w:color w:val="auto"/>
          <w:sz w:val="24"/>
          <w:highlight w:val="none"/>
        </w:rPr>
        <w:instrText xml:space="preserve"> PAGEREF _Toc23985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50187A3A">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_Toc9096 </w:instrText>
      </w:r>
      <w:r>
        <w:rPr>
          <w:rFonts w:ascii="宋体" w:hAnsi="宋体" w:cs="宋体"/>
          <w:color w:val="auto"/>
          <w:sz w:val="24"/>
          <w:highlight w:val="none"/>
        </w:rPr>
        <w:fldChar w:fldCharType="separate"/>
      </w:r>
      <w:r>
        <w:rPr>
          <w:rFonts w:hint="eastAsia"/>
          <w:color w:val="auto"/>
          <w:sz w:val="24"/>
          <w:highlight w:val="none"/>
        </w:rPr>
        <w:t>三、评标程序</w:t>
      </w:r>
      <w:r>
        <w:rPr>
          <w:color w:val="auto"/>
          <w:sz w:val="24"/>
          <w:highlight w:val="none"/>
        </w:rPr>
        <w:tab/>
      </w:r>
      <w:r>
        <w:rPr>
          <w:color w:val="auto"/>
          <w:sz w:val="24"/>
          <w:highlight w:val="none"/>
        </w:rPr>
        <w:fldChar w:fldCharType="begin"/>
      </w:r>
      <w:r>
        <w:rPr>
          <w:color w:val="auto"/>
          <w:sz w:val="24"/>
          <w:highlight w:val="none"/>
        </w:rPr>
        <w:instrText xml:space="preserve"> PAGEREF _Toc9096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59F00848">
      <w:pPr>
        <w:pStyle w:val="21"/>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_Toc22188 </w:instrText>
      </w:r>
      <w:r>
        <w:rPr>
          <w:rFonts w:ascii="宋体" w:hAnsi="宋体" w:cs="宋体"/>
          <w:color w:val="auto"/>
          <w:sz w:val="24"/>
          <w:highlight w:val="none"/>
        </w:rPr>
        <w:fldChar w:fldCharType="separate"/>
      </w:r>
      <w:r>
        <w:rPr>
          <w:rFonts w:hint="eastAsia"/>
          <w:color w:val="auto"/>
          <w:sz w:val="24"/>
          <w:highlight w:val="none"/>
        </w:rPr>
        <w:t>四、评标中的其他事项</w:t>
      </w:r>
      <w:r>
        <w:rPr>
          <w:color w:val="auto"/>
          <w:sz w:val="24"/>
          <w:highlight w:val="none"/>
        </w:rPr>
        <w:tab/>
      </w:r>
      <w:r>
        <w:rPr>
          <w:color w:val="auto"/>
          <w:sz w:val="24"/>
          <w:highlight w:val="none"/>
        </w:rPr>
        <w:fldChar w:fldCharType="begin"/>
      </w:r>
      <w:r>
        <w:rPr>
          <w:color w:val="auto"/>
          <w:sz w:val="24"/>
          <w:highlight w:val="none"/>
        </w:rPr>
        <w:instrText xml:space="preserve"> PAGEREF _Toc22188 </w:instrText>
      </w:r>
      <w:r>
        <w:rPr>
          <w:color w:val="auto"/>
          <w:sz w:val="24"/>
          <w:highlight w:val="none"/>
        </w:rPr>
        <w:fldChar w:fldCharType="separate"/>
      </w:r>
      <w:r>
        <w:rPr>
          <w:color w:val="auto"/>
          <w:sz w:val="24"/>
          <w:highlight w:val="none"/>
        </w:rPr>
        <w:t>39</w:t>
      </w:r>
      <w:r>
        <w:rPr>
          <w:color w:val="auto"/>
          <w:sz w:val="24"/>
          <w:highlight w:val="none"/>
        </w:rPr>
        <w:fldChar w:fldCharType="end"/>
      </w:r>
      <w:r>
        <w:rPr>
          <w:rFonts w:ascii="宋体" w:hAnsi="宋体" w:cs="宋体"/>
          <w:color w:val="auto"/>
          <w:sz w:val="24"/>
          <w:highlight w:val="none"/>
        </w:rPr>
        <w:fldChar w:fldCharType="end"/>
      </w:r>
    </w:p>
    <w:p w14:paraId="51B77395">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_Toc31027 </w:instrText>
      </w:r>
      <w:r>
        <w:rPr>
          <w:rFonts w:ascii="宋体" w:hAnsi="宋体" w:cs="宋体"/>
          <w:color w:val="auto"/>
          <w:sz w:val="24"/>
          <w:highlight w:val="none"/>
        </w:rPr>
        <w:fldChar w:fldCharType="separate"/>
      </w:r>
      <w:r>
        <w:rPr>
          <w:rFonts w:hint="eastAsia"/>
          <w:color w:val="auto"/>
          <w:sz w:val="24"/>
          <w:highlight w:val="none"/>
        </w:rPr>
        <w:t>第五部分 拟签订的合同文本</w:t>
      </w:r>
      <w:r>
        <w:rPr>
          <w:color w:val="auto"/>
          <w:sz w:val="24"/>
          <w:highlight w:val="none"/>
        </w:rPr>
        <w:tab/>
      </w:r>
      <w:r>
        <w:rPr>
          <w:color w:val="auto"/>
          <w:sz w:val="24"/>
          <w:highlight w:val="none"/>
        </w:rPr>
        <w:fldChar w:fldCharType="begin"/>
      </w:r>
      <w:r>
        <w:rPr>
          <w:color w:val="auto"/>
          <w:sz w:val="24"/>
          <w:highlight w:val="none"/>
        </w:rPr>
        <w:instrText xml:space="preserve"> PAGEREF _Toc31027 </w:instrText>
      </w:r>
      <w:r>
        <w:rPr>
          <w:color w:val="auto"/>
          <w:sz w:val="24"/>
          <w:highlight w:val="none"/>
        </w:rPr>
        <w:fldChar w:fldCharType="separate"/>
      </w:r>
      <w:r>
        <w:rPr>
          <w:color w:val="auto"/>
          <w:sz w:val="24"/>
          <w:highlight w:val="none"/>
        </w:rPr>
        <w:t>41</w:t>
      </w:r>
      <w:r>
        <w:rPr>
          <w:color w:val="auto"/>
          <w:sz w:val="24"/>
          <w:highlight w:val="none"/>
        </w:rPr>
        <w:fldChar w:fldCharType="end"/>
      </w:r>
      <w:r>
        <w:rPr>
          <w:rFonts w:ascii="宋体" w:hAnsi="宋体" w:cs="宋体"/>
          <w:color w:val="auto"/>
          <w:sz w:val="24"/>
          <w:highlight w:val="none"/>
        </w:rPr>
        <w:fldChar w:fldCharType="end"/>
      </w:r>
    </w:p>
    <w:p w14:paraId="02113313">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_Toc31256 </w:instrText>
      </w:r>
      <w:r>
        <w:rPr>
          <w:rFonts w:ascii="宋体" w:hAnsi="宋体" w:cs="宋体"/>
          <w:color w:val="auto"/>
          <w:sz w:val="24"/>
          <w:highlight w:val="none"/>
        </w:rPr>
        <w:fldChar w:fldCharType="separate"/>
      </w:r>
      <w:r>
        <w:rPr>
          <w:rFonts w:hint="eastAsia"/>
          <w:color w:val="auto"/>
          <w:sz w:val="24"/>
          <w:highlight w:val="none"/>
        </w:rPr>
        <w:t>第六部分 应提交的有关格式范例</w:t>
      </w:r>
      <w:r>
        <w:rPr>
          <w:color w:val="auto"/>
          <w:sz w:val="24"/>
          <w:highlight w:val="none"/>
        </w:rPr>
        <w:tab/>
      </w:r>
      <w:r>
        <w:rPr>
          <w:color w:val="auto"/>
          <w:sz w:val="24"/>
          <w:highlight w:val="none"/>
        </w:rPr>
        <w:fldChar w:fldCharType="begin"/>
      </w:r>
      <w:r>
        <w:rPr>
          <w:color w:val="auto"/>
          <w:sz w:val="24"/>
          <w:highlight w:val="none"/>
        </w:rPr>
        <w:instrText xml:space="preserve"> PAGEREF _Toc31256 </w:instrText>
      </w:r>
      <w:r>
        <w:rPr>
          <w:color w:val="auto"/>
          <w:sz w:val="24"/>
          <w:highlight w:val="none"/>
        </w:rPr>
        <w:fldChar w:fldCharType="separate"/>
      </w:r>
      <w:r>
        <w:rPr>
          <w:color w:val="auto"/>
          <w:sz w:val="24"/>
          <w:highlight w:val="none"/>
        </w:rPr>
        <w:t>48</w:t>
      </w:r>
      <w:r>
        <w:rPr>
          <w:color w:val="auto"/>
          <w:sz w:val="24"/>
          <w:highlight w:val="none"/>
        </w:rPr>
        <w:fldChar w:fldCharType="end"/>
      </w:r>
      <w:r>
        <w:rPr>
          <w:rFonts w:ascii="宋体" w:hAnsi="宋体" w:cs="宋体"/>
          <w:color w:val="auto"/>
          <w:sz w:val="24"/>
          <w:highlight w:val="none"/>
        </w:rPr>
        <w:fldChar w:fldCharType="end"/>
      </w:r>
    </w:p>
    <w:p w14:paraId="366219AB">
      <w:pPr>
        <w:spacing w:line="312" w:lineRule="auto"/>
        <w:ind w:firstLine="960" w:firstLineChars="400"/>
        <w:rPr>
          <w:rFonts w:ascii="宋体" w:hAnsi="宋体" w:cs="宋体"/>
          <w:color w:val="auto"/>
          <w:sz w:val="24"/>
          <w:highlight w:val="none"/>
        </w:rPr>
      </w:pPr>
      <w:r>
        <w:rPr>
          <w:rFonts w:ascii="宋体" w:hAnsi="宋体" w:cs="宋体"/>
          <w:color w:val="auto"/>
          <w:sz w:val="24"/>
          <w:highlight w:val="none"/>
        </w:rPr>
        <w:fldChar w:fldCharType="end"/>
      </w:r>
    </w:p>
    <w:p w14:paraId="0ED2CBEC">
      <w:pPr>
        <w:spacing w:line="360" w:lineRule="auto"/>
        <w:ind w:firstLine="549" w:firstLineChars="229"/>
        <w:rPr>
          <w:rFonts w:ascii="宋体" w:hAnsi="宋体" w:cs="宋体"/>
          <w:color w:val="auto"/>
          <w:sz w:val="24"/>
          <w:highlight w:val="none"/>
        </w:rPr>
      </w:pPr>
      <w:bookmarkStart w:id="1" w:name="_Toc91899869"/>
    </w:p>
    <w:p w14:paraId="0673CB16">
      <w:pPr>
        <w:adjustRightInd/>
        <w:spacing w:line="360" w:lineRule="auto"/>
        <w:jc w:val="center"/>
        <w:outlineLvl w:val="0"/>
        <w:rPr>
          <w:rStyle w:val="34"/>
          <w:color w:val="auto"/>
          <w:highlight w:val="none"/>
        </w:rPr>
      </w:pPr>
      <w:bookmarkStart w:id="2" w:name="第一部分"/>
      <w:r>
        <w:rPr>
          <w:rFonts w:hint="eastAsia" w:ascii="宋体" w:hAnsi="宋体" w:cs="宋体"/>
          <w:b/>
          <w:color w:val="auto"/>
          <w:sz w:val="36"/>
          <w:szCs w:val="36"/>
          <w:highlight w:val="none"/>
        </w:rPr>
        <w:br w:type="page"/>
      </w:r>
      <w:bookmarkEnd w:id="1"/>
      <w:bookmarkEnd w:id="2"/>
      <w:bookmarkStart w:id="3" w:name="_Hlt74649545"/>
      <w:bookmarkEnd w:id="3"/>
      <w:bookmarkStart w:id="4" w:name="_Hlt74729822"/>
      <w:bookmarkEnd w:id="4"/>
      <w:bookmarkStart w:id="5" w:name="_Hlt74728647"/>
      <w:bookmarkEnd w:id="5"/>
      <w:bookmarkStart w:id="6" w:name="_Hlt74707423"/>
      <w:bookmarkEnd w:id="6"/>
      <w:bookmarkStart w:id="7" w:name="_Toc4938"/>
      <w:bookmarkStart w:id="8" w:name="第二部分"/>
      <w:bookmarkStart w:id="9" w:name="_Toc91899870"/>
      <w:bookmarkStart w:id="10" w:name="_Toc91899871"/>
      <w:r>
        <w:rPr>
          <w:rStyle w:val="34"/>
          <w:rFonts w:hint="eastAsia"/>
          <w:color w:val="auto"/>
          <w:highlight w:val="none"/>
        </w:rPr>
        <w:t>第一部分</w:t>
      </w:r>
      <w:bookmarkEnd w:id="7"/>
      <w:r>
        <w:rPr>
          <w:rStyle w:val="34"/>
          <w:rFonts w:hint="eastAsia"/>
          <w:color w:val="auto"/>
          <w:highlight w:val="none"/>
        </w:rPr>
        <w:t xml:space="preserve"> 投标邀请</w:t>
      </w:r>
    </w:p>
    <w:p w14:paraId="1243AE0E">
      <w:pPr>
        <w:pStyle w:val="23"/>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color w:val="auto"/>
          <w:highlight w:val="none"/>
          <w:lang w:eastAsia="zh-CN"/>
        </w:rPr>
      </w:pPr>
      <w:r>
        <w:rPr>
          <w:rFonts w:hint="eastAsia" w:ascii="宋体" w:hAnsi="宋体" w:eastAsia="宋体" w:cs="宋体"/>
          <w:b/>
          <w:bCs/>
          <w:i w:val="0"/>
          <w:iCs w:val="0"/>
          <w:caps w:val="0"/>
          <w:color w:val="auto"/>
          <w:spacing w:val="0"/>
          <w:sz w:val="24"/>
          <w:szCs w:val="24"/>
          <w:highlight w:val="none"/>
          <w:shd w:val="clear" w:color="auto" w:fill="FFFFFF"/>
        </w:rPr>
        <w:t>项目概况</w:t>
      </w:r>
    </w:p>
    <w:p w14:paraId="253B6723">
      <w:pPr>
        <w:pStyle w:val="23"/>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cs="宋体"/>
          <w:i w:val="0"/>
          <w:iCs w:val="0"/>
          <w:caps w:val="0"/>
          <w:color w:val="auto"/>
          <w:spacing w:val="0"/>
          <w:sz w:val="24"/>
          <w:szCs w:val="24"/>
          <w:highlight w:val="none"/>
          <w:shd w:val="clear" w:color="auto" w:fill="FFFFFF"/>
          <w:lang w:eastAsia="zh-CN"/>
        </w:rPr>
        <w:t>杭州电子科技大学家具更新项目</w:t>
      </w:r>
      <w:r>
        <w:rPr>
          <w:rFonts w:hint="eastAsia" w:ascii="宋体" w:hAnsi="宋体" w:eastAsia="宋体" w:cs="宋体"/>
          <w:i w:val="0"/>
          <w:iCs w:val="0"/>
          <w:caps w:val="0"/>
          <w:color w:val="auto"/>
          <w:spacing w:val="0"/>
          <w:sz w:val="24"/>
          <w:szCs w:val="24"/>
          <w:highlight w:val="none"/>
          <w:shd w:val="clear" w:color="auto" w:fill="FFFFFF"/>
        </w:rPr>
        <w:t>招标项目的潜在投标人应在政采云平台线上获取（下载）招标文件，并于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rPr>
        <w:t>2026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26</w:t>
      </w:r>
      <w:r>
        <w:rPr>
          <w:rFonts w:hint="eastAsia" w:ascii="宋体" w:hAnsi="宋体" w:eastAsia="宋体" w:cs="宋体"/>
          <w:i w:val="0"/>
          <w:iCs w:val="0"/>
          <w:caps w:val="0"/>
          <w:color w:val="auto"/>
          <w:spacing w:val="0"/>
          <w:sz w:val="24"/>
          <w:szCs w:val="24"/>
          <w:highlight w:val="none"/>
          <w:shd w:val="clear" w:color="auto" w:fill="FFFFFF"/>
        </w:rPr>
        <w:t xml:space="preserve">日 </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:30（北京时间）前递交（上传）投标文件。</w:t>
      </w:r>
    </w:p>
    <w:p w14:paraId="5F7AA27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一、项目基本情况</w:t>
      </w:r>
    </w:p>
    <w:p w14:paraId="0E3E3A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项目编号：330000263030150000343</w:t>
      </w:r>
      <w:r>
        <w:rPr>
          <w:rFonts w:hint="eastAsia" w:ascii="宋体" w:hAnsi="宋体" w:cs="宋体"/>
          <w:i w:val="0"/>
          <w:iCs w:val="0"/>
          <w:caps w:val="0"/>
          <w:color w:val="auto"/>
          <w:spacing w:val="0"/>
          <w:sz w:val="24"/>
          <w:szCs w:val="24"/>
          <w:highlight w:val="none"/>
          <w:shd w:val="clear" w:color="auto" w:fill="FFFFFF"/>
          <w:lang w:val="en-US" w:eastAsia="zh-CN"/>
        </w:rPr>
        <w:t>-ZXZB-HD-202602G</w:t>
      </w:r>
    </w:p>
    <w:p w14:paraId="5CF30EC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cs="宋体"/>
          <w:i w:val="0"/>
          <w:iCs w:val="0"/>
          <w:caps w:val="0"/>
          <w:color w:val="auto"/>
          <w:spacing w:val="0"/>
          <w:sz w:val="24"/>
          <w:szCs w:val="24"/>
          <w:highlight w:val="none"/>
          <w:shd w:val="clear" w:color="auto" w:fill="FFFFFF"/>
          <w:lang w:eastAsia="zh-CN"/>
        </w:rPr>
        <w:t>杭州电子科技大学家具更新项目</w:t>
      </w:r>
    </w:p>
    <w:p w14:paraId="6A9EA5E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9679911</w:t>
      </w:r>
    </w:p>
    <w:p w14:paraId="66AA810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最高限价（元）：</w:t>
      </w:r>
      <w:r>
        <w:rPr>
          <w:rFonts w:hint="eastAsia" w:ascii="宋体" w:hAnsi="宋体" w:eastAsia="宋体" w:cs="宋体"/>
          <w:i w:val="0"/>
          <w:iCs w:val="0"/>
          <w:caps w:val="0"/>
          <w:color w:val="auto"/>
          <w:spacing w:val="0"/>
          <w:sz w:val="24"/>
          <w:szCs w:val="24"/>
          <w:highlight w:val="none"/>
          <w:shd w:val="clear" w:color="auto" w:fill="FFFFFF"/>
          <w:lang w:val="en-US" w:eastAsia="zh-CN"/>
        </w:rPr>
        <w:t>9679911</w:t>
      </w:r>
    </w:p>
    <w:p w14:paraId="3D4086F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采购需求：</w:t>
      </w:r>
    </w:p>
    <w:p w14:paraId="35E0877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p>
    <w:p w14:paraId="5202D17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标项一：</w:t>
      </w:r>
    </w:p>
    <w:p w14:paraId="107E77A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标项名称：下沙校区31号楼五人间家具</w:t>
      </w:r>
    </w:p>
    <w:p w14:paraId="2746A0D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数量：1</w:t>
      </w:r>
    </w:p>
    <w:p w14:paraId="21A1387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单位：</w:t>
      </w:r>
      <w:r>
        <w:rPr>
          <w:rFonts w:hint="eastAsia" w:ascii="宋体" w:hAnsi="宋体" w:eastAsia="宋体" w:cs="宋体"/>
          <w:i w:val="0"/>
          <w:iCs w:val="0"/>
          <w:caps w:val="0"/>
          <w:color w:val="auto"/>
          <w:spacing w:val="0"/>
          <w:sz w:val="24"/>
          <w:szCs w:val="24"/>
          <w:highlight w:val="none"/>
          <w:shd w:val="clear" w:color="auto" w:fill="FFFFFF"/>
          <w:lang w:val="en-US" w:eastAsia="zh-CN"/>
        </w:rPr>
        <w:t>批</w:t>
      </w:r>
    </w:p>
    <w:p w14:paraId="086FC12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2601831</w:t>
      </w:r>
    </w:p>
    <w:p w14:paraId="68C3FF5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简要规格描述或项目基本概况介绍、用途：</w:t>
      </w:r>
      <w:r>
        <w:rPr>
          <w:rFonts w:hint="eastAsia" w:ascii="宋体" w:hAnsi="宋体" w:eastAsia="宋体" w:cs="宋体"/>
          <w:i w:val="0"/>
          <w:iCs w:val="0"/>
          <w:caps w:val="0"/>
          <w:color w:val="auto"/>
          <w:spacing w:val="0"/>
          <w:sz w:val="24"/>
          <w:szCs w:val="24"/>
          <w:highlight w:val="none"/>
          <w:shd w:val="clear" w:color="auto" w:fill="FFFFFF"/>
          <w:lang w:val="en-US" w:eastAsia="zh-CN"/>
        </w:rPr>
        <w:t>具</w:t>
      </w:r>
      <w:r>
        <w:rPr>
          <w:rFonts w:hint="eastAsia" w:ascii="宋体" w:hAnsi="宋体" w:eastAsia="宋体" w:cs="宋体"/>
          <w:i w:val="0"/>
          <w:iCs w:val="0"/>
          <w:caps w:val="0"/>
          <w:color w:val="auto"/>
          <w:spacing w:val="0"/>
          <w:sz w:val="24"/>
          <w:szCs w:val="24"/>
          <w:highlight w:val="none"/>
          <w:shd w:val="clear" w:color="auto" w:fill="FFFFFF"/>
        </w:rPr>
        <w:t>体以招标文件第三部分采购需求为准</w:t>
      </w:r>
    </w:p>
    <w:p w14:paraId="5D228F8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p>
    <w:p w14:paraId="02F7AB1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w:t>
      </w:r>
      <w:r>
        <w:rPr>
          <w:rFonts w:hint="eastAsia" w:ascii="宋体" w:hAnsi="宋体" w:eastAsia="宋体" w:cs="宋体"/>
          <w:i w:val="0"/>
          <w:iCs w:val="0"/>
          <w:caps w:val="0"/>
          <w:color w:val="auto"/>
          <w:spacing w:val="0"/>
          <w:sz w:val="24"/>
          <w:szCs w:val="24"/>
          <w:highlight w:val="none"/>
          <w:shd w:val="clear" w:color="auto" w:fill="FFFFFF"/>
          <w:lang w:val="en-US" w:eastAsia="zh-CN"/>
        </w:rPr>
        <w:t>二</w:t>
      </w:r>
      <w:r>
        <w:rPr>
          <w:rFonts w:hint="eastAsia" w:ascii="宋体" w:hAnsi="宋体" w:eastAsia="宋体" w:cs="宋体"/>
          <w:i w:val="0"/>
          <w:iCs w:val="0"/>
          <w:caps w:val="0"/>
          <w:color w:val="auto"/>
          <w:spacing w:val="0"/>
          <w:sz w:val="24"/>
          <w:szCs w:val="24"/>
          <w:highlight w:val="none"/>
          <w:shd w:val="clear" w:color="auto" w:fill="FFFFFF"/>
        </w:rPr>
        <w:t>：</w:t>
      </w:r>
    </w:p>
    <w:p w14:paraId="4B3A52C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标项名称：下沙校区15号楼五人间家具</w:t>
      </w:r>
    </w:p>
    <w:p w14:paraId="6AFF705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数量：1</w:t>
      </w:r>
    </w:p>
    <w:p w14:paraId="53B9D3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单位：</w:t>
      </w:r>
      <w:r>
        <w:rPr>
          <w:rFonts w:hint="eastAsia" w:ascii="宋体" w:hAnsi="宋体" w:eastAsia="宋体" w:cs="宋体"/>
          <w:i w:val="0"/>
          <w:iCs w:val="0"/>
          <w:caps w:val="0"/>
          <w:color w:val="auto"/>
          <w:spacing w:val="0"/>
          <w:sz w:val="24"/>
          <w:szCs w:val="24"/>
          <w:highlight w:val="none"/>
          <w:shd w:val="clear" w:color="auto" w:fill="FFFFFF"/>
          <w:lang w:val="en-US" w:eastAsia="zh-CN"/>
        </w:rPr>
        <w:t>批</w:t>
      </w:r>
    </w:p>
    <w:p w14:paraId="0F2FE21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2414070</w:t>
      </w:r>
    </w:p>
    <w:p w14:paraId="04B6496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简要规格描述或项目基本概况介绍、用途：</w:t>
      </w:r>
      <w:r>
        <w:rPr>
          <w:rFonts w:hint="eastAsia" w:ascii="宋体" w:hAnsi="宋体" w:eastAsia="宋体" w:cs="宋体"/>
          <w:i w:val="0"/>
          <w:iCs w:val="0"/>
          <w:caps w:val="0"/>
          <w:color w:val="auto"/>
          <w:spacing w:val="0"/>
          <w:sz w:val="24"/>
          <w:szCs w:val="24"/>
          <w:highlight w:val="none"/>
          <w:shd w:val="clear" w:color="auto" w:fill="FFFFFF"/>
          <w:lang w:val="en-US" w:eastAsia="zh-CN"/>
        </w:rPr>
        <w:t>具</w:t>
      </w:r>
      <w:r>
        <w:rPr>
          <w:rFonts w:hint="eastAsia" w:ascii="宋体" w:hAnsi="宋体" w:eastAsia="宋体" w:cs="宋体"/>
          <w:i w:val="0"/>
          <w:iCs w:val="0"/>
          <w:caps w:val="0"/>
          <w:color w:val="auto"/>
          <w:spacing w:val="0"/>
          <w:sz w:val="24"/>
          <w:szCs w:val="24"/>
          <w:highlight w:val="none"/>
          <w:shd w:val="clear" w:color="auto" w:fill="FFFFFF"/>
        </w:rPr>
        <w:t>体以招标文件第三部分采购需求为准</w:t>
      </w:r>
    </w:p>
    <w:p w14:paraId="58CD597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w:t>
      </w:r>
      <w:r>
        <w:rPr>
          <w:rFonts w:hint="eastAsia" w:ascii="宋体" w:hAnsi="宋体" w:eastAsia="宋体" w:cs="宋体"/>
          <w:i w:val="0"/>
          <w:iCs w:val="0"/>
          <w:caps w:val="0"/>
          <w:color w:val="auto"/>
          <w:spacing w:val="0"/>
          <w:sz w:val="24"/>
          <w:szCs w:val="24"/>
          <w:highlight w:val="none"/>
          <w:shd w:val="clear" w:color="auto" w:fill="FFFFFF"/>
          <w:lang w:val="en-US" w:eastAsia="zh-CN"/>
        </w:rPr>
        <w:t>三</w:t>
      </w:r>
      <w:r>
        <w:rPr>
          <w:rFonts w:hint="eastAsia" w:ascii="宋体" w:hAnsi="宋体" w:eastAsia="宋体" w:cs="宋体"/>
          <w:i w:val="0"/>
          <w:iCs w:val="0"/>
          <w:caps w:val="0"/>
          <w:color w:val="auto"/>
          <w:spacing w:val="0"/>
          <w:sz w:val="24"/>
          <w:szCs w:val="24"/>
          <w:highlight w:val="none"/>
          <w:shd w:val="clear" w:color="auto" w:fill="FFFFFF"/>
        </w:rPr>
        <w:t>：</w:t>
      </w:r>
    </w:p>
    <w:p w14:paraId="40ABD81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标项名称：下沙校区14号楼五人间家具采购更新</w:t>
      </w:r>
    </w:p>
    <w:p w14:paraId="2822F5E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数量：1</w:t>
      </w:r>
    </w:p>
    <w:p w14:paraId="364FE63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单位：</w:t>
      </w:r>
      <w:r>
        <w:rPr>
          <w:rFonts w:hint="eastAsia" w:ascii="宋体" w:hAnsi="宋体" w:eastAsia="宋体" w:cs="宋体"/>
          <w:i w:val="0"/>
          <w:iCs w:val="0"/>
          <w:caps w:val="0"/>
          <w:color w:val="auto"/>
          <w:spacing w:val="0"/>
          <w:sz w:val="24"/>
          <w:szCs w:val="24"/>
          <w:highlight w:val="none"/>
          <w:shd w:val="clear" w:color="auto" w:fill="FFFFFF"/>
          <w:lang w:val="en-US" w:eastAsia="zh-CN"/>
        </w:rPr>
        <w:t>批</w:t>
      </w:r>
    </w:p>
    <w:p w14:paraId="261274A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2414070</w:t>
      </w:r>
    </w:p>
    <w:p w14:paraId="5DE99D4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简要规格描述或项目基本概况介绍、用途：</w:t>
      </w:r>
      <w:r>
        <w:rPr>
          <w:rFonts w:hint="eastAsia" w:ascii="宋体" w:hAnsi="宋体" w:eastAsia="宋体" w:cs="宋体"/>
          <w:i w:val="0"/>
          <w:iCs w:val="0"/>
          <w:caps w:val="0"/>
          <w:color w:val="auto"/>
          <w:spacing w:val="0"/>
          <w:sz w:val="24"/>
          <w:szCs w:val="24"/>
          <w:highlight w:val="none"/>
          <w:shd w:val="clear" w:color="auto" w:fill="FFFFFF"/>
          <w:lang w:val="en-US" w:eastAsia="zh-CN"/>
        </w:rPr>
        <w:t>具</w:t>
      </w:r>
      <w:r>
        <w:rPr>
          <w:rFonts w:hint="eastAsia" w:ascii="宋体" w:hAnsi="宋体" w:eastAsia="宋体" w:cs="宋体"/>
          <w:i w:val="0"/>
          <w:iCs w:val="0"/>
          <w:caps w:val="0"/>
          <w:color w:val="auto"/>
          <w:spacing w:val="0"/>
          <w:sz w:val="24"/>
          <w:szCs w:val="24"/>
          <w:highlight w:val="none"/>
          <w:shd w:val="clear" w:color="auto" w:fill="FFFFFF"/>
        </w:rPr>
        <w:t>体以招标文件第三部分采购需求为准</w:t>
      </w:r>
    </w:p>
    <w:p w14:paraId="5175535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p>
    <w:p w14:paraId="09C55D7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w:t>
      </w:r>
      <w:r>
        <w:rPr>
          <w:rFonts w:hint="eastAsia" w:ascii="宋体" w:hAnsi="宋体" w:eastAsia="宋体" w:cs="宋体"/>
          <w:i w:val="0"/>
          <w:iCs w:val="0"/>
          <w:caps w:val="0"/>
          <w:color w:val="auto"/>
          <w:spacing w:val="0"/>
          <w:sz w:val="24"/>
          <w:szCs w:val="24"/>
          <w:highlight w:val="none"/>
          <w:shd w:val="clear" w:color="auto" w:fill="FFFFFF"/>
          <w:lang w:val="en-US" w:eastAsia="zh-CN"/>
        </w:rPr>
        <w:t>四</w:t>
      </w:r>
      <w:r>
        <w:rPr>
          <w:rFonts w:hint="eastAsia" w:ascii="宋体" w:hAnsi="宋体" w:eastAsia="宋体" w:cs="宋体"/>
          <w:i w:val="0"/>
          <w:iCs w:val="0"/>
          <w:caps w:val="0"/>
          <w:color w:val="auto"/>
          <w:spacing w:val="0"/>
          <w:sz w:val="24"/>
          <w:szCs w:val="24"/>
          <w:highlight w:val="none"/>
          <w:shd w:val="clear" w:color="auto" w:fill="FFFFFF"/>
        </w:rPr>
        <w:t>：</w:t>
      </w:r>
    </w:p>
    <w:p w14:paraId="30B4BFB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标项名称：下沙校区4北、6北、6南四人间家具</w:t>
      </w:r>
    </w:p>
    <w:p w14:paraId="583D98E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数量：1</w:t>
      </w:r>
    </w:p>
    <w:p w14:paraId="068FC1E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单位：</w:t>
      </w:r>
      <w:r>
        <w:rPr>
          <w:rFonts w:hint="eastAsia" w:ascii="宋体" w:hAnsi="宋体" w:eastAsia="宋体" w:cs="宋体"/>
          <w:i w:val="0"/>
          <w:iCs w:val="0"/>
          <w:caps w:val="0"/>
          <w:color w:val="auto"/>
          <w:spacing w:val="0"/>
          <w:sz w:val="24"/>
          <w:szCs w:val="24"/>
          <w:highlight w:val="none"/>
          <w:shd w:val="clear" w:color="auto" w:fill="FFFFFF"/>
          <w:lang w:val="en-US" w:eastAsia="zh-CN"/>
        </w:rPr>
        <w:t>批</w:t>
      </w:r>
    </w:p>
    <w:p w14:paraId="19C6BB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2249940</w:t>
      </w:r>
    </w:p>
    <w:p w14:paraId="5EE39D4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简要规格描述或项目基本概况介绍、用途：</w:t>
      </w:r>
      <w:r>
        <w:rPr>
          <w:rFonts w:hint="eastAsia" w:ascii="宋体" w:hAnsi="宋体" w:eastAsia="宋体" w:cs="宋体"/>
          <w:i w:val="0"/>
          <w:iCs w:val="0"/>
          <w:caps w:val="0"/>
          <w:color w:val="auto"/>
          <w:spacing w:val="0"/>
          <w:sz w:val="24"/>
          <w:szCs w:val="24"/>
          <w:highlight w:val="none"/>
          <w:shd w:val="clear" w:color="auto" w:fill="FFFFFF"/>
          <w:lang w:val="en-US" w:eastAsia="zh-CN"/>
        </w:rPr>
        <w:t>具</w:t>
      </w:r>
      <w:r>
        <w:rPr>
          <w:rFonts w:hint="eastAsia" w:ascii="宋体" w:hAnsi="宋体" w:eastAsia="宋体" w:cs="宋体"/>
          <w:i w:val="0"/>
          <w:iCs w:val="0"/>
          <w:caps w:val="0"/>
          <w:color w:val="auto"/>
          <w:spacing w:val="0"/>
          <w:sz w:val="24"/>
          <w:szCs w:val="24"/>
          <w:highlight w:val="none"/>
          <w:shd w:val="clear" w:color="auto" w:fill="FFFFFF"/>
        </w:rPr>
        <w:t>体以招标文件第三部分采购需求为准</w:t>
      </w:r>
    </w:p>
    <w:p w14:paraId="46F644E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p>
    <w:p w14:paraId="22A375B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合同履约期限：</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标项一、标项二、标项三、标项四：</w:t>
      </w:r>
      <w:r>
        <w:rPr>
          <w:rFonts w:hint="eastAsia" w:ascii="宋体" w:hAnsi="宋体" w:eastAsia="宋体" w:cs="宋体"/>
          <w:b w:val="0"/>
          <w:bCs w:val="0"/>
          <w:i w:val="0"/>
          <w:iCs w:val="0"/>
          <w:caps w:val="0"/>
          <w:color w:val="auto"/>
          <w:spacing w:val="0"/>
          <w:sz w:val="24"/>
          <w:szCs w:val="24"/>
          <w:highlight w:val="none"/>
          <w:shd w:val="clear" w:color="auto" w:fill="FFFFFF"/>
        </w:rPr>
        <w:t>30日内生产完成，接到通知之日起25日内安装完成并交付。</w:t>
      </w:r>
    </w:p>
    <w:p w14:paraId="588BBA4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i w:val="0"/>
          <w:iCs w:val="0"/>
          <w:caps w:val="0"/>
          <w:color w:val="auto"/>
          <w:spacing w:val="0"/>
          <w:sz w:val="24"/>
          <w:szCs w:val="24"/>
          <w:highlight w:val="none"/>
          <w:shd w:val="clear" w:color="auto" w:fill="FFFFFF"/>
          <w:lang w:val="en-US" w:eastAsia="zh-CN"/>
        </w:rPr>
        <w:t>否</w:t>
      </w:r>
      <w:r>
        <w:rPr>
          <w:rFonts w:hint="eastAsia" w:ascii="宋体" w:hAnsi="宋体" w:eastAsia="宋体" w:cs="宋体"/>
          <w:i w:val="0"/>
          <w:iCs w:val="0"/>
          <w:caps w:val="0"/>
          <w:color w:val="auto"/>
          <w:spacing w:val="0"/>
          <w:sz w:val="24"/>
          <w:szCs w:val="24"/>
          <w:highlight w:val="none"/>
          <w:shd w:val="clear" w:color="auto" w:fill="FFFFFF"/>
        </w:rPr>
        <w:t>）接受联合体投标。</w:t>
      </w:r>
    </w:p>
    <w:p w14:paraId="1978EB5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b w:val="0"/>
          <w:bCs/>
          <w:i w:val="0"/>
          <w:iCs w:val="0"/>
          <w:caps w:val="0"/>
          <w:color w:val="auto"/>
          <w:spacing w:val="0"/>
          <w:sz w:val="24"/>
          <w:szCs w:val="24"/>
          <w:highlight w:val="none"/>
          <w:shd w:val="clear" w:color="auto" w:fill="FFFFFF"/>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否</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允许采购进口产品</w:t>
      </w:r>
    </w:p>
    <w:p w14:paraId="1180D90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02248BE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未被“信用中国”（www.creditchina.gov.cn)、中国政府采购网（www.ccgp.gov.cn）列入失信被执行人、重大税收违法失信主体、政府采购严重违法失信行为记录名单。</w:t>
      </w:r>
    </w:p>
    <w:p w14:paraId="18D9829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无。</w:t>
      </w:r>
    </w:p>
    <w:p w14:paraId="6179534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无。</w:t>
      </w:r>
    </w:p>
    <w:p w14:paraId="4B779DA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三、获取招标文件</w:t>
      </w:r>
    </w:p>
    <w:p w14:paraId="0D1C88A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时间：/至2026年</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26</w:t>
      </w:r>
      <w:r>
        <w:rPr>
          <w:rFonts w:hint="eastAsia" w:ascii="宋体" w:hAnsi="宋体" w:eastAsia="宋体" w:cs="宋体"/>
          <w:i w:val="0"/>
          <w:iCs w:val="0"/>
          <w:caps w:val="0"/>
          <w:color w:val="auto"/>
          <w:spacing w:val="0"/>
          <w:sz w:val="24"/>
          <w:szCs w:val="24"/>
          <w:highlight w:val="none"/>
          <w:shd w:val="clear" w:color="auto" w:fill="FFFFFF"/>
        </w:rPr>
        <w:t>日，每天上午00:00:00至12:00:00，下午12:00:00至23:59:59（北京时间，线上获取法定节假日均可，线下获取文件法定节假日除外）</w:t>
      </w:r>
    </w:p>
    <w:p w14:paraId="72D96D5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地点（网址）：政采云平台线上获取</w:t>
      </w:r>
    </w:p>
    <w:p w14:paraId="6E63782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方式：供应商登录政采云平台https://www.zcygov.cn/在线申请获取采购文件（进入“项目采购”应用，在获取采购文件菜单中选择项目，申请获取采购文件）</w:t>
      </w:r>
    </w:p>
    <w:p w14:paraId="7A71D19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售价（元）：0</w:t>
      </w:r>
    </w:p>
    <w:p w14:paraId="45DBC8F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四、提交投标文件截止时间、开标时间和地点</w:t>
      </w:r>
    </w:p>
    <w:p w14:paraId="46AC5B3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提交投标文件截止时间：2026年</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26</w:t>
      </w:r>
      <w:r>
        <w:rPr>
          <w:rFonts w:hint="eastAsia" w:ascii="宋体" w:hAnsi="宋体" w:eastAsia="宋体" w:cs="宋体"/>
          <w:i w:val="0"/>
          <w:iCs w:val="0"/>
          <w:caps w:val="0"/>
          <w:color w:val="auto"/>
          <w:spacing w:val="0"/>
          <w:sz w:val="24"/>
          <w:szCs w:val="24"/>
          <w:highlight w:val="none"/>
          <w:shd w:val="clear" w:color="auto" w:fill="FFFFFF"/>
        </w:rPr>
        <w:t xml:space="preserve">日 </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:30（北京时间）</w:t>
      </w:r>
    </w:p>
    <w:p w14:paraId="2240A45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投标地点（网址）：请登录政采云投标客户端投标</w:t>
      </w:r>
    </w:p>
    <w:p w14:paraId="2D49613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开标时间：2026年</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26</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:30</w:t>
      </w:r>
    </w:p>
    <w:p w14:paraId="2391AC7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开标地点（网址）：政采云平台</w:t>
      </w:r>
    </w:p>
    <w:p w14:paraId="35D32A5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五、公告期限</w:t>
      </w:r>
    </w:p>
    <w:p w14:paraId="19E0223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自本公告发布之日起5个工作日。</w:t>
      </w:r>
    </w:p>
    <w:p w14:paraId="1D12EB1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六、其他补充事宜</w:t>
      </w:r>
    </w:p>
    <w:p w14:paraId="37AD1F2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CA2F18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政采云平台-项目采购-询问质疑投诉-投诉列表。采购当事人通过在线方式提出或受理询问、质疑、投诉的，即视为认可电子送达方式与邮寄送达方式具有同等法律效力。相关文书送达日期以该文书到达本采购当事人在政采云平台账户的日期为准。各采购当事人应确保其政采云平台账户信息真实有效，并保持账户处于正常可用状态。</w:t>
      </w:r>
    </w:p>
    <w:p w14:paraId="59B021D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79A3F5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4.其他事项：无</w:t>
      </w:r>
    </w:p>
    <w:p w14:paraId="09D3323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七、对本次采购提出询问、质疑、投诉，请按以下方式联系</w:t>
      </w:r>
    </w:p>
    <w:p w14:paraId="6E72AA3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1.采购人信息</w:t>
      </w:r>
    </w:p>
    <w:p w14:paraId="78D8E5F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名称：</w:t>
      </w:r>
      <w:r>
        <w:rPr>
          <w:rFonts w:hint="eastAsia" w:ascii="宋体" w:hAnsi="宋体" w:eastAsia="宋体" w:cs="宋体"/>
          <w:i w:val="0"/>
          <w:iCs w:val="0"/>
          <w:caps w:val="0"/>
          <w:color w:val="auto"/>
          <w:spacing w:val="0"/>
          <w:sz w:val="24"/>
          <w:szCs w:val="24"/>
          <w:highlight w:val="none"/>
          <w:shd w:val="clear" w:color="auto" w:fill="FFFFFF"/>
          <w:lang w:eastAsia="zh-CN"/>
        </w:rPr>
        <w:t>杭州电子科技大学</w:t>
      </w:r>
    </w:p>
    <w:p w14:paraId="2C8938E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地址：浙江省杭州市钱塘新区2号大街1158号</w:t>
      </w:r>
    </w:p>
    <w:p w14:paraId="4802BD0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项目联系人（询问）：</w:t>
      </w:r>
      <w:r>
        <w:rPr>
          <w:rFonts w:hint="eastAsia" w:ascii="宋体" w:hAnsi="宋体" w:eastAsia="宋体" w:cs="宋体"/>
          <w:i w:val="0"/>
          <w:iCs w:val="0"/>
          <w:caps w:val="0"/>
          <w:color w:val="auto"/>
          <w:spacing w:val="0"/>
          <w:sz w:val="24"/>
          <w:szCs w:val="24"/>
          <w:highlight w:val="none"/>
          <w:shd w:val="clear" w:color="auto" w:fill="FFFFFF"/>
          <w:lang w:val="en-US" w:eastAsia="zh-CN"/>
        </w:rPr>
        <w:t>程老师</w:t>
      </w:r>
    </w:p>
    <w:p w14:paraId="5D906E8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项目联系方式（询问）：</w:t>
      </w:r>
      <w:r>
        <w:rPr>
          <w:rFonts w:hint="eastAsia" w:ascii="宋体" w:hAnsi="宋体" w:eastAsia="宋体" w:cs="宋体"/>
          <w:i w:val="0"/>
          <w:iCs w:val="0"/>
          <w:caps w:val="0"/>
          <w:color w:val="auto"/>
          <w:spacing w:val="0"/>
          <w:sz w:val="24"/>
          <w:szCs w:val="24"/>
          <w:highlight w:val="none"/>
          <w:shd w:val="clear" w:color="auto" w:fill="FFFFFF"/>
          <w:lang w:val="en-US" w:eastAsia="zh-CN"/>
        </w:rPr>
        <w:t>0571-</w:t>
      </w:r>
      <w:r>
        <w:rPr>
          <w:rFonts w:hint="eastAsia" w:ascii="宋体" w:hAnsi="宋体" w:eastAsia="宋体" w:cs="宋体"/>
          <w:i w:val="0"/>
          <w:iCs w:val="0"/>
          <w:caps w:val="0"/>
          <w:color w:val="auto"/>
          <w:spacing w:val="0"/>
          <w:sz w:val="24"/>
          <w:szCs w:val="24"/>
          <w:highlight w:val="none"/>
          <w:shd w:val="clear" w:color="auto" w:fill="FFFFFF"/>
        </w:rPr>
        <w:t>86919290</w:t>
      </w:r>
    </w:p>
    <w:p w14:paraId="66F697D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质疑联系人：</w:t>
      </w:r>
      <w:r>
        <w:rPr>
          <w:rFonts w:hint="eastAsia" w:ascii="宋体" w:hAnsi="宋体" w:eastAsia="宋体" w:cs="宋体"/>
          <w:i w:val="0"/>
          <w:iCs w:val="0"/>
          <w:caps w:val="0"/>
          <w:color w:val="auto"/>
          <w:spacing w:val="0"/>
          <w:sz w:val="24"/>
          <w:szCs w:val="24"/>
          <w:highlight w:val="none"/>
          <w:shd w:val="clear" w:color="auto" w:fill="FFFFFF"/>
          <w:lang w:val="en-US" w:eastAsia="zh-CN"/>
        </w:rPr>
        <w:t>李</w:t>
      </w:r>
      <w:r>
        <w:rPr>
          <w:rFonts w:hint="eastAsia" w:ascii="宋体" w:hAnsi="宋体" w:eastAsia="宋体" w:cs="宋体"/>
          <w:i w:val="0"/>
          <w:iCs w:val="0"/>
          <w:caps w:val="0"/>
          <w:color w:val="auto"/>
          <w:spacing w:val="0"/>
          <w:sz w:val="24"/>
          <w:szCs w:val="24"/>
          <w:highlight w:val="none"/>
          <w:shd w:val="clear" w:color="auto" w:fill="FFFFFF"/>
        </w:rPr>
        <w:t>老师</w:t>
      </w:r>
    </w:p>
    <w:p w14:paraId="402EE90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质疑联系方式：0571-86915026</w:t>
      </w:r>
    </w:p>
    <w:p w14:paraId="7B8C815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2.采购代理机构信息</w:t>
      </w:r>
    </w:p>
    <w:p w14:paraId="06D944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名称：浙江致信招标代理有限公司</w:t>
      </w:r>
    </w:p>
    <w:p w14:paraId="702FC52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地址：浙江省杭州市西湖区天目山路7号1号楼裙楼</w:t>
      </w:r>
    </w:p>
    <w:p w14:paraId="0687F37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项目联系人：俞磊、徐锦峰、胡月月、朱梅黎、沈诗佳、张小燕</w:t>
      </w:r>
    </w:p>
    <w:p w14:paraId="688BE03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联系电话：0571-85503732、0571-85388866</w:t>
      </w:r>
    </w:p>
    <w:p w14:paraId="6B85309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质疑联系人：徐工</w:t>
      </w:r>
    </w:p>
    <w:p w14:paraId="37895C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联系电话：0571-88026807</w:t>
      </w:r>
    </w:p>
    <w:p w14:paraId="25E05E7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质疑邮箱：zxzy@zxbidding.cn</w:t>
      </w:r>
    </w:p>
    <w:p w14:paraId="7FF0F21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收件地址：浙江省杭州市西湖区天目山路7号1号楼裙楼201室</w:t>
      </w:r>
    </w:p>
    <w:p w14:paraId="3CF675A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邮编：310012</w:t>
      </w:r>
    </w:p>
    <w:p w14:paraId="3241B1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3.同级政府采购监督管理部门</w:t>
      </w:r>
    </w:p>
    <w:p w14:paraId="5F7C464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名称：浙江省政府采购行政裁决服务中心（杭州市上城区清泰街549号城建综合大楼11楼）</w:t>
      </w:r>
    </w:p>
    <w:p w14:paraId="21922C8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地址：杭州市上城区清泰街549号城建综合大楼11楼</w:t>
      </w:r>
    </w:p>
    <w:p w14:paraId="39C664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联系人：匡老师</w:t>
      </w:r>
    </w:p>
    <w:p w14:paraId="5537096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监督投诉电话：0571-87807798</w:t>
      </w:r>
    </w:p>
    <w:p w14:paraId="6421BE1A">
      <w:pPr>
        <w:pStyle w:val="8"/>
        <w:rPr>
          <w:rFonts w:hint="eastAsia"/>
          <w:color w:val="auto"/>
          <w:highlight w:val="none"/>
        </w:rPr>
      </w:pPr>
    </w:p>
    <w:p w14:paraId="14AF5F6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政策咨询：何一平、冯华，0571-87058424、87055741</w:t>
      </w:r>
    </w:p>
    <w:p w14:paraId="58B356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若对项目采购电子交易系统操作有疑问，可登录政采云（</w:t>
      </w:r>
      <w:r>
        <w:rPr>
          <w:rFonts w:ascii="宋体" w:hAnsi="宋体"/>
          <w:color w:val="auto"/>
          <w:sz w:val="24"/>
          <w:highlight w:val="none"/>
        </w:rPr>
        <w:t>https://www.zcygov.cn/），点击右侧咨询小采，获取采小蜜智能服务管家帮助，或拨打政</w:t>
      </w:r>
      <w:r>
        <w:rPr>
          <w:rFonts w:hint="eastAsia" w:ascii="宋体" w:hAnsi="宋体"/>
          <w:color w:val="auto"/>
          <w:sz w:val="24"/>
          <w:highlight w:val="none"/>
        </w:rPr>
        <w:t>采云服务热线95763</w:t>
      </w:r>
      <w:r>
        <w:rPr>
          <w:rFonts w:ascii="宋体" w:hAnsi="宋体"/>
          <w:color w:val="auto"/>
          <w:sz w:val="24"/>
          <w:highlight w:val="none"/>
        </w:rPr>
        <w:t>获取热线服务帮助。</w:t>
      </w:r>
    </w:p>
    <w:p w14:paraId="18143BD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CA问题联系电话（人工）：汇信CA 400-888-4636；天谷CA 400-087-8198。</w:t>
      </w:r>
    </w:p>
    <w:p w14:paraId="20A4FB69">
      <w:pPr>
        <w:pStyle w:val="2"/>
        <w:spacing w:line="360" w:lineRule="auto"/>
        <w:rPr>
          <w:color w:val="auto"/>
          <w:highlight w:val="none"/>
        </w:rPr>
      </w:pPr>
      <w:r>
        <w:rPr>
          <w:rFonts w:hint="eastAsia" w:hAnsi="宋体" w:cs="宋体"/>
          <w:color w:val="auto"/>
          <w:sz w:val="24"/>
          <w:highlight w:val="none"/>
        </w:rPr>
        <w:t xml:space="preserve">                        </w:t>
      </w:r>
      <w:r>
        <w:rPr>
          <w:rFonts w:hAnsi="宋体" w:cs="宋体"/>
          <w:b/>
          <w:color w:val="auto"/>
          <w:sz w:val="36"/>
          <w:szCs w:val="20"/>
          <w:highlight w:val="none"/>
        </w:rPr>
        <w:t xml:space="preserve"> </w:t>
      </w:r>
    </w:p>
    <w:p w14:paraId="663100B0">
      <w:pPr>
        <w:rPr>
          <w:rFonts w:hint="eastAsia" w:ascii="宋体" w:hAnsi="宋体" w:cs="宋体"/>
          <w:b/>
          <w:color w:val="auto"/>
          <w:sz w:val="36"/>
          <w:szCs w:val="20"/>
          <w:highlight w:val="none"/>
        </w:rPr>
      </w:pPr>
    </w:p>
    <w:p w14:paraId="5861EFF0">
      <w:pPr>
        <w:adjustRightInd/>
        <w:spacing w:line="360" w:lineRule="auto"/>
        <w:jc w:val="center"/>
        <w:outlineLvl w:val="0"/>
        <w:rPr>
          <w:rStyle w:val="34"/>
          <w:rFonts w:hint="eastAsia"/>
          <w:color w:val="auto"/>
          <w:highlight w:val="none"/>
        </w:rPr>
      </w:pPr>
      <w:bookmarkStart w:id="11" w:name="_Toc10750"/>
      <w:r>
        <w:rPr>
          <w:rStyle w:val="34"/>
          <w:rFonts w:hint="eastAsia"/>
          <w:color w:val="auto"/>
          <w:highlight w:val="none"/>
        </w:rPr>
        <w:br w:type="page"/>
      </w:r>
      <w:r>
        <w:rPr>
          <w:rStyle w:val="34"/>
          <w:rFonts w:hint="eastAsia"/>
          <w:color w:val="auto"/>
          <w:highlight w:val="none"/>
        </w:rPr>
        <w:t>第二部分</w:t>
      </w:r>
      <w:bookmarkEnd w:id="8"/>
      <w:r>
        <w:rPr>
          <w:rStyle w:val="34"/>
          <w:rFonts w:hint="eastAsia"/>
          <w:color w:val="auto"/>
          <w:highlight w:val="none"/>
        </w:rPr>
        <w:t xml:space="preserve"> 投标人须知</w:t>
      </w:r>
      <w:bookmarkEnd w:id="9"/>
      <w:bookmarkEnd w:id="11"/>
    </w:p>
    <w:p w14:paraId="7B77C5EB">
      <w:pPr>
        <w:pStyle w:val="4"/>
        <w:spacing w:line="240" w:lineRule="auto"/>
        <w:jc w:val="center"/>
        <w:rPr>
          <w:color w:val="auto"/>
          <w:sz w:val="28"/>
          <w:szCs w:val="28"/>
          <w:highlight w:val="none"/>
        </w:rPr>
      </w:pPr>
      <w:bookmarkStart w:id="12" w:name="_Toc21222"/>
      <w:r>
        <w:rPr>
          <w:rFonts w:hint="eastAsia"/>
          <w:color w:val="auto"/>
          <w:sz w:val="28"/>
          <w:szCs w:val="28"/>
          <w:highlight w:val="none"/>
        </w:rPr>
        <w:t>前附表</w:t>
      </w:r>
      <w:bookmarkEnd w:id="12"/>
    </w:p>
    <w:tbl>
      <w:tblPr>
        <w:tblStyle w:val="27"/>
        <w:tblW w:w="885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385"/>
      </w:tblGrid>
      <w:tr w14:paraId="4468C3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16" w:hRule="atLeast"/>
          <w:tblHeader/>
        </w:trPr>
        <w:tc>
          <w:tcPr>
            <w:tcW w:w="629" w:type="dxa"/>
            <w:tcBorders>
              <w:top w:val="single" w:color="auto" w:sz="4" w:space="0"/>
              <w:left w:val="single" w:color="auto" w:sz="4" w:space="0"/>
              <w:bottom w:val="single" w:color="auto" w:sz="4" w:space="0"/>
              <w:right w:val="single" w:color="auto" w:sz="4" w:space="0"/>
            </w:tcBorders>
            <w:noWrap w:val="0"/>
            <w:vAlign w:val="top"/>
          </w:tcPr>
          <w:p w14:paraId="755DF16A">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2472836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事项</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20F5394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本项目的特别规定</w:t>
            </w:r>
          </w:p>
        </w:tc>
      </w:tr>
      <w:tr w14:paraId="2E00E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85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11619AD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61322109">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项目属性与核心产品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350A6DF5">
            <w:pPr>
              <w:adjustRightInd/>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货物类，</w:t>
            </w:r>
            <w:r>
              <w:rPr>
                <w:rFonts w:hint="eastAsia" w:ascii="宋体" w:hAnsi="宋体" w:cs="宋体"/>
                <w:color w:val="auto"/>
                <w:kern w:val="0"/>
                <w:sz w:val="24"/>
                <w:highlight w:val="none"/>
              </w:rPr>
              <w:t>核心产品为：</w:t>
            </w:r>
          </w:p>
          <w:p w14:paraId="1E556DEF">
            <w:pPr>
              <w:adjustRightInd/>
              <w:spacing w:line="360" w:lineRule="auto"/>
              <w:rPr>
                <w:rFonts w:hint="eastAsia" w:ascii="宋体" w:hAnsi="宋体" w:cs="宋体"/>
                <w:color w:val="auto"/>
                <w:kern w:val="0"/>
                <w:sz w:val="24"/>
                <w:highlight w:val="none"/>
                <w:u w:val="single"/>
                <w:lang w:eastAsia="zh-CN"/>
              </w:rPr>
            </w:pPr>
            <w:r>
              <w:rPr>
                <w:rFonts w:hint="eastAsia" w:ascii="宋体" w:hAnsi="宋体" w:cs="宋体"/>
                <w:color w:val="auto"/>
                <w:kern w:val="0"/>
                <w:sz w:val="24"/>
                <w:highlight w:val="none"/>
                <w:lang w:val="en-US" w:eastAsia="zh-CN"/>
              </w:rPr>
              <w:t>标项一、标项二、标项三：</w:t>
            </w:r>
            <w:r>
              <w:rPr>
                <w:rFonts w:hint="eastAsia" w:ascii="宋体" w:hAnsi="宋体" w:cs="宋体"/>
                <w:color w:val="auto"/>
                <w:kern w:val="0"/>
                <w:sz w:val="24"/>
                <w:highlight w:val="none"/>
                <w:u w:val="single"/>
              </w:rPr>
              <w:t>三人位公寓组合床（五人间）加长床</w:t>
            </w:r>
            <w:r>
              <w:rPr>
                <w:rFonts w:hint="eastAsia" w:ascii="宋体" w:hAnsi="宋体" w:cs="宋体"/>
                <w:color w:val="auto"/>
                <w:kern w:val="0"/>
                <w:sz w:val="24"/>
                <w:highlight w:val="none"/>
                <w:u w:val="single"/>
                <w:lang w:eastAsia="zh-CN"/>
              </w:rPr>
              <w:t>；</w:t>
            </w:r>
          </w:p>
          <w:p w14:paraId="1E2DA486">
            <w:pPr>
              <w:adjustRightInd/>
              <w:spacing w:line="360" w:lineRule="auto"/>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val="en-US" w:eastAsia="zh-CN"/>
              </w:rPr>
              <w:t>标项四：</w:t>
            </w:r>
            <w:r>
              <w:rPr>
                <w:rFonts w:hint="eastAsia" w:ascii="宋体" w:hAnsi="宋体" w:cs="宋体"/>
                <w:color w:val="auto"/>
                <w:kern w:val="0"/>
                <w:sz w:val="24"/>
                <w:highlight w:val="none"/>
                <w:u w:val="single"/>
              </w:rPr>
              <w:t>二人位公寓组合床</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四人间）</w:t>
            </w:r>
            <w:r>
              <w:rPr>
                <w:rFonts w:hint="eastAsia" w:ascii="宋体" w:hAnsi="宋体" w:cs="宋体"/>
                <w:color w:val="auto"/>
                <w:kern w:val="0"/>
                <w:sz w:val="24"/>
                <w:highlight w:val="none"/>
                <w:u w:val="single"/>
              </w:rPr>
              <w:t>加长床</w:t>
            </w:r>
            <w:r>
              <w:rPr>
                <w:rFonts w:hint="eastAsia" w:ascii="宋体" w:hAnsi="宋体" w:cs="宋体"/>
                <w:color w:val="auto"/>
                <w:kern w:val="0"/>
                <w:sz w:val="24"/>
                <w:highlight w:val="none"/>
                <w:u w:val="single"/>
                <w:lang w:eastAsia="zh-CN"/>
              </w:rPr>
              <w:t>。</w:t>
            </w:r>
          </w:p>
        </w:tc>
      </w:tr>
      <w:tr w14:paraId="049A2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213A58FC">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BB7A9C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采购标的及其对应的中小企业划分标准所属行业</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49CA8FF">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标的：</w:t>
            </w:r>
            <w:r>
              <w:rPr>
                <w:rFonts w:hint="eastAsia" w:ascii="宋体" w:hAnsi="宋体" w:cs="宋体"/>
                <w:color w:val="auto"/>
                <w:kern w:val="0"/>
                <w:sz w:val="24"/>
                <w:highlight w:val="none"/>
                <w:u w:val="single"/>
                <w:lang w:val="en-US" w:eastAsia="zh-CN"/>
              </w:rPr>
              <w:t>详见</w:t>
            </w:r>
            <w:r>
              <w:rPr>
                <w:rFonts w:hint="eastAsia" w:ascii="宋体" w:hAnsi="宋体" w:cs="宋体"/>
                <w:color w:val="auto"/>
                <w:kern w:val="0"/>
                <w:sz w:val="24"/>
                <w:highlight w:val="none"/>
                <w:u w:val="single"/>
              </w:rPr>
              <w:t>附件7中小企业声明函</w:t>
            </w:r>
            <w:r>
              <w:rPr>
                <w:rFonts w:hint="eastAsia" w:ascii="宋体" w:hAnsi="宋体" w:cs="宋体"/>
                <w:color w:val="auto"/>
                <w:kern w:val="0"/>
                <w:sz w:val="24"/>
                <w:highlight w:val="none"/>
                <w:u w:val="none"/>
              </w:rPr>
              <w:t>，</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lang w:val="en-US" w:eastAsia="zh-CN"/>
              </w:rPr>
              <w:t>工业</w:t>
            </w:r>
            <w:r>
              <w:rPr>
                <w:rFonts w:hint="eastAsia" w:ascii="宋体" w:hAnsi="宋体" w:cs="宋体"/>
                <w:color w:val="auto"/>
                <w:kern w:val="0"/>
                <w:sz w:val="24"/>
                <w:highlight w:val="none"/>
              </w:rPr>
              <w:t>行业；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24D6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5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7AC4EE5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7F03BE9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是否允许采购进口产品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BE2A817">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本项目不允许采购进口产品。</w:t>
            </w:r>
          </w:p>
          <w:p w14:paraId="4192C4C0">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可以就</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rPr>
              <w:t>采购进口产品。</w:t>
            </w:r>
          </w:p>
        </w:tc>
      </w:tr>
      <w:tr w14:paraId="347AD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150A479">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24B5125">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分包</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5D075A3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同意将非主体、非关键性的工作分包。</w:t>
            </w:r>
          </w:p>
          <w:p w14:paraId="67659A7D">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 B</w:t>
            </w:r>
            <w:r>
              <w:rPr>
                <w:rFonts w:hint="eastAsia" w:ascii="宋体" w:hAnsi="宋体" w:cs="宋体"/>
                <w:color w:val="auto"/>
                <w:sz w:val="24"/>
                <w:highlight w:val="none"/>
              </w:rPr>
              <w:t>不同意分包。</w:t>
            </w:r>
          </w:p>
          <w:p w14:paraId="14807ED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注：不得限制大中型企业向小微企业合理分包。</w:t>
            </w:r>
          </w:p>
        </w:tc>
      </w:tr>
      <w:tr w14:paraId="6C35E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13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6868B61D">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03D93D96">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开标前答疑会或现场考察</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6FA81E2A">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不组织。(不统一组织，自行前往,勘查地点：</w:t>
            </w:r>
            <w:r>
              <w:rPr>
                <w:rFonts w:hint="eastAsia" w:ascii="宋体" w:hAnsi="宋体" w:cs="宋体"/>
                <w:color w:val="auto"/>
                <w:sz w:val="24"/>
                <w:highlight w:val="none"/>
                <w:u w:val="single"/>
              </w:rPr>
              <w:t>钱塘区杭州电子科技大学生活区，</w:t>
            </w:r>
            <w:r>
              <w:rPr>
                <w:rFonts w:hint="eastAsia" w:ascii="宋体" w:hAnsi="宋体" w:cs="宋体"/>
                <w:color w:val="auto"/>
                <w:sz w:val="24"/>
                <w:highlight w:val="none"/>
              </w:rPr>
              <w:t>联系人：</w:t>
            </w:r>
            <w:r>
              <w:rPr>
                <w:rFonts w:hint="eastAsia" w:ascii="宋体" w:hAnsi="宋体" w:cs="宋体"/>
                <w:color w:val="auto"/>
                <w:sz w:val="24"/>
                <w:highlight w:val="none"/>
                <w:u w:val="single"/>
              </w:rPr>
              <w:t>钱塘区杭州电子科技大学生活区</w:t>
            </w: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0571-</w:t>
            </w:r>
            <w:r>
              <w:rPr>
                <w:rFonts w:hint="eastAsia" w:ascii="宋体" w:hAnsi="宋体" w:eastAsia="宋体" w:cs="宋体"/>
                <w:color w:val="auto"/>
                <w:sz w:val="24"/>
                <w:highlight w:val="none"/>
                <w:lang w:val="en-US" w:eastAsia="zh-CN"/>
              </w:rPr>
              <w:t>86919290)</w:t>
            </w:r>
          </w:p>
          <w:p w14:paraId="564A490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☐B组织，</w:t>
            </w:r>
            <w:r>
              <w:rPr>
                <w:rFonts w:hint="eastAsia" w:ascii="宋体" w:hAnsi="宋体" w:cs="宋体"/>
                <w:color w:val="auto"/>
                <w:sz w:val="24"/>
                <w:highlight w:val="none"/>
              </w:rPr>
              <w:t>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4E7BD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10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951CBE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B9AD584">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样品提供</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45814A32">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A</w:t>
            </w:r>
            <w:r>
              <w:rPr>
                <w:rFonts w:hint="eastAsia" w:ascii="宋体" w:hAnsi="宋体" w:cs="宋体"/>
                <w:color w:val="auto"/>
                <w:sz w:val="24"/>
                <w:highlight w:val="none"/>
              </w:rPr>
              <w:t>不要求提供。</w:t>
            </w:r>
          </w:p>
          <w:p w14:paraId="4BD2A3C9">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B要求提供，</w:t>
            </w:r>
          </w:p>
          <w:p w14:paraId="4C40105A">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snapToGrid w:val="0"/>
                <w:color w:val="auto"/>
                <w:kern w:val="28"/>
                <w:sz w:val="24"/>
                <w:highlight w:val="none"/>
              </w:rPr>
              <w:t>样品：</w:t>
            </w:r>
            <w:r>
              <w:rPr>
                <w:rFonts w:hint="eastAsia" w:ascii="宋体" w:hAnsi="宋体" w:cs="宋体"/>
                <w:color w:val="auto"/>
                <w:sz w:val="24"/>
                <w:highlight w:val="none"/>
                <w:u w:val="single"/>
                <w:lang w:val="en-US" w:eastAsia="zh-CN"/>
              </w:rPr>
              <w:t>详见采购需求</w:t>
            </w:r>
            <w:r>
              <w:rPr>
                <w:rFonts w:hint="eastAsia" w:ascii="宋体" w:hAnsi="宋体" w:cs="宋体"/>
                <w:color w:val="auto"/>
                <w:kern w:val="0"/>
                <w:sz w:val="24"/>
                <w:highlight w:val="none"/>
              </w:rPr>
              <w:t>；</w:t>
            </w:r>
          </w:p>
          <w:p w14:paraId="5B328221">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snapToGrid w:val="0"/>
                <w:color w:val="auto"/>
                <w:kern w:val="28"/>
                <w:sz w:val="24"/>
                <w:highlight w:val="none"/>
              </w:rPr>
              <w:t>样品制作的标准和要求：</w:t>
            </w:r>
            <w:r>
              <w:rPr>
                <w:rFonts w:hint="eastAsia" w:ascii="宋体" w:hAnsi="宋体" w:cs="宋体"/>
                <w:color w:val="auto"/>
                <w:sz w:val="24"/>
                <w:highlight w:val="none"/>
                <w:u w:val="single"/>
                <w:lang w:val="en-US" w:eastAsia="zh-CN"/>
              </w:rPr>
              <w:t>详见采购需求</w:t>
            </w:r>
            <w:r>
              <w:rPr>
                <w:rFonts w:hint="eastAsia" w:ascii="宋体" w:hAnsi="宋体" w:cs="宋体"/>
                <w:color w:val="auto"/>
                <w:kern w:val="0"/>
                <w:sz w:val="24"/>
                <w:highlight w:val="none"/>
              </w:rPr>
              <w:t>；</w:t>
            </w:r>
          </w:p>
          <w:p w14:paraId="16B3EE8C">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（3）样品的评审方法以及评审标准</w:t>
            </w:r>
            <w:r>
              <w:rPr>
                <w:rFonts w:hint="eastAsia" w:ascii="宋体" w:hAnsi="宋体" w:cs="宋体"/>
                <w:snapToGrid w:val="0"/>
                <w:color w:val="auto"/>
                <w:kern w:val="28"/>
                <w:sz w:val="24"/>
                <w:highlight w:val="none"/>
              </w:rPr>
              <w:t>：详见</w:t>
            </w:r>
            <w:r>
              <w:rPr>
                <w:rFonts w:hint="eastAsia" w:ascii="宋体" w:hAnsi="宋体" w:cs="宋体"/>
                <w:color w:val="auto"/>
                <w:sz w:val="24"/>
                <w:highlight w:val="none"/>
                <w:u w:val="single"/>
              </w:rPr>
              <w:t>评标办法</w:t>
            </w:r>
            <w:r>
              <w:rPr>
                <w:rFonts w:hint="eastAsia" w:ascii="宋体" w:hAnsi="宋体" w:cs="宋体"/>
                <w:color w:val="auto"/>
                <w:kern w:val="0"/>
                <w:sz w:val="24"/>
                <w:highlight w:val="none"/>
              </w:rPr>
              <w:t>；</w:t>
            </w:r>
          </w:p>
          <w:p w14:paraId="07066144">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（4）是否需要随样品提交检测报告：</w:t>
            </w: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否；☐是，检测机构的要求</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；检测内容</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081CF189">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（5）提供样品的时间：</w:t>
            </w:r>
            <w:r>
              <w:rPr>
                <w:rFonts w:hint="eastAsia" w:ascii="宋体" w:hAnsi="宋体" w:cs="宋体"/>
                <w:color w:val="auto"/>
                <w:sz w:val="24"/>
                <w:highlight w:val="none"/>
                <w:u w:val="single"/>
              </w:rPr>
              <w:t>2026年6月2</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u w:val="single"/>
              </w:rPr>
              <w:t>日</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杭州市西湖区天目山路东海宾馆</w:t>
            </w:r>
            <w:r>
              <w:rPr>
                <w:rFonts w:hint="eastAsia" w:ascii="宋体" w:hAnsi="宋体" w:cs="宋体"/>
                <w:color w:val="auto"/>
                <w:kern w:val="0"/>
                <w:sz w:val="24"/>
                <w:highlight w:val="none"/>
              </w:rPr>
              <w:t>；联系人</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方锐</w:t>
            </w:r>
            <w:r>
              <w:rPr>
                <w:rFonts w:hint="eastAsia" w:ascii="宋体" w:hAnsi="宋体" w:cs="宋体"/>
                <w:color w:val="auto"/>
                <w:sz w:val="24"/>
                <w:highlight w:val="none"/>
              </w:rPr>
              <w:t>，</w:t>
            </w:r>
            <w:r>
              <w:rPr>
                <w:rFonts w:hint="eastAsia" w:ascii="宋体" w:hAnsi="宋体" w:cs="宋体"/>
                <w:color w:val="auto"/>
                <w:kern w:val="28"/>
                <w:sz w:val="24"/>
                <w:highlight w:val="none"/>
              </w:rPr>
              <w:t>联系电话：</w:t>
            </w:r>
            <w:r>
              <w:rPr>
                <w:rFonts w:hint="eastAsia" w:ascii="宋体" w:hAnsi="宋体" w:cs="宋体"/>
                <w:color w:val="auto"/>
                <w:sz w:val="24"/>
                <w:highlight w:val="none"/>
                <w:u w:val="single"/>
                <w:lang w:val="en-US" w:eastAsia="zh-CN"/>
              </w:rPr>
              <w:t>13588741920</w:t>
            </w:r>
            <w:r>
              <w:rPr>
                <w:rFonts w:hint="eastAsia" w:ascii="宋体" w:hAnsi="宋体" w:cs="宋体"/>
                <w:color w:val="auto"/>
                <w:sz w:val="24"/>
                <w:highlight w:val="none"/>
              </w:rPr>
              <w:t>。请投标人在上述时间内提供样品并按规定位置安装完毕。超过截止时间的，采购人或采购代理机构将不予接收，并将清场并封闭样品现场。</w:t>
            </w:r>
          </w:p>
          <w:p w14:paraId="1BB40CB5">
            <w:pPr>
              <w:adjustRightIn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未中标供应商须在评标结束当日自行取回样品；中标供应商样品由采购代理机构统一封存，作为后期质量验收依据。未中标供应商未在评标结束当日取回样品的，采购代理机构有权自行处置，且该供应商须承担样品场地占用费用  元/天。</w:t>
            </w:r>
          </w:p>
          <w:p w14:paraId="35E9C333">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（7）制作、运输、安装和保管样品所发生的一切费用由投标人自理。</w:t>
            </w:r>
          </w:p>
          <w:p w14:paraId="507E3097">
            <w:pPr>
              <w:adjustRightInd/>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8）未提供样品或提供样品不全或提供无效样品，则视为无效投标。</w:t>
            </w:r>
          </w:p>
        </w:tc>
      </w:tr>
      <w:tr w14:paraId="56C8F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78F414E8">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77730FB0">
            <w:pPr>
              <w:adjustRightInd/>
              <w:spacing w:line="360" w:lineRule="auto"/>
              <w:jc w:val="center"/>
              <w:rPr>
                <w:rFonts w:hint="eastAsia" w:ascii="宋体" w:hAnsi="宋体" w:cs="宋体"/>
                <w:bCs/>
                <w:color w:val="auto"/>
                <w:sz w:val="24"/>
                <w:highlight w:val="none"/>
              </w:rPr>
            </w:pPr>
            <w:r>
              <w:rPr>
                <w:rFonts w:hint="eastAsia" w:ascii="宋体" w:hAnsi="宋体" w:cs="宋体"/>
                <w:b/>
                <w:color w:val="auto"/>
                <w:sz w:val="24"/>
                <w:highlight w:val="none"/>
              </w:rPr>
              <w:t>方案讲解演示</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408A37E6">
            <w:pPr>
              <w:adjustRightInd/>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w:t>
            </w:r>
          </w:p>
          <w:p w14:paraId="3DBFBB79">
            <w:pPr>
              <w:adjustRightInd/>
              <w:spacing w:line="360" w:lineRule="auto"/>
              <w:rPr>
                <w:color w:val="auto"/>
                <w:highlight w:val="none"/>
              </w:rPr>
            </w:pPr>
            <w:r>
              <w:rPr>
                <w:rFonts w:hint="eastAsia" w:ascii="宋体" w:hAnsi="宋体" w:cs="宋体"/>
                <w:color w:val="auto"/>
                <w:kern w:val="0"/>
                <w:sz w:val="24"/>
                <w:highlight w:val="none"/>
              </w:rPr>
              <w:t>☐B组织。</w:t>
            </w:r>
          </w:p>
          <w:p w14:paraId="7371457C">
            <w:pPr>
              <w:adjustRightInd/>
              <w:spacing w:line="360" w:lineRule="auto"/>
              <w:rPr>
                <w:rFonts w:hint="eastAsia" w:ascii="宋体" w:hAnsi="宋体" w:cs="宋体"/>
                <w:b/>
                <w:color w:val="auto"/>
                <w:kern w:val="0"/>
                <w:sz w:val="24"/>
                <w:highlight w:val="none"/>
                <w:lang w:val="zh-CN"/>
              </w:rPr>
            </w:pPr>
            <w:r>
              <w:rPr>
                <w:rFonts w:hint="eastAsia" w:ascii="宋体" w:hAnsi="宋体" w:cs="宋体"/>
                <w:b/>
                <w:bCs/>
                <w:color w:val="auto"/>
                <w:sz w:val="24"/>
                <w:highlight w:val="none"/>
                <w:lang w:val="en-US" w:eastAsia="zh-CN"/>
              </w:rPr>
              <w:t>未提供演示或提供演示内容不全或提供无效演示，则视为无效投标。</w:t>
            </w:r>
          </w:p>
        </w:tc>
      </w:tr>
      <w:tr w14:paraId="6F6A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61" w:hRule="atLeast"/>
          <w:tblHeader/>
        </w:trPr>
        <w:tc>
          <w:tcPr>
            <w:tcW w:w="629" w:type="dxa"/>
            <w:vMerge w:val="restart"/>
            <w:tcBorders>
              <w:top w:val="single" w:color="auto" w:sz="4" w:space="0"/>
              <w:left w:val="single" w:color="auto" w:sz="4" w:space="0"/>
              <w:right w:val="single" w:color="auto" w:sz="4" w:space="0"/>
            </w:tcBorders>
            <w:noWrap w:val="0"/>
            <w:vAlign w:val="center"/>
          </w:tcPr>
          <w:p w14:paraId="561275E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843" w:type="dxa"/>
            <w:vMerge w:val="restart"/>
            <w:tcBorders>
              <w:top w:val="single" w:color="000000" w:sz="8" w:space="0"/>
              <w:left w:val="single" w:color="auto" w:sz="4" w:space="0"/>
              <w:right w:val="single" w:color="000000" w:sz="8" w:space="0"/>
            </w:tcBorders>
            <w:noWrap w:val="0"/>
            <w:vAlign w:val="center"/>
          </w:tcPr>
          <w:p w14:paraId="0F99E59C">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投标人应当提供的资格、资信证明文件</w:t>
            </w:r>
          </w:p>
        </w:tc>
        <w:tc>
          <w:tcPr>
            <w:tcW w:w="6385" w:type="dxa"/>
            <w:tcBorders>
              <w:top w:val="single" w:color="000000" w:sz="8" w:space="0"/>
              <w:left w:val="single" w:color="000000" w:sz="2" w:space="0"/>
              <w:bottom w:val="single" w:color="auto" w:sz="4" w:space="0"/>
              <w:right w:val="single" w:color="000000" w:sz="8" w:space="0"/>
            </w:tcBorders>
            <w:noWrap w:val="0"/>
            <w:vAlign w:val="center"/>
          </w:tcPr>
          <w:p w14:paraId="2DF6322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（1）资格证明文件：见招标文件第二部分11.1。</w:t>
            </w:r>
          </w:p>
          <w:p w14:paraId="37AF4855">
            <w:pPr>
              <w:adjustRightInd/>
              <w:spacing w:line="360" w:lineRule="auto"/>
              <w:rPr>
                <w:rFonts w:hint="eastAsia" w:ascii="宋体" w:hAnsi="宋体" w:cs="宋体"/>
                <w:snapToGrid w:val="0"/>
                <w:color w:val="auto"/>
                <w:kern w:val="0"/>
                <w:sz w:val="24"/>
                <w:highlight w:val="none"/>
              </w:rPr>
            </w:pPr>
            <w:r>
              <w:rPr>
                <w:rFonts w:hint="eastAsia" w:ascii="宋体" w:hAnsi="宋体" w:cs="宋体"/>
                <w:color w:val="auto"/>
                <w:kern w:val="0"/>
                <w:sz w:val="24"/>
                <w:highlight w:val="none"/>
                <w:lang w:val="zh-CN"/>
              </w:rPr>
              <w:t>投标人未提供有效的资格证明文件的，视为投标人不具备招标文件中规定的资格要求，投标无效。</w:t>
            </w:r>
          </w:p>
        </w:tc>
      </w:tr>
      <w:tr w14:paraId="1DBBD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506" w:hRule="atLeast"/>
          <w:tblHeader/>
        </w:trPr>
        <w:tc>
          <w:tcPr>
            <w:tcW w:w="629" w:type="dxa"/>
            <w:vMerge w:val="continue"/>
            <w:tcBorders>
              <w:left w:val="single" w:color="auto" w:sz="4" w:space="0"/>
              <w:bottom w:val="single" w:color="auto" w:sz="4" w:space="0"/>
              <w:right w:val="single" w:color="auto" w:sz="4" w:space="0"/>
            </w:tcBorders>
            <w:noWrap w:val="0"/>
            <w:vAlign w:val="center"/>
          </w:tcPr>
          <w:p w14:paraId="016C0FA8">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000000" w:sz="8" w:space="0"/>
              <w:right w:val="single" w:color="000000" w:sz="8" w:space="0"/>
            </w:tcBorders>
            <w:noWrap w:val="0"/>
            <w:vAlign w:val="center"/>
          </w:tcPr>
          <w:p w14:paraId="6CF1C568">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000000" w:sz="2" w:space="0"/>
              <w:bottom w:val="single" w:color="000000" w:sz="8" w:space="0"/>
              <w:right w:val="single" w:color="000000" w:sz="8" w:space="0"/>
            </w:tcBorders>
            <w:noWrap w:val="0"/>
            <w:vAlign w:val="center"/>
          </w:tcPr>
          <w:p w14:paraId="1695F8A8">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（2）资信证明文件：根据招标文件第四部分评标标准提供。</w:t>
            </w:r>
          </w:p>
        </w:tc>
      </w:tr>
      <w:tr w14:paraId="732FA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686"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546E84C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noWrap w:val="0"/>
            <w:vAlign w:val="center"/>
          </w:tcPr>
          <w:p w14:paraId="7A8719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节能产品、环境标志产品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245F909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1A919B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876"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282467A5">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noWrap w:val="0"/>
            <w:vAlign w:val="center"/>
          </w:tcPr>
          <w:p w14:paraId="773B8C2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报价要求</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0D65BF9C">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zh-CN"/>
              </w:rPr>
              <w:t>有关本项目实施所需的所有费用均计入报价。</w:t>
            </w:r>
            <w:r>
              <w:rPr>
                <w:rFonts w:hint="eastAsia" w:ascii="宋体" w:hAnsi="宋体" w:cs="宋体"/>
                <w:b/>
                <w:bCs/>
                <w:color w:val="auto"/>
                <w:kern w:val="0"/>
                <w:sz w:val="24"/>
                <w:highlight w:val="none"/>
                <w:lang w:val="zh-CN"/>
              </w:rPr>
              <w:t>投标文件</w:t>
            </w:r>
            <w:r>
              <w:rPr>
                <w:rFonts w:hint="eastAsia" w:ascii="宋体" w:hAnsi="宋体" w:cs="宋体"/>
                <w:b/>
                <w:bCs/>
                <w:color w:val="auto"/>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auto"/>
                <w:kern w:val="0"/>
                <w:sz w:val="24"/>
                <w:highlight w:val="none"/>
                <w:lang w:val="zh-CN"/>
              </w:rPr>
              <w:t>投标文件中价格全部采用人民币报价。招标文件未列明，而投标人认为必需的费用也需列入报价。</w:t>
            </w:r>
          </w:p>
          <w:p w14:paraId="38E4A3C5">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投标报价出现下列情形的，投标无效：</w:t>
            </w:r>
          </w:p>
          <w:p w14:paraId="44CF4B6F">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1）</w:t>
            </w:r>
            <w:r>
              <w:rPr>
                <w:rFonts w:hint="eastAsia" w:ascii="宋体" w:hAnsi="宋体" w:cs="宋体"/>
                <w:b/>
                <w:color w:val="auto"/>
                <w:kern w:val="0"/>
                <w:sz w:val="24"/>
                <w:highlight w:val="none"/>
                <w:lang w:val="zh-CN"/>
              </w:rPr>
              <w:t>投标文件出现不是唯一的、有选择性投标报价的；</w:t>
            </w:r>
          </w:p>
          <w:p w14:paraId="456AE013">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投标报价超过招标文件中规定的预算金额或者最高限价的；</w:t>
            </w:r>
          </w:p>
          <w:p w14:paraId="0129A885">
            <w:pPr>
              <w:adjustRightInd/>
              <w:spacing w:line="360" w:lineRule="auto"/>
              <w:jc w:val="left"/>
              <w:rPr>
                <w:rFonts w:hint="eastAsia" w:ascii="宋体" w:hAnsi="宋体" w:cs="宋体"/>
                <w:b/>
                <w:color w:val="auto"/>
                <w:kern w:val="0"/>
                <w:sz w:val="24"/>
                <w:highlight w:val="none"/>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3）</w:t>
            </w:r>
            <w:r>
              <w:rPr>
                <w:rFonts w:hint="eastAsia" w:ascii="宋体" w:hAnsi="宋体" w:cs="宋体"/>
                <w:b/>
                <w:color w:val="auto"/>
                <w:kern w:val="0"/>
                <w:sz w:val="24"/>
                <w:highlight w:val="none"/>
                <w:lang w:val="zh-CN"/>
              </w:rPr>
              <w:t>投标人对根据修正原则修正后的报价不确认的。</w:t>
            </w:r>
          </w:p>
        </w:tc>
      </w:tr>
      <w:tr w14:paraId="535A5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094" w:hRule="atLeast"/>
          <w:tblHeader/>
        </w:trPr>
        <w:tc>
          <w:tcPr>
            <w:tcW w:w="629" w:type="dxa"/>
            <w:tcBorders>
              <w:top w:val="single" w:color="auto" w:sz="4" w:space="0"/>
              <w:left w:val="single" w:color="000000" w:sz="8" w:space="0"/>
              <w:right w:val="single" w:color="000000" w:sz="2" w:space="0"/>
            </w:tcBorders>
            <w:noWrap w:val="0"/>
            <w:vAlign w:val="center"/>
          </w:tcPr>
          <w:p w14:paraId="25308E67">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843" w:type="dxa"/>
            <w:tcBorders>
              <w:top w:val="single" w:color="000000" w:sz="8" w:space="0"/>
              <w:left w:val="single" w:color="000000" w:sz="2" w:space="0"/>
              <w:right w:val="single" w:color="000000" w:sz="8" w:space="0"/>
            </w:tcBorders>
            <w:noWrap w:val="0"/>
            <w:vAlign w:val="center"/>
          </w:tcPr>
          <w:p w14:paraId="2F2654B0">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中小企业信用融资</w:t>
            </w:r>
          </w:p>
        </w:tc>
        <w:tc>
          <w:tcPr>
            <w:tcW w:w="6385" w:type="dxa"/>
            <w:tcBorders>
              <w:top w:val="single" w:color="000000" w:sz="8" w:space="0"/>
              <w:left w:val="single" w:color="000000" w:sz="2" w:space="0"/>
              <w:right w:val="single" w:color="000000" w:sz="8" w:space="0"/>
            </w:tcBorders>
            <w:noWrap w:val="0"/>
            <w:vAlign w:val="center"/>
          </w:tcPr>
          <w:p w14:paraId="2E5D5FD2">
            <w:pPr>
              <w:adjustRightInd/>
              <w:spacing w:line="360" w:lineRule="auto"/>
              <w:rPr>
                <w:rFonts w:hint="eastAsia" w:ascii="宋体" w:hAnsi="宋体" w:cs="宋体"/>
                <w:color w:val="auto"/>
                <w:sz w:val="24"/>
                <w:highlight w:val="none"/>
              </w:rPr>
            </w:pPr>
            <w:r>
              <w:rPr>
                <w:rFonts w:hint="eastAsia" w:ascii="宋体" w:hAnsi="宋体" w:cs="宋体"/>
                <w:snapToGrid w:val="0"/>
                <w:color w:val="auto"/>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35B105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48"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4A4F677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noWrap w:val="0"/>
            <w:vAlign w:val="center"/>
          </w:tcPr>
          <w:p w14:paraId="77E10F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备份投标文件送达地点和签收人员</w:t>
            </w:r>
          </w:p>
        </w:tc>
        <w:tc>
          <w:tcPr>
            <w:tcW w:w="6385" w:type="dxa"/>
            <w:tcBorders>
              <w:top w:val="single" w:color="000000" w:sz="8" w:space="0"/>
              <w:left w:val="single" w:color="000000" w:sz="2" w:space="0"/>
              <w:bottom w:val="single" w:color="auto" w:sz="4" w:space="0"/>
              <w:right w:val="single" w:color="000000" w:sz="8" w:space="0"/>
            </w:tcBorders>
            <w:noWrap w:val="0"/>
            <w:vAlign w:val="center"/>
          </w:tcPr>
          <w:p w14:paraId="27EF9EF2">
            <w:pPr>
              <w:pStyle w:val="2"/>
              <w:adjustRightInd/>
              <w:spacing w:line="360" w:lineRule="auto"/>
              <w:rPr>
                <w:rFonts w:hint="eastAsia" w:hAnsi="宋体" w:cs="宋体"/>
                <w:color w:val="auto"/>
                <w:kern w:val="28"/>
                <w:sz w:val="24"/>
                <w:szCs w:val="24"/>
                <w:highlight w:val="none"/>
              </w:rPr>
            </w:pPr>
            <w:r>
              <w:rPr>
                <w:rFonts w:hint="eastAsia" w:hAnsi="宋体" w:cs="宋体"/>
                <w:color w:val="auto"/>
                <w:kern w:val="28"/>
                <w:sz w:val="24"/>
                <w:szCs w:val="24"/>
                <w:highlight w:val="none"/>
              </w:rPr>
              <w:t>备份投标文件送达地点：</w:t>
            </w:r>
            <w:r>
              <w:rPr>
                <w:rFonts w:hint="eastAsia" w:hAnsi="宋体" w:cs="宋体"/>
                <w:color w:val="auto"/>
                <w:sz w:val="24"/>
                <w:szCs w:val="24"/>
                <w:highlight w:val="none"/>
                <w:u w:val="single"/>
              </w:rPr>
              <w:t>杭州市西湖区天目山路7号1号楼裙楼301室 ；</w:t>
            </w:r>
            <w:r>
              <w:rPr>
                <w:rFonts w:hint="eastAsia" w:hAnsi="宋体" w:cs="宋体"/>
                <w:color w:val="auto"/>
                <w:sz w:val="24"/>
                <w:szCs w:val="24"/>
                <w:highlight w:val="none"/>
                <w:u w:val="none"/>
              </w:rPr>
              <w:t>备份投标文件签收人员联系电话：</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方</w:t>
            </w:r>
            <w:r>
              <w:rPr>
                <w:rFonts w:hint="eastAsia" w:hAnsi="宋体" w:cs="宋体"/>
                <w:color w:val="auto"/>
                <w:sz w:val="24"/>
                <w:szCs w:val="24"/>
                <w:highlight w:val="none"/>
                <w:u w:val="single"/>
              </w:rPr>
              <w:t>工，1</w:t>
            </w:r>
            <w:r>
              <w:rPr>
                <w:rFonts w:hint="eastAsia" w:hAnsi="宋体" w:cs="宋体"/>
                <w:color w:val="auto"/>
                <w:sz w:val="24"/>
                <w:szCs w:val="24"/>
                <w:highlight w:val="none"/>
                <w:u w:val="single"/>
                <w:lang w:val="en-US" w:eastAsia="zh-CN"/>
              </w:rPr>
              <w:t>8258914900</w:t>
            </w:r>
            <w:r>
              <w:rPr>
                <w:rFonts w:hint="eastAsia" w:hAnsi="宋体" w:cs="宋体"/>
                <w:color w:val="auto"/>
                <w:sz w:val="24"/>
                <w:szCs w:val="24"/>
                <w:highlight w:val="none"/>
              </w:rPr>
              <w:t>。</w:t>
            </w:r>
            <w:r>
              <w:rPr>
                <w:rFonts w:hint="eastAsia" w:hAnsi="宋体" w:cs="宋体"/>
                <w:b/>
                <w:color w:val="auto"/>
                <w:sz w:val="24"/>
                <w:szCs w:val="24"/>
                <w:highlight w:val="none"/>
              </w:rPr>
              <w:t>采购人、采购代理机构不强制或变相强制投标人提交备份投标文件。</w:t>
            </w:r>
          </w:p>
        </w:tc>
      </w:tr>
      <w:tr w14:paraId="6BD5C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46" w:hRule="atLeast"/>
          <w:tblHeader/>
        </w:trPr>
        <w:tc>
          <w:tcPr>
            <w:tcW w:w="629" w:type="dxa"/>
            <w:vMerge w:val="restart"/>
            <w:tcBorders>
              <w:top w:val="single" w:color="auto" w:sz="4" w:space="0"/>
              <w:left w:val="single" w:color="auto" w:sz="4" w:space="0"/>
              <w:right w:val="single" w:color="auto" w:sz="4" w:space="0"/>
            </w:tcBorders>
            <w:noWrap w:val="0"/>
            <w:vAlign w:val="center"/>
          </w:tcPr>
          <w:p w14:paraId="619A3E9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1843" w:type="dxa"/>
            <w:vMerge w:val="restart"/>
            <w:tcBorders>
              <w:top w:val="single" w:color="auto" w:sz="4" w:space="0"/>
              <w:left w:val="single" w:color="auto" w:sz="4" w:space="0"/>
              <w:right w:val="single" w:color="auto" w:sz="4" w:space="0"/>
            </w:tcBorders>
            <w:noWrap w:val="0"/>
            <w:vAlign w:val="center"/>
          </w:tcPr>
          <w:p w14:paraId="58A0932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特别说明</w:t>
            </w:r>
          </w:p>
        </w:tc>
        <w:tc>
          <w:tcPr>
            <w:tcW w:w="6385" w:type="dxa"/>
            <w:tcBorders>
              <w:top w:val="single" w:color="auto" w:sz="4" w:space="0"/>
              <w:left w:val="single" w:color="auto" w:sz="4" w:space="0"/>
              <w:bottom w:val="single" w:color="auto" w:sz="4" w:space="0"/>
              <w:right w:val="single" w:color="auto" w:sz="4" w:space="0"/>
            </w:tcBorders>
            <w:noWrap w:val="0"/>
            <w:vAlign w:val="center"/>
          </w:tcPr>
          <w:p w14:paraId="3238B290">
            <w:pPr>
              <w:adjustRightInd/>
              <w:spacing w:line="360" w:lineRule="auto"/>
              <w:rPr>
                <w:rFonts w:hint="eastAsia"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106EE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vMerge w:val="continue"/>
            <w:tcBorders>
              <w:left w:val="single" w:color="auto" w:sz="4" w:space="0"/>
              <w:right w:val="single" w:color="auto" w:sz="4" w:space="0"/>
            </w:tcBorders>
            <w:noWrap w:val="0"/>
            <w:vAlign w:val="center"/>
          </w:tcPr>
          <w:p w14:paraId="7A02DFFB">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right w:val="single" w:color="auto" w:sz="4" w:space="0"/>
            </w:tcBorders>
            <w:noWrap w:val="0"/>
            <w:vAlign w:val="center"/>
          </w:tcPr>
          <w:p w14:paraId="355EFDB2">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noWrap w:val="0"/>
            <w:vAlign w:val="center"/>
          </w:tcPr>
          <w:p w14:paraId="1D11BB7A">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t>☐</w:t>
            </w:r>
            <w:r>
              <w:rPr>
                <w:rFonts w:hint="eastAsia" w:ascii="宋体" w:hAnsi="宋体" w:cs="宋体"/>
                <w:snapToGrid w:val="0"/>
                <w:color w:val="auto"/>
                <w:kern w:val="28"/>
                <w:sz w:val="24"/>
                <w:highlight w:val="none"/>
              </w:rPr>
              <w:t>联合体投标的，联合体各方均需按招标文件第四部分评标标准要求提供资信证明文件，否则视为不符合相关要求。</w:t>
            </w:r>
          </w:p>
          <w:p w14:paraId="3D5C2050">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sym w:font="Wingdings" w:char="F0FE"/>
            </w:r>
            <w:r>
              <w:rPr>
                <w:rFonts w:hint="eastAsia" w:ascii="宋体" w:hAnsi="宋体" w:cs="宋体"/>
                <w:snapToGrid w:val="0"/>
                <w:color w:val="auto"/>
                <w:kern w:val="28"/>
                <w:sz w:val="24"/>
                <w:highlight w:val="none"/>
              </w:rPr>
              <w:t>联合体投标的，联合体中有一方或者联合体成员根据分工按招标文件第四部分评标标准要求提供资信证明文件的，视为符合了相关要求。</w:t>
            </w:r>
          </w:p>
        </w:tc>
      </w:tr>
      <w:tr w14:paraId="5F00B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vMerge w:val="continue"/>
            <w:tcBorders>
              <w:left w:val="single" w:color="auto" w:sz="4" w:space="0"/>
              <w:bottom w:val="single" w:color="auto" w:sz="4" w:space="0"/>
              <w:right w:val="single" w:color="auto" w:sz="4" w:space="0"/>
            </w:tcBorders>
            <w:noWrap w:val="0"/>
            <w:vAlign w:val="center"/>
          </w:tcPr>
          <w:p w14:paraId="388D4C1F">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auto" w:sz="4" w:space="0"/>
              <w:right w:val="single" w:color="auto" w:sz="4" w:space="0"/>
            </w:tcBorders>
            <w:noWrap w:val="0"/>
            <w:vAlign w:val="center"/>
          </w:tcPr>
          <w:p w14:paraId="24B33BE6">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noWrap w:val="0"/>
            <w:vAlign w:val="center"/>
          </w:tcPr>
          <w:p w14:paraId="78D09956">
            <w:pPr>
              <w:pStyle w:val="39"/>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违约责任</w:t>
            </w:r>
          </w:p>
          <w:p w14:paraId="359337E9">
            <w:pPr>
              <w:pStyle w:val="39"/>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中标供应商具有不按合同要求供货、货物非经采购人委托并由中标供应商专项办理进口审批手续、单方面不履行合同义务等违约行为的，中标供应商除退还采购人已付中标供应商或进口代理机构的全部款项外，还应向采购人支付合同总价款20%的违约金。</w:t>
            </w:r>
          </w:p>
          <w:p w14:paraId="780A13A7">
            <w:pPr>
              <w:pStyle w:val="39"/>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除本合同另有约定的外，中标供应商逾期履行合同义务的，自逾期之日起，向采购人偿付合同总价款万分之五每日的违约金。</w:t>
            </w:r>
          </w:p>
          <w:p w14:paraId="47F96FD0">
            <w:pPr>
              <w:pStyle w:val="39"/>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采购人逾期支付价款的，自逾期之日起，向中标供应商偿付逾期金额万分之五每日的违约金。</w:t>
            </w:r>
          </w:p>
          <w:p w14:paraId="689956CB">
            <w:pPr>
              <w:pStyle w:val="39"/>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如货物验收不能达到质量或功能（性能）标准的，中标供应商应于验收后一周内运离采购人安装地点，所需费用由中标供应商承担。如中标供应商在一个月内不处理（运离）货物的，视为中标供应商放弃其所有权，采购人有权自行处置（包括作废物处理）。同时，中标供应商除退还采购人已付合同价款外，还应向采购人支付合同总价款20%的违约金。</w:t>
            </w:r>
          </w:p>
          <w:p w14:paraId="370A45B9">
            <w:pPr>
              <w:adjustRightInd/>
              <w:spacing w:line="360" w:lineRule="auto"/>
              <w:rPr>
                <w:rFonts w:hint="eastAsia" w:ascii="宋体" w:hAnsi="宋体" w:cs="宋体"/>
                <w:color w:val="auto"/>
                <w:kern w:val="0"/>
                <w:sz w:val="24"/>
                <w:highlight w:val="none"/>
              </w:rPr>
            </w:pPr>
            <w:r>
              <w:rPr>
                <w:rFonts w:hint="eastAsia" w:ascii="宋体" w:hAnsi="宋体" w:cs="宋体"/>
                <w:bCs/>
                <w:color w:val="auto"/>
                <w:sz w:val="24"/>
                <w:highlight w:val="none"/>
              </w:rPr>
              <w:t>中标供应商交付的货物品种、型号、规格、技术参数、质量不符合合同规定或采购文件规定标准的，采购人有权拒收或随时退还该货物，中标供应商愿意更换货物但逾期交货的，按中标供应商逾期交货处理。中标供应商拒绝更换货物的，采购人可单方面解除合同，要求中标供应商退还已收合同价款并支付合同总价款20%的违约金，同时没收中标供应商的履约保证金。</w:t>
            </w:r>
          </w:p>
        </w:tc>
      </w:tr>
      <w:tr w14:paraId="17B76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09F687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5D9B34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招标代理服务费</w:t>
            </w:r>
          </w:p>
        </w:tc>
        <w:tc>
          <w:tcPr>
            <w:tcW w:w="6385" w:type="dxa"/>
            <w:tcBorders>
              <w:top w:val="single" w:color="auto" w:sz="4" w:space="0"/>
              <w:left w:val="single" w:color="auto" w:sz="4" w:space="0"/>
              <w:bottom w:val="single" w:color="auto" w:sz="4" w:space="0"/>
              <w:right w:val="single" w:color="auto" w:sz="4" w:space="0"/>
            </w:tcBorders>
            <w:noWrap w:val="0"/>
            <w:vAlign w:val="center"/>
          </w:tcPr>
          <w:p w14:paraId="01676D4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本项目采购代理服务费由中标供应商直接向采购代理机构支付，中标供应商应在收到中标通知书后7天内向采购代理机构支付，具体以中标金额为计费基数，采购代理服务费按《招标代理服务收费管理暂行办法》计价格[2002]1980 号文件的收费标准×</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%。对于未明确中标（成交）金额的采购项目和代理服务费不足</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000元的项目，代理服务费均按</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000元计收取。</w:t>
            </w:r>
          </w:p>
          <w:p w14:paraId="4D3E9FF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2.采购代理服务费以电汇方式支付。</w:t>
            </w:r>
          </w:p>
          <w:p w14:paraId="363A9044">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3.服务费缴纳账号：</w:t>
            </w:r>
          </w:p>
          <w:p w14:paraId="7C4357B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户名：浙江致信招标代理有限公司嘉兴分公司</w:t>
            </w:r>
          </w:p>
          <w:p w14:paraId="42EC237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账号：3301041060004497230</w:t>
            </w:r>
          </w:p>
          <w:p w14:paraId="62EB15E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开户行：杭州银行股份有限公司四季青支行</w:t>
            </w:r>
          </w:p>
        </w:tc>
      </w:tr>
      <w:bookmarkEnd w:id="10"/>
      <w:tr w14:paraId="3B5C3B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94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BABE4E0">
            <w:pPr>
              <w:pStyle w:val="40"/>
              <w:spacing w:line="360" w:lineRule="auto"/>
              <w:jc w:val="center"/>
              <w:rPr>
                <w:rFonts w:hint="eastAsia" w:ascii="宋体" w:hAnsi="宋体" w:eastAsia="宋体" w:cs="宋体"/>
                <w:color w:val="auto"/>
                <w:sz w:val="24"/>
                <w:szCs w:val="24"/>
                <w:highlight w:val="none"/>
              </w:rPr>
            </w:pPr>
            <w:bookmarkStart w:id="13" w:name="第三部分"/>
            <w:bookmarkStart w:id="14" w:name="_Toc164416483"/>
            <w:r>
              <w:rPr>
                <w:rStyle w:val="41"/>
                <w:rFonts w:hint="eastAsia" w:ascii="宋体" w:hAnsi="宋体" w:eastAsia="宋体" w:cs="宋体"/>
                <w:color w:val="auto"/>
                <w:sz w:val="24"/>
                <w:szCs w:val="24"/>
                <w:highlight w:val="none"/>
              </w:rPr>
              <w:t>15</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9B45C29">
            <w:pPr>
              <w:pStyle w:val="40"/>
              <w:spacing w:line="360" w:lineRule="auto"/>
              <w:jc w:val="center"/>
              <w:rPr>
                <w:rFonts w:hint="eastAsia" w:ascii="宋体" w:hAnsi="宋体" w:eastAsia="宋体" w:cs="宋体"/>
                <w:b/>
                <w:bCs/>
                <w:color w:val="auto"/>
                <w:sz w:val="24"/>
                <w:szCs w:val="24"/>
                <w:highlight w:val="none"/>
              </w:rPr>
            </w:pPr>
            <w:r>
              <w:rPr>
                <w:rStyle w:val="41"/>
                <w:rFonts w:hint="eastAsia" w:ascii="宋体" w:hAnsi="宋体" w:eastAsia="宋体" w:cs="宋体"/>
                <w:b/>
                <w:bCs/>
                <w:color w:val="auto"/>
                <w:sz w:val="24"/>
                <w:szCs w:val="24"/>
                <w:highlight w:val="none"/>
                <w:lang w:val="zh-TW" w:eastAsia="zh-TW"/>
              </w:rPr>
              <w:t>其它说明</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E120370">
            <w:pPr>
              <w:adjustRightInd/>
              <w:spacing w:line="360" w:lineRule="auto"/>
              <w:jc w:val="left"/>
              <w:rPr>
                <w:rFonts w:hint="eastAsia" w:ascii="宋体" w:hAnsi="宋体" w:cs="宋体"/>
                <w:color w:val="auto"/>
                <w:sz w:val="24"/>
                <w:highlight w:val="none"/>
                <w:lang w:val="zh-TW" w:eastAsia="zh-TW"/>
              </w:rPr>
            </w:pPr>
            <w:r>
              <w:rPr>
                <w:rFonts w:hint="eastAsia" w:ascii="宋体" w:hAnsi="宋体" w:cs="宋体"/>
                <w:color w:val="auto"/>
                <w:sz w:val="24"/>
                <w:highlight w:val="none"/>
                <w:lang w:val="zh-TW" w:eastAsia="zh-TW"/>
              </w:rPr>
              <w:t>▲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等情形的，其响应文件无效</w:t>
            </w:r>
          </w:p>
        </w:tc>
      </w:tr>
      <w:tr w14:paraId="6F8B62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025"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F6D3D3F">
            <w:pPr>
              <w:pStyle w:val="40"/>
              <w:spacing w:line="360" w:lineRule="auto"/>
              <w:jc w:val="center"/>
              <w:rPr>
                <w:rFonts w:hint="eastAsia" w:ascii="宋体" w:hAnsi="宋体" w:eastAsia="宋体" w:cs="宋体"/>
                <w:color w:val="auto"/>
                <w:sz w:val="24"/>
                <w:szCs w:val="24"/>
                <w:highlight w:val="none"/>
              </w:rPr>
            </w:pPr>
            <w:r>
              <w:rPr>
                <w:rStyle w:val="41"/>
                <w:rFonts w:hint="eastAsia" w:ascii="宋体" w:hAnsi="宋体" w:eastAsia="宋体" w:cs="宋体"/>
                <w:color w:val="auto"/>
                <w:sz w:val="24"/>
                <w:szCs w:val="24"/>
                <w:highlight w:val="none"/>
              </w:rPr>
              <w:t>16</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18AF81D">
            <w:pPr>
              <w:pStyle w:val="40"/>
              <w:spacing w:line="360" w:lineRule="auto"/>
              <w:jc w:val="center"/>
              <w:rPr>
                <w:rFonts w:hint="eastAsia" w:ascii="宋体" w:hAnsi="宋体" w:eastAsia="宋体" w:cs="宋体"/>
                <w:b/>
                <w:bCs/>
                <w:color w:val="auto"/>
                <w:sz w:val="24"/>
                <w:szCs w:val="24"/>
                <w:highlight w:val="none"/>
              </w:rPr>
            </w:pPr>
            <w:r>
              <w:rPr>
                <w:rStyle w:val="41"/>
                <w:rFonts w:hint="eastAsia" w:ascii="宋体" w:hAnsi="宋体" w:eastAsia="宋体" w:cs="宋体"/>
                <w:b/>
                <w:bCs/>
                <w:color w:val="auto"/>
                <w:sz w:val="24"/>
                <w:szCs w:val="24"/>
                <w:highlight w:val="none"/>
              </w:rPr>
              <w:t>客观分材料核查要求</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FAE39C8">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tc>
      </w:tr>
      <w:tr w14:paraId="048ACE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C57D264">
            <w:pPr>
              <w:pStyle w:val="40"/>
              <w:spacing w:line="360" w:lineRule="auto"/>
              <w:jc w:val="center"/>
              <w:rPr>
                <w:rStyle w:val="41"/>
                <w:rFonts w:hint="eastAsia" w:ascii="宋体" w:hAnsi="宋体" w:eastAsia="宋体" w:cs="宋体"/>
                <w:color w:val="auto"/>
                <w:sz w:val="24"/>
                <w:szCs w:val="24"/>
                <w:highlight w:val="none"/>
                <w:lang w:eastAsia="zh-CN"/>
              </w:rPr>
            </w:pPr>
            <w:r>
              <w:rPr>
                <w:rStyle w:val="41"/>
                <w:rFonts w:hint="eastAsia" w:ascii="宋体" w:hAnsi="宋体" w:eastAsia="宋体" w:cs="宋体"/>
                <w:color w:val="auto"/>
                <w:sz w:val="24"/>
                <w:szCs w:val="24"/>
                <w:highlight w:val="none"/>
              </w:rPr>
              <w:t>1</w:t>
            </w:r>
            <w:r>
              <w:rPr>
                <w:rStyle w:val="41"/>
                <w:rFonts w:hint="eastAsia" w:ascii="宋体" w:hAnsi="宋体" w:eastAsia="宋体" w:cs="宋体"/>
                <w:color w:val="auto"/>
                <w:sz w:val="24"/>
                <w:szCs w:val="24"/>
                <w:highlight w:val="none"/>
                <w:lang w:val="en-US" w:eastAsia="zh-CN"/>
              </w:rPr>
              <w:t>7</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96AC952">
            <w:pPr>
              <w:pStyle w:val="40"/>
              <w:spacing w:line="360" w:lineRule="auto"/>
              <w:jc w:val="center"/>
              <w:rPr>
                <w:rStyle w:val="41"/>
                <w:rFonts w:hint="eastAsia" w:ascii="宋体" w:hAnsi="宋体" w:eastAsia="宋体" w:cs="宋体"/>
                <w:b/>
                <w:bCs/>
                <w:color w:val="auto"/>
                <w:sz w:val="24"/>
                <w:szCs w:val="24"/>
                <w:highlight w:val="none"/>
              </w:rPr>
            </w:pPr>
            <w:r>
              <w:rPr>
                <w:rStyle w:val="41"/>
                <w:rFonts w:hint="eastAsia" w:ascii="宋体" w:hAnsi="宋体" w:eastAsia="宋体" w:cs="宋体"/>
                <w:b/>
                <w:bCs/>
                <w:color w:val="auto"/>
                <w:sz w:val="24"/>
                <w:szCs w:val="24"/>
                <w:highlight w:val="none"/>
              </w:rPr>
              <w:t>履约保证金</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97CBB08">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lang w:val="zh-TW" w:eastAsia="zh-TW"/>
              </w:rPr>
              <w:t>1</w:t>
            </w:r>
            <w:r>
              <w:rPr>
                <w:rStyle w:val="41"/>
                <w:rFonts w:hint="eastAsia" w:ascii="宋体" w:hAnsi="宋体" w:eastAsia="宋体" w:cs="宋体"/>
                <w:color w:val="auto"/>
                <w:kern w:val="0"/>
                <w:sz w:val="24"/>
                <w:szCs w:val="24"/>
                <w:highlight w:val="none"/>
              </w:rPr>
              <w:t>.</w:t>
            </w:r>
            <w:r>
              <w:rPr>
                <w:rStyle w:val="41"/>
                <w:rFonts w:hint="eastAsia" w:ascii="宋体" w:hAnsi="宋体" w:eastAsia="宋体" w:cs="宋体"/>
                <w:color w:val="auto"/>
                <w:kern w:val="0"/>
                <w:sz w:val="24"/>
                <w:szCs w:val="24"/>
                <w:highlight w:val="none"/>
                <w:lang w:val="zh-TW" w:eastAsia="zh-TW"/>
              </w:rPr>
              <w:t>列入不良行为记录名单的供应商须缴纳履约保证金，金额要求为:合同金额的10%</w:t>
            </w:r>
          </w:p>
          <w:p w14:paraId="3F9D50E3">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lang w:val="zh-TW" w:eastAsia="zh-TW"/>
              </w:rPr>
              <w:t>2</w:t>
            </w:r>
            <w:r>
              <w:rPr>
                <w:rStyle w:val="41"/>
                <w:rFonts w:hint="eastAsia" w:ascii="宋体" w:hAnsi="宋体" w:eastAsia="宋体" w:cs="宋体"/>
                <w:color w:val="auto"/>
                <w:kern w:val="0"/>
                <w:sz w:val="24"/>
                <w:szCs w:val="24"/>
                <w:highlight w:val="none"/>
              </w:rPr>
              <w:t>.</w:t>
            </w:r>
            <w:r>
              <w:rPr>
                <w:rStyle w:val="41"/>
                <w:rFonts w:hint="eastAsia" w:ascii="宋体" w:hAnsi="宋体" w:eastAsia="宋体" w:cs="宋体"/>
                <w:color w:val="auto"/>
                <w:kern w:val="0"/>
                <w:sz w:val="24"/>
                <w:szCs w:val="24"/>
                <w:highlight w:val="none"/>
                <w:lang w:val="zh-TW" w:eastAsia="zh-TW"/>
              </w:rPr>
              <w:t>未列入不良行为记录名单的供应商:</w:t>
            </w:r>
          </w:p>
          <w:p w14:paraId="20CC1118">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rPr>
              <w:t>□</w:t>
            </w:r>
            <w:r>
              <w:rPr>
                <w:rStyle w:val="41"/>
                <w:rFonts w:hint="eastAsia" w:ascii="宋体" w:hAnsi="宋体" w:eastAsia="宋体" w:cs="宋体"/>
                <w:color w:val="auto"/>
                <w:kern w:val="0"/>
                <w:sz w:val="24"/>
                <w:szCs w:val="24"/>
                <w:highlight w:val="none"/>
                <w:lang w:val="zh-TW" w:eastAsia="zh-TW"/>
              </w:rPr>
              <w:t>不要求缴纳履约保证金。</w:t>
            </w:r>
          </w:p>
          <w:p w14:paraId="06FC63F3">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rPr>
              <w:t>☑</w:t>
            </w:r>
            <w:r>
              <w:rPr>
                <w:rStyle w:val="41"/>
                <w:rFonts w:hint="eastAsia" w:ascii="宋体" w:hAnsi="宋体" w:eastAsia="宋体" w:cs="宋体"/>
                <w:color w:val="auto"/>
                <w:kern w:val="0"/>
                <w:sz w:val="24"/>
                <w:szCs w:val="24"/>
                <w:highlight w:val="none"/>
                <w:lang w:val="zh-TW" w:eastAsia="zh-TW"/>
              </w:rPr>
              <w:t>要求缴纳履约保证金履约保证金金额:合同金额的1%</w:t>
            </w:r>
          </w:p>
          <w:p w14:paraId="5BFD5AD8">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rPr>
              <w:t>3.</w:t>
            </w:r>
            <w:r>
              <w:rPr>
                <w:rStyle w:val="41"/>
                <w:rFonts w:hint="eastAsia" w:ascii="宋体" w:hAnsi="宋体" w:eastAsia="宋体" w:cs="宋体"/>
                <w:color w:val="auto"/>
                <w:kern w:val="0"/>
                <w:sz w:val="24"/>
                <w:szCs w:val="24"/>
                <w:highlight w:val="none"/>
                <w:lang w:val="zh-TW" w:eastAsia="zh-TW"/>
              </w:rPr>
              <w:t>履约保证金缴纳形式:支票/汇票/电汇/保函等非现金形式</w:t>
            </w:r>
          </w:p>
          <w:p w14:paraId="320807C5">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rPr>
              <w:t>4.</w:t>
            </w:r>
            <w:r>
              <w:rPr>
                <w:rStyle w:val="41"/>
                <w:rFonts w:hint="eastAsia" w:ascii="宋体" w:hAnsi="宋体" w:eastAsia="宋体" w:cs="宋体"/>
                <w:color w:val="auto"/>
                <w:kern w:val="0"/>
                <w:sz w:val="24"/>
                <w:szCs w:val="24"/>
                <w:highlight w:val="none"/>
                <w:lang w:val="zh-TW" w:eastAsia="zh-TW"/>
              </w:rPr>
              <w:t>履约保证金接收人:采购人</w:t>
            </w:r>
          </w:p>
          <w:p w14:paraId="1780273E">
            <w:pPr>
              <w:pStyle w:val="40"/>
              <w:spacing w:line="360" w:lineRule="auto"/>
              <w:rPr>
                <w:rStyle w:val="41"/>
                <w:rFonts w:hint="eastAsia" w:ascii="宋体" w:hAnsi="宋体" w:eastAsia="宋体" w:cs="宋体"/>
                <w:color w:val="auto"/>
                <w:kern w:val="0"/>
                <w:sz w:val="24"/>
                <w:szCs w:val="24"/>
                <w:highlight w:val="none"/>
                <w:lang w:val="zh-TW" w:eastAsia="zh-TW"/>
              </w:rPr>
            </w:pPr>
            <w:r>
              <w:rPr>
                <w:rStyle w:val="41"/>
                <w:rFonts w:hint="eastAsia" w:ascii="宋体" w:hAnsi="宋体" w:eastAsia="宋体" w:cs="宋体"/>
                <w:color w:val="auto"/>
                <w:kern w:val="0"/>
                <w:sz w:val="24"/>
                <w:szCs w:val="24"/>
                <w:highlight w:val="none"/>
              </w:rPr>
              <w:t>5.</w:t>
            </w:r>
            <w:r>
              <w:rPr>
                <w:rStyle w:val="41"/>
                <w:rFonts w:hint="eastAsia" w:ascii="宋体" w:hAnsi="宋体" w:eastAsia="宋体" w:cs="宋体"/>
                <w:color w:val="auto"/>
                <w:kern w:val="0"/>
                <w:sz w:val="24"/>
                <w:szCs w:val="24"/>
                <w:highlight w:val="none"/>
                <w:lang w:val="zh-TW" w:eastAsia="zh-TW"/>
              </w:rPr>
              <w:t>履约保证金有效期限:本合同签订后</w:t>
            </w:r>
            <w:r>
              <w:rPr>
                <w:rStyle w:val="41"/>
                <w:rFonts w:hint="eastAsia" w:ascii="宋体" w:hAnsi="宋体" w:eastAsia="宋体" w:cs="宋体"/>
                <w:color w:val="auto"/>
                <w:kern w:val="0"/>
                <w:sz w:val="24"/>
                <w:szCs w:val="24"/>
                <w:highlight w:val="none"/>
                <w:lang w:val="en-US" w:eastAsia="zh-CN"/>
              </w:rPr>
              <w:t>五</w:t>
            </w:r>
            <w:r>
              <w:rPr>
                <w:rStyle w:val="41"/>
                <w:rFonts w:hint="eastAsia" w:ascii="宋体" w:hAnsi="宋体" w:eastAsia="宋体" w:cs="宋体"/>
                <w:color w:val="auto"/>
                <w:kern w:val="0"/>
                <w:sz w:val="24"/>
                <w:szCs w:val="24"/>
                <w:highlight w:val="none"/>
                <w:lang w:val="zh-TW" w:eastAsia="zh-TW"/>
              </w:rPr>
              <w:t>个工作日内由中标供应商支付给采购人，项目验收合格后，由采购人无息退回中标供应商(遇寒暑假及国定假日顺延)。</w:t>
            </w:r>
          </w:p>
        </w:tc>
      </w:tr>
      <w:tr w14:paraId="3257A5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7428615">
            <w:pPr>
              <w:pStyle w:val="40"/>
              <w:spacing w:line="360" w:lineRule="auto"/>
              <w:jc w:val="center"/>
              <w:rPr>
                <w:rStyle w:val="41"/>
                <w:rFonts w:hint="default" w:ascii="宋体" w:hAnsi="宋体" w:eastAsia="宋体" w:cs="宋体"/>
                <w:color w:val="auto"/>
                <w:sz w:val="24"/>
                <w:szCs w:val="24"/>
                <w:highlight w:val="none"/>
                <w:lang w:val="en-US" w:eastAsia="zh-CN"/>
              </w:rPr>
            </w:pPr>
            <w:r>
              <w:rPr>
                <w:rStyle w:val="41"/>
                <w:rFonts w:hint="eastAsia" w:ascii="宋体" w:hAnsi="宋体" w:eastAsia="宋体" w:cs="宋体"/>
                <w:color w:val="auto"/>
                <w:sz w:val="24"/>
                <w:szCs w:val="24"/>
                <w:highlight w:val="none"/>
                <w:lang w:val="en-US" w:eastAsia="zh-CN"/>
              </w:rPr>
              <w:t>18</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C2BE403">
            <w:pPr>
              <w:snapToGrid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支持本</w:t>
            </w:r>
          </w:p>
          <w:p w14:paraId="49CD45FB">
            <w:pPr>
              <w:snapToGrid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国产品</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B4BC81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1、本国产品标准的适用范围：</w:t>
            </w:r>
          </w:p>
          <w:p w14:paraId="28B4DC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本国产品标准适用于货物，包括政府采购货物项目和服务项目中涉及的货物。</w:t>
            </w:r>
          </w:p>
          <w:p w14:paraId="65866F1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2、本采购项目：</w:t>
            </w:r>
          </w:p>
          <w:p w14:paraId="74949A2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不适用本国产品标准及相关政策。</w:t>
            </w:r>
          </w:p>
          <w:p w14:paraId="799B0EC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2" w:char="0052"/>
            </w:r>
            <w:r>
              <w:rPr>
                <w:rFonts w:hint="eastAsia" w:ascii="宋体" w:hAnsi="宋体" w:cs="宋体"/>
                <w:color w:val="auto"/>
                <w:kern w:val="0"/>
                <w:sz w:val="24"/>
                <w:highlight w:val="none"/>
              </w:rPr>
              <w:t xml:space="preserve"> 适用本国产品标准及相关政策。</w:t>
            </w:r>
          </w:p>
          <w:p w14:paraId="1EDF696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3、本国产品标准：</w:t>
            </w:r>
          </w:p>
          <w:p w14:paraId="5176865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（1）产品在中国境内生产；</w:t>
            </w:r>
          </w:p>
          <w:p w14:paraId="6BECF82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（2）产品在中国境内生产的组件成本占比达到规定比例：</w:t>
            </w:r>
          </w:p>
          <w:p w14:paraId="24058F37">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685DABD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（3）产品关键组件符合相关要求：</w:t>
            </w:r>
          </w:p>
          <w:p w14:paraId="77E667C2">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19603B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（4）产品关键工序符合相关要求：</w:t>
            </w:r>
          </w:p>
          <w:p w14:paraId="2EF3C1DE">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211585A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4、出具符合要求的《关于符合本国产品标准的声明函》（格式见第六章）</w:t>
            </w:r>
            <w:r>
              <w:rPr>
                <w:rFonts w:hint="eastAsia" w:ascii="宋体" w:hAnsi="宋体" w:cs="宋体"/>
                <w:color w:val="auto"/>
                <w:sz w:val="24"/>
                <w:highlight w:val="none"/>
              </w:rPr>
              <w:t>或财政部会同有关部门规定的有关证明文件</w:t>
            </w:r>
            <w:r>
              <w:rPr>
                <w:rFonts w:hint="eastAsia" w:ascii="宋体" w:hAnsi="宋体" w:cs="宋体"/>
                <w:color w:val="auto"/>
                <w:kern w:val="0"/>
                <w:sz w:val="24"/>
                <w:highlight w:val="none"/>
              </w:rPr>
              <w:t>的，该产品视为本国产品。</w:t>
            </w:r>
          </w:p>
          <w:p w14:paraId="6B29F7E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5、对本国产品的支持政策：</w:t>
            </w:r>
          </w:p>
          <w:p w14:paraId="3F12195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政府采购活动中既有本国产品又有非本国产品参与竞争的，依法对本国产品给予价格评审优惠，对本国产品的报价给予20%的价格扣除，用扣除后的价格参与评审。</w:t>
            </w:r>
          </w:p>
          <w:p w14:paraId="6EB8FC0F">
            <w:pPr>
              <w:spacing w:line="360" w:lineRule="auto"/>
              <w:ind w:firstLine="480" w:firstLineChars="200"/>
              <w:rPr>
                <w:rFonts w:hint="eastAsia" w:ascii="宋体" w:hAnsi="宋体" w:cs="宋体"/>
                <w:color w:val="auto"/>
                <w:kern w:val="0"/>
                <w:sz w:val="24"/>
                <w:highlight w:val="none"/>
                <w:lang w:val="zh-TW" w:eastAsia="zh-TW"/>
              </w:rPr>
            </w:pPr>
            <w:r>
              <w:rPr>
                <w:rFonts w:hint="eastAsia" w:ascii="宋体" w:hAnsi="宋体" w:cs="宋体"/>
                <w:color w:val="auto"/>
                <w:kern w:val="0"/>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r>
    </w:tbl>
    <w:p w14:paraId="14929078">
      <w:pPr>
        <w:adjustRightInd/>
        <w:spacing w:line="360" w:lineRule="auto"/>
        <w:ind w:firstLine="3845" w:firstLineChars="1197"/>
        <w:outlineLvl w:val="1"/>
        <w:rPr>
          <w:rFonts w:hint="eastAsia" w:ascii="宋体" w:hAnsi="宋体" w:cs="宋体"/>
          <w:b/>
          <w:color w:val="auto"/>
          <w:sz w:val="32"/>
          <w:szCs w:val="20"/>
          <w:highlight w:val="none"/>
        </w:rPr>
      </w:pPr>
    </w:p>
    <w:p w14:paraId="4BDB7AB2">
      <w:pPr>
        <w:pStyle w:val="4"/>
        <w:spacing w:before="0" w:after="0" w:line="360" w:lineRule="auto"/>
        <w:jc w:val="center"/>
        <w:rPr>
          <w:rFonts w:hint="eastAsia"/>
          <w:color w:val="auto"/>
          <w:sz w:val="28"/>
          <w:szCs w:val="28"/>
          <w:highlight w:val="none"/>
        </w:rPr>
      </w:pPr>
      <w:bookmarkStart w:id="15" w:name="_Toc17814"/>
      <w:r>
        <w:rPr>
          <w:rFonts w:hint="eastAsia"/>
          <w:color w:val="auto"/>
          <w:sz w:val="28"/>
          <w:szCs w:val="28"/>
          <w:highlight w:val="none"/>
        </w:rPr>
        <w:br w:type="page"/>
      </w:r>
      <w:r>
        <w:rPr>
          <w:rFonts w:hint="eastAsia"/>
          <w:color w:val="auto"/>
          <w:sz w:val="28"/>
          <w:szCs w:val="28"/>
          <w:highlight w:val="none"/>
        </w:rPr>
        <w:t>一、总则</w:t>
      </w:r>
      <w:bookmarkEnd w:id="15"/>
    </w:p>
    <w:p w14:paraId="2C9EAD51">
      <w:pPr>
        <w:snapToGrid w:val="0"/>
        <w:spacing w:line="360" w:lineRule="auto"/>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1. 适用范围</w:t>
      </w:r>
    </w:p>
    <w:p w14:paraId="2AB1A201">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本招标文件适用于该项目的招标、投标、开标、资格审查及信用信息查询、评标、定标、合同、验收等行为（法律、法规另有规定的，从其规定）。</w:t>
      </w:r>
    </w:p>
    <w:p w14:paraId="1757DDC5">
      <w:pPr>
        <w:adjustRightInd/>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2.定义</w:t>
      </w:r>
    </w:p>
    <w:p w14:paraId="0105BA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“采购人”系指</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中载明的本项目的采购人。</w:t>
      </w:r>
    </w:p>
    <w:p w14:paraId="4D8CE49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“采购代理机构”系指</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中载明的本项目的采购代理机构。</w:t>
      </w:r>
    </w:p>
    <w:p w14:paraId="4E7F109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2.3 “投标人”系指是指响应招标、参加投标竞争的法人、其他组织或者自然人。</w:t>
      </w:r>
    </w:p>
    <w:p w14:paraId="2ED4574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2.4 “负责人”系指法人企业的法定负责人，或其他组织为法律、行政法规规定代表单位行使职权的主要负责人，或自然人本人。</w:t>
      </w:r>
    </w:p>
    <w:p w14:paraId="05BD840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151190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2.6“电子交易平台”系指本项目政府采购活动所依托的政府采购云平台（https://www.zcygov.cn/）。</w:t>
      </w:r>
    </w:p>
    <w:p w14:paraId="1D572A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2.7 “▲”系指实质性要求条款，</w:t>
      </w:r>
      <w:r>
        <w:rPr>
          <w:rFonts w:hint="eastAsia" w:ascii="宋体" w:hAnsi="宋体"/>
          <w:color w:val="auto"/>
          <w:sz w:val="24"/>
          <w:highlight w:val="none"/>
        </w:rPr>
        <w:t>“★”系指重要条款，“※”系指核心产品，</w:t>
      </w:r>
      <w:r>
        <w:rPr>
          <w:rFonts w:hint="eastAsia" w:ascii="宋体" w:hAnsi="宋体" w:cs="宋体"/>
          <w:color w:val="auto"/>
          <w:sz w:val="24"/>
          <w:highlight w:val="none"/>
        </w:rPr>
        <w:t>“</w:t>
      </w:r>
      <w:r>
        <w:rPr>
          <w:rFonts w:ascii="Wingdings" w:hAnsi="Wingdings" w:cs="宋体"/>
          <w:color w:val="auto"/>
          <w:kern w:val="0"/>
          <w:sz w:val="24"/>
          <w:highlight w:val="none"/>
        </w:rPr>
        <w:t></w:t>
      </w:r>
      <w:r>
        <w:rPr>
          <w:rFonts w:hint="eastAsia" w:ascii="宋体" w:hAnsi="宋体" w:cs="宋体"/>
          <w:color w:val="auto"/>
          <w:sz w:val="24"/>
          <w:highlight w:val="none"/>
        </w:rPr>
        <w:t>”系指适用本项目的要求，“</w:t>
      </w:r>
      <w:r>
        <w:rPr>
          <w:rFonts w:hint="eastAsia" w:ascii="宋体" w:hAnsi="宋体" w:cs="宋体"/>
          <w:color w:val="auto"/>
          <w:kern w:val="0"/>
          <w:sz w:val="24"/>
          <w:highlight w:val="none"/>
        </w:rPr>
        <w:t>☐</w:t>
      </w:r>
      <w:r>
        <w:rPr>
          <w:rFonts w:hint="eastAsia" w:ascii="宋体" w:hAnsi="宋体" w:cs="宋体"/>
          <w:color w:val="auto"/>
          <w:sz w:val="24"/>
          <w:highlight w:val="none"/>
        </w:rPr>
        <w:t>”系指不适用本项目的要求。</w:t>
      </w:r>
    </w:p>
    <w:p w14:paraId="070D7B21">
      <w:pPr>
        <w:spacing w:line="360" w:lineRule="auto"/>
        <w:ind w:firstLine="241" w:firstLineChars="100"/>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color w:val="auto"/>
          <w:highlight w:val="none"/>
        </w:rPr>
        <w:t xml:space="preserve"> </w:t>
      </w:r>
      <w:r>
        <w:rPr>
          <w:rFonts w:hint="eastAsia" w:ascii="宋体" w:hAnsi="宋体" w:cs="宋体"/>
          <w:b/>
          <w:color w:val="auto"/>
          <w:sz w:val="24"/>
          <w:highlight w:val="none"/>
        </w:rPr>
        <w:t>采购项目需要落实的政府采购政策</w:t>
      </w:r>
    </w:p>
    <w:p w14:paraId="2849BA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本项目原则上采购本国生产的货物、工程和服务，不允许采购进口产品。</w:t>
      </w:r>
      <w:r>
        <w:rPr>
          <w:rFonts w:hint="eastAsia" w:ascii="宋体" w:hAnsi="宋体" w:eastAsia="宋体" w:cs="宋体"/>
          <w:color w:val="auto"/>
          <w:sz w:val="24"/>
          <w:highlight w:val="none"/>
          <w:lang w:val="en-US" w:eastAsia="zh-CN"/>
        </w:rPr>
        <w:t>优先采购向我国企业转让技术、与我国企业签订消化吸收再创新方案的供应商的进口产品。</w:t>
      </w:r>
    </w:p>
    <w:p w14:paraId="4BC1D4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6A9091E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751D6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3.2本国产品标准。本国产品应当符合以下条件：</w:t>
      </w:r>
    </w:p>
    <w:p w14:paraId="745E47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1）在中国境内生产</w:t>
      </w:r>
    </w:p>
    <w:p w14:paraId="1D444D3A">
      <w:pPr>
        <w:spacing w:line="360" w:lineRule="auto"/>
        <w:ind w:firstLine="480" w:firstLineChars="200"/>
        <w:rPr>
          <w:rFonts w:hint="eastAsia" w:ascii="宋体" w:hAnsi="宋体"/>
          <w:color w:val="auto"/>
          <w:sz w:val="24"/>
          <w:highlight w:val="none"/>
        </w:rPr>
      </w:pPr>
      <w:r>
        <w:rPr>
          <w:rFonts w:hint="eastAsia" w:ascii="宋体" w:hAnsi="宋体" w:eastAsia="宋体" w:cs="宋体"/>
          <w:color w:val="auto"/>
          <w:sz w:val="24"/>
          <w:highlight w:val="none"/>
        </w:rPr>
        <w:t>产品应当在中国境内生产，即在中</w:t>
      </w:r>
      <w:r>
        <w:rPr>
          <w:rFonts w:hint="eastAsia" w:ascii="宋体" w:hAnsi="宋体"/>
          <w:color w:val="auto"/>
          <w:sz w:val="24"/>
          <w:highlight w:val="none"/>
        </w:rPr>
        <w:t>华人民共和国关境内实现从原材料、组件到产品的属性改变。</w:t>
      </w:r>
    </w:p>
    <w:p w14:paraId="24EBEC2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属性改变是指经过制造、加工或者组装等工序，产生完全不同于原材料、组件的新产品，并具有新的名称和特征（用途）。属性改变不包括以下细微操作：</w:t>
      </w:r>
    </w:p>
    <w:p w14:paraId="7A6A9EE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a.为确保产品在运输或者储存期间保持某种状态而进行的操作；</w:t>
      </w:r>
    </w:p>
    <w:p w14:paraId="7D2B90B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b.为产品运输或者销售进行的包装或者展示；</w:t>
      </w:r>
    </w:p>
    <w:p w14:paraId="43DCCC5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c.在产品或者其包装上粘贴或者印刷品牌、标志、标识以及其他用于区别的标记；</w:t>
      </w:r>
    </w:p>
    <w:p w14:paraId="277AC9D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d.简单的上漆、磨光和分装；</w:t>
      </w:r>
    </w:p>
    <w:p w14:paraId="167629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e.其他不属于属性改变的情形。</w:t>
      </w:r>
    </w:p>
    <w:p w14:paraId="3C83CCD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2）在中国境内生产的组件成本占比达到规定比例</w:t>
      </w:r>
    </w:p>
    <w:p w14:paraId="319209A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产品在中国境内生产的组件成本占比应当达到规定比例，计算公式为：</w:t>
      </w:r>
    </w:p>
    <w:p w14:paraId="1D6573DF">
      <w:pPr>
        <w:spacing w:line="360" w:lineRule="auto"/>
        <w:jc w:val="center"/>
        <w:rPr>
          <w:rFonts w:ascii="宋体" w:hAnsi="宋体"/>
          <w:color w:val="auto"/>
          <w:sz w:val="24"/>
          <w:highlight w:val="none"/>
        </w:rPr>
      </w:pPr>
      <w:r>
        <w:rPr>
          <w:rFonts w:ascii="宋体" w:hAnsi="宋体"/>
          <w:color w:val="auto"/>
          <w:sz w:val="24"/>
          <w:highlight w:val="none"/>
        </w:rPr>
        <w:drawing>
          <wp:inline distT="0" distB="0" distL="114300" distR="114300">
            <wp:extent cx="4235450" cy="611505"/>
            <wp:effectExtent l="0" t="0" r="12700" b="17145"/>
            <wp:docPr id="1" name="图片 1"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020250930645245947614"/>
                    <pic:cNvPicPr>
                      <a:picLocks noChangeAspect="1"/>
                    </pic:cNvPicPr>
                  </pic:nvPicPr>
                  <pic:blipFill>
                    <a:blip r:embed="rId26"/>
                    <a:stretch>
                      <a:fillRect/>
                    </a:stretch>
                  </pic:blipFill>
                  <pic:spPr>
                    <a:xfrm>
                      <a:off x="0" y="0"/>
                      <a:ext cx="4235450" cy="611505"/>
                    </a:xfrm>
                    <a:prstGeom prst="rect">
                      <a:avLst/>
                    </a:prstGeom>
                    <a:noFill/>
                    <a:ln>
                      <a:noFill/>
                    </a:ln>
                  </pic:spPr>
                </pic:pic>
              </a:graphicData>
            </a:graphic>
          </wp:inline>
        </w:drawing>
      </w:r>
    </w:p>
    <w:p w14:paraId="3E9DD7C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7A34352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3）特定产品的关键组件、关键工序符合相关要求</w:t>
      </w:r>
    </w:p>
    <w:p w14:paraId="31D7AC2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对特定产品，在符合第1）项和第2）项条件的基础上，应当符合财政部会同有关行业主管部门确定的其关键组件、关键工序在中国境内生产、完成等要求。</w:t>
      </w:r>
    </w:p>
    <w:p w14:paraId="2E547A9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（2）本国产品标准的适用范围</w:t>
      </w:r>
    </w:p>
    <w:p w14:paraId="6F214BF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86042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（3）对本国产品的支持政策</w:t>
      </w:r>
    </w:p>
    <w:p w14:paraId="4F7C14B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政府采购活动中既有本国产品又有非本国产品参与竞争的，依法对本国产品给予价格评审优惠，对本国产品的报价给予20%的价格扣除，用扣除后的价格参与评审。</w:t>
      </w:r>
    </w:p>
    <w:p w14:paraId="50F904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C6F2E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（4）本国产品证明文件</w:t>
      </w:r>
    </w:p>
    <w:p w14:paraId="2B50716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1）出具符合要求的《关于符合本国产品标准的声明函》（格式见第六章）或有关证明文件的，该产品视为本国产品。</w:t>
      </w:r>
    </w:p>
    <w:p w14:paraId="45DEB57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2）《关于符合本国产品标准的声明函》填写注意事项：</w:t>
      </w:r>
    </w:p>
    <w:p w14:paraId="2B7754E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a.产品如有型号，请在“产品名称”栏一并填写。</w:t>
      </w:r>
    </w:p>
    <w:p w14:paraId="67AA18B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b.生产厂名与厂址应与生产厂营业执照载明的相关信息保持一致。</w:t>
      </w:r>
    </w:p>
    <w:p w14:paraId="39C3B32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c.该产品的中国境内生产的组件成本占比相关要求实施前，“规定比例”栏可不填写。</w:t>
      </w:r>
    </w:p>
    <w:p w14:paraId="42884A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d.该产品的关键组件要求实施前，“关键组件”栏可不填写。</w:t>
      </w:r>
    </w:p>
    <w:p w14:paraId="7C2E6E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e.该产品的关键工序要求实施前，“关键工序”栏可不填写。</w:t>
      </w:r>
    </w:p>
    <w:p w14:paraId="61B7E423">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3.2 支持绿色发展</w:t>
      </w:r>
    </w:p>
    <w:p w14:paraId="143BC07B">
      <w:pPr>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auto"/>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7E3B979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5C74D0B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6" w:name="_Hlk107568539"/>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5DC11C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6"/>
    </w:p>
    <w:p w14:paraId="65345E57">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3.3支持中小企业发展</w:t>
      </w:r>
    </w:p>
    <w:p w14:paraId="37CBE1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6659E2E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符合中小企业划分标准的个体工商户，在政府采购活动中视同中小企业。</w:t>
      </w:r>
    </w:p>
    <w:p w14:paraId="124CD755">
      <w:pPr>
        <w:widowControl/>
        <w:spacing w:line="360" w:lineRule="auto"/>
        <w:ind w:firstLine="480" w:firstLineChars="200"/>
        <w:jc w:val="left"/>
        <w:rPr>
          <w:rFonts w:ascii="宋体" w:hAnsi="宋体" w:cs="宋体"/>
          <w:color w:val="auto"/>
          <w:kern w:val="0"/>
          <w:sz w:val="24"/>
          <w:highlight w:val="none"/>
        </w:rPr>
      </w:pPr>
      <w:r>
        <w:rPr>
          <w:rFonts w:ascii="宋体" w:hAnsi="宋体" w:cs="宋体"/>
          <w:bCs/>
          <w:color w:val="auto"/>
          <w:sz w:val="24"/>
          <w:highlight w:val="none"/>
        </w:rPr>
        <w:t>3.3.2</w:t>
      </w:r>
      <w:r>
        <w:rPr>
          <w:rFonts w:hint="eastAsia" w:ascii="宋体" w:hAnsi="宋体" w:cs="宋体"/>
          <w:color w:val="auto"/>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5498182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14:paraId="3EE427B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3.3.3对于未预留份额专门面向中小企业的政府采购货物项目，以及预留份额政府采购货物项目中的非预留部分标项，对小型和微型企业的投标报价给予10%</w:t>
      </w:r>
      <w:r>
        <w:rPr>
          <w:rFonts w:hint="eastAsia"/>
          <w:color w:val="auto"/>
          <w:highlight w:val="none"/>
          <w:lang w:val="en-US" w:eastAsia="zh-CN"/>
        </w:rPr>
        <w:t>-20%</w:t>
      </w:r>
      <w:r>
        <w:rPr>
          <w:rFonts w:hint="eastAsia" w:ascii="宋体" w:hAnsi="宋体" w:cs="宋体"/>
          <w:color w:val="auto"/>
          <w:sz w:val="24"/>
          <w:highlight w:val="none"/>
        </w:rPr>
        <w:t>的扣除，用扣除后的价格参与评审。接受大中型企业与小微企业组成联合体或者允许大中型企业向一家或者多家小微企业分包的政府采购货物项目，对于</w:t>
      </w:r>
      <w:bookmarkStart w:id="17" w:name="_Hlk101132181"/>
      <w:r>
        <w:rPr>
          <w:rFonts w:hint="eastAsia" w:ascii="宋体" w:hAnsi="宋体" w:cs="宋体"/>
          <w:color w:val="auto"/>
          <w:sz w:val="24"/>
          <w:highlight w:val="none"/>
        </w:rPr>
        <w:t>联合协议或者分包意向协议约定小微企业的合同份额占到合同总金额30%以上的</w:t>
      </w:r>
      <w:bookmarkEnd w:id="17"/>
      <w:r>
        <w:rPr>
          <w:rFonts w:hint="eastAsia" w:ascii="宋体" w:hAnsi="宋体" w:cs="宋体"/>
          <w:color w:val="auto"/>
          <w:sz w:val="24"/>
          <w:highlight w:val="none"/>
        </w:rPr>
        <w:t>，对联合体或者大中型企业的报价给予4%</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的扣除，用扣除后的价格参加评审。组成联合体或者接受分包的小微企业与联合体内其他企业、分包企业之间存在直接控股、管理关系的，不享受价格扣除优惠政策。</w:t>
      </w:r>
    </w:p>
    <w:p w14:paraId="7C8A6B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3.3.4符合《关于促进残疾人就业政府采购政策的通知》（财库〔2017〕141号）规定的条件并提供《残疾人福利性单位声明函》（附件1）的残疾人福利性单位视同小型、微型企业；</w:t>
      </w:r>
    </w:p>
    <w:p w14:paraId="793B4B3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4261D2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485B9C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3.3.7中小企业享受扶持政策获得政府采购合同的，小微企业不得将合同分包给大中型企业，中型企业不得将合同分包给大型企业。</w:t>
      </w:r>
    </w:p>
    <w:p w14:paraId="032FA580">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bCs/>
          <w:color w:val="auto"/>
          <w:sz w:val="24"/>
          <w:highlight w:val="none"/>
        </w:rPr>
        <w:t>支持创新发展</w:t>
      </w:r>
    </w:p>
    <w:p w14:paraId="270BACF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3.4.1 采购人优先采购被认定为首台套产品和“制造精品”的自主创新产品。</w:t>
      </w:r>
    </w:p>
    <w:p w14:paraId="7B3EB82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3.4.2首台套产品被纳入《首台套产品推广应用指导目录》之日起</w:t>
      </w:r>
      <w:r>
        <w:rPr>
          <w:rFonts w:ascii="宋体" w:hAnsi="宋体" w:cs="宋体"/>
          <w:color w:val="auto"/>
          <w:sz w:val="24"/>
          <w:highlight w:val="none"/>
        </w:rPr>
        <w:t>3</w:t>
      </w:r>
      <w:r>
        <w:rPr>
          <w:rFonts w:hint="eastAsia" w:ascii="宋体" w:hAnsi="宋体" w:cs="宋体"/>
          <w:color w:val="auto"/>
          <w:sz w:val="24"/>
          <w:highlight w:val="none"/>
        </w:rPr>
        <w:t>年内，以及产品核心技术高于国内领先水平，并具有明晰自主知识产权的“制造精品”产品，自认定之日起2年内视同已具备相应销售业绩，参加政府采购活动时业绩分值为满分。</w:t>
      </w:r>
    </w:p>
    <w:p w14:paraId="2D5EC5F1">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3.5平等对待内外资企业和符合条件的破产重整企业</w:t>
      </w:r>
    </w:p>
    <w:p w14:paraId="1B7487BE">
      <w:pPr>
        <w:spacing w:line="360" w:lineRule="auto"/>
        <w:ind w:firstLine="480" w:firstLineChars="200"/>
        <w:rPr>
          <w:b/>
          <w:color w:val="auto"/>
          <w:highlight w:val="none"/>
        </w:rPr>
      </w:pPr>
      <w:r>
        <w:rPr>
          <w:rFonts w:hint="eastAsia" w:ascii="宋体" w:hAnsi="宋体" w:cs="宋体"/>
          <w:color w:val="auto"/>
          <w:sz w:val="24"/>
          <w:highlight w:val="none"/>
        </w:rPr>
        <w:t>平等对待内外资企业和符合条件的破产重整企业，切实保障企业公平竞争，平等维护企业的合法利益。</w:t>
      </w:r>
      <w:r>
        <w:rPr>
          <w:rFonts w:hint="eastAsia" w:ascii="宋体" w:hAnsi="宋体" w:cs="宋体"/>
          <w:color w:val="auto"/>
          <w:sz w:val="24"/>
          <w:highlight w:val="none"/>
        </w:rPr>
        <w:cr/>
      </w:r>
      <w:r>
        <w:rPr>
          <w:rFonts w:hint="eastAsia" w:ascii="宋体" w:hAnsi="宋体" w:cs="宋体"/>
          <w:b/>
          <w:color w:val="auto"/>
          <w:sz w:val="24"/>
          <w:highlight w:val="none"/>
        </w:rPr>
        <w:t>4. 询问、质疑、投诉</w:t>
      </w:r>
    </w:p>
    <w:p w14:paraId="089ECAB0">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lang w:val="en-US" w:eastAsia="zh-CN"/>
        </w:rPr>
        <w:t>4.1</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对政府采购活动事项有疑问的，可以提出询问，采购人或者采购代理机构应当在3个工作日内对</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依法提出的询问作出答复，但答复的内容不得涉及商业秘密。</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提出的询问超出采购人对采购代理机构委托授权范围的，采购代理机构应当告知</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向采购人提出。</w:t>
      </w:r>
    </w:p>
    <w:p w14:paraId="12D27375">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4.2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48E3FA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供应商知道或者应知其权益受到损害之日，是指：</w:t>
      </w:r>
    </w:p>
    <w:p w14:paraId="73FB714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1对可以质疑的采购文件提出质疑的，为获取采购文件之日；获取采购文件时采购公告期限已届满的，为采购公告期限届满之日；</w:t>
      </w:r>
    </w:p>
    <w:p w14:paraId="11722AA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2对采购过程中开标、资格审查、符合性审查和评审等环节提出质疑的，为各采购程序环节结束之日；</w:t>
      </w:r>
    </w:p>
    <w:p w14:paraId="6B8CA81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3对中标或者成交结果提出质疑的，为中标或者成交结果公告期限届满之日；</w:t>
      </w:r>
    </w:p>
    <w:p w14:paraId="0094D14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4采购文件、采购过程、中标或者成交结果发生澄清、修改、更正的，对经澄清、修改、更正的部分内容提出质疑的，为通知送达供应商之日或者澄清公告、更正公告发布之日。</w:t>
      </w:r>
    </w:p>
    <w:p w14:paraId="15D612BB">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质疑供应商对采购人、采购代理机构的答复不满意，或者采购人、采购代理机构未在规定时间内作出答复的，可以在答复期满后15个工作日内向本级财政部门提起投诉。</w:t>
      </w:r>
    </w:p>
    <w:p w14:paraId="5E64EB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4.3投标人提出质疑应当提交质疑函和必要的证明材料，质疑函范本、投诉书范本请到浙江政府采购网下载专区下载。质疑函应当包括下列内容：</w:t>
      </w:r>
    </w:p>
    <w:p w14:paraId="1EF2B6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（1）供应商的姓名或者名称、地址、邮编、联系人及联系电话；</w:t>
      </w:r>
    </w:p>
    <w:p w14:paraId="693D408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（2）质疑项目的名称、编号；</w:t>
      </w:r>
    </w:p>
    <w:p w14:paraId="5299C76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（3）具体、明确的质疑事项和与质疑事项相关的请求；</w:t>
      </w:r>
    </w:p>
    <w:p w14:paraId="457ADC6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（4）事实依据；</w:t>
      </w:r>
    </w:p>
    <w:p w14:paraId="6F05108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（5）必要的法律依据；</w:t>
      </w:r>
    </w:p>
    <w:p w14:paraId="6D54A30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（6）提出质疑的日期。</w:t>
      </w:r>
    </w:p>
    <w:p w14:paraId="5EBA4B9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投标人为自然人的，应当由本人签名；投标人为法人或者其他组织的，应当由法定代表人、主要负责人，或者其授权代表签名或者盖章，并加盖公章。</w:t>
      </w:r>
    </w:p>
    <w:p w14:paraId="517AFDA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4.4提出质疑的供应商应当是参与本项目招标活动的投标人。</w:t>
      </w:r>
      <w:r>
        <w:rPr>
          <w:rFonts w:hint="eastAsia" w:ascii="宋体" w:hAnsi="宋体" w:eastAsia="宋体" w:cs="宋体"/>
          <w:i w:val="0"/>
          <w:iCs w:val="0"/>
          <w:caps w:val="0"/>
          <w:color w:val="auto"/>
          <w:spacing w:val="0"/>
          <w:sz w:val="24"/>
          <w:szCs w:val="24"/>
          <w:highlight w:val="none"/>
        </w:rPr>
        <w:t>潜在供应商已依法获取其可质疑的采购文件的，可以对该采购文件提出质疑。项目设立、项目预算、采购方式、组织形式、进口产品核准、采购需求调查过程、专门面向中小企业采购、合同履约等</w:t>
      </w:r>
      <w:r>
        <w:rPr>
          <w:rFonts w:hint="eastAsia" w:ascii="宋体" w:hAnsi="宋体" w:eastAsia="宋体" w:cs="宋体"/>
          <w:snapToGrid w:val="0"/>
          <w:color w:val="auto"/>
          <w:kern w:val="2"/>
          <w:sz w:val="24"/>
          <w:szCs w:val="24"/>
          <w:highlight w:val="none"/>
          <w:lang w:val="en-US" w:eastAsia="zh-CN" w:bidi="ar-SA"/>
        </w:rPr>
        <w:t>不属于可质疑事项。投标人在法定质疑期内应一次性提出针对同一采购程序环节的质疑。</w:t>
      </w:r>
    </w:p>
    <w:p w14:paraId="769EB53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4.5供应商有下列情形之一的，质疑事项不予处理：</w:t>
      </w:r>
    </w:p>
    <w:p w14:paraId="1CBFA7D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1潜在供应商未提供依法获取采购文件证据材料，对采购文件提出质疑的；</w:t>
      </w:r>
    </w:p>
    <w:p w14:paraId="53E05F0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2供应商未按采购人、采购代理机构要求提供项目设置的特定资格条件证明材料，对特定资格条件以外的采购文件内容提出质疑的；</w:t>
      </w:r>
    </w:p>
    <w:p w14:paraId="6EDEBEA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3未提交投标（响应）文件，对采购过程、采购结果提出质疑的；</w:t>
      </w:r>
    </w:p>
    <w:p w14:paraId="591B815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4未通过资格审查，对评审过程、采购结果提出质疑的；</w:t>
      </w:r>
    </w:p>
    <w:p w14:paraId="7FA0C72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5未通过符合性审查，对符合性审查后的评审活动、采购结果提出质疑的；</w:t>
      </w:r>
    </w:p>
    <w:p w14:paraId="769094C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6未通过采购文件规定的方式提出质疑的；</w:t>
      </w:r>
    </w:p>
    <w:p w14:paraId="43C0D1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7提出质疑时间已超出法定质疑期的；</w:t>
      </w:r>
    </w:p>
    <w:p w14:paraId="47DB74E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8采购文件要求供应商在法定质疑期内一次性提出针对同一采购程序环节质疑，再次提出质疑的；</w:t>
      </w:r>
    </w:p>
    <w:p w14:paraId="0D6504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9质疑函未按采购人、采购代理机构要求补充完善签署、盖章、联系方式、提交合法有效的授权委托书的；</w:t>
      </w:r>
    </w:p>
    <w:p w14:paraId="68C2162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10质疑供应商未按照采购人、采购代理机构要求提供属于潜在供应商或其合法权益受到损害的事实依据的；</w:t>
      </w:r>
    </w:p>
    <w:p w14:paraId="68D4DBD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11以联合体形式参加政府采购活动，联合体成员未共同提出质疑的；</w:t>
      </w:r>
    </w:p>
    <w:p w14:paraId="66205F5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12法律法规或省级以上财政部门规定的其他情形。</w:t>
      </w:r>
    </w:p>
    <w:p w14:paraId="5C16180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4.6根据《政府采购质疑和投诉办法》第三十七条的规定，投诉人在全国范围12个月内三次以上投诉查无实据的，由财政部门列入不良行为记录名单。</w:t>
      </w:r>
    </w:p>
    <w:p w14:paraId="71D93D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投诉人有下列行为之一的，属于虚假、恶意投诉，由财政部门列入不良行为记录名单，禁止其1至3年内参加政府采购活动：</w:t>
      </w:r>
    </w:p>
    <w:p w14:paraId="3A5307A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（1）捏造事实；</w:t>
      </w:r>
    </w:p>
    <w:p w14:paraId="5726B92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（2）提供虚假材料；</w:t>
      </w:r>
    </w:p>
    <w:p w14:paraId="3E03DCE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（3）以非法手段取得证明材料。证据来源的合法性存在明显疑问，投诉人无法证明其取得方式合法的，视为以非法手段取得证明材料。</w:t>
      </w:r>
    </w:p>
    <w:p w14:paraId="43720EF4">
      <w:pPr>
        <w:pStyle w:val="2"/>
        <w:spacing w:line="360" w:lineRule="auto"/>
        <w:ind w:firstLine="480" w:firstLineChars="200"/>
        <w:rPr>
          <w:rFonts w:hint="eastAsia" w:hAnsi="宋体" w:cs="宋体"/>
          <w:color w:val="auto"/>
          <w:sz w:val="24"/>
          <w:szCs w:val="24"/>
          <w:highlight w:val="none"/>
        </w:rPr>
      </w:pPr>
    </w:p>
    <w:p w14:paraId="2226DAD5">
      <w:pPr>
        <w:pStyle w:val="4"/>
        <w:spacing w:before="0" w:after="0" w:line="360" w:lineRule="auto"/>
        <w:jc w:val="center"/>
        <w:rPr>
          <w:rFonts w:hint="eastAsia"/>
          <w:color w:val="auto"/>
          <w:sz w:val="28"/>
          <w:szCs w:val="28"/>
          <w:highlight w:val="none"/>
        </w:rPr>
      </w:pPr>
      <w:bookmarkStart w:id="18" w:name="_Toc18429"/>
      <w:r>
        <w:rPr>
          <w:rFonts w:hint="eastAsia"/>
          <w:color w:val="auto"/>
          <w:sz w:val="28"/>
          <w:szCs w:val="28"/>
          <w:highlight w:val="none"/>
        </w:rPr>
        <w:t>二、招标文件的构成、澄清、修改</w:t>
      </w:r>
      <w:bookmarkEnd w:id="18"/>
    </w:p>
    <w:p w14:paraId="0EE2C30D">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5．招标文件的构成</w:t>
      </w:r>
    </w:p>
    <w:p w14:paraId="02D63A57">
      <w:pPr>
        <w:pStyle w:val="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5.1 招标文件包括下列文件及附件：</w:t>
      </w:r>
    </w:p>
    <w:p w14:paraId="3BF052F2">
      <w:pPr>
        <w:pStyle w:val="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5.1.1</w:t>
      </w:r>
      <w:r>
        <w:rPr>
          <w:rFonts w:hint="eastAsia" w:hAnsi="宋体" w:cs="宋体"/>
          <w:color w:val="auto"/>
          <w:sz w:val="24"/>
          <w:szCs w:val="24"/>
          <w:highlight w:val="none"/>
          <w:lang w:eastAsia="zh-CN"/>
        </w:rPr>
        <w:t>投标邀请</w:t>
      </w:r>
      <w:r>
        <w:rPr>
          <w:rFonts w:hint="eastAsia" w:hAnsi="宋体" w:cs="宋体"/>
          <w:color w:val="auto"/>
          <w:sz w:val="24"/>
          <w:szCs w:val="24"/>
          <w:highlight w:val="none"/>
        </w:rPr>
        <w:t>；</w:t>
      </w:r>
    </w:p>
    <w:p w14:paraId="33754CF7">
      <w:pPr>
        <w:pStyle w:val="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5.1.2投标人须知；</w:t>
      </w:r>
    </w:p>
    <w:p w14:paraId="035F0636">
      <w:pPr>
        <w:pStyle w:val="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5.1.3采购需求；</w:t>
      </w:r>
    </w:p>
    <w:p w14:paraId="3EC1E88C">
      <w:pPr>
        <w:pStyle w:val="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5.1.4评标办法；</w:t>
      </w:r>
    </w:p>
    <w:p w14:paraId="38AF1FE8">
      <w:pPr>
        <w:pStyle w:val="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5.1.5拟签订的合同文本；</w:t>
      </w:r>
    </w:p>
    <w:p w14:paraId="49A69E23">
      <w:pPr>
        <w:pStyle w:val="2"/>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highlight w:val="none"/>
        </w:rPr>
        <w:t>5.1.6</w:t>
      </w:r>
      <w:r>
        <w:rPr>
          <w:rFonts w:hint="eastAsia" w:hAnsi="宋体" w:cs="宋体"/>
          <w:color w:val="auto"/>
          <w:sz w:val="24"/>
          <w:szCs w:val="24"/>
          <w:highlight w:val="none"/>
        </w:rPr>
        <w:t>应提交的有关格式范例。</w:t>
      </w:r>
    </w:p>
    <w:p w14:paraId="1093C60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5.2与本项目有关的</w:t>
      </w:r>
      <w:r>
        <w:rPr>
          <w:rFonts w:hint="eastAsia" w:ascii="宋体" w:hAnsi="宋体" w:cs="宋体"/>
          <w:bCs/>
          <w:color w:val="auto"/>
          <w:sz w:val="24"/>
          <w:highlight w:val="none"/>
        </w:rPr>
        <w:t>澄清或者修改的内容为招标文件的组成部分</w:t>
      </w:r>
      <w:r>
        <w:rPr>
          <w:rFonts w:hint="eastAsia" w:ascii="宋体" w:hAnsi="宋体" w:cs="宋体"/>
          <w:color w:val="auto"/>
          <w:sz w:val="24"/>
          <w:highlight w:val="none"/>
        </w:rPr>
        <w:t>。</w:t>
      </w:r>
    </w:p>
    <w:p w14:paraId="2E202998">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6. 招标文件的澄清、修改</w:t>
      </w:r>
    </w:p>
    <w:p w14:paraId="1AA0B543">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6.1已获取招标文件的潜在投标人，若有问题需要澄清，应于投标截止时间前，以书面形式向采购代理机构提出。</w:t>
      </w:r>
    </w:p>
    <w:p w14:paraId="2E95BE7B">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42A1F64E">
      <w:pPr>
        <w:pStyle w:val="8"/>
        <w:rPr>
          <w:rFonts w:hAnsi="宋体" w:cs="宋体"/>
          <w:color w:val="auto"/>
          <w:sz w:val="18"/>
          <w:szCs w:val="18"/>
          <w:highlight w:val="none"/>
          <w:lang w:val="en-US"/>
        </w:rPr>
      </w:pPr>
      <w:r>
        <w:rPr>
          <w:rFonts w:hint="eastAsia" w:hAnsi="宋体" w:cs="宋体"/>
          <w:color w:val="auto"/>
          <w:szCs w:val="24"/>
          <w:highlight w:val="none"/>
          <w:lang w:val="en-US"/>
        </w:rPr>
        <w:t xml:space="preserve">    </w:t>
      </w:r>
    </w:p>
    <w:p w14:paraId="56F752A8">
      <w:pPr>
        <w:pStyle w:val="4"/>
        <w:spacing w:before="0" w:after="0" w:line="360" w:lineRule="auto"/>
        <w:jc w:val="center"/>
        <w:rPr>
          <w:rFonts w:hint="eastAsia"/>
          <w:color w:val="auto"/>
          <w:sz w:val="28"/>
          <w:szCs w:val="28"/>
          <w:highlight w:val="none"/>
        </w:rPr>
      </w:pPr>
      <w:bookmarkStart w:id="19" w:name="_Toc2391"/>
      <w:r>
        <w:rPr>
          <w:rFonts w:hint="eastAsia"/>
          <w:color w:val="auto"/>
          <w:sz w:val="28"/>
          <w:szCs w:val="28"/>
          <w:highlight w:val="none"/>
        </w:rPr>
        <w:t>三、投标</w:t>
      </w:r>
      <w:bookmarkEnd w:id="19"/>
    </w:p>
    <w:p w14:paraId="42C5417B">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7. 招标文件的获取</w:t>
      </w:r>
    </w:p>
    <w:p w14:paraId="7114D06E">
      <w:pPr>
        <w:spacing w:line="360" w:lineRule="auto"/>
        <w:ind w:firstLine="480" w:firstLineChars="200"/>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详见</w:t>
      </w:r>
      <w:r>
        <w:rPr>
          <w:rFonts w:hint="eastAsia" w:ascii="宋体" w:hAnsi="宋体" w:cs="宋体"/>
          <w:snapToGrid w:val="0"/>
          <w:color w:val="auto"/>
          <w:kern w:val="28"/>
          <w:sz w:val="24"/>
          <w:highlight w:val="none"/>
          <w:lang w:eastAsia="zh-CN"/>
        </w:rPr>
        <w:t>投标邀请</w:t>
      </w:r>
      <w:r>
        <w:rPr>
          <w:rFonts w:hint="eastAsia" w:ascii="宋体" w:hAnsi="宋体" w:cs="宋体"/>
          <w:snapToGrid w:val="0"/>
          <w:color w:val="auto"/>
          <w:kern w:val="28"/>
          <w:sz w:val="24"/>
          <w:highlight w:val="none"/>
        </w:rPr>
        <w:t>中获取招标文件的时间期限、地点、方式及招标文件售价。</w:t>
      </w:r>
    </w:p>
    <w:p w14:paraId="67C88CA9">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8.开标前答疑会或现场考察</w:t>
      </w:r>
    </w:p>
    <w:p w14:paraId="44E18BC1">
      <w:pPr>
        <w:pStyle w:val="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采购人组织潜在投标人现场考察或者召开开标前答疑会的，潜在投标人按第二部分投标人须知前附表的规定参加现场考察或者开标前答疑会。</w:t>
      </w:r>
    </w:p>
    <w:p w14:paraId="4CA2E1CD">
      <w:pPr>
        <w:pStyle w:val="2"/>
        <w:spacing w:line="360" w:lineRule="auto"/>
        <w:rPr>
          <w:rFonts w:hAnsi="宋体" w:cs="宋体"/>
          <w:b/>
          <w:color w:val="auto"/>
          <w:szCs w:val="24"/>
          <w:highlight w:val="none"/>
        </w:rPr>
      </w:pPr>
      <w:r>
        <w:rPr>
          <w:rFonts w:hint="eastAsia" w:hAnsi="宋体" w:cs="宋体"/>
          <w:b/>
          <w:color w:val="auto"/>
          <w:kern w:val="28"/>
          <w:sz w:val="24"/>
          <w:szCs w:val="24"/>
          <w:highlight w:val="none"/>
        </w:rPr>
        <w:t>9.投标保证金</w:t>
      </w:r>
    </w:p>
    <w:p w14:paraId="395532E1">
      <w:pPr>
        <w:pStyle w:val="6"/>
        <w:spacing w:line="360" w:lineRule="auto"/>
        <w:ind w:firstLine="470" w:firstLineChars="196"/>
        <w:rPr>
          <w:rFonts w:hAnsi="宋体" w:cs="宋体"/>
          <w:color w:val="auto"/>
          <w:sz w:val="24"/>
          <w:highlight w:val="none"/>
        </w:rPr>
      </w:pPr>
      <w:r>
        <w:rPr>
          <w:rFonts w:hint="eastAsia" w:hAnsi="宋体" w:cs="宋体"/>
          <w:color w:val="auto"/>
          <w:sz w:val="24"/>
          <w:highlight w:val="none"/>
        </w:rPr>
        <w:t>本项目不需缴纳投标保证金。</w:t>
      </w:r>
    </w:p>
    <w:p w14:paraId="49323FEB">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10. 投标文件的语言</w:t>
      </w:r>
    </w:p>
    <w:p w14:paraId="07E15911">
      <w:pPr>
        <w:autoSpaceDE w:val="0"/>
        <w:autoSpaceDN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投标文件及投标人与采购有关的来往通知、函件和文件均应使用中文。</w:t>
      </w:r>
    </w:p>
    <w:p w14:paraId="0BCFB6BA">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11. 投标文件的组成</w:t>
      </w:r>
    </w:p>
    <w:p w14:paraId="7560074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b/>
          <w:color w:val="auto"/>
          <w:sz w:val="24"/>
          <w:highlight w:val="none"/>
        </w:rPr>
        <w:t>资格文件</w:t>
      </w:r>
      <w:r>
        <w:rPr>
          <w:rFonts w:hint="eastAsia" w:ascii="宋体" w:hAnsi="宋体" w:cs="宋体"/>
          <w:color w:val="auto"/>
          <w:sz w:val="24"/>
          <w:highlight w:val="none"/>
        </w:rPr>
        <w:t>：</w:t>
      </w:r>
    </w:p>
    <w:p w14:paraId="3023CE17">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11.1.1符合参加政府采购活动应当具备的一般条件的承诺函；</w:t>
      </w:r>
    </w:p>
    <w:p w14:paraId="1BA1386F">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1.1.2</w:t>
      </w:r>
      <w:r>
        <w:rPr>
          <w:rFonts w:hint="eastAsia" w:ascii="宋体" w:hAnsi="宋体" w:cs="宋体"/>
          <w:snapToGrid w:val="0"/>
          <w:color w:val="auto"/>
          <w:kern w:val="28"/>
          <w:sz w:val="24"/>
          <w:szCs w:val="20"/>
          <w:highlight w:val="none"/>
        </w:rPr>
        <w:t>营业执照复印件；</w:t>
      </w:r>
    </w:p>
    <w:p w14:paraId="0431312B">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1.1.</w:t>
      </w:r>
      <w:bookmarkStart w:id="20" w:name="_Hlk101259339"/>
      <w:r>
        <w:rPr>
          <w:rFonts w:hint="eastAsia" w:ascii="宋体" w:hAnsi="宋体" w:cs="宋体"/>
          <w:color w:val="auto"/>
          <w:sz w:val="24"/>
          <w:highlight w:val="none"/>
        </w:rPr>
        <w:t>3</w:t>
      </w:r>
      <w:r>
        <w:rPr>
          <w:rFonts w:hint="eastAsia" w:ascii="宋体" w:hAnsi="宋体" w:cs="宋体"/>
          <w:snapToGrid w:val="0"/>
          <w:color w:val="auto"/>
          <w:kern w:val="28"/>
          <w:sz w:val="24"/>
          <w:szCs w:val="20"/>
          <w:highlight w:val="none"/>
        </w:rPr>
        <w:t>联合协议</w:t>
      </w:r>
      <w:bookmarkEnd w:id="20"/>
      <w:r>
        <w:rPr>
          <w:rFonts w:hint="eastAsia" w:ascii="宋体" w:hAnsi="宋体" w:cs="宋体"/>
          <w:snapToGrid w:val="0"/>
          <w:color w:val="auto"/>
          <w:kern w:val="28"/>
          <w:sz w:val="24"/>
          <w:szCs w:val="20"/>
          <w:highlight w:val="none"/>
        </w:rPr>
        <w:t>（如果有)；</w:t>
      </w:r>
    </w:p>
    <w:p w14:paraId="525CA91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11.1.4本项目的特定资格要求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0F22E653">
      <w:pPr>
        <w:snapToGrid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06E0F75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11.2.1投标函；</w:t>
      </w:r>
      <w:r>
        <w:rPr>
          <w:rFonts w:hint="eastAsia" w:ascii="宋体" w:hAnsi="宋体" w:cs="宋体"/>
          <w:color w:val="auto"/>
          <w:sz w:val="24"/>
          <w:highlight w:val="none"/>
          <w:lang w:val="zh-CN"/>
        </w:rPr>
        <w:t xml:space="preserve"> </w:t>
      </w:r>
    </w:p>
    <w:p w14:paraId="25BB6E5A">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11.2.2授权委托书或法定代表人（单位负责人、自然人本人）身份证明；</w:t>
      </w:r>
    </w:p>
    <w:p w14:paraId="686A55CC">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4C2F5DCF">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4</w:t>
      </w:r>
      <w:r>
        <w:rPr>
          <w:rFonts w:hint="eastAsia" w:ascii="宋体" w:hAnsi="宋体" w:cs="宋体"/>
          <w:color w:val="auto"/>
          <w:sz w:val="24"/>
          <w:highlight w:val="none"/>
        </w:rPr>
        <w:t>符合性审查资料；</w:t>
      </w:r>
    </w:p>
    <w:p w14:paraId="34304552">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p>
    <w:p w14:paraId="527B9CD6">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6</w:t>
      </w:r>
      <w:r>
        <w:rPr>
          <w:rFonts w:hint="eastAsia" w:ascii="宋体" w:hAnsi="宋体" w:cs="宋体"/>
          <w:color w:val="auto"/>
          <w:sz w:val="24"/>
          <w:highlight w:val="none"/>
        </w:rPr>
        <w:t>投标标的清单；</w:t>
      </w:r>
    </w:p>
    <w:p w14:paraId="5A360CD8">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7</w:t>
      </w:r>
      <w:r>
        <w:rPr>
          <w:rFonts w:hint="eastAsia" w:ascii="宋体" w:hAnsi="宋体" w:cs="宋体"/>
          <w:color w:val="auto"/>
          <w:sz w:val="24"/>
          <w:highlight w:val="none"/>
        </w:rPr>
        <w:t>商务技术偏离表；</w:t>
      </w:r>
    </w:p>
    <w:p w14:paraId="65C3A59B">
      <w:pPr>
        <w:snapToGrid w:val="0"/>
        <w:spacing w:line="360" w:lineRule="auto"/>
        <w:ind w:firstLine="960" w:firstLineChars="4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p>
    <w:p w14:paraId="1546C081">
      <w:pPr>
        <w:snapToGrid w:val="0"/>
        <w:spacing w:line="360" w:lineRule="auto"/>
        <w:ind w:firstLine="480" w:firstLineChars="200"/>
        <w:rPr>
          <w:rFonts w:ascii="宋体" w:hAnsi="宋体" w:cs="宋体"/>
          <w:color w:val="auto"/>
          <w:sz w:val="24"/>
          <w:highlight w:val="none"/>
          <w:u w:val="single"/>
          <w:lang w:val="zh-CN"/>
        </w:rPr>
      </w:pPr>
      <w:r>
        <w:rPr>
          <w:rFonts w:hint="eastAsia" w:ascii="宋体" w:hAnsi="宋体" w:cs="宋体"/>
          <w:color w:val="auto"/>
          <w:kern w:val="0"/>
          <w:sz w:val="24"/>
          <w:highlight w:val="none"/>
          <w:lang w:val="zh-CN"/>
        </w:rPr>
        <w:t>11.</w:t>
      </w:r>
      <w:r>
        <w:rPr>
          <w:rFonts w:hint="eastAsia" w:ascii="宋体" w:hAnsi="宋体" w:cs="宋体"/>
          <w:color w:val="auto"/>
          <w:kern w:val="0"/>
          <w:sz w:val="24"/>
          <w:highlight w:val="none"/>
        </w:rPr>
        <w:t>3</w:t>
      </w:r>
      <w:r>
        <w:rPr>
          <w:rFonts w:hint="eastAsia" w:ascii="宋体" w:hAnsi="宋体" w:cs="宋体"/>
          <w:b/>
          <w:color w:val="auto"/>
          <w:sz w:val="24"/>
          <w:highlight w:val="none"/>
        </w:rPr>
        <w:t>报价文件：</w:t>
      </w:r>
      <w:r>
        <w:rPr>
          <w:rFonts w:hint="eastAsia" w:ascii="宋体" w:hAnsi="宋体" w:cs="宋体"/>
          <w:color w:val="auto"/>
          <w:sz w:val="24"/>
          <w:highlight w:val="none"/>
        </w:rPr>
        <w:t xml:space="preserve"> </w:t>
      </w:r>
    </w:p>
    <w:p w14:paraId="306C58EB">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11.3.1开标一览表（报价表）；</w:t>
      </w:r>
    </w:p>
    <w:p w14:paraId="06FCE094">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 中小企业声明函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rPr>
        <w:t>；</w:t>
      </w:r>
    </w:p>
    <w:p w14:paraId="18E06032">
      <w:pPr>
        <w:snapToGrid w:val="0"/>
        <w:spacing w:line="360" w:lineRule="auto"/>
        <w:ind w:firstLine="960" w:firstLineChars="400"/>
        <w:rPr>
          <w:rFonts w:hint="eastAsia" w:ascii="宋体" w:hAnsi="宋体"/>
          <w:color w:val="auto"/>
          <w:sz w:val="24"/>
          <w:highlight w:val="none"/>
        </w:rPr>
      </w:pPr>
      <w:r>
        <w:rPr>
          <w:rFonts w:hint="eastAsia" w:ascii="宋体" w:hAnsi="宋体" w:cs="宋体"/>
          <w:color w:val="auto"/>
          <w:sz w:val="24"/>
          <w:highlight w:val="none"/>
        </w:rPr>
        <w:t>11.3.</w:t>
      </w:r>
      <w:r>
        <w:rPr>
          <w:rFonts w:hint="eastAsia" w:ascii="宋体" w:hAnsi="宋体" w:cs="宋体"/>
          <w:color w:val="auto"/>
          <w:sz w:val="24"/>
          <w:highlight w:val="none"/>
          <w:lang w:val="en-US" w:eastAsia="zh-CN"/>
        </w:rPr>
        <w:t>3</w:t>
      </w:r>
      <w:r>
        <w:rPr>
          <w:rFonts w:hint="eastAsia" w:ascii="宋体" w:hAnsi="宋体"/>
          <w:color w:val="auto"/>
          <w:sz w:val="24"/>
          <w:highlight w:val="none"/>
        </w:rPr>
        <w:t>《关于符合本国产品标准的声明函》</w:t>
      </w:r>
    </w:p>
    <w:p w14:paraId="524C9687">
      <w:pPr>
        <w:spacing w:line="360" w:lineRule="auto"/>
        <w:ind w:firstLine="723" w:firstLineChars="300"/>
        <w:rPr>
          <w:rFonts w:ascii="宋体" w:hAnsi="宋体" w:cs="宋体"/>
          <w:b/>
          <w:color w:val="auto"/>
          <w:sz w:val="24"/>
          <w:highlight w:val="none"/>
        </w:rPr>
      </w:pPr>
      <w:r>
        <w:rPr>
          <w:rFonts w:hint="eastAsia" w:ascii="宋体" w:hAnsi="宋体" w:cs="宋体"/>
          <w:b/>
          <w:color w:val="auto"/>
          <w:sz w:val="24"/>
          <w:highlight w:val="none"/>
        </w:rPr>
        <w:t>投标文件含有采购人不能接受的附加条件的，投标无效；</w:t>
      </w:r>
    </w:p>
    <w:p w14:paraId="799A9FA5">
      <w:pPr>
        <w:spacing w:line="360" w:lineRule="auto"/>
        <w:ind w:firstLine="723" w:firstLineChars="300"/>
        <w:rPr>
          <w:rFonts w:ascii="宋体" w:hAnsi="宋体" w:cs="宋体"/>
          <w:b/>
          <w:color w:val="auto"/>
          <w:sz w:val="24"/>
          <w:szCs w:val="21"/>
          <w:highlight w:val="none"/>
        </w:rPr>
      </w:pPr>
      <w:r>
        <w:rPr>
          <w:rFonts w:hint="eastAsia" w:ascii="宋体" w:hAnsi="宋体" w:cs="宋体"/>
          <w:b/>
          <w:color w:val="auto"/>
          <w:sz w:val="24"/>
          <w:highlight w:val="none"/>
        </w:rPr>
        <w:t>投标人提供虚假材料投标的，投标无效。</w:t>
      </w:r>
    </w:p>
    <w:p w14:paraId="01668CCC">
      <w:pPr>
        <w:pStyle w:val="42"/>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12</w:t>
      </w:r>
      <w:r>
        <w:rPr>
          <w:rFonts w:hint="eastAsia" w:ascii="宋体" w:hAnsi="宋体" w:cs="宋体"/>
          <w:b/>
          <w:color w:val="auto"/>
          <w:kern w:val="0"/>
          <w:szCs w:val="24"/>
          <w:highlight w:val="none"/>
          <w:lang w:val="zh-CN"/>
        </w:rPr>
        <w:t xml:space="preserve">. </w:t>
      </w:r>
      <w:r>
        <w:rPr>
          <w:rFonts w:hint="eastAsia" w:ascii="宋体" w:hAnsi="宋体" w:cs="宋体"/>
          <w:b/>
          <w:color w:val="auto"/>
          <w:szCs w:val="24"/>
          <w:highlight w:val="none"/>
        </w:rPr>
        <w:t>投标文件的编制</w:t>
      </w:r>
    </w:p>
    <w:p w14:paraId="2E030F49">
      <w:pPr>
        <w:spacing w:line="360" w:lineRule="auto"/>
        <w:ind w:firstLine="480" w:firstLineChars="200"/>
        <w:rPr>
          <w:rFonts w:ascii="宋体" w:hAnsi="宋体" w:cs="宋体"/>
          <w:b/>
          <w:color w:val="auto"/>
          <w:sz w:val="24"/>
          <w:highlight w:val="none"/>
        </w:rPr>
      </w:pPr>
      <w:r>
        <w:rPr>
          <w:rFonts w:hint="eastAsia" w:ascii="宋体" w:hAnsi="宋体" w:cs="宋体"/>
          <w:color w:val="auto"/>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3386B75F">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0539F176">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12.3使用“政采云电子交易客户端”需要提前申领CA数字证书，申领流程请自行前往“浙江政府采购网-下载专区-电子交易客户端-CA驱动和申领流程”进行查阅。</w:t>
      </w:r>
    </w:p>
    <w:p w14:paraId="2D676A2B">
      <w:pPr>
        <w:snapToGrid w:val="0"/>
        <w:spacing w:line="360" w:lineRule="auto"/>
        <w:rPr>
          <w:rFonts w:ascii="宋体" w:hAnsi="宋体" w:cs="宋体"/>
          <w:b/>
          <w:color w:val="auto"/>
          <w:sz w:val="24"/>
          <w:highlight w:val="none"/>
        </w:rPr>
      </w:pPr>
      <w:r>
        <w:rPr>
          <w:rFonts w:hint="eastAsia" w:ascii="宋体" w:hAnsi="宋体" w:cs="宋体"/>
          <w:b/>
          <w:color w:val="auto"/>
          <w:sz w:val="24"/>
          <w:highlight w:val="none"/>
        </w:rPr>
        <w:t>13.投标文件的签署、盖章</w:t>
      </w:r>
    </w:p>
    <w:p w14:paraId="6EB7C6A8">
      <w:pPr>
        <w:pStyle w:val="42"/>
        <w:snapToGrid w:val="0"/>
        <w:spacing w:before="0"/>
        <w:ind w:firstLine="480"/>
        <w:rPr>
          <w:rFonts w:ascii="宋体" w:hAnsi="宋体" w:cs="宋体"/>
          <w:b/>
          <w:color w:val="auto"/>
          <w:highlight w:val="none"/>
        </w:rPr>
      </w:pPr>
      <w:r>
        <w:rPr>
          <w:rFonts w:hint="eastAsia" w:ascii="宋体" w:hAnsi="宋体" w:cs="宋体"/>
          <w:color w:val="auto"/>
          <w:szCs w:val="24"/>
          <w:highlight w:val="none"/>
        </w:rPr>
        <w:t>13.1投标文件按照招标文件第六部分格式要</w:t>
      </w:r>
      <w:r>
        <w:rPr>
          <w:rFonts w:hint="eastAsia" w:ascii="宋体" w:hAnsi="宋体" w:cs="宋体"/>
          <w:color w:val="auto"/>
          <w:highlight w:val="none"/>
        </w:rPr>
        <w:t>求进行签署、盖章。</w:t>
      </w:r>
      <w:r>
        <w:rPr>
          <w:rFonts w:hint="eastAsia" w:ascii="宋体" w:hAnsi="宋体" w:cs="宋体"/>
          <w:b/>
          <w:color w:val="auto"/>
          <w:highlight w:val="none"/>
        </w:rPr>
        <w:t>▲投标人的投标文件未按照招标文件要求签署、盖章的，其投标无效</w:t>
      </w:r>
      <w:r>
        <w:rPr>
          <w:rFonts w:hint="eastAsia" w:ascii="宋体" w:hAnsi="宋体" w:cs="宋体"/>
          <w:color w:val="auto"/>
          <w:szCs w:val="24"/>
          <w:highlight w:val="none"/>
        </w:rPr>
        <w:t>。</w:t>
      </w:r>
    </w:p>
    <w:p w14:paraId="5CF54CB3">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13.2为确保网上操作合法、有效和安全，投标人应当在投标截止时间前完成在“政府采购云平台”的身份认证，确保在电子投标过程中能够对相关数据电文进行加密和使用电子签名。</w:t>
      </w:r>
    </w:p>
    <w:p w14:paraId="40DEFE2E">
      <w:pPr>
        <w:pStyle w:val="42"/>
        <w:snapToGrid w:val="0"/>
        <w:spacing w:before="0"/>
        <w:ind w:firstLine="480"/>
        <w:rPr>
          <w:rFonts w:ascii="宋体" w:hAnsi="宋体" w:cs="宋体"/>
          <w:color w:val="auto"/>
          <w:szCs w:val="24"/>
          <w:highlight w:val="none"/>
        </w:rPr>
      </w:pPr>
      <w:r>
        <w:rPr>
          <w:rFonts w:hint="eastAsia" w:ascii="宋体" w:hAnsi="宋体" w:cs="宋体"/>
          <w:color w:val="auto"/>
          <w:highlight w:val="none"/>
        </w:rPr>
        <w:t>13.3招标文件对投标文件签署、盖章的要求适用于电子签名。</w:t>
      </w:r>
    </w:p>
    <w:p w14:paraId="2913869B">
      <w:pPr>
        <w:pStyle w:val="42"/>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14. 投标文件的提交、补充、修改、撤回</w:t>
      </w:r>
    </w:p>
    <w:p w14:paraId="7AEDF23D">
      <w:pPr>
        <w:pStyle w:val="42"/>
        <w:spacing w:before="0"/>
        <w:ind w:firstLine="480"/>
        <w:rPr>
          <w:rFonts w:ascii="宋体" w:hAnsi="宋体" w:cs="宋体"/>
          <w:color w:val="auto"/>
          <w:szCs w:val="24"/>
          <w:highlight w:val="none"/>
        </w:rPr>
      </w:pPr>
      <w:r>
        <w:rPr>
          <w:rFonts w:hint="eastAsia" w:ascii="宋体" w:hAnsi="宋体" w:cs="宋体"/>
          <w:color w:val="auto"/>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547AA84">
      <w:pPr>
        <w:pStyle w:val="42"/>
        <w:spacing w:before="0"/>
        <w:ind w:firstLine="480"/>
        <w:rPr>
          <w:rFonts w:ascii="宋体" w:hAnsi="宋体" w:cs="宋体"/>
          <w:color w:val="auto"/>
          <w:szCs w:val="24"/>
          <w:highlight w:val="none"/>
        </w:rPr>
      </w:pPr>
      <w:r>
        <w:rPr>
          <w:rFonts w:hint="eastAsia" w:ascii="宋体" w:hAnsi="宋体" w:cs="宋体"/>
          <w:color w:val="auto"/>
          <w:szCs w:val="24"/>
          <w:highlight w:val="none"/>
        </w:rPr>
        <w:t>14.2电子交易平台收到投标文件，将妥善保存并即时向供应商发出确认回执通知。在投标截止时间前，除供应商补充、修改或者撤回投标文件外，任何单位和个人不得解密或提取投标文件。</w:t>
      </w:r>
    </w:p>
    <w:p w14:paraId="67BE3A9B">
      <w:pPr>
        <w:pStyle w:val="42"/>
        <w:spacing w:before="0"/>
        <w:ind w:firstLine="480"/>
        <w:rPr>
          <w:rFonts w:ascii="宋体" w:hAnsi="宋体" w:cs="宋体"/>
          <w:color w:val="auto"/>
          <w:szCs w:val="24"/>
          <w:highlight w:val="none"/>
        </w:rPr>
      </w:pPr>
      <w:r>
        <w:rPr>
          <w:rFonts w:hint="eastAsia" w:ascii="宋体" w:hAnsi="宋体" w:cs="宋体"/>
          <w:color w:val="auto"/>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3EFA87DC">
      <w:pPr>
        <w:pStyle w:val="2"/>
        <w:spacing w:line="360" w:lineRule="auto"/>
        <w:rPr>
          <w:rFonts w:hAnsi="宋体" w:cs="宋体"/>
          <w:b/>
          <w:color w:val="auto"/>
          <w:sz w:val="24"/>
          <w:szCs w:val="24"/>
          <w:highlight w:val="none"/>
        </w:rPr>
      </w:pPr>
      <w:r>
        <w:rPr>
          <w:rFonts w:hint="eastAsia" w:hAnsi="宋体" w:cs="宋体"/>
          <w:b/>
          <w:color w:val="auto"/>
          <w:sz w:val="24"/>
          <w:szCs w:val="24"/>
          <w:highlight w:val="none"/>
        </w:rPr>
        <w:t>15.备份投标文件</w:t>
      </w:r>
    </w:p>
    <w:p w14:paraId="5F818B46">
      <w:pPr>
        <w:pStyle w:val="2"/>
        <w:spacing w:line="360" w:lineRule="auto"/>
        <w:ind w:firstLine="360" w:firstLineChars="150"/>
        <w:rPr>
          <w:rFonts w:hAnsi="宋体" w:cs="宋体"/>
          <w:b/>
          <w:color w:val="auto"/>
          <w:sz w:val="24"/>
          <w:szCs w:val="24"/>
          <w:highlight w:val="none"/>
        </w:rPr>
      </w:pPr>
      <w:r>
        <w:rPr>
          <w:rFonts w:hint="eastAsia" w:hAnsi="宋体" w:cs="宋体"/>
          <w:color w:val="auto"/>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auto"/>
          <w:sz w:val="24"/>
          <w:szCs w:val="24"/>
          <w:highlight w:val="none"/>
        </w:rPr>
        <w:t>但采购人、采购代理机构不强制或变相强制投标人提交备份投标文件。</w:t>
      </w:r>
    </w:p>
    <w:p w14:paraId="10297BAA">
      <w:pPr>
        <w:pStyle w:val="2"/>
        <w:spacing w:line="360" w:lineRule="auto"/>
        <w:ind w:firstLine="480" w:firstLineChars="200"/>
        <w:rPr>
          <w:rFonts w:hAnsi="宋体" w:cs="宋体"/>
          <w:b/>
          <w:color w:val="auto"/>
          <w:sz w:val="24"/>
          <w:szCs w:val="24"/>
          <w:highlight w:val="none"/>
        </w:rPr>
      </w:pPr>
      <w:r>
        <w:rPr>
          <w:rFonts w:hint="eastAsia" w:hAnsi="宋体" w:cs="宋体"/>
          <w:color w:val="auto"/>
          <w:sz w:val="24"/>
          <w:szCs w:val="24"/>
          <w:highlight w:val="none"/>
        </w:rPr>
        <w:t>15.2备份投标文件须在“政采云投标客户端”制作生成，并储存在</w:t>
      </w:r>
      <w:r>
        <w:rPr>
          <w:rFonts w:hint="eastAsia" w:hAnsi="宋体" w:cs="宋体"/>
          <w:color w:val="auto"/>
          <w:sz w:val="24"/>
          <w:highlight w:val="none"/>
        </w:rPr>
        <w:t>DVD光盘等存储介质</w:t>
      </w:r>
      <w:r>
        <w:rPr>
          <w:rFonts w:hint="eastAsia" w:hAnsi="宋体" w:cs="宋体"/>
          <w:color w:val="auto"/>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auto"/>
          <w:sz w:val="24"/>
          <w:highlight w:val="none"/>
        </w:rPr>
        <w:t>不符合上述制作、</w:t>
      </w:r>
      <w:r>
        <w:rPr>
          <w:rFonts w:hint="eastAsia" w:hAnsi="宋体" w:cs="宋体"/>
          <w:b/>
          <w:color w:val="auto"/>
          <w:sz w:val="24"/>
          <w:szCs w:val="24"/>
          <w:highlight w:val="none"/>
        </w:rPr>
        <w:t>存储、密封规定的备份投标文件将被视为无效或者被拒绝接收。</w:t>
      </w:r>
    </w:p>
    <w:p w14:paraId="7B1DE8D3">
      <w:pPr>
        <w:pStyle w:val="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15.3直接提交备份投标文件的，投标人应于投标截止时间前在</w:t>
      </w:r>
      <w:r>
        <w:rPr>
          <w:rFonts w:hint="eastAsia" w:hAnsi="宋体" w:cs="宋体"/>
          <w:color w:val="auto"/>
          <w:sz w:val="24"/>
          <w:szCs w:val="24"/>
          <w:highlight w:val="none"/>
          <w:lang w:eastAsia="zh-CN"/>
        </w:rPr>
        <w:t>投标邀请</w:t>
      </w:r>
      <w:r>
        <w:rPr>
          <w:rFonts w:hint="eastAsia" w:hAnsi="宋体" w:cs="宋体"/>
          <w:color w:val="auto"/>
          <w:sz w:val="24"/>
          <w:szCs w:val="24"/>
          <w:highlight w:val="none"/>
        </w:rPr>
        <w:t>中载明的开标地点将备份投标文件提交给采购代理机构，采购代理机构将拒绝接受逾期送达的备份投标文件。</w:t>
      </w:r>
    </w:p>
    <w:p w14:paraId="4759A74C">
      <w:pPr>
        <w:pStyle w:val="2"/>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auto"/>
          <w:sz w:val="24"/>
          <w:szCs w:val="24"/>
          <w:highlight w:val="none"/>
        </w:rPr>
        <w:t>招标文件第二部分投标人须知前附表规定的备份投标文件送达地点；</w:t>
      </w:r>
      <w:r>
        <w:rPr>
          <w:rFonts w:hint="eastAsia" w:hAnsi="宋体" w:cs="宋体"/>
          <w:color w:val="auto"/>
          <w:sz w:val="24"/>
          <w:szCs w:val="24"/>
          <w:highlight w:val="none"/>
        </w:rPr>
        <w:t>送达时间以签收人签收时间为准。采购代理机构将拒绝接受逾期送达的备份投标文件。邮寄过程中，电子备份投标文件发生泄露、遗失、损坏或延期送达等情况的，由投标人自行负责。</w:t>
      </w:r>
    </w:p>
    <w:p w14:paraId="38CF149A">
      <w:pPr>
        <w:pStyle w:val="2"/>
        <w:spacing w:line="360" w:lineRule="auto"/>
        <w:ind w:firstLine="479" w:firstLineChars="199"/>
        <w:rPr>
          <w:rFonts w:hAnsi="宋体" w:cs="宋体"/>
          <w:b/>
          <w:color w:val="auto"/>
          <w:sz w:val="24"/>
          <w:szCs w:val="24"/>
          <w:highlight w:val="none"/>
        </w:rPr>
      </w:pPr>
      <w:r>
        <w:rPr>
          <w:rFonts w:hint="eastAsia" w:hAnsi="宋体" w:cs="宋体"/>
          <w:b/>
          <w:color w:val="auto"/>
          <w:sz w:val="24"/>
          <w:szCs w:val="24"/>
          <w:highlight w:val="none"/>
        </w:rPr>
        <w:t>15.5投标人仅提交备份投标文件，未在电子交易平台传输递交投标文件的，投标无效。</w:t>
      </w:r>
    </w:p>
    <w:p w14:paraId="39A6A3BE">
      <w:pPr>
        <w:pStyle w:val="42"/>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16.投标文件的无效处理</w:t>
      </w:r>
    </w:p>
    <w:p w14:paraId="2F946FF6">
      <w:pPr>
        <w:pStyle w:val="10"/>
        <w:spacing w:line="360" w:lineRule="auto"/>
        <w:ind w:firstLine="360" w:firstLineChars="150"/>
        <w:rPr>
          <w:rFonts w:cs="宋体"/>
          <w:color w:val="auto"/>
          <w:szCs w:val="21"/>
          <w:highlight w:val="none"/>
        </w:rPr>
      </w:pPr>
      <w:r>
        <w:rPr>
          <w:rFonts w:hint="eastAsia" w:cs="宋体"/>
          <w:color w:val="auto"/>
          <w:szCs w:val="21"/>
          <w:highlight w:val="none"/>
        </w:rPr>
        <w:t>有招标文件第四部分</w:t>
      </w:r>
      <w:r>
        <w:rPr>
          <w:rFonts w:cs="宋体"/>
          <w:color w:val="auto"/>
          <w:highlight w:val="none"/>
        </w:rPr>
        <w:t>4.2规定</w:t>
      </w:r>
      <w:r>
        <w:rPr>
          <w:rFonts w:hint="eastAsia" w:cs="宋体"/>
          <w:color w:val="auto"/>
          <w:szCs w:val="21"/>
          <w:highlight w:val="none"/>
        </w:rPr>
        <w:t>的情形之一的，投标无效：</w:t>
      </w:r>
    </w:p>
    <w:p w14:paraId="4FF445C1">
      <w:pPr>
        <w:pStyle w:val="42"/>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17.投标有效期</w:t>
      </w:r>
    </w:p>
    <w:p w14:paraId="5AC45330">
      <w:pPr>
        <w:spacing w:line="360" w:lineRule="auto"/>
        <w:ind w:firstLine="480" w:firstLineChars="200"/>
        <w:rPr>
          <w:rFonts w:ascii="宋体" w:hAnsi="宋体" w:cs="宋体"/>
          <w:b/>
          <w:color w:val="auto"/>
          <w:sz w:val="24"/>
          <w:szCs w:val="21"/>
          <w:highlight w:val="none"/>
        </w:rPr>
      </w:pPr>
      <w:r>
        <w:rPr>
          <w:rFonts w:hint="eastAsia" w:ascii="宋体" w:hAnsi="宋体" w:cs="宋体"/>
          <w:color w:val="auto"/>
          <w:sz w:val="24"/>
          <w:szCs w:val="20"/>
          <w:highlight w:val="none"/>
        </w:rPr>
        <w:t>17.1投标有效期为从提交投标文件的截止之日起90天。▲</w:t>
      </w:r>
      <w:r>
        <w:rPr>
          <w:rFonts w:hint="eastAsia" w:ascii="宋体" w:hAnsi="宋体" w:cs="宋体"/>
          <w:b/>
          <w:color w:val="auto"/>
          <w:sz w:val="24"/>
          <w:szCs w:val="20"/>
          <w:highlight w:val="none"/>
        </w:rPr>
        <w:t>投标人的投标文件中承</w:t>
      </w:r>
      <w:r>
        <w:rPr>
          <w:rFonts w:hint="eastAsia" w:ascii="宋体" w:hAnsi="宋体" w:cs="宋体"/>
          <w:b/>
          <w:color w:val="auto"/>
          <w:sz w:val="24"/>
          <w:szCs w:val="21"/>
          <w:highlight w:val="none"/>
        </w:rPr>
        <w:t>诺的投标有效期少于招标文件中载明的投标有效期的，投标无效。</w:t>
      </w:r>
    </w:p>
    <w:p w14:paraId="5BEC1928">
      <w:pPr>
        <w:pStyle w:val="42"/>
        <w:spacing w:before="0"/>
        <w:ind w:firstLine="480"/>
        <w:rPr>
          <w:rFonts w:ascii="宋体" w:hAnsi="宋体" w:cs="宋体"/>
          <w:color w:val="auto"/>
          <w:highlight w:val="none"/>
        </w:rPr>
      </w:pPr>
      <w:r>
        <w:rPr>
          <w:rFonts w:hint="eastAsia" w:ascii="宋体" w:hAnsi="宋体" w:cs="宋体"/>
          <w:color w:val="auto"/>
          <w:highlight w:val="none"/>
        </w:rPr>
        <w:t>17.2投标文件合格投递后，自投标截止日期起，在投标有效期内有效。</w:t>
      </w:r>
    </w:p>
    <w:p w14:paraId="14EC1EB2">
      <w:pPr>
        <w:pStyle w:val="42"/>
        <w:spacing w:before="0"/>
        <w:ind w:firstLine="480"/>
        <w:rPr>
          <w:rFonts w:hint="eastAsia" w:ascii="宋体" w:hAnsi="宋体" w:cs="宋体"/>
          <w:color w:val="auto"/>
          <w:highlight w:val="none"/>
        </w:rPr>
      </w:pPr>
      <w:r>
        <w:rPr>
          <w:rFonts w:hint="eastAsia" w:ascii="宋体" w:hAnsi="宋体" w:cs="宋体"/>
          <w:color w:val="auto"/>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4399D940">
      <w:pPr>
        <w:pStyle w:val="42"/>
        <w:spacing w:before="0"/>
        <w:ind w:firstLine="480"/>
        <w:rPr>
          <w:rFonts w:hint="eastAsia" w:ascii="宋体" w:hAnsi="宋体" w:cs="宋体"/>
          <w:color w:val="auto"/>
          <w:highlight w:val="none"/>
        </w:rPr>
      </w:pPr>
    </w:p>
    <w:p w14:paraId="4C21DB52">
      <w:pPr>
        <w:pStyle w:val="4"/>
        <w:spacing w:before="0" w:after="0" w:line="360" w:lineRule="auto"/>
        <w:jc w:val="center"/>
        <w:rPr>
          <w:rFonts w:hint="eastAsia"/>
          <w:color w:val="auto"/>
          <w:sz w:val="28"/>
          <w:szCs w:val="28"/>
          <w:highlight w:val="none"/>
        </w:rPr>
      </w:pPr>
      <w:bookmarkStart w:id="21" w:name="_Toc9160"/>
      <w:r>
        <w:rPr>
          <w:rFonts w:hint="eastAsia"/>
          <w:color w:val="auto"/>
          <w:sz w:val="28"/>
          <w:szCs w:val="28"/>
          <w:highlight w:val="none"/>
        </w:rPr>
        <w:t>四、开标、资格审查与信用信息查询</w:t>
      </w:r>
      <w:bookmarkEnd w:id="21"/>
    </w:p>
    <w:p w14:paraId="57420337">
      <w:pPr>
        <w:pStyle w:val="43"/>
        <w:spacing w:before="0" w:line="360" w:lineRule="auto"/>
        <w:ind w:left="0" w:firstLine="241" w:firstLineChars="100"/>
        <w:contextualSpacing/>
        <w:rPr>
          <w:rFonts w:ascii="宋体" w:hAnsi="宋体" w:cs="宋体"/>
          <w:color w:val="auto"/>
          <w:sz w:val="24"/>
          <w:highlight w:val="none"/>
        </w:rPr>
      </w:pPr>
      <w:r>
        <w:rPr>
          <w:rFonts w:hint="eastAsia" w:ascii="宋体" w:hAnsi="宋体" w:cs="宋体"/>
          <w:b/>
          <w:color w:val="auto"/>
          <w:sz w:val="24"/>
          <w:szCs w:val="24"/>
          <w:highlight w:val="none"/>
        </w:rPr>
        <w:t>18.开标</w:t>
      </w:r>
      <w:r>
        <w:rPr>
          <w:rFonts w:hint="eastAsia" w:ascii="宋体" w:hAnsi="宋体" w:cs="宋体"/>
          <w:color w:val="auto"/>
          <w:sz w:val="24"/>
          <w:highlight w:val="none"/>
        </w:rPr>
        <w:t xml:space="preserve"> </w:t>
      </w:r>
    </w:p>
    <w:p w14:paraId="1B52BADD">
      <w:pPr>
        <w:pStyle w:val="43"/>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18.1采购代理机构按照招标文件规定的时间通过电子交易平台组织开标，所有投标人均应当准时在线参加。投标人不足3家的，不得开标。</w:t>
      </w:r>
    </w:p>
    <w:p w14:paraId="6DDF1CE6">
      <w:pPr>
        <w:pStyle w:val="43"/>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18.2开标时，电子交易平台按开标时间自动提取所有投标文件。采购代理机构依托电子交易平台发起开始解密指令，投标人按照平台提示和招标文件的规定在半小时内完成在线解密。</w:t>
      </w:r>
    </w:p>
    <w:p w14:paraId="0DDB661F">
      <w:pPr>
        <w:pStyle w:val="43"/>
        <w:spacing w:before="0" w:line="360" w:lineRule="auto"/>
        <w:ind w:left="0" w:firstLine="480" w:firstLineChars="200"/>
        <w:contextualSpacing/>
        <w:rPr>
          <w:rFonts w:ascii="宋体" w:hAnsi="宋体" w:cs="宋体"/>
          <w:b/>
          <w:color w:val="auto"/>
          <w:sz w:val="24"/>
          <w:highlight w:val="none"/>
        </w:rPr>
      </w:pPr>
      <w:r>
        <w:rPr>
          <w:rFonts w:hint="eastAsia" w:ascii="宋体" w:hAnsi="宋体" w:cs="宋体"/>
          <w:color w:val="auto"/>
          <w:sz w:val="24"/>
          <w:highlight w:val="none"/>
        </w:rPr>
        <w:t>18.3</w:t>
      </w:r>
      <w:r>
        <w:rPr>
          <w:rFonts w:hint="eastAsia" w:ascii="宋体" w:hAnsi="宋体" w:cs="宋体"/>
          <w:b/>
          <w:color w:val="auto"/>
          <w:sz w:val="24"/>
          <w:highlight w:val="none"/>
        </w:rPr>
        <w:t>投标文件未按时解密，投标人提供了备份投标文件的，以备份投标文件作为依据，否则视为投标文件撤回。投标文件已按时解密的，备份投标文件自动失效。</w:t>
      </w:r>
    </w:p>
    <w:p w14:paraId="0B779DE8">
      <w:pPr>
        <w:pStyle w:val="42"/>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19、资格审查</w:t>
      </w:r>
    </w:p>
    <w:p w14:paraId="4997F020">
      <w:pPr>
        <w:pStyle w:val="42"/>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19.1采购人或采购代理机构依据法律法规和招标文件的规定，对投标人的资格进行审查。</w:t>
      </w:r>
    </w:p>
    <w:p w14:paraId="472513B9">
      <w:pPr>
        <w:pStyle w:val="42"/>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19.2投标人未按照招标文件要求提供与资格条件相应的有效资格证明材料的，视为投标人不具备招标文件中规定的资格要求，其投标无效。</w:t>
      </w:r>
    </w:p>
    <w:p w14:paraId="17D6FDB8">
      <w:pPr>
        <w:pStyle w:val="42"/>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19.3对未通过资格审查的投标人，采购人或采购代理机构告知其未通过的原因。</w:t>
      </w:r>
    </w:p>
    <w:p w14:paraId="2FF48E15">
      <w:pPr>
        <w:pStyle w:val="42"/>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19.4合格投标人不足3家的，不再评标。</w:t>
      </w:r>
    </w:p>
    <w:p w14:paraId="6D2250F3">
      <w:pPr>
        <w:pStyle w:val="42"/>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20、信用信息查询</w:t>
      </w:r>
    </w:p>
    <w:p w14:paraId="7BF9E681">
      <w:pPr>
        <w:pStyle w:val="42"/>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2D5438F7">
      <w:pPr>
        <w:pStyle w:val="42"/>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20.2信用信息查询记录和证据留存的具体方式：现场查询的投标人的信用记录、查询结果经确认后将与采购文件一起存档。</w:t>
      </w:r>
    </w:p>
    <w:p w14:paraId="114C481B">
      <w:pPr>
        <w:pStyle w:val="42"/>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20.3信用信息的使用规则：经查询列入失信被执行人名单、重大税收违法案件当事人名单、政府采购严重违法失信行为记录名单的投标人将被拒绝参与政府采购活动。</w:t>
      </w:r>
    </w:p>
    <w:p w14:paraId="788F6AD3">
      <w:pPr>
        <w:pStyle w:val="42"/>
        <w:spacing w:before="0"/>
        <w:ind w:firstLine="480"/>
        <w:rPr>
          <w:rFonts w:ascii="宋体" w:hAnsi="宋体" w:cs="宋体"/>
          <w:color w:val="auto"/>
          <w:highlight w:val="none"/>
        </w:rPr>
      </w:pPr>
      <w:r>
        <w:rPr>
          <w:rFonts w:hint="eastAsia" w:ascii="宋体" w:hAnsi="宋体" w:cs="宋体"/>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highlight w:val="none"/>
        </w:rPr>
        <w:t>。</w:t>
      </w:r>
    </w:p>
    <w:p w14:paraId="761C85A2">
      <w:pPr>
        <w:pStyle w:val="42"/>
        <w:spacing w:before="0"/>
        <w:ind w:firstLine="0" w:firstLineChars="0"/>
        <w:rPr>
          <w:rFonts w:ascii="宋体" w:hAnsi="宋体" w:cs="宋体"/>
          <w:color w:val="auto"/>
          <w:kern w:val="0"/>
          <w:szCs w:val="24"/>
          <w:highlight w:val="none"/>
        </w:rPr>
      </w:pPr>
    </w:p>
    <w:p w14:paraId="7C0FB307">
      <w:pPr>
        <w:pStyle w:val="4"/>
        <w:spacing w:before="0" w:after="0" w:line="360" w:lineRule="auto"/>
        <w:jc w:val="center"/>
        <w:rPr>
          <w:rFonts w:hint="eastAsia"/>
          <w:color w:val="auto"/>
          <w:sz w:val="28"/>
          <w:szCs w:val="28"/>
          <w:highlight w:val="none"/>
        </w:rPr>
      </w:pPr>
      <w:bookmarkStart w:id="22" w:name="_Toc20583"/>
      <w:r>
        <w:rPr>
          <w:rFonts w:hint="eastAsia"/>
          <w:color w:val="auto"/>
          <w:sz w:val="28"/>
          <w:szCs w:val="28"/>
          <w:highlight w:val="none"/>
        </w:rPr>
        <w:t>五、评标</w:t>
      </w:r>
      <w:bookmarkEnd w:id="22"/>
    </w:p>
    <w:p w14:paraId="00B65794">
      <w:pPr>
        <w:spacing w:line="360" w:lineRule="auto"/>
        <w:rPr>
          <w:rFonts w:ascii="宋体" w:hAnsi="宋体" w:cs="宋体"/>
          <w:b/>
          <w:color w:val="auto"/>
          <w:sz w:val="24"/>
          <w:highlight w:val="none"/>
        </w:rPr>
      </w:pPr>
      <w:bookmarkStart w:id="23" w:name="_Toc91899903"/>
      <w:r>
        <w:rPr>
          <w:rFonts w:hint="eastAsia" w:ascii="宋体" w:hAnsi="宋体" w:cs="宋体"/>
          <w:b/>
          <w:color w:val="auto"/>
          <w:sz w:val="24"/>
          <w:highlight w:val="none"/>
        </w:rPr>
        <w:t>21.</w:t>
      </w:r>
      <w:r>
        <w:rPr>
          <w:rFonts w:hint="eastAsia" w:ascii="宋体" w:hAnsi="宋体" w:cs="宋体"/>
          <w:color w:val="auto"/>
          <w:highlight w:val="none"/>
        </w:rPr>
        <w:t xml:space="preserve"> </w:t>
      </w:r>
      <w:r>
        <w:rPr>
          <w:rFonts w:hint="eastAsia" w:ascii="宋体" w:hAnsi="宋体" w:cs="宋体"/>
          <w:color w:val="auto"/>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auto"/>
          <w:sz w:val="24"/>
          <w:highlight w:val="none"/>
        </w:rPr>
        <w:t>详见招标文件第四部分评标办法。</w:t>
      </w:r>
    </w:p>
    <w:p w14:paraId="286AC615">
      <w:pPr>
        <w:spacing w:line="360" w:lineRule="auto"/>
        <w:rPr>
          <w:rFonts w:ascii="宋体" w:hAnsi="宋体" w:cs="宋体"/>
          <w:b/>
          <w:color w:val="auto"/>
          <w:sz w:val="24"/>
          <w:highlight w:val="none"/>
        </w:rPr>
      </w:pPr>
    </w:p>
    <w:p w14:paraId="7AE302F4">
      <w:pPr>
        <w:pStyle w:val="4"/>
        <w:spacing w:before="0" w:after="0" w:line="360" w:lineRule="auto"/>
        <w:jc w:val="center"/>
        <w:rPr>
          <w:rFonts w:hint="eastAsia"/>
          <w:color w:val="auto"/>
          <w:sz w:val="28"/>
          <w:szCs w:val="28"/>
          <w:highlight w:val="none"/>
        </w:rPr>
      </w:pPr>
      <w:bookmarkStart w:id="24" w:name="_Toc20578"/>
      <w:r>
        <w:rPr>
          <w:rFonts w:hint="eastAsia"/>
          <w:color w:val="auto"/>
          <w:sz w:val="28"/>
          <w:szCs w:val="28"/>
          <w:highlight w:val="none"/>
        </w:rPr>
        <w:t>六、定标</w:t>
      </w:r>
      <w:bookmarkEnd w:id="24"/>
    </w:p>
    <w:p w14:paraId="1569C11B">
      <w:pPr>
        <w:pStyle w:val="10"/>
        <w:spacing w:line="360" w:lineRule="auto"/>
        <w:ind w:left="479" w:hanging="479" w:hangingChars="199"/>
        <w:rPr>
          <w:rFonts w:cs="宋体"/>
          <w:b/>
          <w:color w:val="auto"/>
          <w:highlight w:val="none"/>
        </w:rPr>
      </w:pPr>
      <w:r>
        <w:rPr>
          <w:rFonts w:hint="eastAsia" w:cs="宋体"/>
          <w:b/>
          <w:color w:val="auto"/>
          <w:highlight w:val="none"/>
        </w:rPr>
        <w:t>22. 确定中标供应商</w:t>
      </w:r>
    </w:p>
    <w:p w14:paraId="0578B01B">
      <w:pPr>
        <w:pStyle w:val="42"/>
        <w:snapToGrid w:val="0"/>
        <w:spacing w:before="0"/>
        <w:ind w:firstLine="480"/>
        <w:rPr>
          <w:rFonts w:ascii="宋体" w:hAnsi="宋体" w:cs="宋体"/>
          <w:b/>
          <w:color w:val="auto"/>
          <w:szCs w:val="24"/>
          <w:highlight w:val="none"/>
        </w:rPr>
      </w:pPr>
      <w:r>
        <w:rPr>
          <w:rFonts w:hint="eastAsia" w:ascii="宋体" w:hAnsi="宋体" w:cs="宋体"/>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1DA705AF">
      <w:pPr>
        <w:pStyle w:val="42"/>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23. 中标通知与中标结果公告</w:t>
      </w:r>
    </w:p>
    <w:p w14:paraId="3FEDF4E1">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23.1自中标供应商确定之日起2个工作日内，采购代理机构通过电子交易平台向中标供应商发出中标通知书，同时编制发布采购结果公告。采购代理机构也可以以纸质形式进行中标通知。</w:t>
      </w:r>
    </w:p>
    <w:p w14:paraId="1965CEFE">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23.2中标结果公告内容包括采购人及其委托的采购代理机构的名称、地址、联系方式，项目名称和项目编号，中标供应商名称、地址和中标金额，主要中标标的的名称、规格型号、数量、单价、服务要求，开标记录、资格审查情况、评审专家抽取规则、符合性审查情况、未中标情况说明、中标公告期限以及评审专家名单、评分汇总及明细。</w:t>
      </w:r>
    </w:p>
    <w:p w14:paraId="19843910">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23.3公告期限为1个工作日。</w:t>
      </w:r>
    </w:p>
    <w:p w14:paraId="78DC6B03">
      <w:pPr>
        <w:snapToGrid w:val="0"/>
        <w:spacing w:line="360" w:lineRule="auto"/>
        <w:ind w:left="120" w:leftChars="57" w:firstLine="482" w:firstLineChars="150"/>
        <w:jc w:val="center"/>
        <w:rPr>
          <w:rFonts w:ascii="宋体" w:hAnsi="宋体" w:cs="宋体"/>
          <w:b/>
          <w:color w:val="auto"/>
          <w:sz w:val="32"/>
          <w:highlight w:val="none"/>
        </w:rPr>
      </w:pPr>
    </w:p>
    <w:p w14:paraId="4BCC0713">
      <w:pPr>
        <w:pStyle w:val="4"/>
        <w:spacing w:before="0" w:after="0" w:line="360" w:lineRule="auto"/>
        <w:jc w:val="center"/>
        <w:rPr>
          <w:rFonts w:hint="eastAsia"/>
          <w:color w:val="auto"/>
          <w:sz w:val="28"/>
          <w:szCs w:val="28"/>
          <w:highlight w:val="none"/>
        </w:rPr>
      </w:pPr>
      <w:bookmarkStart w:id="25" w:name="_Toc4571"/>
      <w:r>
        <w:rPr>
          <w:rFonts w:hint="eastAsia"/>
          <w:color w:val="auto"/>
          <w:sz w:val="28"/>
          <w:szCs w:val="28"/>
          <w:highlight w:val="none"/>
        </w:rPr>
        <w:t>七、合同授予</w:t>
      </w:r>
      <w:bookmarkEnd w:id="25"/>
    </w:p>
    <w:p w14:paraId="47388E72">
      <w:pPr>
        <w:pStyle w:val="10"/>
        <w:spacing w:line="360" w:lineRule="auto"/>
        <w:ind w:left="479" w:hanging="479" w:hangingChars="199"/>
        <w:rPr>
          <w:rFonts w:cs="宋体"/>
          <w:b/>
          <w:color w:val="auto"/>
          <w:highlight w:val="none"/>
        </w:rPr>
      </w:pPr>
      <w:r>
        <w:rPr>
          <w:rFonts w:hint="eastAsia" w:cs="宋体"/>
          <w:b/>
          <w:color w:val="auto"/>
          <w:highlight w:val="none"/>
        </w:rPr>
        <w:t xml:space="preserve">24. </w:t>
      </w:r>
      <w:r>
        <w:rPr>
          <w:rFonts w:hint="eastAsia" w:cs="宋体"/>
          <w:color w:val="auto"/>
          <w:highlight w:val="none"/>
        </w:rPr>
        <w:t>合同主要条款详见第五部分拟签订的合同文本。</w:t>
      </w:r>
    </w:p>
    <w:p w14:paraId="4A4FDC50">
      <w:pPr>
        <w:pStyle w:val="10"/>
        <w:spacing w:line="360" w:lineRule="auto"/>
        <w:ind w:left="479" w:hanging="479" w:hangingChars="199"/>
        <w:rPr>
          <w:rFonts w:cs="宋体"/>
          <w:b/>
          <w:color w:val="auto"/>
          <w:highlight w:val="none"/>
        </w:rPr>
      </w:pPr>
      <w:r>
        <w:rPr>
          <w:rFonts w:hint="eastAsia" w:cs="宋体"/>
          <w:b/>
          <w:color w:val="auto"/>
          <w:highlight w:val="none"/>
        </w:rPr>
        <w:t>25. 合同的签订</w:t>
      </w:r>
    </w:p>
    <w:p w14:paraId="3DDB91E1">
      <w:pPr>
        <w:widowControl/>
        <w:shd w:val="clear" w:color="auto" w:fill="FFFFFF"/>
        <w:spacing w:line="360" w:lineRule="auto"/>
        <w:ind w:firstLine="480"/>
        <w:jc w:val="left"/>
        <w:rPr>
          <w:rFonts w:ascii="宋体" w:hAnsi="宋体" w:cs="宋体"/>
          <w:color w:val="auto"/>
          <w:kern w:val="0"/>
          <w:sz w:val="24"/>
          <w:highlight w:val="none"/>
        </w:rPr>
      </w:pPr>
      <w:r>
        <w:rPr>
          <w:rFonts w:hint="eastAsia" w:ascii="宋体" w:hAnsi="宋体" w:cs="宋体"/>
          <w:color w:val="auto"/>
          <w:sz w:val="24"/>
          <w:highlight w:val="none"/>
        </w:rPr>
        <w:t>25.1</w:t>
      </w:r>
      <w:r>
        <w:rPr>
          <w:rFonts w:hint="eastAsia" w:ascii="宋体" w:hAnsi="宋体" w:cs="宋体"/>
          <w:color w:val="auto"/>
          <w:kern w:val="0"/>
          <w:sz w:val="24"/>
          <w:highlight w:val="none"/>
        </w:rPr>
        <w:t>采购人与中标供应商应当通过电子交易平台在中标通知书发出之日起三十日内，按照招标文件确定的事项签订政府采购合同，并在签订之日起2个工作日内将政府采购合同在浙江政府采购网上公告。鼓励有条件的采购人视情缩减采购合同签订时限，提高采购效率，杜绝“冷、硬、横、推”等不当行为。除不可抗力等特殊情况外，原则上应当在中标通知书发出之日起三十日内，与中标供应商按照采购文件确定的事项签订政府采购合同。</w:t>
      </w:r>
    </w:p>
    <w:p w14:paraId="0274B363">
      <w:pPr>
        <w:pStyle w:val="42"/>
        <w:snapToGrid w:val="0"/>
        <w:spacing w:before="0"/>
        <w:ind w:firstLine="480"/>
        <w:rPr>
          <w:rFonts w:ascii="宋体" w:hAnsi="宋体" w:cs="宋体"/>
          <w:color w:val="auto"/>
          <w:kern w:val="0"/>
          <w:highlight w:val="none"/>
        </w:rPr>
      </w:pPr>
      <w:r>
        <w:rPr>
          <w:rFonts w:hint="eastAsia" w:ascii="宋体" w:hAnsi="宋体" w:cs="宋体"/>
          <w:color w:val="auto"/>
          <w:kern w:val="0"/>
          <w:highlight w:val="none"/>
          <w:lang w:val="zh-CN"/>
        </w:rPr>
        <w:t>25.2中标供应商按规定的日期、时间、地点，由法定代表人或其授权代表与采购人代表签订合同。如中标供应商为联合体的，由联合体成员各方法定代表人或其授权代表与采购人代表签订合同。</w:t>
      </w:r>
    </w:p>
    <w:p w14:paraId="244E78D9">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25.3如签订合同并生效后，供应商无故拒绝或延期，除按照合同条款处理外，列入不良行为记录一次，并给予通报。</w:t>
      </w:r>
    </w:p>
    <w:p w14:paraId="42E55F7B">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25.4中标供应商拒绝与采购人签订合同的，采购人可以按照评审报告推荐的中标或者成交候选人名单排序，确定下一候选人为中标供应商，也可以重新开展政府采购活动。</w:t>
      </w:r>
    </w:p>
    <w:p w14:paraId="3DB9A92E">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25.5采购合同由采购人与中标供应商根据招标文件、投标文件等内容通过政府采购电子交易平台在线签订，自动备案。</w:t>
      </w:r>
    </w:p>
    <w:p w14:paraId="30653921">
      <w:pPr>
        <w:pStyle w:val="10"/>
        <w:spacing w:line="360" w:lineRule="auto"/>
        <w:ind w:left="479" w:hanging="479" w:hangingChars="199"/>
        <w:rPr>
          <w:rFonts w:cs="宋体"/>
          <w:b/>
          <w:color w:val="auto"/>
          <w:highlight w:val="none"/>
        </w:rPr>
      </w:pPr>
      <w:r>
        <w:rPr>
          <w:rFonts w:hint="eastAsia" w:cs="宋体"/>
          <w:b/>
          <w:color w:val="auto"/>
          <w:highlight w:val="none"/>
        </w:rPr>
        <w:t>26. 履约保证金</w:t>
      </w:r>
    </w:p>
    <w:p w14:paraId="2D49DEC1">
      <w:pPr>
        <w:tabs>
          <w:tab w:val="left" w:pos="0"/>
        </w:tabs>
        <w:spacing w:line="360" w:lineRule="auto"/>
        <w:ind w:firstLine="482"/>
        <w:rPr>
          <w:rFonts w:ascii="宋体" w:hAnsi="宋体" w:cs="宋体"/>
          <w:color w:val="auto"/>
          <w:sz w:val="24"/>
          <w:highlight w:val="none"/>
        </w:rPr>
      </w:pPr>
      <w:r>
        <w:rPr>
          <w:rFonts w:hint="eastAsia" w:ascii="宋体" w:hAnsi="宋体" w:cs="宋体"/>
          <w:color w:val="auto"/>
          <w:kern w:val="0"/>
          <w:sz w:val="24"/>
          <w:highlight w:val="none"/>
        </w:rPr>
        <w:t>拟签订的合同文本要求中标供应商提交履约保证金的，供应商应当以支票、汇票、本票或者金融机构、担保机构出具的保函等非现金形式提交</w:t>
      </w:r>
      <w:r>
        <w:rPr>
          <w:rFonts w:hint="eastAsia" w:ascii="宋体" w:hAnsi="宋体" w:cs="宋体"/>
          <w:color w:val="auto"/>
          <w:sz w:val="24"/>
          <w:highlight w:val="none"/>
        </w:rPr>
        <w:t>。履约保证金的数额不得超过政府采购合同金额的</w:t>
      </w:r>
      <w:r>
        <w:rPr>
          <w:rFonts w:ascii="宋体" w:hAnsi="宋体" w:cs="宋体"/>
          <w:color w:val="auto"/>
          <w:sz w:val="24"/>
          <w:highlight w:val="none"/>
        </w:rPr>
        <w:t>1</w:t>
      </w:r>
      <w:r>
        <w:rPr>
          <w:rFonts w:hint="eastAsia" w:ascii="宋体" w:hAnsi="宋体" w:cs="宋体"/>
          <w:color w:val="auto"/>
          <w:sz w:val="24"/>
          <w:highlight w:val="none"/>
        </w:rPr>
        <w:t>%，鼓励根据项目特点、供应商诚信等因素免收履约保证金或降低缴纳比例。鼓励和支持供应商以银行、保险公司出具的保函形式提供履约保证金。采购人不得拒收履约保函，项目验收结束后应及时退还，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color w:val="auto"/>
          <w:sz w:val="24"/>
          <w:highlight w:val="none"/>
        </w:rPr>
        <w:t>延迟退还的，应当按照合同约定和法律规定承担相应的赔偿责任</w:t>
      </w:r>
      <w:r>
        <w:rPr>
          <w:rFonts w:hint="eastAsia" w:ascii="宋体" w:hAnsi="宋体" w:cs="宋体"/>
          <w:color w:val="auto"/>
          <w:sz w:val="24"/>
          <w:highlight w:val="none"/>
        </w:rPr>
        <w:t>。</w:t>
      </w:r>
    </w:p>
    <w:p w14:paraId="71DF7153">
      <w:pPr>
        <w:tabs>
          <w:tab w:val="left" w:pos="0"/>
        </w:tabs>
        <w:spacing w:line="360" w:lineRule="auto"/>
        <w:ind w:firstLine="482"/>
        <w:rPr>
          <w:rFonts w:ascii="宋体" w:hAnsi="宋体" w:cs="宋体"/>
          <w:color w:val="auto"/>
          <w:kern w:val="0"/>
          <w:sz w:val="24"/>
          <w:highlight w:val="none"/>
        </w:rPr>
      </w:pPr>
      <w:r>
        <w:rPr>
          <w:rFonts w:hint="eastAsia" w:ascii="宋体" w:hAnsi="宋体" w:cs="宋体"/>
          <w:color w:val="auto"/>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7DCB56D8">
      <w:pPr>
        <w:tabs>
          <w:tab w:val="left" w:pos="432"/>
        </w:tabs>
        <w:spacing w:line="360" w:lineRule="auto"/>
        <w:rPr>
          <w:color w:val="auto"/>
          <w:highlight w:val="none"/>
        </w:rPr>
      </w:pPr>
      <w:r>
        <w:rPr>
          <w:rFonts w:ascii="宋体" w:hAnsi="宋体"/>
          <w:b/>
          <w:bCs/>
          <w:color w:val="auto"/>
          <w:sz w:val="24"/>
          <w:szCs w:val="32"/>
          <w:highlight w:val="none"/>
        </w:rPr>
        <w:t>27.预付款</w:t>
      </w:r>
    </w:p>
    <w:p w14:paraId="70C2FECE">
      <w:pPr>
        <w:adjustRightInd/>
        <w:spacing w:line="360" w:lineRule="auto"/>
        <w:ind w:firstLine="480" w:firstLineChars="200"/>
        <w:rPr>
          <w:color w:val="auto"/>
          <w:highlight w:val="none"/>
        </w:rPr>
      </w:pPr>
      <w:r>
        <w:rPr>
          <w:rFonts w:hint="eastAsia" w:ascii="宋体" w:hAnsi="宋体"/>
          <w:color w:val="auto"/>
          <w:sz w:val="24"/>
          <w:highlight w:val="none"/>
        </w:rPr>
        <w:t>采购单位应当在政府采购合同中约定预付款，对中小企业合同预付款比例原则上不低于合同金额的</w:t>
      </w:r>
      <w:r>
        <w:rPr>
          <w:rFonts w:ascii="宋体" w:hAnsi="宋体"/>
          <w:color w:val="auto"/>
          <w:sz w:val="24"/>
          <w:highlight w:val="none"/>
        </w:rPr>
        <w:t>40％</w:t>
      </w:r>
      <w:r>
        <w:rPr>
          <w:rFonts w:hint="eastAsia" w:ascii="宋体" w:hAnsi="宋体"/>
          <w:color w:val="auto"/>
          <w:sz w:val="24"/>
          <w:highlight w:val="none"/>
        </w:rPr>
        <w:t>，不高于合同金额的</w:t>
      </w:r>
      <w:r>
        <w:rPr>
          <w:rFonts w:ascii="宋体" w:hAnsi="宋体"/>
          <w:color w:val="auto"/>
          <w:sz w:val="24"/>
          <w:highlight w:val="none"/>
        </w:rPr>
        <w:t>70%；项目分年安排预算的，每年预付款比例</w:t>
      </w:r>
      <w:r>
        <w:rPr>
          <w:rFonts w:hint="eastAsia" w:ascii="宋体" w:hAnsi="宋体"/>
          <w:color w:val="auto"/>
          <w:sz w:val="24"/>
          <w:highlight w:val="none"/>
        </w:rPr>
        <w:t>不低于</w:t>
      </w:r>
      <w:r>
        <w:rPr>
          <w:rFonts w:ascii="宋体" w:hAnsi="宋体"/>
          <w:color w:val="auto"/>
          <w:sz w:val="24"/>
          <w:highlight w:val="none"/>
        </w:rPr>
        <w:t>项目年度计划支付资金额的40％</w:t>
      </w:r>
      <w:r>
        <w:rPr>
          <w:rFonts w:hint="eastAsia" w:ascii="宋体" w:hAnsi="宋体"/>
          <w:color w:val="auto"/>
          <w:sz w:val="24"/>
          <w:highlight w:val="none"/>
        </w:rPr>
        <w:t>，不高于合同金额的</w:t>
      </w:r>
      <w:r>
        <w:rPr>
          <w:rFonts w:ascii="宋体" w:hAnsi="宋体"/>
          <w:color w:val="auto"/>
          <w:sz w:val="24"/>
          <w:highlight w:val="none"/>
        </w:rPr>
        <w:t>70%；采购项目实施以人工投入为主的，</w:t>
      </w:r>
      <w:r>
        <w:rPr>
          <w:rFonts w:hint="eastAsia" w:ascii="宋体" w:hAnsi="宋体"/>
          <w:color w:val="auto"/>
          <w:sz w:val="24"/>
          <w:highlight w:val="none"/>
        </w:rPr>
        <w:t>可适当降低预付款比例，但不得低于</w:t>
      </w:r>
      <w:r>
        <w:rPr>
          <w:rFonts w:ascii="宋体" w:hAnsi="宋体"/>
          <w:color w:val="auto"/>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color w:val="auto"/>
          <w:sz w:val="24"/>
          <w:highlight w:val="none"/>
        </w:rPr>
        <w:t>供应商</w:t>
      </w:r>
      <w:r>
        <w:rPr>
          <w:rFonts w:ascii="宋体" w:hAnsi="宋体"/>
          <w:color w:val="auto"/>
          <w:sz w:val="24"/>
          <w:highlight w:val="none"/>
        </w:rPr>
        <w:t>明确表示无需预付款或者主动要求降低预付款比例的，</w:t>
      </w:r>
      <w:r>
        <w:rPr>
          <w:rFonts w:hint="eastAsia" w:ascii="宋体" w:hAnsi="宋体"/>
          <w:color w:val="auto"/>
          <w:sz w:val="24"/>
          <w:highlight w:val="none"/>
        </w:rPr>
        <w:t>采购单位</w:t>
      </w:r>
      <w:r>
        <w:rPr>
          <w:rFonts w:ascii="宋体" w:hAnsi="宋体"/>
          <w:color w:val="auto"/>
          <w:sz w:val="24"/>
          <w:highlight w:val="none"/>
        </w:rPr>
        <w:t>可不适用前述规定。</w:t>
      </w:r>
      <w:r>
        <w:rPr>
          <w:rFonts w:hint="eastAsia" w:ascii="宋体" w:hAnsi="宋体"/>
          <w:color w:val="auto"/>
          <w:sz w:val="24"/>
          <w:highlight w:val="none"/>
        </w:rPr>
        <w:t>采购单位</w:t>
      </w:r>
      <w:r>
        <w:rPr>
          <w:rFonts w:ascii="宋体" w:hAnsi="宋体"/>
          <w:color w:val="auto"/>
          <w:sz w:val="24"/>
          <w:highlight w:val="none"/>
        </w:rPr>
        <w:t>根据项目特点、供应商诚信等因素，可以要求</w:t>
      </w:r>
      <w:r>
        <w:rPr>
          <w:rFonts w:hint="eastAsia" w:ascii="宋体" w:hAnsi="宋体"/>
          <w:color w:val="auto"/>
          <w:sz w:val="24"/>
          <w:highlight w:val="none"/>
        </w:rPr>
        <w:t>供应商</w:t>
      </w:r>
      <w:r>
        <w:rPr>
          <w:rFonts w:ascii="宋体" w:hAnsi="宋体"/>
          <w:color w:val="auto"/>
          <w:sz w:val="24"/>
          <w:highlight w:val="none"/>
        </w:rPr>
        <w:t>提交银行、保险公司等金融机构出具的预付款保函或其他担保措施。政府采购预付款应在合同生效以及具备实施条件后5个工作日内支付。</w:t>
      </w:r>
      <w:r>
        <w:rPr>
          <w:rFonts w:hint="eastAsia" w:ascii="宋体" w:hAnsi="宋体"/>
          <w:color w:val="auto"/>
          <w:sz w:val="24"/>
          <w:highlight w:val="none"/>
        </w:rPr>
        <w:t>政府采购工程以及与工程建设有关的货物、服务，采用招标方式采购的，预付款从其相关规定。供应商可登录政采云前台大厅选择金融服务</w:t>
      </w:r>
      <w:r>
        <w:rPr>
          <w:rFonts w:ascii="宋体" w:hAnsi="宋体"/>
          <w:color w:val="auto"/>
          <w:sz w:val="24"/>
          <w:highlight w:val="none"/>
        </w:rPr>
        <w:t xml:space="preserve"> - </w:t>
      </w:r>
      <w:r>
        <w:rPr>
          <w:rFonts w:hint="eastAsia" w:ascii="宋体" w:hAnsi="宋体"/>
          <w:color w:val="auto"/>
          <w:sz w:val="24"/>
          <w:highlight w:val="none"/>
        </w:rPr>
        <w:t>【保函保险服务】出具预付款保函，具体步骤：选择产品—填写供应商信息—选择中标项目—确认信息—等待保险</w:t>
      </w:r>
      <w:r>
        <w:rPr>
          <w:rFonts w:ascii="宋体" w:hAnsi="宋体"/>
          <w:color w:val="auto"/>
          <w:sz w:val="24"/>
          <w:highlight w:val="none"/>
        </w:rPr>
        <w:t>/保函受理—确认保单—支付保费—成功出单。政</w:t>
      </w:r>
      <w:r>
        <w:rPr>
          <w:rFonts w:hint="eastAsia" w:ascii="宋体" w:hAnsi="宋体"/>
          <w:color w:val="auto"/>
          <w:sz w:val="24"/>
          <w:highlight w:val="none"/>
        </w:rPr>
        <w:t>采云金融专线</w:t>
      </w:r>
      <w:r>
        <w:rPr>
          <w:rFonts w:ascii="宋体" w:hAnsi="宋体"/>
          <w:color w:val="auto"/>
          <w:sz w:val="24"/>
          <w:highlight w:val="none"/>
        </w:rPr>
        <w:t>400-903-9583。</w:t>
      </w:r>
    </w:p>
    <w:p w14:paraId="229E9F35">
      <w:pPr>
        <w:snapToGrid w:val="0"/>
        <w:spacing w:line="360" w:lineRule="auto"/>
        <w:rPr>
          <w:rFonts w:ascii="宋体" w:hAnsi="宋体" w:cs="宋体"/>
          <w:b/>
          <w:color w:val="auto"/>
          <w:sz w:val="32"/>
          <w:highlight w:val="none"/>
        </w:rPr>
      </w:pPr>
    </w:p>
    <w:p w14:paraId="39935716">
      <w:pPr>
        <w:pStyle w:val="4"/>
        <w:spacing w:before="0" w:after="0" w:line="360" w:lineRule="auto"/>
        <w:jc w:val="center"/>
        <w:rPr>
          <w:rFonts w:hint="eastAsia"/>
          <w:color w:val="auto"/>
          <w:sz w:val="28"/>
          <w:szCs w:val="28"/>
          <w:highlight w:val="none"/>
        </w:rPr>
      </w:pPr>
      <w:bookmarkStart w:id="26" w:name="_Toc30283"/>
      <w:r>
        <w:rPr>
          <w:rFonts w:hint="eastAsia"/>
          <w:color w:val="auto"/>
          <w:sz w:val="28"/>
          <w:szCs w:val="28"/>
          <w:highlight w:val="none"/>
        </w:rPr>
        <w:t>八、电子交易活动的中止</w:t>
      </w:r>
      <w:bookmarkEnd w:id="26"/>
    </w:p>
    <w:p w14:paraId="24955A07">
      <w:pPr>
        <w:pStyle w:val="42"/>
        <w:snapToGrid w:val="0"/>
        <w:spacing w:before="0"/>
        <w:ind w:firstLine="0" w:firstLineChars="0"/>
        <w:rPr>
          <w:rFonts w:ascii="宋体" w:hAnsi="宋体" w:cs="宋体"/>
          <w:color w:val="auto"/>
          <w:highlight w:val="none"/>
        </w:rPr>
      </w:pPr>
      <w:r>
        <w:rPr>
          <w:rFonts w:ascii="宋体" w:hAnsi="宋体" w:cs="宋体"/>
          <w:b/>
          <w:bCs/>
          <w:color w:val="auto"/>
          <w:highlight w:val="none"/>
        </w:rPr>
        <w:t>2</w:t>
      </w:r>
      <w:r>
        <w:rPr>
          <w:rFonts w:ascii="宋体" w:hAnsi="宋体" w:cs="宋体"/>
          <w:b/>
          <w:bCs/>
          <w:color w:val="auto"/>
          <w:szCs w:val="24"/>
          <w:highlight w:val="none"/>
        </w:rPr>
        <w:t>8</w:t>
      </w:r>
      <w:r>
        <w:rPr>
          <w:rFonts w:hint="eastAsia" w:ascii="宋体" w:hAnsi="宋体" w:cs="宋体"/>
          <w:b/>
          <w:color w:val="auto"/>
          <w:szCs w:val="24"/>
          <w:highlight w:val="none"/>
        </w:rPr>
        <w:t>. 电子交易活动的中止。</w:t>
      </w:r>
      <w:r>
        <w:rPr>
          <w:rFonts w:hint="eastAsia" w:ascii="宋体" w:hAnsi="宋体" w:cs="宋体"/>
          <w:color w:val="auto"/>
          <w:highlight w:val="none"/>
        </w:rPr>
        <w:t>采购过程中出现以下情形，导致电子交易平台无法正常运行，或者无法保证电子交易的公平、公正和安全时，采购代理机构可中止电子交易活动：</w:t>
      </w:r>
    </w:p>
    <w:p w14:paraId="3AE78038">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 xml:space="preserve">28.1电子交易平台发生故障而无法登录访问的； </w:t>
      </w:r>
    </w:p>
    <w:p w14:paraId="1E031B78">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28.2电子交易平台应用或数据库出现错误，不能进行正常操作的；</w:t>
      </w:r>
    </w:p>
    <w:p w14:paraId="1F080B5A">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28.3电子交易平台发现严重安全漏洞，有潜在泄密危险的；</w:t>
      </w:r>
    </w:p>
    <w:p w14:paraId="321F3ECD">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 xml:space="preserve">28.4病毒发作导致不能进行正常操作的； </w:t>
      </w:r>
    </w:p>
    <w:p w14:paraId="3308D003">
      <w:pPr>
        <w:pStyle w:val="42"/>
        <w:snapToGrid w:val="0"/>
        <w:spacing w:before="0"/>
        <w:ind w:firstLine="480"/>
        <w:rPr>
          <w:rFonts w:ascii="宋体" w:hAnsi="宋体" w:cs="宋体"/>
          <w:color w:val="auto"/>
          <w:highlight w:val="none"/>
        </w:rPr>
      </w:pPr>
      <w:r>
        <w:rPr>
          <w:rFonts w:hint="eastAsia" w:ascii="宋体" w:hAnsi="宋体" w:cs="宋体"/>
          <w:color w:val="auto"/>
          <w:highlight w:val="none"/>
        </w:rPr>
        <w:t>28.5其他无法保证电子交易的公平、公正和安全的情况。</w:t>
      </w:r>
    </w:p>
    <w:p w14:paraId="5C42F707">
      <w:pPr>
        <w:pStyle w:val="42"/>
        <w:snapToGrid w:val="0"/>
        <w:spacing w:before="0"/>
        <w:ind w:firstLine="0" w:firstLineChars="0"/>
        <w:rPr>
          <w:rFonts w:ascii="宋体" w:hAnsi="宋体" w:cs="宋体"/>
          <w:color w:val="auto"/>
          <w:highlight w:val="none"/>
        </w:rPr>
      </w:pPr>
      <w:r>
        <w:rPr>
          <w:rFonts w:hint="eastAsia" w:ascii="宋体" w:hAnsi="宋体" w:cs="宋体"/>
          <w:color w:val="auto"/>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7A9F1438">
      <w:pPr>
        <w:tabs>
          <w:tab w:val="left" w:pos="0"/>
        </w:tabs>
        <w:spacing w:line="360" w:lineRule="auto"/>
        <w:ind w:firstLine="480"/>
        <w:rPr>
          <w:rFonts w:ascii="宋体" w:hAnsi="宋体" w:cs="宋体"/>
          <w:color w:val="auto"/>
          <w:sz w:val="24"/>
          <w:highlight w:val="none"/>
        </w:rPr>
      </w:pPr>
    </w:p>
    <w:p w14:paraId="307BA3D0">
      <w:pPr>
        <w:pStyle w:val="4"/>
        <w:spacing w:before="0" w:after="0" w:line="360" w:lineRule="auto"/>
        <w:jc w:val="center"/>
        <w:rPr>
          <w:rFonts w:hint="eastAsia"/>
          <w:color w:val="auto"/>
          <w:sz w:val="28"/>
          <w:szCs w:val="28"/>
          <w:highlight w:val="none"/>
        </w:rPr>
      </w:pPr>
      <w:bookmarkStart w:id="27" w:name="_Toc24757"/>
      <w:r>
        <w:rPr>
          <w:rFonts w:hint="eastAsia"/>
          <w:color w:val="auto"/>
          <w:sz w:val="28"/>
          <w:szCs w:val="28"/>
          <w:highlight w:val="none"/>
        </w:rPr>
        <w:t>九、验收</w:t>
      </w:r>
      <w:bookmarkEnd w:id="27"/>
    </w:p>
    <w:p w14:paraId="6EAAE322">
      <w:pPr>
        <w:pStyle w:val="10"/>
        <w:spacing w:line="360" w:lineRule="auto"/>
        <w:ind w:firstLine="0" w:firstLineChars="0"/>
        <w:rPr>
          <w:rFonts w:cs="宋体"/>
          <w:b/>
          <w:color w:val="auto"/>
          <w:highlight w:val="none"/>
        </w:rPr>
      </w:pPr>
      <w:r>
        <w:rPr>
          <w:rFonts w:hint="eastAsia" w:cs="宋体"/>
          <w:b/>
          <w:color w:val="auto"/>
          <w:highlight w:val="none"/>
        </w:rPr>
        <w:t>30.验收</w:t>
      </w:r>
    </w:p>
    <w:p w14:paraId="2F98D8D0">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94D1F1C">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30.2采购人可以邀请参加本项目的其他投标人或者第三方机构参与验收。参与验收的投标人或者第三方机构的意见作为验收书的参考资料一并存档。</w:t>
      </w:r>
    </w:p>
    <w:p w14:paraId="51247FB1">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F0E6003">
      <w:pPr>
        <w:tabs>
          <w:tab w:val="left" w:pos="0"/>
        </w:tabs>
        <w:spacing w:line="360" w:lineRule="auto"/>
        <w:ind w:firstLine="480"/>
        <w:rPr>
          <w:rFonts w:ascii="宋体" w:hAnsi="宋体" w:cs="宋体"/>
          <w:color w:val="auto"/>
          <w:sz w:val="18"/>
          <w:szCs w:val="18"/>
          <w:highlight w:val="none"/>
        </w:rPr>
      </w:pPr>
      <w:r>
        <w:rPr>
          <w:rFonts w:hint="eastAsia" w:ascii="宋体" w:hAnsi="宋体" w:cs="宋体"/>
          <w:color w:val="auto"/>
          <w:kern w:val="0"/>
          <w:sz w:val="24"/>
          <w:highlight w:val="none"/>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23"/>
    <w:p w14:paraId="639ED802">
      <w:pPr>
        <w:tabs>
          <w:tab w:val="left" w:pos="0"/>
        </w:tabs>
        <w:spacing w:line="360" w:lineRule="auto"/>
        <w:ind w:firstLine="480"/>
        <w:rPr>
          <w:rFonts w:ascii="宋体" w:hAnsi="宋体" w:cs="宋体"/>
          <w:color w:val="auto"/>
          <w:kern w:val="0"/>
          <w:sz w:val="24"/>
          <w:highlight w:val="none"/>
        </w:rPr>
        <w:sectPr>
          <w:headerReference r:id="rId4" w:type="first"/>
          <w:footerReference r:id="rId7" w:type="first"/>
          <w:headerReference r:id="rId3" w:type="default"/>
          <w:footerReference r:id="rId5" w:type="default"/>
          <w:footerReference r:id="rId6" w:type="even"/>
          <w:pgSz w:w="11906" w:h="16838"/>
          <w:pgMar w:top="680" w:right="1418" w:bottom="468" w:left="1418" w:header="851" w:footer="992" w:gutter="0"/>
          <w:cols w:space="720" w:num="1"/>
          <w:titlePg/>
          <w:docGrid w:linePitch="312" w:charSpace="0"/>
        </w:sectPr>
      </w:pPr>
      <w:bookmarkStart w:id="28" w:name="_Hlt68072998"/>
      <w:bookmarkEnd w:id="28"/>
      <w:bookmarkStart w:id="29" w:name="_Hlt75236101"/>
      <w:bookmarkEnd w:id="29"/>
      <w:bookmarkStart w:id="30" w:name="_Hlt74730295"/>
      <w:bookmarkEnd w:id="30"/>
      <w:bookmarkStart w:id="31" w:name="_Hlt75236290"/>
      <w:bookmarkEnd w:id="31"/>
      <w:bookmarkStart w:id="32" w:name="_Hlt68073093"/>
      <w:bookmarkEnd w:id="32"/>
      <w:bookmarkStart w:id="33" w:name="_Hlt68057669"/>
      <w:bookmarkEnd w:id="33"/>
      <w:bookmarkStart w:id="34" w:name="_Hlt68072990"/>
      <w:bookmarkEnd w:id="34"/>
      <w:bookmarkStart w:id="35" w:name="_Hlt68403820"/>
      <w:bookmarkEnd w:id="35"/>
      <w:bookmarkStart w:id="36" w:name="_Hlt74707468"/>
      <w:bookmarkEnd w:id="36"/>
      <w:bookmarkStart w:id="37" w:name="_Hlt74729768"/>
      <w:bookmarkEnd w:id="37"/>
      <w:bookmarkStart w:id="38" w:name="_Hlt74714665"/>
      <w:bookmarkEnd w:id="38"/>
      <w:bookmarkStart w:id="39" w:name="_Hlt75236011"/>
      <w:bookmarkEnd w:id="39"/>
    </w:p>
    <w:bookmarkEnd w:id="13"/>
    <w:bookmarkEnd w:id="14"/>
    <w:p w14:paraId="1763C599">
      <w:pPr>
        <w:adjustRightInd/>
        <w:spacing w:line="360" w:lineRule="auto"/>
        <w:jc w:val="center"/>
        <w:outlineLvl w:val="0"/>
        <w:rPr>
          <w:rStyle w:val="34"/>
          <w:rFonts w:hint="eastAsia"/>
          <w:color w:val="auto"/>
          <w:highlight w:val="none"/>
        </w:rPr>
      </w:pPr>
      <w:bookmarkStart w:id="40" w:name="_Toc19235"/>
      <w:bookmarkStart w:id="41" w:name="第四部分"/>
      <w:r>
        <w:rPr>
          <w:rStyle w:val="34"/>
          <w:rFonts w:hint="eastAsia"/>
          <w:color w:val="auto"/>
          <w:highlight w:val="none"/>
        </w:rPr>
        <w:t>第三部分 采购需求</w:t>
      </w:r>
      <w:bookmarkEnd w:id="40"/>
    </w:p>
    <w:p w14:paraId="2E0486D3">
      <w:pPr>
        <w:spacing w:line="360" w:lineRule="auto"/>
        <w:ind w:firstLine="482" w:firstLineChars="200"/>
        <w:rPr>
          <w:rFonts w:hint="eastAsia" w:ascii="宋体" w:hAnsi="宋体" w:eastAsia="宋体" w:cs="宋体"/>
          <w:b/>
          <w:i/>
          <w:color w:val="auto"/>
          <w:sz w:val="24"/>
          <w:szCs w:val="24"/>
          <w:highlight w:val="none"/>
          <w:lang w:val="en-US" w:eastAsia="zh-CN"/>
        </w:rPr>
      </w:pPr>
      <w:bookmarkStart w:id="42" w:name="_Toc254707151"/>
      <w:bookmarkStart w:id="43" w:name="_Toc295165671"/>
      <w:bookmarkStart w:id="44" w:name="_Toc268526183"/>
      <w:bookmarkStart w:id="45" w:name="_Toc257035793"/>
      <w:bookmarkStart w:id="46" w:name="_Toc257035693"/>
      <w:bookmarkStart w:id="47" w:name="_Toc251399868"/>
      <w:r>
        <w:rPr>
          <w:rFonts w:hint="eastAsia" w:ascii="宋体" w:hAnsi="宋体" w:cs="宋体"/>
          <w:b/>
          <w:color w:val="auto"/>
          <w:sz w:val="24"/>
          <w:szCs w:val="24"/>
          <w:highlight w:val="none"/>
        </w:rPr>
        <w:t>一、采购</w:t>
      </w:r>
      <w:r>
        <w:rPr>
          <w:rFonts w:hint="eastAsia" w:ascii="宋体" w:hAnsi="宋体" w:cs="宋体"/>
          <w:b/>
          <w:color w:val="auto"/>
          <w:sz w:val="24"/>
          <w:szCs w:val="24"/>
          <w:highlight w:val="none"/>
          <w:lang w:val="en-US" w:eastAsia="zh-CN"/>
        </w:rPr>
        <w:t>内容</w:t>
      </w:r>
    </w:p>
    <w:tbl>
      <w:tblPr>
        <w:tblStyle w:val="27"/>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880"/>
        <w:gridCol w:w="6217"/>
        <w:gridCol w:w="817"/>
      </w:tblGrid>
      <w:tr w14:paraId="4648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592A1F9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880" w:type="dxa"/>
            <w:noWrap w:val="0"/>
            <w:vAlign w:val="center"/>
          </w:tcPr>
          <w:p w14:paraId="0F830F8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6217" w:type="dxa"/>
            <w:noWrap w:val="0"/>
            <w:vAlign w:val="center"/>
          </w:tcPr>
          <w:p w14:paraId="67F4D2A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详细技术指标</w:t>
            </w:r>
          </w:p>
        </w:tc>
        <w:tc>
          <w:tcPr>
            <w:tcW w:w="817" w:type="dxa"/>
            <w:noWrap w:val="0"/>
            <w:vAlign w:val="center"/>
          </w:tcPr>
          <w:p w14:paraId="0A536C4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r>
      <w:tr w14:paraId="4C45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7E505D7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0" w:type="dxa"/>
            <w:noWrap w:val="0"/>
            <w:vAlign w:val="center"/>
          </w:tcPr>
          <w:p w14:paraId="1D612CC1">
            <w:pPr>
              <w:widowControl/>
              <w:jc w:val="center"/>
              <w:rPr>
                <w:rFonts w:hint="eastAsia" w:ascii="宋体" w:hAnsi="宋体" w:eastAsia="宋体" w:cs="宋体"/>
                <w:color w:val="auto"/>
                <w:kern w:val="0"/>
                <w:sz w:val="22"/>
                <w:szCs w:val="22"/>
                <w:highlight w:val="none"/>
              </w:rPr>
            </w:pPr>
            <w:r>
              <w:rPr>
                <w:rFonts w:hint="eastAsia" w:ascii="宋体" w:hAnsi="宋体"/>
                <w:color w:val="auto"/>
                <w:sz w:val="24"/>
                <w:highlight w:val="none"/>
              </w:rPr>
              <w:t>※</w:t>
            </w:r>
            <w:r>
              <w:rPr>
                <w:rFonts w:hint="eastAsia" w:ascii="宋体" w:hAnsi="宋体" w:eastAsia="宋体" w:cs="宋体"/>
                <w:color w:val="auto"/>
                <w:kern w:val="0"/>
                <w:sz w:val="22"/>
                <w:szCs w:val="22"/>
                <w:highlight w:val="none"/>
              </w:rPr>
              <w:t>三人位公寓组合床      （五人间）</w:t>
            </w:r>
          </w:p>
          <w:p w14:paraId="3DCC733D">
            <w:pPr>
              <w:ind w:firstLine="220" w:firstLineChars="1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加长床</w:t>
            </w:r>
            <w:r>
              <w:rPr>
                <w:rFonts w:hint="eastAsia" w:ascii="宋体" w:hAnsi="宋体" w:eastAsia="宋体" w:cs="宋体"/>
                <w:b/>
                <w:bCs/>
                <w:color w:val="auto"/>
                <w:kern w:val="0"/>
                <w:sz w:val="22"/>
                <w:szCs w:val="22"/>
                <w:highlight w:val="none"/>
              </w:rPr>
              <w:t>（提供样品）</w:t>
            </w:r>
          </w:p>
        </w:tc>
        <w:tc>
          <w:tcPr>
            <w:tcW w:w="6217" w:type="dxa"/>
            <w:noWrap w:val="0"/>
            <w:vAlign w:val="top"/>
          </w:tcPr>
          <w:p w14:paraId="33E3F162">
            <w:pPr>
              <w:numPr>
                <w:ilvl w:val="0"/>
                <w:numId w:val="0"/>
              </w:num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lang w:bidi="ar"/>
              </w:rPr>
              <w:t>参考规格：4550*900*2900mm（含蚊帐架），根据现场实际情况调整；</w:t>
            </w:r>
          </w:p>
          <w:p w14:paraId="3273E9F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2.立柱：采用≥50*80*1.2mm异型管，立柱底部端口安装优质工程塑料内塞；</w:t>
            </w:r>
          </w:p>
          <w:p w14:paraId="5D5699A0">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3.床挺：≥50*60*1.2mm异型管；</w:t>
            </w:r>
          </w:p>
          <w:p w14:paraId="6D42AFE6">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4.床头、床尾横管：整体框架由≥25*25*1.0mm方管、≥25*50*1.0mm方管组成，并安装一块优质ENF级实木多层板，板材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w:t>
            </w:r>
          </w:p>
          <w:p w14:paraId="4897B992">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5.床护栏：前护栏高度≥380mm；整体框架采用≥25mm*25mm*1.2mm优质方管，内镶优质ENF级实木多层板，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并在合理位置设置安全通气观察窗。后护栏整体框架采用≥20*20*1.2mm优质方管，内镶优质ENF级实木多层板，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高度≥320mm；</w:t>
            </w:r>
          </w:p>
          <w:p w14:paraId="38C4B4E2">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6.走步梯：采用中梯样式，宽度≥450mm，钢架采用≥20*50*1.2mm方管。其他涉及板材采用优质ENF级实木多层板，板材</w:t>
            </w:r>
            <w:r>
              <w:rPr>
                <w:rFonts w:hint="eastAsia" w:ascii="宋体" w:hAnsi="宋体" w:eastAsia="宋体" w:cs="宋体"/>
                <w:bCs/>
                <w:color w:val="auto"/>
                <w:szCs w:val="21"/>
                <w:highlight w:val="none"/>
                <w:lang w:bidi="ar"/>
              </w:rPr>
              <w:t>厚度≥18mm</w:t>
            </w:r>
            <w:r>
              <w:rPr>
                <w:rFonts w:hint="eastAsia" w:ascii="宋体" w:hAnsi="宋体" w:eastAsia="宋体" w:cs="宋体"/>
                <w:color w:val="auto"/>
                <w:szCs w:val="21"/>
                <w:highlight w:val="none"/>
                <w:lang w:bidi="ar"/>
              </w:rPr>
              <w:t>。合理分配台阶数，每级踏板大小一致，踏板表面需镶嵌防滑夜光条。合理设计中梯内部储物空间，若储物空间涉及柜门，配置铝合金长条形暗拉手和阻尼缓冲铰链；</w:t>
            </w:r>
          </w:p>
          <w:p w14:paraId="277B252E">
            <w:pPr>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7.蚊帐架:采用≥19*1.2mm圆管制作，采用连接件连接，合理设计，蚊帐杆可折叠。</w:t>
            </w:r>
          </w:p>
          <w:p w14:paraId="38AFC783">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8.床板：采用≥60*15mm厚的优质杉木板，拼接缝隙≤10mm；床板平铺钉在4根30*40mm的木档上；床板加固档：≥25*25*1.0mm方管，数量不少于3根；</w:t>
            </w:r>
          </w:p>
          <w:p w14:paraId="69E6048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9.床下组合桌柜：</w:t>
            </w:r>
          </w:p>
          <w:p w14:paraId="754E8C5C">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bCs/>
                <w:color w:val="auto"/>
                <w:szCs w:val="21"/>
                <w:highlight w:val="none"/>
                <w:lang w:bidi="ar"/>
              </w:rPr>
              <w:t>具备衣柜、书桌、书架等功能，书桌与衣柜需独立分开；</w:t>
            </w:r>
          </w:p>
          <w:p w14:paraId="592F28E7">
            <w:pPr>
              <w:adjustRightInd w:val="0"/>
              <w:snapToGrid w:val="0"/>
              <w:spacing w:line="288"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（2）板材均</w:t>
            </w:r>
            <w:r>
              <w:rPr>
                <w:rFonts w:hint="eastAsia" w:ascii="宋体" w:hAnsi="宋体" w:eastAsia="宋体" w:cs="宋体"/>
                <w:bCs/>
                <w:color w:val="auto"/>
                <w:szCs w:val="21"/>
                <w:highlight w:val="none"/>
                <w:lang w:bidi="ar"/>
              </w:rPr>
              <w:t>采用三聚氰胺饰面ENF级实木多层板；</w:t>
            </w:r>
          </w:p>
          <w:p w14:paraId="10D72E6A">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bCs/>
                <w:color w:val="auto"/>
                <w:szCs w:val="21"/>
                <w:highlight w:val="none"/>
                <w:lang w:bidi="ar"/>
              </w:rPr>
              <w:t>书桌宽度≥900mm，深度≥600mm，桌面板材厚度≥18mm，其余板材厚度≥16mm。桌面挡板高度≥130mm，并在桌面挡板合理位置内嵌1个插排（≥2个2孔、≥2个3孔、≥1个USB接口）</w:t>
            </w:r>
            <w:r>
              <w:rPr>
                <w:rFonts w:hint="eastAsia" w:ascii="宋体" w:hAnsi="宋体" w:eastAsia="宋体" w:cs="宋体"/>
                <w:b/>
                <w:color w:val="auto"/>
                <w:szCs w:val="21"/>
                <w:highlight w:val="none"/>
                <w:lang w:bidi="ar"/>
              </w:rPr>
              <w:t>（▲投标文件中提</w:t>
            </w:r>
            <w:r>
              <w:rPr>
                <w:rFonts w:hint="eastAsia" w:ascii="宋体" w:hAnsi="宋体" w:eastAsia="宋体" w:cs="宋体"/>
                <w:b/>
                <w:bCs w:val="0"/>
                <w:color w:val="auto"/>
                <w:szCs w:val="21"/>
                <w:highlight w:val="none"/>
                <w:lang w:bidi="ar"/>
              </w:rPr>
              <w:t>供插排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lang w:bidi="ar"/>
              </w:rPr>
              <w:t>书桌上方合理设计书架，每行合理位置设隔板一块；如设计书桌门，门</w:t>
            </w:r>
            <w:r>
              <w:rPr>
                <w:rFonts w:hint="eastAsia" w:ascii="宋体" w:hAnsi="宋体" w:eastAsia="宋体" w:cs="宋体"/>
                <w:bCs/>
                <w:color w:val="auto"/>
                <w:szCs w:val="21"/>
                <w:highlight w:val="none"/>
                <w:lang w:bidi="ar"/>
              </w:rPr>
              <w:t>四周边角倒角设计防磕碰；</w:t>
            </w:r>
          </w:p>
          <w:p w14:paraId="5D21DA66">
            <w:pPr>
              <w:kinsoku w:val="0"/>
              <w:overflowPunct w:val="0"/>
              <w:autoSpaceDE w:val="0"/>
              <w:autoSpaceDN w:val="0"/>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r>
              <w:rPr>
                <w:rFonts w:hint="eastAsia" w:ascii="宋体" w:hAnsi="宋体" w:eastAsia="宋体" w:cs="宋体"/>
                <w:bCs/>
                <w:color w:val="auto"/>
                <w:szCs w:val="21"/>
                <w:highlight w:val="none"/>
                <w:lang w:bidi="ar"/>
              </w:rPr>
              <w:t>衣柜：宽度≥900mm，深度≥600mm。衣柜后背板厚度≥9mm，其他板材厚度≥16mm，合理设计上下两个功能区，上功能区配不锈钢材质挂衣杆。竖向双开门设计，柜门外立面四周边角倒角设计防磕碰，配优质阻尼缓冲功能铰链；</w:t>
            </w:r>
          </w:p>
          <w:p w14:paraId="10D0AE7F">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（5）拉手：衣柜门拉手采用铝、塑复合长腰形拉手；抽屉拉手采用铝合金材质。安装方式为内嵌式拉手；</w:t>
            </w:r>
          </w:p>
          <w:p w14:paraId="77D92BCE">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（6）组合桌柜底部防潮架采用≥20*50*1.2mm方管制作，并作封闭防尘处理；</w:t>
            </w:r>
          </w:p>
          <w:p w14:paraId="04D23ACA">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10.根据房型类别，合计设计床位编号样式及安装位置，如1，2，3，4，5或1号、2号.....等；</w:t>
            </w:r>
          </w:p>
          <w:p w14:paraId="2BF7516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11.上下铺两张床为加长床，床体长度</w:t>
            </w:r>
            <w:r>
              <w:rPr>
                <w:rFonts w:hint="eastAsia" w:ascii="宋体" w:hAnsi="宋体" w:eastAsia="宋体" w:cs="宋体"/>
                <w:color w:val="auto"/>
                <w:szCs w:val="21"/>
                <w:highlight w:val="none"/>
                <w:lang w:bidi="ar"/>
              </w:rPr>
              <w:t>≥2100mm</w:t>
            </w:r>
            <w:r>
              <w:rPr>
                <w:rFonts w:hint="eastAsia" w:ascii="宋体" w:hAnsi="宋体" w:eastAsia="宋体" w:cs="宋体"/>
                <w:color w:val="auto"/>
                <w:kern w:val="0"/>
                <w:szCs w:val="21"/>
                <w:highlight w:val="none"/>
                <w:lang w:bidi="ar"/>
              </w:rPr>
              <w:t>；</w:t>
            </w:r>
          </w:p>
          <w:p w14:paraId="7DD5CBA9">
            <w:pPr>
              <w:adjustRightInd w:val="0"/>
              <w:snapToGrid w:val="0"/>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12.参考图片：</w:t>
            </w:r>
          </w:p>
          <w:p w14:paraId="425F013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drawing>
                <wp:inline distT="0" distB="0" distL="114300" distR="114300">
                  <wp:extent cx="1409065" cy="1346835"/>
                  <wp:effectExtent l="0" t="0" r="635" b="5715"/>
                  <wp:docPr id="2" name="图片 4" descr="1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12222"/>
                          <pic:cNvPicPr>
                            <a:picLocks noChangeAspect="1"/>
                          </pic:cNvPicPr>
                        </pic:nvPicPr>
                        <pic:blipFill>
                          <a:blip r:embed="rId27"/>
                          <a:srcRect l="63574" t="9404" r="10320" b="52695"/>
                          <a:stretch>
                            <a:fillRect/>
                          </a:stretch>
                        </pic:blipFill>
                        <pic:spPr>
                          <a:xfrm>
                            <a:off x="0" y="0"/>
                            <a:ext cx="1409065" cy="1346835"/>
                          </a:xfrm>
                          <a:prstGeom prst="rect">
                            <a:avLst/>
                          </a:prstGeom>
                          <a:noFill/>
                          <a:ln>
                            <a:noFill/>
                          </a:ln>
                        </pic:spPr>
                      </pic:pic>
                    </a:graphicData>
                  </a:graphic>
                </wp:inline>
              </w:drawing>
            </w:r>
          </w:p>
        </w:tc>
        <w:tc>
          <w:tcPr>
            <w:tcW w:w="817" w:type="dxa"/>
            <w:noWrap w:val="0"/>
            <w:vAlign w:val="center"/>
          </w:tcPr>
          <w:p w14:paraId="3B8A14A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w:t>
            </w:r>
          </w:p>
        </w:tc>
      </w:tr>
      <w:tr w14:paraId="424E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07BC708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0" w:type="dxa"/>
            <w:noWrap w:val="0"/>
            <w:vAlign w:val="center"/>
          </w:tcPr>
          <w:p w14:paraId="4355C9BB">
            <w:pPr>
              <w:jc w:val="center"/>
              <w:rPr>
                <w:rFonts w:hint="eastAsia" w:ascii="宋体" w:hAnsi="宋体" w:eastAsia="宋体" w:cs="宋体"/>
                <w:color w:val="auto"/>
                <w:szCs w:val="21"/>
                <w:highlight w:val="none"/>
              </w:rPr>
            </w:pPr>
            <w:r>
              <w:rPr>
                <w:rFonts w:hint="eastAsia" w:ascii="宋体" w:hAnsi="宋体" w:eastAsia="宋体" w:cs="宋体"/>
                <w:color w:val="auto"/>
                <w:kern w:val="0"/>
                <w:sz w:val="22"/>
                <w:szCs w:val="22"/>
                <w:highlight w:val="none"/>
              </w:rPr>
              <w:t>二人位公寓组合床      （五人间）</w:t>
            </w:r>
          </w:p>
        </w:tc>
        <w:tc>
          <w:tcPr>
            <w:tcW w:w="6217" w:type="dxa"/>
            <w:noWrap w:val="0"/>
            <w:vAlign w:val="top"/>
          </w:tcPr>
          <w:p w14:paraId="4651429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1.参考规格：4450*900*2900mm（含蚊帐架），根据现场实际情况调整；</w:t>
            </w:r>
          </w:p>
          <w:p w14:paraId="3A28464E">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2.立柱：采用≥50*80*1.2mm异型管，立柱底部端口安装优质工程塑料内塞；</w:t>
            </w:r>
          </w:p>
          <w:p w14:paraId="40427588">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3.床挺：≥50*60*1.2mm异型管；</w:t>
            </w:r>
          </w:p>
          <w:p w14:paraId="09BD56CB">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4.床头、床尾横管：整体框架由≥25*25*1.0mm方管、≥25*50*1.0mm方管组成，并安装一块优质ENF级实木多层板，板材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高度≥320mm，安全、美观；</w:t>
            </w:r>
          </w:p>
          <w:p w14:paraId="036F32A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5.床护栏：前护栏高度≥380mm；整体框架采用≥25mm*25mm*1.2mm优质方管，内镶优质ENF级实木多层板，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并在合理位置设置安全通气观察窗。后护栏整体框架采用≥20*20*1.2mm优质方管，内镶优质ENF级实木多层板，板材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w:t>
            </w:r>
          </w:p>
          <w:p w14:paraId="0E0E779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6.走步梯：采用中梯样式，宽度≥450mm，钢架采用≥20*50*1.2mm方管。其他涉及板材采用优质ENF级实木多层板，板材</w:t>
            </w:r>
            <w:r>
              <w:rPr>
                <w:rFonts w:hint="eastAsia" w:ascii="宋体" w:hAnsi="宋体" w:eastAsia="宋体" w:cs="宋体"/>
                <w:bCs/>
                <w:color w:val="auto"/>
                <w:szCs w:val="21"/>
                <w:highlight w:val="none"/>
                <w:lang w:bidi="ar"/>
              </w:rPr>
              <w:t>厚度≥18mm</w:t>
            </w:r>
            <w:r>
              <w:rPr>
                <w:rFonts w:hint="eastAsia" w:ascii="宋体" w:hAnsi="宋体" w:eastAsia="宋体" w:cs="宋体"/>
                <w:color w:val="auto"/>
                <w:szCs w:val="21"/>
                <w:highlight w:val="none"/>
                <w:lang w:bidi="ar"/>
              </w:rPr>
              <w:t>。合理分配台阶数，每级踏板大小一致，踏板表面需镶嵌防滑夜光条。合理设计中梯内部储物空间，若储物空间涉及柜门，配置铝合金长条形暗拉手和阻尼缓冲铰链；</w:t>
            </w:r>
          </w:p>
          <w:p w14:paraId="2746C966">
            <w:pPr>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7.蚊帐架:采用≥19*1.2mm圆管制作，采用连接件连接，合理设计，蚊帐杆可折叠。</w:t>
            </w:r>
          </w:p>
          <w:p w14:paraId="5913882A">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8.床板：采用≥60*15mm厚的优质杉木板，拼接缝隙≤10mm；床板平铺钉在4根30*40mm的木档上；床板加固档：≥25*25*1.0mm方管，数量不少于3根；</w:t>
            </w:r>
          </w:p>
          <w:p w14:paraId="2F9986D3">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8.床下书桌：</w:t>
            </w:r>
          </w:p>
          <w:p w14:paraId="14413438">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bCs/>
                <w:color w:val="auto"/>
                <w:szCs w:val="21"/>
                <w:highlight w:val="none"/>
                <w:lang w:bidi="ar"/>
              </w:rPr>
              <w:t>具备书桌、书架等功能，两张书桌需独立分开；</w:t>
            </w:r>
          </w:p>
          <w:p w14:paraId="1EA0BF83">
            <w:pPr>
              <w:adjustRightInd w:val="0"/>
              <w:snapToGrid w:val="0"/>
              <w:spacing w:line="288"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（2）板材均</w:t>
            </w:r>
            <w:r>
              <w:rPr>
                <w:rFonts w:hint="eastAsia" w:ascii="宋体" w:hAnsi="宋体" w:eastAsia="宋体" w:cs="宋体"/>
                <w:bCs/>
                <w:color w:val="auto"/>
                <w:szCs w:val="21"/>
                <w:highlight w:val="none"/>
                <w:lang w:bidi="ar"/>
              </w:rPr>
              <w:t>采用三聚氰胺饰面ENF级实木多层板；</w:t>
            </w:r>
          </w:p>
          <w:p w14:paraId="1BFFFA54">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bCs/>
                <w:color w:val="auto"/>
                <w:szCs w:val="21"/>
                <w:highlight w:val="none"/>
                <w:lang w:bidi="ar"/>
              </w:rPr>
              <w:t>书桌宽度≥900mm，深度≥600mm，桌面板材厚度≥18mm，其余板材厚度≥16mm。桌面挡板高度≥130mm，并在桌面挡板合理位置内嵌1个插排（≥2个2孔、≥2个3孔、≥1个USB接口）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lang w:bidi="ar"/>
              </w:rPr>
              <w:t>书桌上方合理设计书架，每行合理位置设隔板一块；如设计书桌门，门</w:t>
            </w:r>
            <w:r>
              <w:rPr>
                <w:rFonts w:hint="eastAsia" w:ascii="宋体" w:hAnsi="宋体" w:eastAsia="宋体" w:cs="宋体"/>
                <w:bCs/>
                <w:color w:val="auto"/>
                <w:szCs w:val="21"/>
                <w:highlight w:val="none"/>
                <w:lang w:bidi="ar"/>
              </w:rPr>
              <w:t>四周边角倒角设计防磕碰；</w:t>
            </w:r>
          </w:p>
          <w:p w14:paraId="0A0C7D85">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9.根据房型类别，合计设计床位编号样式及安装位置，如1，2，3，4，5或1号、2号.....等；</w:t>
            </w:r>
          </w:p>
          <w:p w14:paraId="5FFB04B3">
            <w:pPr>
              <w:rPr>
                <w:rFonts w:hint="eastAsia" w:ascii="宋体" w:hAnsi="宋体" w:eastAsia="宋体" w:cs="宋体"/>
                <w:color w:val="auto"/>
                <w:szCs w:val="21"/>
                <w:highlight w:val="none"/>
                <w:lang w:bidi="ar"/>
              </w:rPr>
            </w:pPr>
            <w:r>
              <w:rPr>
                <w:rFonts w:hint="eastAsia" w:ascii="宋体" w:hAnsi="宋体" w:eastAsia="宋体" w:cs="宋体"/>
                <w:color w:val="auto"/>
                <w:kern w:val="0"/>
                <w:szCs w:val="21"/>
                <w:highlight w:val="none"/>
                <w:lang w:bidi="ar"/>
              </w:rPr>
              <w:t>10.</w:t>
            </w:r>
            <w:r>
              <w:rPr>
                <w:rFonts w:hint="eastAsia" w:ascii="宋体" w:hAnsi="宋体" w:eastAsia="宋体" w:cs="宋体"/>
                <w:color w:val="auto"/>
                <w:szCs w:val="21"/>
                <w:highlight w:val="none"/>
                <w:lang w:bidi="ar"/>
              </w:rPr>
              <w:t>参考图片：</w:t>
            </w:r>
          </w:p>
          <w:p w14:paraId="00D14036">
            <w:pPr>
              <w:jc w:val="center"/>
              <w:rPr>
                <w:rFonts w:hint="eastAsia" w:ascii="宋体" w:hAnsi="宋体" w:eastAsia="宋体" w:cs="宋体"/>
                <w:color w:val="auto"/>
                <w:szCs w:val="21"/>
                <w:highlight w:val="none"/>
              </w:rPr>
            </w:pPr>
            <w:r>
              <w:rPr>
                <w:rFonts w:hint="eastAsia" w:ascii="宋体" w:hAnsi="宋体" w:eastAsia="宋体" w:cs="宋体"/>
                <w:color w:val="auto"/>
                <w:sz w:val="24"/>
                <w:highlight w:val="none"/>
              </w:rPr>
              <w:drawing>
                <wp:inline distT="0" distB="0" distL="114300" distR="114300">
                  <wp:extent cx="1323975" cy="1379220"/>
                  <wp:effectExtent l="0" t="0" r="9525" b="11430"/>
                  <wp:docPr id="3" name="图片 5" descr="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1223"/>
                          <pic:cNvPicPr>
                            <a:picLocks noChangeAspect="1"/>
                          </pic:cNvPicPr>
                        </pic:nvPicPr>
                        <pic:blipFill>
                          <a:blip r:embed="rId28"/>
                          <a:srcRect l="66682" t="1691" r="6807" b="59245"/>
                          <a:stretch>
                            <a:fillRect/>
                          </a:stretch>
                        </pic:blipFill>
                        <pic:spPr>
                          <a:xfrm>
                            <a:off x="0" y="0"/>
                            <a:ext cx="1323975" cy="1379220"/>
                          </a:xfrm>
                          <a:prstGeom prst="rect">
                            <a:avLst/>
                          </a:prstGeom>
                          <a:noFill/>
                          <a:ln>
                            <a:noFill/>
                          </a:ln>
                        </pic:spPr>
                      </pic:pic>
                    </a:graphicData>
                  </a:graphic>
                </wp:inline>
              </w:drawing>
            </w:r>
          </w:p>
        </w:tc>
        <w:tc>
          <w:tcPr>
            <w:tcW w:w="817" w:type="dxa"/>
            <w:noWrap w:val="0"/>
            <w:vAlign w:val="center"/>
          </w:tcPr>
          <w:p w14:paraId="6EF8026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w:t>
            </w:r>
          </w:p>
        </w:tc>
      </w:tr>
      <w:tr w14:paraId="699EF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1CAC5A5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0" w:type="dxa"/>
            <w:noWrap w:val="0"/>
            <w:vAlign w:val="center"/>
          </w:tcPr>
          <w:p w14:paraId="6529D1F8">
            <w:pPr>
              <w:jc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 w:val="22"/>
                <w:szCs w:val="22"/>
                <w:highlight w:val="none"/>
              </w:rPr>
              <w:t>四人衣柜（五人间）</w:t>
            </w:r>
            <w:r>
              <w:rPr>
                <w:rFonts w:hint="eastAsia" w:ascii="宋体" w:hAnsi="宋体" w:eastAsia="宋体" w:cs="宋体"/>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5E97DF55">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1.参考规格：1600*600*2400mm（根据现场实际情况调整）；</w:t>
            </w:r>
          </w:p>
          <w:p w14:paraId="5C833DE6">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2.板材：采用优质ENF级实木多层板，同色封边，</w:t>
            </w:r>
            <w:r>
              <w:rPr>
                <w:rFonts w:hint="eastAsia" w:ascii="宋体" w:hAnsi="宋体" w:eastAsia="宋体" w:cs="宋体"/>
                <w:bCs/>
                <w:color w:val="auto"/>
                <w:szCs w:val="21"/>
                <w:highlight w:val="none"/>
                <w:lang w:bidi="ar"/>
              </w:rPr>
              <w:t>深度≥600mm。衣柜后背板厚度≥9mm，其他板材厚度≥16mm；</w:t>
            </w:r>
          </w:p>
          <w:p w14:paraId="30874DC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3.结合房型合理设计柜体款式及内部功能分区：四等分为四个柜子，内部合理隔断，内设挂衣杆1根，≥Φ19*1.0mm不锈钢圆管；</w:t>
            </w:r>
          </w:p>
          <w:p w14:paraId="460147C7">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4.柜门拉手采用铝合金材质，内嵌安装，配锁舌，</w:t>
            </w:r>
            <w:r>
              <w:rPr>
                <w:rFonts w:hint="eastAsia" w:ascii="宋体" w:hAnsi="宋体" w:eastAsia="宋体" w:cs="宋体"/>
                <w:bCs/>
                <w:color w:val="auto"/>
                <w:szCs w:val="21"/>
                <w:highlight w:val="none"/>
                <w:lang w:bidi="ar"/>
              </w:rPr>
              <w:t>配加强筋防止形变；</w:t>
            </w:r>
          </w:p>
          <w:p w14:paraId="4DE8D642">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5.下面设防潮架≥20*50*1.2mm方管。如设计鞋架或其他顶部储物空间，采用≥Φ15*1.2 mm圆管、≥20*2mm扁铁，表面静电喷塑处理；</w:t>
            </w:r>
          </w:p>
          <w:p w14:paraId="185C66B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6.根据房型类别，合理设计编号样式及安放位置（如：1,2,3,4,5或1号，2号…等）；</w:t>
            </w:r>
          </w:p>
          <w:p w14:paraId="06D36EC1">
            <w:pPr>
              <w:adjustRightInd w:val="0"/>
              <w:snapToGrid w:val="0"/>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7.参考图片：</w:t>
            </w:r>
          </w:p>
          <w:p w14:paraId="595DDB97">
            <w:pPr>
              <w:adjustRightInd w:val="0"/>
              <w:snapToGrid w:val="0"/>
              <w:spacing w:line="288" w:lineRule="auto"/>
              <w:jc w:val="center"/>
              <w:rPr>
                <w:rFonts w:hint="eastAsia" w:ascii="宋体" w:hAnsi="宋体" w:eastAsia="宋体" w:cs="宋体"/>
                <w:color w:val="auto"/>
                <w:szCs w:val="21"/>
                <w:highlight w:val="none"/>
              </w:rPr>
            </w:pPr>
            <w:r>
              <w:rPr>
                <w:rFonts w:hint="eastAsia" w:ascii="宋体" w:hAnsi="宋体" w:eastAsia="宋体" w:cs="宋体"/>
                <w:color w:val="auto"/>
                <w:highlight w:val="none"/>
              </w:rPr>
              <w:drawing>
                <wp:inline distT="0" distB="0" distL="114300" distR="114300">
                  <wp:extent cx="1325245" cy="1415415"/>
                  <wp:effectExtent l="0" t="0" r="8255" b="13335"/>
                  <wp:docPr id="4" name="图片 6" descr="D:\WeChat Files\WeChat Files\wxid_aenv94qffisb22\FileStorage\Temp\8d33cf3dfdc100e52216117c773b7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D:\WeChat Files\WeChat Files\wxid_aenv94qffisb22\FileStorage\Temp\8d33cf3dfdc100e52216117c773b7bd.png"/>
                          <pic:cNvPicPr>
                            <a:picLocks noChangeAspect="1"/>
                          </pic:cNvPicPr>
                        </pic:nvPicPr>
                        <pic:blipFill>
                          <a:blip r:embed="rId29"/>
                          <a:stretch>
                            <a:fillRect/>
                          </a:stretch>
                        </pic:blipFill>
                        <pic:spPr>
                          <a:xfrm>
                            <a:off x="0" y="0"/>
                            <a:ext cx="1325245" cy="1415415"/>
                          </a:xfrm>
                          <a:prstGeom prst="rect">
                            <a:avLst/>
                          </a:prstGeom>
                          <a:noFill/>
                          <a:ln>
                            <a:noFill/>
                          </a:ln>
                        </pic:spPr>
                      </pic:pic>
                    </a:graphicData>
                  </a:graphic>
                </wp:inline>
              </w:drawing>
            </w:r>
          </w:p>
        </w:tc>
        <w:tc>
          <w:tcPr>
            <w:tcW w:w="817" w:type="dxa"/>
            <w:noWrap w:val="0"/>
            <w:vAlign w:val="center"/>
          </w:tcPr>
          <w:p w14:paraId="054C189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w:t>
            </w:r>
          </w:p>
        </w:tc>
      </w:tr>
      <w:tr w14:paraId="31E6D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469F2D0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880" w:type="dxa"/>
            <w:noWrap w:val="0"/>
            <w:vAlign w:val="center"/>
          </w:tcPr>
          <w:p w14:paraId="31E34EB7">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公寓椅</w:t>
            </w:r>
          </w:p>
          <w:p w14:paraId="6B0213AD">
            <w:pPr>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（五人间）</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5D3F79FD">
            <w:pPr>
              <w:numPr>
                <w:ilvl w:val="0"/>
                <w:numId w:val="1"/>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尺寸（mm）：≥W520*D510*H775；</w:t>
            </w:r>
          </w:p>
          <w:p w14:paraId="739B4338">
            <w:pPr>
              <w:numPr>
                <w:ilvl w:val="0"/>
                <w:numId w:val="1"/>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椅座：坐深≥420mm，坐宽≥430mm ；</w:t>
            </w:r>
          </w:p>
          <w:p w14:paraId="594F1F9C">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 xml:space="preserve">3.椅面：背宽≥400mm，背高≥380mm。椅背四角采用圆润过渡造型，消除尖角磕碰风险，提升使用安全性。椅背坐靠板采用一体式结构或双柱支撑结构，确保坐板靠板牢固度。两侧弧形支撑翼自然延伸至座面，形成稳定的力学支撑；椅背中间位置带挂钩功能，便于挂包或衣物；整体通过≥20KG靠背拉力测试；             </w:t>
            </w:r>
            <w:r>
              <w:rPr>
                <w:rFonts w:hint="eastAsia" w:ascii="黑体" w:hAnsi="黑体" w:eastAsia="黑体" w:cs="黑体"/>
                <w:color w:val="auto"/>
                <w:sz w:val="28"/>
                <w:szCs w:val="28"/>
                <w:highlight w:val="none"/>
                <w:lang w:val="en-US" w:eastAsia="zh-CN"/>
              </w:rPr>
              <w:t xml:space="preserve">        </w:t>
            </w:r>
          </w:p>
          <w:p w14:paraId="05B6F456">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4.椅架：采用≥φ19*2.0mm厚优质冷轧钢管，自动焊接制成；</w:t>
            </w:r>
          </w:p>
          <w:p w14:paraId="175C957D">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5.脚垫：采用耐磨塑料材质、静音脚垫；保护垫应具有防滑性好；</w:t>
            </w:r>
          </w:p>
          <w:p w14:paraId="0D67C366">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6.塑料件外观：</w:t>
            </w:r>
            <w:r>
              <w:rPr>
                <w:rFonts w:hint="eastAsia" w:ascii="宋体" w:hAnsi="宋体" w:eastAsia="宋体" w:cs="宋体"/>
                <w:color w:val="auto"/>
                <w:szCs w:val="21"/>
                <w:highlight w:val="none"/>
                <w:lang w:val="en-US" w:eastAsia="zh-CN"/>
              </w:rPr>
              <w:t>材质选用全新加纤PP 塑料，环保可回收使用无污染。</w:t>
            </w:r>
            <w:r>
              <w:rPr>
                <w:rFonts w:hint="eastAsia" w:ascii="宋体" w:hAnsi="宋体" w:eastAsia="宋体" w:cs="宋体"/>
                <w:color w:val="auto"/>
                <w:sz w:val="21"/>
                <w:szCs w:val="21"/>
                <w:highlight w:val="none"/>
                <w:lang w:val="en-US" w:eastAsia="zh-CN"/>
              </w:rPr>
              <w:t>应无裂纹、明显变形、缩水、针孔；应无凹陷、飞边、杂质、伤痕、白印；表面应光洁，应无划痕、毛刺、拉毛、污渍；应无明显色差；</w:t>
            </w:r>
          </w:p>
          <w:p w14:paraId="29F035B4">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7.钢件外观：所有铁件需做到焊接平整、无虚焊、无明显焊疤、焊接处需打磨光滑。表面经抛丸、硅烷等防锈处理，流水线静电喷涂。</w:t>
            </w:r>
          </w:p>
          <w:p w14:paraId="0E008594">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8.▲产品质量：符合 GB/T 35607-2024《绿色产品评价 家具》的规定，且甲醛释放量≤0.05mg/m³,苯≤0.05mg/m³，甲苯≤0.10mg/m³，二甲苯（邻、间、对二甲苯之和）≤0.10mg/m³，总挥发性有机化合物（TVOC）≤0.30mg/m³，椅座椅背耐久性≥12万次。</w:t>
            </w:r>
          </w:p>
          <w:p w14:paraId="2533088F">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en-US" w:eastAsia="zh-CN"/>
              </w:rPr>
              <w:t>.参考图片：</w:t>
            </w:r>
          </w:p>
          <w:p w14:paraId="1B22C6F6">
            <w:pPr>
              <w:adjustRightInd w:val="0"/>
              <w:snapToGrid w:val="0"/>
              <w:spacing w:line="288" w:lineRule="auto"/>
              <w:jc w:val="center"/>
              <w:rPr>
                <w:rFonts w:hint="default" w:ascii="宋体" w:hAnsi="宋体" w:eastAsia="宋体" w:cs="宋体"/>
                <w:color w:val="auto"/>
                <w:szCs w:val="21"/>
                <w:highlight w:val="none"/>
                <w:lang w:val="en-US" w:eastAsia="zh-CN"/>
              </w:rPr>
            </w:pPr>
            <w:r>
              <w:rPr>
                <w:rFonts w:hint="eastAsia" w:eastAsia="宋体"/>
                <w:color w:val="auto"/>
                <w:highlight w:val="none"/>
                <w:lang w:eastAsia="zh-CN"/>
              </w:rPr>
              <w:drawing>
                <wp:inline distT="0" distB="0" distL="114300" distR="114300">
                  <wp:extent cx="1400810" cy="1400810"/>
                  <wp:effectExtent l="0" t="0" r="8890" b="8890"/>
                  <wp:docPr id="5" name="图片 3" descr="c1b34d4996bcb7d1603be585145938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1b34d4996bcb7d1603be585145938ca"/>
                          <pic:cNvPicPr>
                            <a:picLocks noChangeAspect="1"/>
                          </pic:cNvPicPr>
                        </pic:nvPicPr>
                        <pic:blipFill>
                          <a:blip r:embed="rId30"/>
                          <a:stretch>
                            <a:fillRect/>
                          </a:stretch>
                        </pic:blipFill>
                        <pic:spPr>
                          <a:xfrm>
                            <a:off x="0" y="0"/>
                            <a:ext cx="1400810" cy="1400810"/>
                          </a:xfrm>
                          <a:prstGeom prst="rect">
                            <a:avLst/>
                          </a:prstGeom>
                          <a:noFill/>
                          <a:ln>
                            <a:noFill/>
                          </a:ln>
                        </pic:spPr>
                      </pic:pic>
                    </a:graphicData>
                  </a:graphic>
                </wp:inline>
              </w:drawing>
            </w:r>
          </w:p>
          <w:p w14:paraId="42CDC9C5">
            <w:pPr>
              <w:adjustRightInd w:val="0"/>
              <w:snapToGrid w:val="0"/>
              <w:spacing w:line="288" w:lineRule="auto"/>
              <w:jc w:val="center"/>
              <w:rPr>
                <w:rFonts w:hint="eastAsia" w:ascii="宋体" w:hAnsi="宋体" w:eastAsia="宋体" w:cs="宋体"/>
                <w:color w:val="auto"/>
                <w:szCs w:val="21"/>
                <w:highlight w:val="none"/>
              </w:rPr>
            </w:pPr>
          </w:p>
        </w:tc>
        <w:tc>
          <w:tcPr>
            <w:tcW w:w="817" w:type="dxa"/>
            <w:noWrap w:val="0"/>
            <w:vAlign w:val="center"/>
          </w:tcPr>
          <w:p w14:paraId="1ACF59F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970</w:t>
            </w:r>
          </w:p>
        </w:tc>
      </w:tr>
      <w:tr w14:paraId="7C466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551" w:type="dxa"/>
            <w:gridSpan w:val="4"/>
            <w:noWrap w:val="0"/>
            <w:vAlign w:val="center"/>
          </w:tcPr>
          <w:p w14:paraId="1F6E16EE">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以上是标项一，下沙校区31号楼五人间家具</w:t>
            </w:r>
          </w:p>
        </w:tc>
      </w:tr>
      <w:tr w14:paraId="1BAC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1148DFB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880" w:type="dxa"/>
            <w:noWrap w:val="0"/>
            <w:vAlign w:val="center"/>
          </w:tcPr>
          <w:p w14:paraId="5A1D5A5F">
            <w:pPr>
              <w:widowControl/>
              <w:jc w:val="center"/>
              <w:rPr>
                <w:rFonts w:hint="eastAsia" w:ascii="宋体" w:hAnsi="宋体" w:eastAsia="宋体" w:cs="宋体"/>
                <w:color w:val="auto"/>
                <w:kern w:val="0"/>
                <w:sz w:val="22"/>
                <w:szCs w:val="22"/>
                <w:highlight w:val="none"/>
              </w:rPr>
            </w:pPr>
            <w:r>
              <w:rPr>
                <w:rFonts w:hint="eastAsia" w:ascii="宋体" w:hAnsi="宋体"/>
                <w:color w:val="auto"/>
                <w:sz w:val="24"/>
                <w:highlight w:val="none"/>
              </w:rPr>
              <w:t>※</w:t>
            </w:r>
            <w:r>
              <w:rPr>
                <w:rFonts w:hint="eastAsia" w:ascii="宋体" w:hAnsi="宋体" w:eastAsia="宋体" w:cs="宋体"/>
                <w:color w:val="auto"/>
                <w:kern w:val="0"/>
                <w:sz w:val="22"/>
                <w:szCs w:val="22"/>
                <w:highlight w:val="none"/>
              </w:rPr>
              <w:t>三人位公寓组合床      （五人间）</w:t>
            </w:r>
          </w:p>
          <w:p w14:paraId="5A703B94">
            <w:pPr>
              <w:ind w:firstLine="220" w:firstLineChars="1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加长床</w:t>
            </w:r>
            <w:r>
              <w:rPr>
                <w:rFonts w:hint="eastAsia" w:ascii="宋体" w:hAnsi="宋体" w:eastAsia="宋体" w:cs="宋体"/>
                <w:b/>
                <w:bCs/>
                <w:color w:val="auto"/>
                <w:kern w:val="0"/>
                <w:sz w:val="22"/>
                <w:szCs w:val="22"/>
                <w:highlight w:val="none"/>
              </w:rPr>
              <w:t>（提供样品）</w:t>
            </w:r>
          </w:p>
        </w:tc>
        <w:tc>
          <w:tcPr>
            <w:tcW w:w="6217" w:type="dxa"/>
            <w:noWrap w:val="0"/>
            <w:vAlign w:val="top"/>
          </w:tcPr>
          <w:p w14:paraId="1666EAB9">
            <w:pPr>
              <w:numPr>
                <w:ilvl w:val="0"/>
                <w:numId w:val="0"/>
              </w:num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lang w:bidi="ar"/>
              </w:rPr>
              <w:t>参考规格：4550*900*2900mm（含蚊帐架），根据现场实际情况调整；</w:t>
            </w:r>
          </w:p>
          <w:p w14:paraId="5C966B32">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2.立柱：采用≥50*80*1.2mm异型管，立柱底部端口安装优质工程塑料内塞；</w:t>
            </w:r>
          </w:p>
          <w:p w14:paraId="6CF3BDCE">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3.床挺：≥50*60*1.2mm异型管；</w:t>
            </w:r>
          </w:p>
          <w:p w14:paraId="2FE64A2F">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4.床头、床尾横管：整体框架由≥25*25*1.0mm方管、≥25*50*1.0mm方管组成，并安装一块优质ENF级实木多层板，板材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w:t>
            </w:r>
          </w:p>
          <w:p w14:paraId="23EB58DA">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5.床护栏：前护栏高度≥380mm；整体框架采用≥25mm*25mm*1.2mm优质方管，内镶优质ENF级实木多层板，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并在合理位置设置安全通气观察窗。后护栏整体框架采用≥20*20*1.2mm优质方管，内镶优质ENF级实木多层板，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高度≥320mm；</w:t>
            </w:r>
          </w:p>
          <w:p w14:paraId="71DE330B">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6.走步梯：采用中梯样式，宽度≥450mm，钢架采用≥20*50*1.2mm方管。其他涉及板材采用优质ENF级实木多层板，板材</w:t>
            </w:r>
            <w:r>
              <w:rPr>
                <w:rFonts w:hint="eastAsia" w:ascii="宋体" w:hAnsi="宋体" w:eastAsia="宋体" w:cs="宋体"/>
                <w:bCs/>
                <w:color w:val="auto"/>
                <w:szCs w:val="21"/>
                <w:highlight w:val="none"/>
                <w:lang w:bidi="ar"/>
              </w:rPr>
              <w:t>厚度≥18mm</w:t>
            </w:r>
            <w:r>
              <w:rPr>
                <w:rFonts w:hint="eastAsia" w:ascii="宋体" w:hAnsi="宋体" w:eastAsia="宋体" w:cs="宋体"/>
                <w:color w:val="auto"/>
                <w:szCs w:val="21"/>
                <w:highlight w:val="none"/>
                <w:lang w:bidi="ar"/>
              </w:rPr>
              <w:t>。合理分配台阶数，每级踏板大小一致，踏板表面需镶嵌防滑夜光条。合理设计中梯内部储物空间，若储物空间涉及柜门，配置铝合金长条形暗拉手和阻尼缓冲铰链；</w:t>
            </w:r>
          </w:p>
          <w:p w14:paraId="0335B2E2">
            <w:pPr>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7.蚊帐架:采用≥19*1.2mm圆管制作，采用连接件连接，合理设计，蚊帐杆可折叠。</w:t>
            </w:r>
          </w:p>
          <w:p w14:paraId="2C37BC05">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8.床板：采用≥60*15mm厚的优质杉木板，拼接缝隙≤10mm；床板平铺钉在4根30*40mm的木档上；床板加固档：≥25*25*1.0mm方管，数量不少于3根；</w:t>
            </w:r>
          </w:p>
          <w:p w14:paraId="3624B693">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9.床下组合桌柜：</w:t>
            </w:r>
          </w:p>
          <w:p w14:paraId="746FDDDE">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bCs/>
                <w:color w:val="auto"/>
                <w:szCs w:val="21"/>
                <w:highlight w:val="none"/>
                <w:lang w:bidi="ar"/>
              </w:rPr>
              <w:t>具备衣柜、书桌、书架等功能，书桌与衣柜需独立分开；</w:t>
            </w:r>
          </w:p>
          <w:p w14:paraId="62A3CD02">
            <w:pPr>
              <w:adjustRightInd w:val="0"/>
              <w:snapToGrid w:val="0"/>
              <w:spacing w:line="288"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（2）板材均</w:t>
            </w:r>
            <w:r>
              <w:rPr>
                <w:rFonts w:hint="eastAsia" w:ascii="宋体" w:hAnsi="宋体" w:eastAsia="宋体" w:cs="宋体"/>
                <w:bCs/>
                <w:color w:val="auto"/>
                <w:szCs w:val="21"/>
                <w:highlight w:val="none"/>
                <w:lang w:bidi="ar"/>
              </w:rPr>
              <w:t>采用三聚氰胺饰面ENF级实木多层板；</w:t>
            </w:r>
          </w:p>
          <w:p w14:paraId="5914B8C6">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bCs/>
                <w:color w:val="auto"/>
                <w:szCs w:val="21"/>
                <w:highlight w:val="none"/>
                <w:lang w:bidi="ar"/>
              </w:rPr>
              <w:t>书桌宽度≥900mm，深度≥600mm，桌面板材厚度≥18mm，其余板材厚度≥16mm。桌面挡板高度≥130mm，并在桌面挡板合理位置内嵌1个插排（≥2个2孔、≥2个3孔、≥1个USB接口）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lang w:bidi="ar"/>
              </w:rPr>
              <w:t>书桌上方合理设计书架，每行合理位置设隔板一块；如设计书桌门，门</w:t>
            </w:r>
            <w:r>
              <w:rPr>
                <w:rFonts w:hint="eastAsia" w:ascii="宋体" w:hAnsi="宋体" w:eastAsia="宋体" w:cs="宋体"/>
                <w:bCs/>
                <w:color w:val="auto"/>
                <w:szCs w:val="21"/>
                <w:highlight w:val="none"/>
                <w:lang w:bidi="ar"/>
              </w:rPr>
              <w:t>四周边角倒角设计防磕碰；</w:t>
            </w:r>
          </w:p>
          <w:p w14:paraId="369156E7">
            <w:pPr>
              <w:kinsoku w:val="0"/>
              <w:overflowPunct w:val="0"/>
              <w:autoSpaceDE w:val="0"/>
              <w:autoSpaceDN w:val="0"/>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r>
              <w:rPr>
                <w:rFonts w:hint="eastAsia" w:ascii="宋体" w:hAnsi="宋体" w:eastAsia="宋体" w:cs="宋体"/>
                <w:bCs/>
                <w:color w:val="auto"/>
                <w:szCs w:val="21"/>
                <w:highlight w:val="none"/>
                <w:lang w:bidi="ar"/>
              </w:rPr>
              <w:t>衣柜：宽度≥900mm，深度≥600mm。衣柜后背板厚度≥9mm，其他板材厚度≥16mm，合理设计上下两个功能区，上功能区配不锈钢材质挂衣杆。竖向双开门设计，柜门外立面四周边角倒角设计防磕碰，配优质阻尼缓冲功能铰链；</w:t>
            </w:r>
          </w:p>
          <w:p w14:paraId="3C861EB1">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（5）拉手：衣柜门拉手采用铝、塑复合长腰形拉手；抽屉拉手采用铝合金材质。安装方式为内嵌式拉手；</w:t>
            </w:r>
          </w:p>
          <w:p w14:paraId="76B168E1">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（6）组合桌柜底部防潮架采用≥20*50*1.2mm方管制作，并作封闭防尘处理；</w:t>
            </w:r>
          </w:p>
          <w:p w14:paraId="46C36D14">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10.根据房型类别，合计设计床位编号样式及安装位置，如1，2，3，4，5或1号、2号.....等；</w:t>
            </w:r>
          </w:p>
          <w:p w14:paraId="52756A1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11.上下铺两张床为加长床，床体长度</w:t>
            </w:r>
            <w:r>
              <w:rPr>
                <w:rFonts w:hint="eastAsia" w:ascii="宋体" w:hAnsi="宋体" w:eastAsia="宋体" w:cs="宋体"/>
                <w:color w:val="auto"/>
                <w:szCs w:val="21"/>
                <w:highlight w:val="none"/>
                <w:lang w:bidi="ar"/>
              </w:rPr>
              <w:t>≥2100mm</w:t>
            </w:r>
            <w:r>
              <w:rPr>
                <w:rFonts w:hint="eastAsia" w:ascii="宋体" w:hAnsi="宋体" w:eastAsia="宋体" w:cs="宋体"/>
                <w:color w:val="auto"/>
                <w:kern w:val="0"/>
                <w:szCs w:val="21"/>
                <w:highlight w:val="none"/>
                <w:lang w:bidi="ar"/>
              </w:rPr>
              <w:t>；</w:t>
            </w:r>
          </w:p>
          <w:p w14:paraId="0398354F">
            <w:pPr>
              <w:adjustRightInd w:val="0"/>
              <w:snapToGrid w:val="0"/>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12.参考图片：</w:t>
            </w:r>
          </w:p>
          <w:p w14:paraId="321E26BA">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lang w:bidi="ar"/>
              </w:rPr>
              <w:drawing>
                <wp:inline distT="0" distB="0" distL="114300" distR="114300">
                  <wp:extent cx="1409065" cy="1346835"/>
                  <wp:effectExtent l="0" t="0" r="635" b="5715"/>
                  <wp:docPr id="6" name="图片 8" descr="1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12222"/>
                          <pic:cNvPicPr>
                            <a:picLocks noChangeAspect="1"/>
                          </pic:cNvPicPr>
                        </pic:nvPicPr>
                        <pic:blipFill>
                          <a:blip r:embed="rId27"/>
                          <a:srcRect l="63574" t="9404" r="10320" b="52695"/>
                          <a:stretch>
                            <a:fillRect/>
                          </a:stretch>
                        </pic:blipFill>
                        <pic:spPr>
                          <a:xfrm>
                            <a:off x="0" y="0"/>
                            <a:ext cx="1409065" cy="1346835"/>
                          </a:xfrm>
                          <a:prstGeom prst="rect">
                            <a:avLst/>
                          </a:prstGeom>
                          <a:noFill/>
                          <a:ln>
                            <a:noFill/>
                          </a:ln>
                        </pic:spPr>
                      </pic:pic>
                    </a:graphicData>
                  </a:graphic>
                </wp:inline>
              </w:drawing>
            </w:r>
          </w:p>
        </w:tc>
        <w:tc>
          <w:tcPr>
            <w:tcW w:w="817" w:type="dxa"/>
            <w:noWrap w:val="0"/>
            <w:vAlign w:val="center"/>
          </w:tcPr>
          <w:p w14:paraId="23D92FE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180</w:t>
            </w:r>
          </w:p>
        </w:tc>
      </w:tr>
      <w:tr w14:paraId="4DE9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7EC9D38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880" w:type="dxa"/>
            <w:noWrap w:val="0"/>
            <w:vAlign w:val="center"/>
          </w:tcPr>
          <w:p w14:paraId="06244C43">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二人位公寓组合床      （五人间）</w:t>
            </w:r>
          </w:p>
        </w:tc>
        <w:tc>
          <w:tcPr>
            <w:tcW w:w="6217" w:type="dxa"/>
            <w:noWrap w:val="0"/>
            <w:vAlign w:val="top"/>
          </w:tcPr>
          <w:p w14:paraId="092B442D">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1.参考规格：4450*900*2900mm（含蚊帐架），根据现场实际情况调整；</w:t>
            </w:r>
          </w:p>
          <w:p w14:paraId="19140D4D">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2.立柱：采用≥50*80*1.2mm异型管，立柱底部端口安装优质工程塑料内塞；</w:t>
            </w:r>
          </w:p>
          <w:p w14:paraId="60FC0C6C">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3.床挺：≥50*60*1.2mm异型管；</w:t>
            </w:r>
          </w:p>
          <w:p w14:paraId="5A125EE6">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4.床头、床尾横管：整体框架由≥25*25*1.0mm方管、≥25*50*1.0mm方管组成，并安装一块优质ENF级实木多层板，板材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高度≥320mm，安全、美观；</w:t>
            </w:r>
          </w:p>
          <w:p w14:paraId="08818C2E">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5.床护栏：前护栏高度≥380mm；整体框架采用≥25mm*25mm*1.2mm优质方管，内镶优质ENF级实木多层板，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并在合理位置设置安全通气观察窗。后护栏整体框架采用≥20*20*1.2mm优质方管，内镶优质ENF级实木多层板，板材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w:t>
            </w:r>
          </w:p>
          <w:p w14:paraId="49234C53">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6.走步梯：采用中梯样式，宽度≥450mm，钢架采用≥20*50*1.2mm方管。其他涉及板材采用优质ENF级实木多层板，板材</w:t>
            </w:r>
            <w:r>
              <w:rPr>
                <w:rFonts w:hint="eastAsia" w:ascii="宋体" w:hAnsi="宋体" w:eastAsia="宋体" w:cs="宋体"/>
                <w:bCs/>
                <w:color w:val="auto"/>
                <w:szCs w:val="21"/>
                <w:highlight w:val="none"/>
                <w:lang w:bidi="ar"/>
              </w:rPr>
              <w:t>厚度≥18mm</w:t>
            </w:r>
            <w:r>
              <w:rPr>
                <w:rFonts w:hint="eastAsia" w:ascii="宋体" w:hAnsi="宋体" w:eastAsia="宋体" w:cs="宋体"/>
                <w:color w:val="auto"/>
                <w:szCs w:val="21"/>
                <w:highlight w:val="none"/>
                <w:lang w:bidi="ar"/>
              </w:rPr>
              <w:t>。合理分配台阶数，每级踏板大小一致，踏板表面需镶嵌防滑夜光条。合理设计中梯内部储物空间，若储物空间涉及柜门，配置铝合金长条形暗拉手和阻尼缓冲铰链；</w:t>
            </w:r>
          </w:p>
          <w:p w14:paraId="005C9F76">
            <w:pPr>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7.蚊帐架:采用≥19*1.2mm圆管制作，采用连接件连接，合理设计，蚊帐杆可折叠。</w:t>
            </w:r>
          </w:p>
          <w:p w14:paraId="44A0768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8.床板：采用≥60*15mm厚的优质杉木板，拼接缝隙≤10mm；床板平铺钉在4根30*40mm的木档上；床板加固档：≥25*25*1.0mm方管，数量不少于3根；</w:t>
            </w:r>
          </w:p>
          <w:p w14:paraId="72C82264">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8.床下书桌：</w:t>
            </w:r>
          </w:p>
          <w:p w14:paraId="18143A9E">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bCs/>
                <w:color w:val="auto"/>
                <w:szCs w:val="21"/>
                <w:highlight w:val="none"/>
                <w:lang w:bidi="ar"/>
              </w:rPr>
              <w:t>具备书桌、书架等功能，两张书桌需独立分开；</w:t>
            </w:r>
          </w:p>
          <w:p w14:paraId="21586C26">
            <w:pPr>
              <w:adjustRightInd w:val="0"/>
              <w:snapToGrid w:val="0"/>
              <w:spacing w:line="288"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（2）板材均</w:t>
            </w:r>
            <w:r>
              <w:rPr>
                <w:rFonts w:hint="eastAsia" w:ascii="宋体" w:hAnsi="宋体" w:eastAsia="宋体" w:cs="宋体"/>
                <w:bCs/>
                <w:color w:val="auto"/>
                <w:szCs w:val="21"/>
                <w:highlight w:val="none"/>
                <w:lang w:bidi="ar"/>
              </w:rPr>
              <w:t>采用三聚氰胺饰面ENF级实木多层板；</w:t>
            </w:r>
          </w:p>
          <w:p w14:paraId="7534F3B3">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bCs/>
                <w:color w:val="auto"/>
                <w:szCs w:val="21"/>
                <w:highlight w:val="none"/>
                <w:lang w:bidi="ar"/>
              </w:rPr>
              <w:t>书桌宽度≥900mm，深度≥600mm，桌面板材厚度≥18mm，其余板材厚度≥16mm。桌面挡板高度≥130mm，并在桌面挡板合理位置内嵌1个插排（≥2个2孔、≥2个3孔、≥1个USB接口）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lang w:bidi="ar"/>
              </w:rPr>
              <w:t>书桌上方合理设计书架，每行合理位置设隔板一块；如设计书桌门，门</w:t>
            </w:r>
            <w:r>
              <w:rPr>
                <w:rFonts w:hint="eastAsia" w:ascii="宋体" w:hAnsi="宋体" w:eastAsia="宋体" w:cs="宋体"/>
                <w:bCs/>
                <w:color w:val="auto"/>
                <w:szCs w:val="21"/>
                <w:highlight w:val="none"/>
                <w:lang w:bidi="ar"/>
              </w:rPr>
              <w:t>四周边角倒角设计防磕碰；</w:t>
            </w:r>
          </w:p>
          <w:p w14:paraId="1AA854F6">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9.根据房型类别，合计设计床位编号样式及安装位置，如1，2，3，4，5或1号、2号.....等；</w:t>
            </w:r>
          </w:p>
          <w:p w14:paraId="665E4DB5">
            <w:pPr>
              <w:rPr>
                <w:rFonts w:hint="eastAsia" w:ascii="宋体" w:hAnsi="宋体" w:eastAsia="宋体" w:cs="宋体"/>
                <w:color w:val="auto"/>
                <w:szCs w:val="21"/>
                <w:highlight w:val="none"/>
                <w:lang w:bidi="ar"/>
              </w:rPr>
            </w:pPr>
            <w:r>
              <w:rPr>
                <w:rFonts w:hint="eastAsia" w:ascii="宋体" w:hAnsi="宋体" w:eastAsia="宋体" w:cs="宋体"/>
                <w:color w:val="auto"/>
                <w:kern w:val="0"/>
                <w:szCs w:val="21"/>
                <w:highlight w:val="none"/>
                <w:lang w:bidi="ar"/>
              </w:rPr>
              <w:t>10.</w:t>
            </w:r>
            <w:r>
              <w:rPr>
                <w:rFonts w:hint="eastAsia" w:ascii="宋体" w:hAnsi="宋体" w:eastAsia="宋体" w:cs="宋体"/>
                <w:color w:val="auto"/>
                <w:szCs w:val="21"/>
                <w:highlight w:val="none"/>
                <w:lang w:bidi="ar"/>
              </w:rPr>
              <w:t>参考图片：</w:t>
            </w:r>
          </w:p>
          <w:p w14:paraId="53579219">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drawing>
                <wp:inline distT="0" distB="0" distL="114300" distR="114300">
                  <wp:extent cx="1323975" cy="1379220"/>
                  <wp:effectExtent l="0" t="0" r="9525" b="11430"/>
                  <wp:docPr id="7" name="图片 9" descr="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1223"/>
                          <pic:cNvPicPr>
                            <a:picLocks noChangeAspect="1"/>
                          </pic:cNvPicPr>
                        </pic:nvPicPr>
                        <pic:blipFill>
                          <a:blip r:embed="rId28"/>
                          <a:srcRect l="66682" t="1691" r="6807" b="59245"/>
                          <a:stretch>
                            <a:fillRect/>
                          </a:stretch>
                        </pic:blipFill>
                        <pic:spPr>
                          <a:xfrm>
                            <a:off x="0" y="0"/>
                            <a:ext cx="1323975" cy="1379220"/>
                          </a:xfrm>
                          <a:prstGeom prst="rect">
                            <a:avLst/>
                          </a:prstGeom>
                          <a:noFill/>
                          <a:ln>
                            <a:noFill/>
                          </a:ln>
                        </pic:spPr>
                      </pic:pic>
                    </a:graphicData>
                  </a:graphic>
                </wp:inline>
              </w:drawing>
            </w:r>
          </w:p>
        </w:tc>
        <w:tc>
          <w:tcPr>
            <w:tcW w:w="817" w:type="dxa"/>
            <w:noWrap w:val="0"/>
            <w:vAlign w:val="center"/>
          </w:tcPr>
          <w:p w14:paraId="6CAB545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180</w:t>
            </w:r>
          </w:p>
        </w:tc>
      </w:tr>
      <w:tr w14:paraId="0160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20488B0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0" w:type="dxa"/>
            <w:noWrap w:val="0"/>
            <w:vAlign w:val="center"/>
          </w:tcPr>
          <w:p w14:paraId="16DDA1CD">
            <w:pPr>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四人衣柜（五人间）</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2364FBE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1.参考规格：1600*600*2400mm（根据现场实际情况调整）；</w:t>
            </w:r>
          </w:p>
          <w:p w14:paraId="7EEEA1E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2.板材：采用优质ENF级实木多层板，同色封边，</w:t>
            </w:r>
            <w:r>
              <w:rPr>
                <w:rFonts w:hint="eastAsia" w:ascii="宋体" w:hAnsi="宋体" w:eastAsia="宋体" w:cs="宋体"/>
                <w:bCs/>
                <w:color w:val="auto"/>
                <w:szCs w:val="21"/>
                <w:highlight w:val="none"/>
                <w:lang w:bidi="ar"/>
              </w:rPr>
              <w:t>深度≥600mm。衣柜后背板厚度≥9mm，其他板材厚度≥16mm；</w:t>
            </w:r>
          </w:p>
          <w:p w14:paraId="4B5BE3B0">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3.结合房型合理设计柜体款式及内部功能分区：四等分为四个柜子，内部合理隔断，内设挂衣杆1根，≥Φ19*1.0mm不锈钢圆管；</w:t>
            </w:r>
          </w:p>
          <w:p w14:paraId="019C9507">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4.柜门拉手采用铝合金材质，内嵌安装，配锁舌，</w:t>
            </w:r>
            <w:r>
              <w:rPr>
                <w:rFonts w:hint="eastAsia" w:ascii="宋体" w:hAnsi="宋体" w:eastAsia="宋体" w:cs="宋体"/>
                <w:bCs/>
                <w:color w:val="auto"/>
                <w:szCs w:val="21"/>
                <w:highlight w:val="none"/>
                <w:lang w:bidi="ar"/>
              </w:rPr>
              <w:t>配加强筋防止形变；</w:t>
            </w:r>
          </w:p>
          <w:p w14:paraId="4521FB2D">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5.下面设防潮架≥20*50*1.2mm方管。如设计鞋架或其他顶部储物空间，采用≥Φ15*1.2 mm圆管、≥20*2mm扁铁，表面静电喷塑处理；</w:t>
            </w:r>
          </w:p>
          <w:p w14:paraId="551B1C11">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6.根据房型类别，合理设计编号样式及安放位置（如：1,2,3,4,5或1号，2号…等）；</w:t>
            </w:r>
          </w:p>
          <w:p w14:paraId="0072E394">
            <w:pPr>
              <w:adjustRightInd w:val="0"/>
              <w:snapToGrid w:val="0"/>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7.参考图片：</w:t>
            </w:r>
          </w:p>
          <w:p w14:paraId="3736B415">
            <w:pPr>
              <w:adjustRightInd w:val="0"/>
              <w:snapToGrid w:val="0"/>
              <w:spacing w:line="288" w:lineRule="auto"/>
              <w:jc w:val="center"/>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1325245" cy="1415415"/>
                  <wp:effectExtent l="0" t="0" r="8255" b="13335"/>
                  <wp:docPr id="8" name="图片 10" descr="D:\WeChat Files\WeChat Files\wxid_aenv94qffisb22\FileStorage\Temp\8d33cf3dfdc100e52216117c773b7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D:\WeChat Files\WeChat Files\wxid_aenv94qffisb22\FileStorage\Temp\8d33cf3dfdc100e52216117c773b7bd.png"/>
                          <pic:cNvPicPr>
                            <a:picLocks noChangeAspect="1"/>
                          </pic:cNvPicPr>
                        </pic:nvPicPr>
                        <pic:blipFill>
                          <a:blip r:embed="rId29"/>
                          <a:stretch>
                            <a:fillRect/>
                          </a:stretch>
                        </pic:blipFill>
                        <pic:spPr>
                          <a:xfrm>
                            <a:off x="0" y="0"/>
                            <a:ext cx="1325245" cy="1415415"/>
                          </a:xfrm>
                          <a:prstGeom prst="rect">
                            <a:avLst/>
                          </a:prstGeom>
                          <a:noFill/>
                          <a:ln>
                            <a:noFill/>
                          </a:ln>
                        </pic:spPr>
                      </pic:pic>
                    </a:graphicData>
                  </a:graphic>
                </wp:inline>
              </w:drawing>
            </w:r>
          </w:p>
        </w:tc>
        <w:tc>
          <w:tcPr>
            <w:tcW w:w="817" w:type="dxa"/>
            <w:noWrap w:val="0"/>
            <w:vAlign w:val="center"/>
          </w:tcPr>
          <w:p w14:paraId="01DC8A2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180</w:t>
            </w:r>
          </w:p>
        </w:tc>
      </w:tr>
      <w:tr w14:paraId="352B5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44F5A4F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0" w:type="dxa"/>
            <w:noWrap w:val="0"/>
            <w:vAlign w:val="center"/>
          </w:tcPr>
          <w:p w14:paraId="1E6F537A">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公寓椅</w:t>
            </w:r>
          </w:p>
          <w:p w14:paraId="05AE19E5">
            <w:pPr>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（五人间）</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3C6EC10C">
            <w:pPr>
              <w:numPr>
                <w:ilvl w:val="0"/>
                <w:numId w:val="2"/>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尺寸（mm）：≥W520*D510*H775；</w:t>
            </w:r>
          </w:p>
          <w:p w14:paraId="05A80538">
            <w:pPr>
              <w:numPr>
                <w:ilvl w:val="0"/>
                <w:numId w:val="2"/>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椅座：坐深≥420mm，坐宽≥430mm ；</w:t>
            </w:r>
          </w:p>
          <w:p w14:paraId="30CCC855">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 xml:space="preserve">3.椅面：背宽≥400mm，背高≥380mm。椅背四角采用圆润过渡造型，消除尖角磕碰风险，提升使用安全性。椅背坐靠板采用一体式结构或双柱支撑结构，确保坐板靠板牢固度。两侧弧形支撑翼自然延伸至座面，形成稳定的力学支撑；椅背中间位置带挂钩功能，便于挂包或衣物；整体通过≥20KG靠背拉力测试；             </w:t>
            </w:r>
            <w:r>
              <w:rPr>
                <w:rFonts w:hint="eastAsia" w:ascii="黑体" w:hAnsi="黑体" w:eastAsia="黑体" w:cs="黑体"/>
                <w:color w:val="auto"/>
                <w:sz w:val="28"/>
                <w:szCs w:val="28"/>
                <w:highlight w:val="none"/>
                <w:lang w:val="en-US" w:eastAsia="zh-CN"/>
              </w:rPr>
              <w:t xml:space="preserve">        </w:t>
            </w:r>
          </w:p>
          <w:p w14:paraId="5FDC3968">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4.椅架：采用≥φ19*2.0mm厚优质冷轧钢管，自动焊接制成；</w:t>
            </w:r>
          </w:p>
          <w:p w14:paraId="54466836">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5.脚垫：采用耐磨塑料材质、静音脚垫；保护垫应具有防滑性好；</w:t>
            </w:r>
          </w:p>
          <w:p w14:paraId="13CB243C">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6.塑料件外观：</w:t>
            </w:r>
            <w:r>
              <w:rPr>
                <w:rFonts w:hint="eastAsia" w:ascii="宋体" w:hAnsi="宋体" w:eastAsia="宋体" w:cs="宋体"/>
                <w:color w:val="auto"/>
                <w:szCs w:val="21"/>
                <w:highlight w:val="none"/>
                <w:lang w:val="en-US" w:eastAsia="zh-CN"/>
              </w:rPr>
              <w:t>材质选用全新加纤PP 塑料，环保可回收使用无污染。</w:t>
            </w:r>
            <w:r>
              <w:rPr>
                <w:rFonts w:hint="eastAsia" w:ascii="宋体" w:hAnsi="宋体" w:eastAsia="宋体" w:cs="宋体"/>
                <w:color w:val="auto"/>
                <w:sz w:val="21"/>
                <w:szCs w:val="21"/>
                <w:highlight w:val="none"/>
                <w:lang w:val="en-US" w:eastAsia="zh-CN"/>
              </w:rPr>
              <w:t>应无裂纹、明显变形、缩水、针孔；应无凹陷、飞边、杂质、伤痕、白印；表面应光洁，应无划痕、毛刺、拉毛、污渍；应无明显色差；</w:t>
            </w:r>
          </w:p>
          <w:p w14:paraId="0CB5CB08">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7.钢件外观：所有铁件需做到焊接平整、无虚焊、无明显焊疤、焊接处需打磨光滑。表面经抛丸、硅烷等防锈处理，流水线静电喷涂。</w:t>
            </w:r>
          </w:p>
          <w:p w14:paraId="16496997">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8.▲产品质量：符合 GB/T 35607-2024《绿色产品评价 家具》的规定，且甲醛释放量≤0.05mg/m³,苯≤0.05mg/m³，甲苯≤0.10mg/m³，二甲苯（邻、间、对二甲苯之和）≤0.10mg/m³，总挥发性有机化合物（TVOC）≤0.30mg/m³，椅座椅背耐久性≥12万次。</w:t>
            </w:r>
          </w:p>
          <w:p w14:paraId="700C454E">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en-US" w:eastAsia="zh-CN"/>
              </w:rPr>
              <w:t>.参考图片：</w:t>
            </w:r>
          </w:p>
          <w:p w14:paraId="61B662CE">
            <w:pPr>
              <w:adjustRightInd w:val="0"/>
              <w:snapToGrid w:val="0"/>
              <w:spacing w:line="288" w:lineRule="auto"/>
              <w:jc w:val="center"/>
              <w:rPr>
                <w:rFonts w:hint="default" w:ascii="宋体" w:hAnsi="宋体" w:eastAsia="宋体" w:cs="宋体"/>
                <w:color w:val="auto"/>
                <w:szCs w:val="21"/>
                <w:highlight w:val="none"/>
                <w:lang w:val="en-US" w:eastAsia="zh-CN"/>
              </w:rPr>
            </w:pPr>
            <w:r>
              <w:rPr>
                <w:rFonts w:hint="eastAsia" w:eastAsia="宋体"/>
                <w:color w:val="auto"/>
                <w:highlight w:val="none"/>
                <w:lang w:eastAsia="zh-CN"/>
              </w:rPr>
              <w:drawing>
                <wp:inline distT="0" distB="0" distL="114300" distR="114300">
                  <wp:extent cx="1400810" cy="1400810"/>
                  <wp:effectExtent l="0" t="0" r="8890" b="8890"/>
                  <wp:docPr id="9" name="图片 24" descr="c1b34d4996bcb7d1603be585145938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4" descr="c1b34d4996bcb7d1603be585145938ca"/>
                          <pic:cNvPicPr>
                            <a:picLocks noChangeAspect="1"/>
                          </pic:cNvPicPr>
                        </pic:nvPicPr>
                        <pic:blipFill>
                          <a:blip r:embed="rId30"/>
                          <a:stretch>
                            <a:fillRect/>
                          </a:stretch>
                        </pic:blipFill>
                        <pic:spPr>
                          <a:xfrm>
                            <a:off x="0" y="0"/>
                            <a:ext cx="1400810" cy="1400810"/>
                          </a:xfrm>
                          <a:prstGeom prst="rect">
                            <a:avLst/>
                          </a:prstGeom>
                          <a:noFill/>
                          <a:ln>
                            <a:noFill/>
                          </a:ln>
                        </pic:spPr>
                      </pic:pic>
                    </a:graphicData>
                  </a:graphic>
                </wp:inline>
              </w:drawing>
            </w:r>
          </w:p>
          <w:p w14:paraId="5FE8EE39">
            <w:pPr>
              <w:adjustRightInd w:val="0"/>
              <w:snapToGrid w:val="0"/>
              <w:spacing w:line="288" w:lineRule="auto"/>
              <w:jc w:val="both"/>
              <w:rPr>
                <w:rFonts w:hint="eastAsia" w:ascii="宋体" w:hAnsi="宋体" w:eastAsia="宋体" w:cs="宋体"/>
                <w:color w:val="auto"/>
                <w:highlight w:val="none"/>
              </w:rPr>
            </w:pPr>
          </w:p>
        </w:tc>
        <w:tc>
          <w:tcPr>
            <w:tcW w:w="817" w:type="dxa"/>
            <w:noWrap w:val="0"/>
            <w:vAlign w:val="center"/>
          </w:tcPr>
          <w:p w14:paraId="497E7BE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900</w:t>
            </w:r>
          </w:p>
        </w:tc>
      </w:tr>
      <w:tr w14:paraId="6648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1" w:type="dxa"/>
            <w:gridSpan w:val="4"/>
            <w:noWrap w:val="0"/>
            <w:vAlign w:val="center"/>
          </w:tcPr>
          <w:p w14:paraId="475811C8">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以上是标项二，下沙校区15号楼五人间家具</w:t>
            </w:r>
          </w:p>
        </w:tc>
      </w:tr>
      <w:tr w14:paraId="5FF7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4E20334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880" w:type="dxa"/>
            <w:noWrap w:val="0"/>
            <w:vAlign w:val="center"/>
          </w:tcPr>
          <w:p w14:paraId="5B8B10DF">
            <w:pPr>
              <w:widowControl/>
              <w:jc w:val="center"/>
              <w:rPr>
                <w:rFonts w:hint="eastAsia" w:ascii="宋体" w:hAnsi="宋体" w:eastAsia="宋体" w:cs="宋体"/>
                <w:color w:val="auto"/>
                <w:kern w:val="0"/>
                <w:sz w:val="22"/>
                <w:szCs w:val="22"/>
                <w:highlight w:val="none"/>
              </w:rPr>
            </w:pPr>
            <w:r>
              <w:rPr>
                <w:rFonts w:hint="eastAsia" w:ascii="宋体" w:hAnsi="宋体"/>
                <w:color w:val="auto"/>
                <w:sz w:val="24"/>
                <w:highlight w:val="none"/>
              </w:rPr>
              <w:t>※</w:t>
            </w:r>
            <w:r>
              <w:rPr>
                <w:rFonts w:hint="eastAsia" w:ascii="宋体" w:hAnsi="宋体" w:eastAsia="宋体" w:cs="宋体"/>
                <w:color w:val="auto"/>
                <w:kern w:val="0"/>
                <w:sz w:val="22"/>
                <w:szCs w:val="22"/>
                <w:highlight w:val="none"/>
              </w:rPr>
              <w:t>三人位公寓组合床      （五人间）</w:t>
            </w:r>
          </w:p>
          <w:p w14:paraId="76CDF15A">
            <w:pPr>
              <w:ind w:firstLine="220" w:firstLineChars="1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加长床</w:t>
            </w:r>
            <w:r>
              <w:rPr>
                <w:rFonts w:hint="eastAsia" w:ascii="宋体" w:hAnsi="宋体" w:eastAsia="宋体" w:cs="宋体"/>
                <w:b/>
                <w:bCs/>
                <w:color w:val="auto"/>
                <w:kern w:val="0"/>
                <w:sz w:val="22"/>
                <w:szCs w:val="22"/>
                <w:highlight w:val="none"/>
              </w:rPr>
              <w:t>（提供样品）</w:t>
            </w:r>
          </w:p>
        </w:tc>
        <w:tc>
          <w:tcPr>
            <w:tcW w:w="6217" w:type="dxa"/>
            <w:noWrap w:val="0"/>
            <w:vAlign w:val="top"/>
          </w:tcPr>
          <w:p w14:paraId="06AE1DCB">
            <w:pPr>
              <w:numPr>
                <w:ilvl w:val="0"/>
                <w:numId w:val="0"/>
              </w:num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lang w:bidi="ar"/>
              </w:rPr>
              <w:t>参考规格：4550*900*2900mm（含蚊帐架），根据现场实际情况调整；</w:t>
            </w:r>
          </w:p>
          <w:p w14:paraId="26D0DC12">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2.立柱：采用≥50*80*1.2mm异型管，立柱底部端口安装优质工程塑料内塞；</w:t>
            </w:r>
          </w:p>
          <w:p w14:paraId="077D0D94">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3.床挺：≥50*60*1.2mm异型管；</w:t>
            </w:r>
          </w:p>
          <w:p w14:paraId="249FBB7C">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4.床头、床尾横管：整体框架由≥25*25*1.0mm方管、≥25*50*1.0mm方管组成，并安装一块优质ENF级实木多层板，板材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w:t>
            </w:r>
          </w:p>
          <w:p w14:paraId="0CC2E94D">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5.床护栏：前护栏高度≥380mm；整体框架采用≥25mm*25mm*1.2mm优质方管，内镶优质ENF级实木多层板，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并在合理位置设置安全通气观察窗。后护栏整体框架采用≥20*20*1.2mm优质方管，内镶优质ENF级实木多层板，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高度≥320mm；</w:t>
            </w:r>
          </w:p>
          <w:p w14:paraId="39376A6A">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6.走步梯：采用中梯样式，宽度≥450mm，钢架采用≥20*50*1.2mm方管。其他涉及板材采用优质ENF级实木多层板，板材</w:t>
            </w:r>
            <w:r>
              <w:rPr>
                <w:rFonts w:hint="eastAsia" w:ascii="宋体" w:hAnsi="宋体" w:eastAsia="宋体" w:cs="宋体"/>
                <w:bCs/>
                <w:color w:val="auto"/>
                <w:szCs w:val="21"/>
                <w:highlight w:val="none"/>
                <w:lang w:bidi="ar"/>
              </w:rPr>
              <w:t>厚度≥18mm</w:t>
            </w:r>
            <w:r>
              <w:rPr>
                <w:rFonts w:hint="eastAsia" w:ascii="宋体" w:hAnsi="宋体" w:eastAsia="宋体" w:cs="宋体"/>
                <w:color w:val="auto"/>
                <w:szCs w:val="21"/>
                <w:highlight w:val="none"/>
                <w:lang w:bidi="ar"/>
              </w:rPr>
              <w:t>。合理分配台阶数，每级踏板大小一致，踏板表面需镶嵌防滑夜光条。合理设计中梯内部储物空间，若储物空间涉及柜门，配置铝合金长条形暗拉手和阻尼缓冲铰链；</w:t>
            </w:r>
          </w:p>
          <w:p w14:paraId="6A34C02C">
            <w:pPr>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7.蚊帐架:采用≥19*1.2mm圆管制作，采用连接件连接，合理设计，蚊帐杆可折叠。</w:t>
            </w:r>
          </w:p>
          <w:p w14:paraId="4E24159B">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8.床板：采用≥60*15mm厚的优质杉木板，拼接缝隙≤10mm；床板平铺钉在4根30*40mm的木档上；床板加固档：≥25*25*1.0mm方管，数量不少于3根；</w:t>
            </w:r>
          </w:p>
          <w:p w14:paraId="1128FB3F">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9.床下组合桌柜：</w:t>
            </w:r>
          </w:p>
          <w:p w14:paraId="31BFAE53">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bCs/>
                <w:color w:val="auto"/>
                <w:szCs w:val="21"/>
                <w:highlight w:val="none"/>
                <w:lang w:bidi="ar"/>
              </w:rPr>
              <w:t>具备衣柜、书桌、书架等功能，书桌与衣柜需独立分开；</w:t>
            </w:r>
          </w:p>
          <w:p w14:paraId="47BA1757">
            <w:pPr>
              <w:adjustRightInd w:val="0"/>
              <w:snapToGrid w:val="0"/>
              <w:spacing w:line="288"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（2）板材均</w:t>
            </w:r>
            <w:r>
              <w:rPr>
                <w:rFonts w:hint="eastAsia" w:ascii="宋体" w:hAnsi="宋体" w:eastAsia="宋体" w:cs="宋体"/>
                <w:bCs/>
                <w:color w:val="auto"/>
                <w:szCs w:val="21"/>
                <w:highlight w:val="none"/>
                <w:lang w:bidi="ar"/>
              </w:rPr>
              <w:t>采用三聚氰胺饰面ENF级实木多层板；</w:t>
            </w:r>
          </w:p>
          <w:p w14:paraId="7A159A52">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bCs/>
                <w:color w:val="auto"/>
                <w:szCs w:val="21"/>
                <w:highlight w:val="none"/>
                <w:lang w:bidi="ar"/>
              </w:rPr>
              <w:t>书桌宽度≥900mm，深度≥600mm，桌面板材厚度≥18mm，其余板材厚度≥16mm。桌面挡板高度≥130mm，并在桌面挡板合理位置内嵌1个插排（≥2个2孔、≥2个3孔、≥1个USB接口）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lang w:bidi="ar"/>
              </w:rPr>
              <w:t>书桌上方合理设计书架，每行合理位置设隔板一块；如设计书桌门，门</w:t>
            </w:r>
            <w:r>
              <w:rPr>
                <w:rFonts w:hint="eastAsia" w:ascii="宋体" w:hAnsi="宋体" w:eastAsia="宋体" w:cs="宋体"/>
                <w:bCs/>
                <w:color w:val="auto"/>
                <w:szCs w:val="21"/>
                <w:highlight w:val="none"/>
                <w:lang w:bidi="ar"/>
              </w:rPr>
              <w:t>四周边角倒角设计防磕碰；</w:t>
            </w:r>
          </w:p>
          <w:p w14:paraId="51E80041">
            <w:pPr>
              <w:kinsoku w:val="0"/>
              <w:overflowPunct w:val="0"/>
              <w:autoSpaceDE w:val="0"/>
              <w:autoSpaceDN w:val="0"/>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r>
              <w:rPr>
                <w:rFonts w:hint="eastAsia" w:ascii="宋体" w:hAnsi="宋体" w:eastAsia="宋体" w:cs="宋体"/>
                <w:bCs/>
                <w:color w:val="auto"/>
                <w:szCs w:val="21"/>
                <w:highlight w:val="none"/>
                <w:lang w:bidi="ar"/>
              </w:rPr>
              <w:t>衣柜：宽度≥900mm，深度≥600mm。衣柜后背板厚度≥9mm，其他板材厚度≥16mm，合理设计上下两个功能区，上功能区配不锈钢材质挂衣杆。竖向双开门设计，柜门外立面四周边角倒角设计防磕碰，配优质阻尼缓冲功能铰链；</w:t>
            </w:r>
          </w:p>
          <w:p w14:paraId="085593A5">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（5）拉手：衣柜门拉手采用铝、塑复合长腰形拉手；抽屉拉手采用铝合金材质。安装方式为内嵌式拉手；</w:t>
            </w:r>
          </w:p>
          <w:p w14:paraId="255C1293">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（6）组合桌柜底部防潮架采用≥20*50*1.2mm方管制作，并作封闭防尘处理；</w:t>
            </w:r>
          </w:p>
          <w:p w14:paraId="71473216">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10.根据房型类别，合计设计床位编号样式及安装位置，如1，2，3，4，5或1号、2号.....等；</w:t>
            </w:r>
          </w:p>
          <w:p w14:paraId="42FE3E1A">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11.上下铺两张床为加长床，床体长度</w:t>
            </w:r>
            <w:r>
              <w:rPr>
                <w:rFonts w:hint="eastAsia" w:ascii="宋体" w:hAnsi="宋体" w:eastAsia="宋体" w:cs="宋体"/>
                <w:color w:val="auto"/>
                <w:szCs w:val="21"/>
                <w:highlight w:val="none"/>
                <w:lang w:bidi="ar"/>
              </w:rPr>
              <w:t>≥2100mm</w:t>
            </w:r>
            <w:r>
              <w:rPr>
                <w:rFonts w:hint="eastAsia" w:ascii="宋体" w:hAnsi="宋体" w:eastAsia="宋体" w:cs="宋体"/>
                <w:color w:val="auto"/>
                <w:kern w:val="0"/>
                <w:szCs w:val="21"/>
                <w:highlight w:val="none"/>
                <w:lang w:bidi="ar"/>
              </w:rPr>
              <w:t>；</w:t>
            </w:r>
          </w:p>
          <w:p w14:paraId="6DEF6837">
            <w:pPr>
              <w:adjustRightInd w:val="0"/>
              <w:snapToGrid w:val="0"/>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12.参考图片：</w:t>
            </w:r>
          </w:p>
          <w:p w14:paraId="7BF3B5A6">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lang w:bidi="ar"/>
              </w:rPr>
              <w:drawing>
                <wp:inline distT="0" distB="0" distL="114300" distR="114300">
                  <wp:extent cx="1409065" cy="1346835"/>
                  <wp:effectExtent l="0" t="0" r="635" b="5715"/>
                  <wp:docPr id="10" name="图片 12" descr="1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12222"/>
                          <pic:cNvPicPr>
                            <a:picLocks noChangeAspect="1"/>
                          </pic:cNvPicPr>
                        </pic:nvPicPr>
                        <pic:blipFill>
                          <a:blip r:embed="rId27"/>
                          <a:srcRect l="63574" t="9404" r="10320" b="52695"/>
                          <a:stretch>
                            <a:fillRect/>
                          </a:stretch>
                        </pic:blipFill>
                        <pic:spPr>
                          <a:xfrm>
                            <a:off x="0" y="0"/>
                            <a:ext cx="1409065" cy="1346835"/>
                          </a:xfrm>
                          <a:prstGeom prst="rect">
                            <a:avLst/>
                          </a:prstGeom>
                          <a:noFill/>
                          <a:ln>
                            <a:noFill/>
                          </a:ln>
                        </pic:spPr>
                      </pic:pic>
                    </a:graphicData>
                  </a:graphic>
                </wp:inline>
              </w:drawing>
            </w:r>
          </w:p>
        </w:tc>
        <w:tc>
          <w:tcPr>
            <w:tcW w:w="817" w:type="dxa"/>
            <w:noWrap w:val="0"/>
            <w:vAlign w:val="center"/>
          </w:tcPr>
          <w:p w14:paraId="56C80E3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180</w:t>
            </w:r>
          </w:p>
        </w:tc>
      </w:tr>
      <w:tr w14:paraId="6EA5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54BBD1F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880" w:type="dxa"/>
            <w:noWrap w:val="0"/>
            <w:vAlign w:val="center"/>
          </w:tcPr>
          <w:p w14:paraId="7787C727">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二人位公寓组合床      （五人间）</w:t>
            </w:r>
          </w:p>
        </w:tc>
        <w:tc>
          <w:tcPr>
            <w:tcW w:w="6217" w:type="dxa"/>
            <w:noWrap w:val="0"/>
            <w:vAlign w:val="top"/>
          </w:tcPr>
          <w:p w14:paraId="47B287B7">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1.参考规格：4450*900*2900mm（含蚊帐架），根据现场实际情况调整；</w:t>
            </w:r>
          </w:p>
          <w:p w14:paraId="60CEC0C5">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2.立柱：采用≥50*80*1.2mm异型管，立柱底部端口安装优质工程塑料内塞；</w:t>
            </w:r>
          </w:p>
          <w:p w14:paraId="61868DA2">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3.床挺：≥50*60*1.2mm异型管；</w:t>
            </w:r>
          </w:p>
          <w:p w14:paraId="5557D497">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4.床头、床尾横管：整体框架由≥25*25*1.0mm方管、≥25*50*1.0mm方管组成，并安装一块优质ENF级实木多层板，板材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高度≥320mm，安全、美观；</w:t>
            </w:r>
          </w:p>
          <w:p w14:paraId="256DB52C">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5.床护栏：前护栏高度≥380mm；整体框架采用≥25mm*25mm*1.2mm优质方管，内镶优质ENF级实木多层板，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并在合理位置设置安全通气观察窗。后护栏整体框架采用≥20*20*1.2mm优质方管，内镶优质ENF级实木多层板，板材</w:t>
            </w:r>
            <w:r>
              <w:rPr>
                <w:rFonts w:hint="eastAsia" w:ascii="宋体" w:hAnsi="宋体" w:eastAsia="宋体" w:cs="宋体"/>
                <w:bCs/>
                <w:color w:val="auto"/>
                <w:szCs w:val="21"/>
                <w:highlight w:val="none"/>
                <w:lang w:bidi="ar"/>
              </w:rPr>
              <w:t>厚度≥16mm，</w:t>
            </w:r>
            <w:r>
              <w:rPr>
                <w:rFonts w:hint="eastAsia" w:ascii="宋体" w:hAnsi="宋体" w:eastAsia="宋体" w:cs="宋体"/>
                <w:color w:val="auto"/>
                <w:szCs w:val="21"/>
                <w:highlight w:val="none"/>
                <w:lang w:bidi="ar"/>
              </w:rPr>
              <w:t>高度≥320mm；</w:t>
            </w:r>
          </w:p>
          <w:p w14:paraId="37C4D4B8">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6.走步梯：采用中梯样式，宽度≥450mm，钢架采用≥20*50*1.2mm方管。其他涉及板材采用优质ENF级实木多层板，板材</w:t>
            </w:r>
            <w:r>
              <w:rPr>
                <w:rFonts w:hint="eastAsia" w:ascii="宋体" w:hAnsi="宋体" w:eastAsia="宋体" w:cs="宋体"/>
                <w:bCs/>
                <w:color w:val="auto"/>
                <w:szCs w:val="21"/>
                <w:highlight w:val="none"/>
                <w:lang w:bidi="ar"/>
              </w:rPr>
              <w:t>厚度≥18mm</w:t>
            </w:r>
            <w:r>
              <w:rPr>
                <w:rFonts w:hint="eastAsia" w:ascii="宋体" w:hAnsi="宋体" w:eastAsia="宋体" w:cs="宋体"/>
                <w:color w:val="auto"/>
                <w:szCs w:val="21"/>
                <w:highlight w:val="none"/>
                <w:lang w:bidi="ar"/>
              </w:rPr>
              <w:t>。合理分配台阶数，每级踏板大小一致，踏板表面需镶嵌防滑夜光条。合理设计中梯内部储物空间，若储物空间涉及柜门，配置铝合金长条形暗拉手和阻尼缓冲铰链；</w:t>
            </w:r>
          </w:p>
          <w:p w14:paraId="3B237803">
            <w:pPr>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7.蚊帐架:采用≥19*1.2mm圆管制作，采用连接件连接，合理设计，蚊帐杆可折叠。</w:t>
            </w:r>
          </w:p>
          <w:p w14:paraId="1897BF2E">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8.床板：采用≥60*15mm厚的优质杉木板，拼接缝隙≤10mm；床板平铺钉在4根30*40mm的木档上；床板加固档：≥25*25*1.0mm方管，数量不少于3根；</w:t>
            </w:r>
          </w:p>
          <w:p w14:paraId="2D2380D8">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8.床下书桌：</w:t>
            </w:r>
          </w:p>
          <w:p w14:paraId="1826C276">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bCs/>
                <w:color w:val="auto"/>
                <w:szCs w:val="21"/>
                <w:highlight w:val="none"/>
                <w:lang w:bidi="ar"/>
              </w:rPr>
              <w:t>具备书桌、书架等功能，两张书桌需独立分开；</w:t>
            </w:r>
          </w:p>
          <w:p w14:paraId="0FD93C19">
            <w:pPr>
              <w:adjustRightInd w:val="0"/>
              <w:snapToGrid w:val="0"/>
              <w:spacing w:line="288"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（2）板材均</w:t>
            </w:r>
            <w:r>
              <w:rPr>
                <w:rFonts w:hint="eastAsia" w:ascii="宋体" w:hAnsi="宋体" w:eastAsia="宋体" w:cs="宋体"/>
                <w:bCs/>
                <w:color w:val="auto"/>
                <w:szCs w:val="21"/>
                <w:highlight w:val="none"/>
                <w:lang w:bidi="ar"/>
              </w:rPr>
              <w:t>采用三聚氰胺饰面ENF级实木多层板；</w:t>
            </w:r>
          </w:p>
          <w:p w14:paraId="29698EA1">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bCs/>
                <w:color w:val="auto"/>
                <w:szCs w:val="21"/>
                <w:highlight w:val="none"/>
                <w:lang w:bidi="ar"/>
              </w:rPr>
              <w:t>书桌宽度≥900mm，深度≥600mm，桌面板材厚度≥18mm，其余板材厚度≥16mm。桌面挡板高度≥130mm，并在桌面挡板合理位置内嵌1个插排（≥2个2孔、≥2个3孔、≥1个USB接口）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lang w:bidi="ar"/>
              </w:rPr>
              <w:t>书桌上方合理设计书架，每行合理位置设隔板一块；如设计书桌门，门</w:t>
            </w:r>
            <w:r>
              <w:rPr>
                <w:rFonts w:hint="eastAsia" w:ascii="宋体" w:hAnsi="宋体" w:eastAsia="宋体" w:cs="宋体"/>
                <w:bCs/>
                <w:color w:val="auto"/>
                <w:szCs w:val="21"/>
                <w:highlight w:val="none"/>
                <w:lang w:bidi="ar"/>
              </w:rPr>
              <w:t>四周边角倒角设计防磕碰；</w:t>
            </w:r>
          </w:p>
          <w:p w14:paraId="2184A6A0">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9.根据房型类别，合计设计床位编号样式及安装位置，如1，2，3，4，5或1号、2号.....等；</w:t>
            </w:r>
          </w:p>
          <w:p w14:paraId="20F7944E">
            <w:pPr>
              <w:rPr>
                <w:rFonts w:hint="eastAsia" w:ascii="宋体" w:hAnsi="宋体" w:eastAsia="宋体" w:cs="宋体"/>
                <w:color w:val="auto"/>
                <w:szCs w:val="21"/>
                <w:highlight w:val="none"/>
                <w:lang w:bidi="ar"/>
              </w:rPr>
            </w:pPr>
            <w:r>
              <w:rPr>
                <w:rFonts w:hint="eastAsia" w:ascii="宋体" w:hAnsi="宋体" w:eastAsia="宋体" w:cs="宋体"/>
                <w:color w:val="auto"/>
                <w:kern w:val="0"/>
                <w:szCs w:val="21"/>
                <w:highlight w:val="none"/>
                <w:lang w:bidi="ar"/>
              </w:rPr>
              <w:t>10.</w:t>
            </w:r>
            <w:r>
              <w:rPr>
                <w:rFonts w:hint="eastAsia" w:ascii="宋体" w:hAnsi="宋体" w:eastAsia="宋体" w:cs="宋体"/>
                <w:color w:val="auto"/>
                <w:szCs w:val="21"/>
                <w:highlight w:val="none"/>
                <w:lang w:bidi="ar"/>
              </w:rPr>
              <w:t>参考图片：</w:t>
            </w:r>
          </w:p>
          <w:p w14:paraId="608AFB8B">
            <w:pPr>
              <w:jc w:val="center"/>
              <w:rPr>
                <w:rFonts w:hint="eastAsia" w:ascii="宋体" w:hAnsi="宋体" w:eastAsia="宋体" w:cs="宋体"/>
                <w:color w:val="auto"/>
                <w:highlight w:val="none"/>
              </w:rPr>
            </w:pPr>
            <w:r>
              <w:rPr>
                <w:rFonts w:hint="eastAsia" w:ascii="宋体" w:hAnsi="宋体" w:eastAsia="宋体" w:cs="宋体"/>
                <w:color w:val="auto"/>
                <w:sz w:val="24"/>
                <w:highlight w:val="none"/>
              </w:rPr>
              <w:drawing>
                <wp:inline distT="0" distB="0" distL="114300" distR="114300">
                  <wp:extent cx="1323975" cy="1379220"/>
                  <wp:effectExtent l="0" t="0" r="9525" b="11430"/>
                  <wp:docPr id="11" name="图片 13" descr="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1223"/>
                          <pic:cNvPicPr>
                            <a:picLocks noChangeAspect="1"/>
                          </pic:cNvPicPr>
                        </pic:nvPicPr>
                        <pic:blipFill>
                          <a:blip r:embed="rId28"/>
                          <a:srcRect l="66682" t="1691" r="6807" b="59245"/>
                          <a:stretch>
                            <a:fillRect/>
                          </a:stretch>
                        </pic:blipFill>
                        <pic:spPr>
                          <a:xfrm>
                            <a:off x="0" y="0"/>
                            <a:ext cx="1323975" cy="1379220"/>
                          </a:xfrm>
                          <a:prstGeom prst="rect">
                            <a:avLst/>
                          </a:prstGeom>
                          <a:noFill/>
                          <a:ln>
                            <a:noFill/>
                          </a:ln>
                        </pic:spPr>
                      </pic:pic>
                    </a:graphicData>
                  </a:graphic>
                </wp:inline>
              </w:drawing>
            </w:r>
          </w:p>
        </w:tc>
        <w:tc>
          <w:tcPr>
            <w:tcW w:w="817" w:type="dxa"/>
            <w:noWrap w:val="0"/>
            <w:vAlign w:val="center"/>
          </w:tcPr>
          <w:p w14:paraId="0C5D7C5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180</w:t>
            </w:r>
          </w:p>
        </w:tc>
      </w:tr>
      <w:tr w14:paraId="4722E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036C635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880" w:type="dxa"/>
            <w:noWrap w:val="0"/>
            <w:vAlign w:val="center"/>
          </w:tcPr>
          <w:p w14:paraId="41822510">
            <w:pPr>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四人衣柜（五人间）</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38977AAF">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1.参考规格：1600*600*2400mm（根据现场实际情况调整）；</w:t>
            </w:r>
          </w:p>
          <w:p w14:paraId="233F875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2.板材：采用优质ENF级实木多层板，同色封边，</w:t>
            </w:r>
            <w:r>
              <w:rPr>
                <w:rFonts w:hint="eastAsia" w:ascii="宋体" w:hAnsi="宋体" w:eastAsia="宋体" w:cs="宋体"/>
                <w:bCs/>
                <w:color w:val="auto"/>
                <w:szCs w:val="21"/>
                <w:highlight w:val="none"/>
                <w:lang w:bidi="ar"/>
              </w:rPr>
              <w:t>深度≥600mm。衣柜后背板厚度≥9mm，其他板材厚度≥16mm；</w:t>
            </w:r>
          </w:p>
          <w:p w14:paraId="35C20A1C">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3.结合房型合理设计柜体款式及内部功能分区：四等分为四个柜子，内部合理隔断，内设挂衣杆1根，≥Φ19*1.0mm不锈钢圆管；</w:t>
            </w:r>
          </w:p>
          <w:p w14:paraId="6BB12BF8">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4.柜门拉手采用铝合金材质，内嵌安装，配锁舌，</w:t>
            </w:r>
            <w:r>
              <w:rPr>
                <w:rFonts w:hint="eastAsia" w:ascii="宋体" w:hAnsi="宋体" w:eastAsia="宋体" w:cs="宋体"/>
                <w:bCs/>
                <w:color w:val="auto"/>
                <w:szCs w:val="21"/>
                <w:highlight w:val="none"/>
                <w:lang w:bidi="ar"/>
              </w:rPr>
              <w:t>配加强筋防止形变；</w:t>
            </w:r>
          </w:p>
          <w:p w14:paraId="0A4676F9">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5.下面设防潮架≥20*50*1.2mm方管。如设计鞋架或其他顶部储物空间，采用≥Φ15*1.2 mm圆管、≥20*2mm扁铁，表面静电喷塑处理；</w:t>
            </w:r>
          </w:p>
          <w:p w14:paraId="0D606BD7">
            <w:pPr>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6.根据房型类别，合理设计编号样式及安放位置（如：1,2,3,4,5或1号，2号…等）；</w:t>
            </w:r>
          </w:p>
          <w:p w14:paraId="54590089">
            <w:pPr>
              <w:adjustRightInd w:val="0"/>
              <w:snapToGrid w:val="0"/>
              <w:spacing w:line="288" w:lineRule="auto"/>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7.参考图片：</w:t>
            </w:r>
          </w:p>
          <w:p w14:paraId="0DD02228">
            <w:pPr>
              <w:adjustRightInd w:val="0"/>
              <w:snapToGrid w:val="0"/>
              <w:spacing w:line="288" w:lineRule="auto"/>
              <w:jc w:val="center"/>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1325245" cy="1415415"/>
                  <wp:effectExtent l="0" t="0" r="8255" b="13335"/>
                  <wp:docPr id="12" name="图片 14" descr="D:\WeChat Files\WeChat Files\wxid_aenv94qffisb22\FileStorage\Temp\8d33cf3dfdc100e52216117c773b7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D:\WeChat Files\WeChat Files\wxid_aenv94qffisb22\FileStorage\Temp\8d33cf3dfdc100e52216117c773b7bd.png"/>
                          <pic:cNvPicPr>
                            <a:picLocks noChangeAspect="1"/>
                          </pic:cNvPicPr>
                        </pic:nvPicPr>
                        <pic:blipFill>
                          <a:blip r:embed="rId29"/>
                          <a:stretch>
                            <a:fillRect/>
                          </a:stretch>
                        </pic:blipFill>
                        <pic:spPr>
                          <a:xfrm>
                            <a:off x="0" y="0"/>
                            <a:ext cx="1325245" cy="1415415"/>
                          </a:xfrm>
                          <a:prstGeom prst="rect">
                            <a:avLst/>
                          </a:prstGeom>
                          <a:noFill/>
                          <a:ln>
                            <a:noFill/>
                          </a:ln>
                        </pic:spPr>
                      </pic:pic>
                    </a:graphicData>
                  </a:graphic>
                </wp:inline>
              </w:drawing>
            </w:r>
          </w:p>
        </w:tc>
        <w:tc>
          <w:tcPr>
            <w:tcW w:w="817" w:type="dxa"/>
            <w:noWrap w:val="0"/>
            <w:vAlign w:val="center"/>
          </w:tcPr>
          <w:p w14:paraId="7AC030C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180</w:t>
            </w:r>
          </w:p>
        </w:tc>
      </w:tr>
      <w:tr w14:paraId="18D5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436ACBB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880" w:type="dxa"/>
            <w:noWrap w:val="0"/>
            <w:vAlign w:val="center"/>
          </w:tcPr>
          <w:p w14:paraId="646B8E28">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公寓椅</w:t>
            </w:r>
          </w:p>
          <w:p w14:paraId="6C996B99">
            <w:pPr>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（五人间）</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54FF12D4">
            <w:pPr>
              <w:numPr>
                <w:ilvl w:val="0"/>
                <w:numId w:val="3"/>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尺寸（mm）：≥W520*D510*H775；</w:t>
            </w:r>
          </w:p>
          <w:p w14:paraId="0CFB0582">
            <w:pPr>
              <w:numPr>
                <w:ilvl w:val="0"/>
                <w:numId w:val="3"/>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椅座：坐深≥420mm，坐宽≥430mm ；</w:t>
            </w:r>
          </w:p>
          <w:p w14:paraId="0EF078B9">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 xml:space="preserve">3.椅面：背宽≥400mm，背高≥380mm。椅背四角采用圆润过渡造型，消除尖角磕碰风险，提升使用安全性。椅背坐靠板采用一体式结构或双柱支撑结构，确保坐板靠板牢固度。两侧弧形支撑翼自然延伸至座面，形成稳定的力学支撑；椅背中间位置带挂钩功能，便于挂包或衣物；整体通过≥20KG靠背拉力测试；             </w:t>
            </w:r>
            <w:r>
              <w:rPr>
                <w:rFonts w:hint="eastAsia" w:ascii="黑体" w:hAnsi="黑体" w:eastAsia="黑体" w:cs="黑体"/>
                <w:color w:val="auto"/>
                <w:sz w:val="28"/>
                <w:szCs w:val="28"/>
                <w:highlight w:val="none"/>
                <w:lang w:val="en-US" w:eastAsia="zh-CN"/>
              </w:rPr>
              <w:t xml:space="preserve">        </w:t>
            </w:r>
          </w:p>
          <w:p w14:paraId="3F53CD3A">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4.椅架：采用≥φ19*2.0mm厚优质冷轧钢管，自动焊接制成；</w:t>
            </w:r>
          </w:p>
          <w:p w14:paraId="24FF3E4F">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5.脚垫：采用耐磨塑料材质、静音脚垫；保护垫应具有防滑性好；</w:t>
            </w:r>
          </w:p>
          <w:p w14:paraId="73CCACE3">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6.塑料件外观：</w:t>
            </w:r>
            <w:r>
              <w:rPr>
                <w:rFonts w:hint="eastAsia" w:ascii="宋体" w:hAnsi="宋体" w:eastAsia="宋体" w:cs="宋体"/>
                <w:color w:val="auto"/>
                <w:szCs w:val="21"/>
                <w:highlight w:val="none"/>
                <w:lang w:val="en-US" w:eastAsia="zh-CN"/>
              </w:rPr>
              <w:t>材质选用全新加纤PP 塑料，环保可回收使用无污染。</w:t>
            </w:r>
            <w:r>
              <w:rPr>
                <w:rFonts w:hint="eastAsia" w:ascii="宋体" w:hAnsi="宋体" w:eastAsia="宋体" w:cs="宋体"/>
                <w:color w:val="auto"/>
                <w:sz w:val="21"/>
                <w:szCs w:val="21"/>
                <w:highlight w:val="none"/>
                <w:lang w:val="en-US" w:eastAsia="zh-CN"/>
              </w:rPr>
              <w:t>应无裂纹、明显变形、缩水、针孔；应无凹陷、飞边、杂质、伤痕、白印；表面应光洁，应无划痕、毛刺、拉毛、污渍；应无明显色差；</w:t>
            </w:r>
          </w:p>
          <w:p w14:paraId="508DC716">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7.钢件外观：所有铁件需做到焊接平整、无虚焊、无明显焊疤、焊接处需打磨光滑。表面经抛丸、硅烷等防锈处理，流水线静电喷涂。</w:t>
            </w:r>
          </w:p>
          <w:p w14:paraId="16399A07">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8.▲产品质量：符合 GB/T 35607-2024《绿色产品评价 家具》的规定，且甲醛释放量≤0.05mg/m³,苯≤0.05mg/m³，甲苯≤0.10mg/m³，二甲苯（邻、间、对二甲苯之和）≤0.10mg/m³，总挥发性有机化合物（TVOC）≤0.30mg/m³，椅座椅背耐久性≥12万次。</w:t>
            </w:r>
          </w:p>
          <w:p w14:paraId="7D1019C5">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en-US" w:eastAsia="zh-CN"/>
              </w:rPr>
              <w:t>.参考图片：</w:t>
            </w:r>
          </w:p>
          <w:p w14:paraId="0D9189B3">
            <w:pPr>
              <w:adjustRightInd w:val="0"/>
              <w:snapToGrid w:val="0"/>
              <w:spacing w:line="288" w:lineRule="auto"/>
              <w:jc w:val="center"/>
              <w:rPr>
                <w:rFonts w:hint="eastAsia" w:ascii="宋体" w:hAnsi="宋体" w:eastAsia="宋体" w:cs="宋体"/>
                <w:color w:val="auto"/>
                <w:szCs w:val="21"/>
                <w:highlight w:val="none"/>
              </w:rPr>
            </w:pPr>
            <w:r>
              <w:rPr>
                <w:rFonts w:hint="eastAsia" w:eastAsia="宋体"/>
                <w:color w:val="auto"/>
                <w:highlight w:val="none"/>
                <w:lang w:eastAsia="zh-CN"/>
              </w:rPr>
              <w:drawing>
                <wp:inline distT="0" distB="0" distL="114300" distR="114300">
                  <wp:extent cx="1400810" cy="1400810"/>
                  <wp:effectExtent l="0" t="0" r="8890" b="8890"/>
                  <wp:docPr id="13" name="图片 25" descr="c1b34d4996bcb7d1603be585145938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5" descr="c1b34d4996bcb7d1603be585145938ca"/>
                          <pic:cNvPicPr>
                            <a:picLocks noChangeAspect="1"/>
                          </pic:cNvPicPr>
                        </pic:nvPicPr>
                        <pic:blipFill>
                          <a:blip r:embed="rId30"/>
                          <a:stretch>
                            <a:fillRect/>
                          </a:stretch>
                        </pic:blipFill>
                        <pic:spPr>
                          <a:xfrm>
                            <a:off x="0" y="0"/>
                            <a:ext cx="1400810" cy="1400810"/>
                          </a:xfrm>
                          <a:prstGeom prst="rect">
                            <a:avLst/>
                          </a:prstGeom>
                          <a:noFill/>
                          <a:ln>
                            <a:noFill/>
                          </a:ln>
                        </pic:spPr>
                      </pic:pic>
                    </a:graphicData>
                  </a:graphic>
                </wp:inline>
              </w:drawing>
            </w:r>
          </w:p>
          <w:p w14:paraId="1EC8AF0F">
            <w:pPr>
              <w:adjustRightInd w:val="0"/>
              <w:snapToGrid w:val="0"/>
              <w:spacing w:line="288" w:lineRule="auto"/>
              <w:jc w:val="center"/>
              <w:rPr>
                <w:rFonts w:hint="eastAsia" w:ascii="宋体" w:hAnsi="宋体" w:eastAsia="宋体" w:cs="宋体"/>
                <w:color w:val="auto"/>
                <w:highlight w:val="none"/>
              </w:rPr>
            </w:pPr>
          </w:p>
        </w:tc>
        <w:tc>
          <w:tcPr>
            <w:tcW w:w="817" w:type="dxa"/>
            <w:noWrap w:val="0"/>
            <w:vAlign w:val="center"/>
          </w:tcPr>
          <w:p w14:paraId="6AADE90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900</w:t>
            </w:r>
          </w:p>
        </w:tc>
      </w:tr>
      <w:tr w14:paraId="4B4C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551" w:type="dxa"/>
            <w:gridSpan w:val="4"/>
            <w:noWrap w:val="0"/>
            <w:vAlign w:val="center"/>
          </w:tcPr>
          <w:p w14:paraId="243E8CB4">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以上是标项三，下沙校区14号楼五人间家具采购更新</w:t>
            </w:r>
          </w:p>
        </w:tc>
      </w:tr>
      <w:tr w14:paraId="5C2ED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2CD9BDA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880" w:type="dxa"/>
            <w:noWrap w:val="0"/>
            <w:vAlign w:val="center"/>
          </w:tcPr>
          <w:p w14:paraId="0B1FD61E">
            <w:pPr>
              <w:jc w:val="center"/>
              <w:rPr>
                <w:rFonts w:hint="eastAsia" w:ascii="宋体" w:hAnsi="宋体" w:eastAsia="宋体" w:cs="宋体"/>
                <w:color w:val="auto"/>
                <w:kern w:val="0"/>
                <w:sz w:val="22"/>
                <w:szCs w:val="22"/>
                <w:highlight w:val="none"/>
              </w:rPr>
            </w:pPr>
            <w:r>
              <w:rPr>
                <w:rFonts w:hint="eastAsia" w:ascii="宋体" w:hAnsi="宋体"/>
                <w:color w:val="auto"/>
                <w:sz w:val="24"/>
                <w:highlight w:val="none"/>
              </w:rPr>
              <w:t>※</w:t>
            </w:r>
            <w:r>
              <w:rPr>
                <w:rFonts w:hint="eastAsia" w:ascii="宋体" w:hAnsi="宋体" w:eastAsia="宋体" w:cs="宋体"/>
                <w:color w:val="auto"/>
                <w:kern w:val="0"/>
                <w:sz w:val="22"/>
                <w:szCs w:val="22"/>
                <w:highlight w:val="none"/>
              </w:rPr>
              <w:t>二人位公寓组合床</w:t>
            </w:r>
          </w:p>
          <w:p w14:paraId="3A3518B2">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加长床</w:t>
            </w:r>
          </w:p>
          <w:p w14:paraId="5594508E">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（四人间）</w:t>
            </w:r>
          </w:p>
          <w:p w14:paraId="541355C1">
            <w:pPr>
              <w:jc w:val="center"/>
              <w:rPr>
                <w:rFonts w:hint="eastAsia" w:ascii="宋体" w:hAnsi="宋体" w:eastAsia="宋体" w:cs="宋体"/>
                <w:b/>
                <w:bCs/>
                <w:color w:val="auto"/>
                <w:kern w:val="0"/>
                <w:sz w:val="22"/>
                <w:szCs w:val="22"/>
                <w:highlight w:val="none"/>
                <w:lang w:eastAsia="zh-CN"/>
              </w:rPr>
            </w:pP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p w14:paraId="1E595A58">
            <w:pPr>
              <w:jc w:val="center"/>
              <w:rPr>
                <w:rFonts w:hint="eastAsia" w:ascii="宋体" w:hAnsi="宋体" w:eastAsia="宋体" w:cs="宋体"/>
                <w:color w:val="auto"/>
                <w:kern w:val="0"/>
                <w:sz w:val="22"/>
                <w:szCs w:val="22"/>
                <w:highlight w:val="none"/>
              </w:rPr>
            </w:pPr>
          </w:p>
        </w:tc>
        <w:tc>
          <w:tcPr>
            <w:tcW w:w="6217" w:type="dxa"/>
            <w:noWrap w:val="0"/>
            <w:vAlign w:val="top"/>
          </w:tcPr>
          <w:p w14:paraId="01FA8D40">
            <w:pPr>
              <w:widowControl/>
              <w:numPr>
                <w:ilvl w:val="0"/>
                <w:numId w:val="4"/>
              </w:numPr>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规格：4600mm*900mm*2900mm（含蚊帐架），根据现场实际情况调整；</w:t>
            </w:r>
          </w:p>
          <w:p w14:paraId="3E96E510">
            <w:pPr>
              <w:widowControl/>
              <w:numPr>
                <w:ilvl w:val="0"/>
                <w:numId w:val="4"/>
              </w:numPr>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lang w:bidi="ar"/>
              </w:rPr>
              <w:t>立柱：采用≥50*80*1.2mm异型管，立柱底部端口安装优质工程塑料内塞；</w:t>
            </w:r>
          </w:p>
          <w:p w14:paraId="4D5B598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Cs w:val="21"/>
                <w:highlight w:val="none"/>
                <w:lang w:bidi="ar"/>
              </w:rPr>
              <w:t>床挺：≥50*60*1.2mm异型管；</w:t>
            </w:r>
          </w:p>
          <w:p w14:paraId="00661FCC">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rPr>
              <w:t>5、</w:t>
            </w:r>
            <w:r>
              <w:rPr>
                <w:rFonts w:hint="eastAsia" w:ascii="宋体" w:hAnsi="宋体" w:eastAsia="宋体" w:cs="宋体"/>
                <w:color w:val="auto"/>
                <w:szCs w:val="21"/>
                <w:highlight w:val="none"/>
                <w:lang w:bidi="ar"/>
              </w:rPr>
              <w:t>前护栏:护栏高度≥380mm；采用25*25*1.2mm厚的方管，内镶优质ENF级实木多层板，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设置推拉窗整体规格：≥640*265*40mm；外形采用跑道圆设计，内外框材质采用环保PP材质注塑工艺一次成型，两者采用螺丝固定，稳固可靠。安装螺丝位置环形整体扣边条内扣遮挡设计，安全美观。中间推拉滑块采用PP材质中空吹塑工艺一次成型，可进行推拉开启关闭功能，保护使用者的隐私；</w:t>
            </w:r>
          </w:p>
          <w:p w14:paraId="235708FE">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rPr>
              <w:t>6、</w:t>
            </w:r>
            <w:r>
              <w:rPr>
                <w:rFonts w:hint="eastAsia" w:ascii="宋体" w:hAnsi="宋体" w:eastAsia="宋体" w:cs="宋体"/>
                <w:color w:val="auto"/>
                <w:szCs w:val="21"/>
                <w:highlight w:val="none"/>
                <w:lang w:bidi="ar"/>
              </w:rPr>
              <w:t>蚊帐架:采用≥19*1.2mm圆管制作，采用连接件连接，合理设计，蚊帐杆可折叠。</w:t>
            </w:r>
          </w:p>
          <w:p w14:paraId="7371657C">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rPr>
              <w:t>7、</w:t>
            </w:r>
            <w:r>
              <w:rPr>
                <w:rFonts w:hint="eastAsia" w:ascii="宋体" w:hAnsi="宋体" w:eastAsia="宋体" w:cs="宋体"/>
                <w:color w:val="auto"/>
                <w:szCs w:val="21"/>
                <w:highlight w:val="none"/>
                <w:lang w:bidi="ar"/>
              </w:rPr>
              <w:t xml:space="preserve">床板：采用≥60*15mm厚的优质杉木板，拼接缝隙≤10mm；床板平铺钉在4根30*40mm的木档上；床板加固档：≥25*25*1.0mm方管，数量不少于3根；  </w:t>
            </w:r>
          </w:p>
          <w:p w14:paraId="47C60FDB">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8、床下组合家具：桌面采用</w:t>
            </w:r>
            <w:r>
              <w:rPr>
                <w:rFonts w:hint="eastAsia" w:ascii="宋体" w:hAnsi="宋体" w:eastAsia="宋体" w:cs="宋体"/>
                <w:bCs/>
                <w:color w:val="auto"/>
                <w:szCs w:val="21"/>
                <w:highlight w:val="none"/>
                <w:lang w:bidi="ar"/>
              </w:rPr>
              <w:t>板材厚度≥25mm优质</w:t>
            </w:r>
            <w:r>
              <w:rPr>
                <w:rFonts w:hint="eastAsia" w:ascii="宋体" w:hAnsi="宋体" w:eastAsia="宋体" w:cs="宋体"/>
                <w:color w:val="auto"/>
                <w:szCs w:val="21"/>
                <w:highlight w:val="none"/>
                <w:lang w:bidi="ar"/>
              </w:rPr>
              <w:t>ENF级实木多层板制作，其余板材采用≥16mm厚的ENF级实木多层板制作，露边处采用PVC封边条封边</w:t>
            </w:r>
            <w:r>
              <w:rPr>
                <w:rFonts w:hint="eastAsia" w:ascii="宋体" w:hAnsi="宋体" w:cs="宋体"/>
                <w:color w:val="auto"/>
                <w:szCs w:val="21"/>
                <w:highlight w:val="none"/>
                <w:lang w:eastAsia="zh-CN" w:bidi="ar"/>
              </w:rPr>
              <w:t>。</w:t>
            </w:r>
            <w:r>
              <w:rPr>
                <w:rFonts w:hint="eastAsia" w:ascii="宋体" w:hAnsi="宋体" w:eastAsia="宋体" w:cs="宋体"/>
                <w:bCs/>
                <w:color w:val="auto"/>
                <w:szCs w:val="21"/>
                <w:highlight w:val="none"/>
                <w:lang w:bidi="ar"/>
              </w:rPr>
              <w:t>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。书桌与衣柜需独立分开</w:t>
            </w:r>
            <w:r>
              <w:rPr>
                <w:rFonts w:hint="eastAsia" w:ascii="宋体" w:hAnsi="宋体" w:eastAsia="宋体" w:cs="宋体"/>
                <w:color w:val="auto"/>
                <w:szCs w:val="21"/>
                <w:highlight w:val="none"/>
                <w:lang w:bidi="ar"/>
              </w:rPr>
              <w:t>。衣柜采用不锈钢挂衣杆。组合家具的下方加设防潮架，采用25*50*1.2mm方管制作，五金件采用品牌五金件。柜门拉手采用铝合金材质复合环形几何体，整体规格≥120mm*45*20mm，拉手安装方式为内嵌式拉手；拉手分上下盖两个部分。拉可加装锁舌，内置挂锁；</w:t>
            </w:r>
          </w:p>
          <w:p w14:paraId="78F7035F">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9、走步梯：采用中梯样式，宽度≥500mm，钢架采用≥20*50*1.2mm方管。其他涉及板材采用优质ENF级实木多层板，板材厚度≥18mm。合理分配台阶数，每级踏板大小一致，踏板表面需镶嵌防滑夜光条。合理设计中梯内部储物空间，若储物空间涉及柜门，配置铝合金长条形暗拉手和阻尼缓冲铰链；</w:t>
            </w:r>
          </w:p>
          <w:p w14:paraId="27143E83">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10、钢制件工艺要求：所有铁件必须做到焊接平整、无虚焊、无明显焊疤、静电喷塑处理，焊接处需打磨光滑；</w:t>
            </w:r>
          </w:p>
          <w:p w14:paraId="285C41B1">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11、五金件采用优质品牌；</w:t>
            </w:r>
          </w:p>
          <w:p w14:paraId="2F899FA3">
            <w:pPr>
              <w:spacing w:line="288" w:lineRule="auto"/>
              <w:jc w:val="left"/>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lang w:bidi="ar"/>
              </w:rPr>
              <w:t>12、其中一张床</w:t>
            </w:r>
            <w:r>
              <w:rPr>
                <w:rFonts w:hint="eastAsia" w:ascii="宋体" w:hAnsi="宋体" w:eastAsia="宋体" w:cs="宋体"/>
                <w:color w:val="auto"/>
                <w:kern w:val="0"/>
                <w:szCs w:val="21"/>
                <w:highlight w:val="none"/>
                <w:lang w:bidi="ar"/>
              </w:rPr>
              <w:t>为加长床，床体长度</w:t>
            </w:r>
            <w:r>
              <w:rPr>
                <w:rFonts w:hint="eastAsia" w:ascii="宋体" w:hAnsi="宋体" w:eastAsia="宋体" w:cs="宋体"/>
                <w:color w:val="auto"/>
                <w:szCs w:val="21"/>
                <w:highlight w:val="none"/>
                <w:lang w:bidi="ar"/>
              </w:rPr>
              <w:t>≥2100mm</w:t>
            </w:r>
            <w:r>
              <w:rPr>
                <w:rFonts w:hint="eastAsia" w:ascii="宋体" w:hAnsi="宋体" w:eastAsia="宋体" w:cs="宋体"/>
                <w:color w:val="auto"/>
                <w:kern w:val="0"/>
                <w:szCs w:val="21"/>
                <w:highlight w:val="none"/>
                <w:lang w:bidi="ar"/>
              </w:rPr>
              <w:t>；</w:t>
            </w:r>
          </w:p>
          <w:p w14:paraId="41B1C93F">
            <w:pPr>
              <w:spacing w:line="288" w:lineRule="auto"/>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13、根据房型类别，合计设计床位编号样式及安装位置，如1，2，3，4或1号、2号.....等；</w:t>
            </w:r>
          </w:p>
          <w:p w14:paraId="219101B0">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14、家具颜色：自行搭配，最终颜色由采购人指定；</w:t>
            </w:r>
          </w:p>
          <w:p w14:paraId="0E76A71D">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15、参考图片：</w:t>
            </w:r>
          </w:p>
          <w:p w14:paraId="01FF10F1">
            <w:pPr>
              <w:widowControl/>
              <w:jc w:val="center"/>
              <w:rPr>
                <w:rFonts w:hint="eastAsia" w:ascii="宋体" w:hAnsi="宋体" w:eastAsia="宋体" w:cs="宋体"/>
                <w:color w:val="auto"/>
                <w:highlight w:val="none"/>
              </w:rPr>
            </w:pPr>
            <w:r>
              <w:rPr>
                <w:rFonts w:hint="eastAsia" w:ascii="宋体" w:hAnsi="宋体" w:eastAsia="宋体" w:cs="宋体"/>
                <w:color w:val="auto"/>
                <w:sz w:val="24"/>
                <w:highlight w:val="none"/>
              </w:rPr>
              <w:drawing>
                <wp:inline distT="0" distB="0" distL="114300" distR="114300">
                  <wp:extent cx="1870075" cy="1246505"/>
                  <wp:effectExtent l="0" t="0" r="15875" b="10795"/>
                  <wp:docPr id="14" name="图片 16" descr="fcd1b5317a2fcf5d4673f11aba51a6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fcd1b5317a2fcf5d4673f11aba51a6a6"/>
                          <pic:cNvPicPr>
                            <a:picLocks noChangeAspect="1"/>
                          </pic:cNvPicPr>
                        </pic:nvPicPr>
                        <pic:blipFill>
                          <a:blip r:embed="rId31"/>
                          <a:srcRect t="28618" r="26006"/>
                          <a:stretch>
                            <a:fillRect/>
                          </a:stretch>
                        </pic:blipFill>
                        <pic:spPr>
                          <a:xfrm>
                            <a:off x="0" y="0"/>
                            <a:ext cx="1870075" cy="1246505"/>
                          </a:xfrm>
                          <a:prstGeom prst="rect">
                            <a:avLst/>
                          </a:prstGeom>
                          <a:noFill/>
                          <a:ln>
                            <a:noFill/>
                          </a:ln>
                        </pic:spPr>
                      </pic:pic>
                    </a:graphicData>
                  </a:graphic>
                </wp:inline>
              </w:drawing>
            </w:r>
          </w:p>
        </w:tc>
        <w:tc>
          <w:tcPr>
            <w:tcW w:w="817" w:type="dxa"/>
            <w:noWrap w:val="0"/>
            <w:vAlign w:val="center"/>
          </w:tcPr>
          <w:p w14:paraId="18C9C39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168</w:t>
            </w:r>
          </w:p>
        </w:tc>
      </w:tr>
      <w:tr w14:paraId="5EC3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00D16BD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880" w:type="dxa"/>
            <w:noWrap w:val="0"/>
            <w:vAlign w:val="center"/>
          </w:tcPr>
          <w:p w14:paraId="0358AD9F">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二人位公寓组合床</w:t>
            </w:r>
          </w:p>
          <w:p w14:paraId="61B1C11D">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（四人间）</w:t>
            </w:r>
          </w:p>
          <w:p w14:paraId="2C9B821D">
            <w:pPr>
              <w:jc w:val="center"/>
              <w:rPr>
                <w:rFonts w:hint="eastAsia" w:ascii="宋体" w:hAnsi="宋体" w:eastAsia="宋体" w:cs="宋体"/>
                <w:color w:val="auto"/>
                <w:kern w:val="0"/>
                <w:sz w:val="22"/>
                <w:szCs w:val="22"/>
                <w:highlight w:val="none"/>
              </w:rPr>
            </w:pPr>
          </w:p>
        </w:tc>
        <w:tc>
          <w:tcPr>
            <w:tcW w:w="6217" w:type="dxa"/>
            <w:noWrap w:val="0"/>
            <w:vAlign w:val="top"/>
          </w:tcPr>
          <w:p w14:paraId="2CDBD0ED">
            <w:pPr>
              <w:widowControl/>
              <w:numPr>
                <w:ilvl w:val="0"/>
                <w:numId w:val="4"/>
              </w:numPr>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规格：4500mm*900mm*2900mm（含蚊帐架），根据现场实际情况调整；</w:t>
            </w:r>
          </w:p>
          <w:p w14:paraId="0CCD9A32">
            <w:pPr>
              <w:widowControl/>
              <w:numPr>
                <w:ilvl w:val="0"/>
                <w:numId w:val="4"/>
              </w:numPr>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lang w:bidi="ar"/>
              </w:rPr>
              <w:t>立柱：采用≥50*80*1.2mm异型管，立柱底部端口安装优质工程塑料内塞；</w:t>
            </w:r>
          </w:p>
          <w:p w14:paraId="1A97B87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Cs w:val="21"/>
                <w:highlight w:val="none"/>
                <w:lang w:bidi="ar"/>
              </w:rPr>
              <w:t>床挺：≥50*60*1.2mm异型管；</w:t>
            </w:r>
          </w:p>
          <w:p w14:paraId="1B93D38A">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rPr>
              <w:t>5、</w:t>
            </w:r>
            <w:r>
              <w:rPr>
                <w:rFonts w:hint="eastAsia" w:ascii="宋体" w:hAnsi="宋体" w:eastAsia="宋体" w:cs="宋体"/>
                <w:color w:val="auto"/>
                <w:szCs w:val="21"/>
                <w:highlight w:val="none"/>
                <w:lang w:bidi="ar"/>
              </w:rPr>
              <w:t>前护栏:护栏高度≥380mm；采用25*25*1.2mm厚的方管，内镶优质ENF级实木多层板，</w:t>
            </w:r>
            <w:r>
              <w:rPr>
                <w:rFonts w:hint="eastAsia" w:ascii="宋体" w:hAnsi="宋体" w:eastAsia="宋体" w:cs="宋体"/>
                <w:bCs/>
                <w:color w:val="auto"/>
                <w:szCs w:val="21"/>
                <w:highlight w:val="none"/>
                <w:lang w:bidi="ar"/>
              </w:rPr>
              <w:t>板材厚度≥16mm，</w:t>
            </w:r>
            <w:r>
              <w:rPr>
                <w:rFonts w:hint="eastAsia" w:ascii="宋体" w:hAnsi="宋体" w:eastAsia="宋体" w:cs="宋体"/>
                <w:color w:val="auto"/>
                <w:szCs w:val="21"/>
                <w:highlight w:val="none"/>
                <w:lang w:bidi="ar"/>
              </w:rPr>
              <w:t>并设置推拉窗整体规格：≥640*265*40mm；外形采用跑道圆设计，内外框材质采用环保PP材质注塑工艺一次成型，两者采用螺丝固定，稳固可靠。安装螺丝位置环形整体扣边条内扣遮挡设计，安全美观。中间推拉滑块采用PP材质中空吹塑工艺一次成型，可进行推拉开启关闭功能，保护使用者的隐私；</w:t>
            </w:r>
          </w:p>
          <w:p w14:paraId="227451CF">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rPr>
              <w:t>6、</w:t>
            </w:r>
            <w:r>
              <w:rPr>
                <w:rFonts w:hint="eastAsia" w:ascii="宋体" w:hAnsi="宋体" w:eastAsia="宋体" w:cs="宋体"/>
                <w:color w:val="auto"/>
                <w:szCs w:val="21"/>
                <w:highlight w:val="none"/>
                <w:lang w:bidi="ar"/>
              </w:rPr>
              <w:t>蚊帐架:采用≥19*1.2mm圆管制作，采用连接件连接，合理设计，蚊帐杆可折叠。</w:t>
            </w:r>
          </w:p>
          <w:p w14:paraId="1047CE85">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 w:val="24"/>
                <w:highlight w:val="none"/>
              </w:rPr>
              <w:t>7、</w:t>
            </w:r>
            <w:r>
              <w:rPr>
                <w:rFonts w:hint="eastAsia" w:ascii="宋体" w:hAnsi="宋体" w:eastAsia="宋体" w:cs="宋体"/>
                <w:color w:val="auto"/>
                <w:szCs w:val="21"/>
                <w:highlight w:val="none"/>
                <w:lang w:bidi="ar"/>
              </w:rPr>
              <w:t xml:space="preserve">床板：采用≥60*15mm厚的优质杉木板，拼接缝隙≤10mm；床板平铺钉在4根30*40mm的木档上；床板加固档：≥25*25*1.0mm方管，数量不少于3根；  </w:t>
            </w:r>
          </w:p>
          <w:p w14:paraId="0D609548">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8、床下组合家具：桌面采用</w:t>
            </w:r>
            <w:r>
              <w:rPr>
                <w:rFonts w:hint="eastAsia" w:ascii="宋体" w:hAnsi="宋体" w:eastAsia="宋体" w:cs="宋体"/>
                <w:bCs/>
                <w:color w:val="auto"/>
                <w:szCs w:val="21"/>
                <w:highlight w:val="none"/>
                <w:lang w:bidi="ar"/>
              </w:rPr>
              <w:t>板材厚度≥25mm优质</w:t>
            </w:r>
            <w:r>
              <w:rPr>
                <w:rFonts w:hint="eastAsia" w:ascii="宋体" w:hAnsi="宋体" w:eastAsia="宋体" w:cs="宋体"/>
                <w:color w:val="auto"/>
                <w:szCs w:val="21"/>
                <w:highlight w:val="none"/>
                <w:lang w:bidi="ar"/>
              </w:rPr>
              <w:t>ENF级实木多层板制作，其余板材采用≥16mm厚的ENF级实木多层板制作，露边处采用PVC封边条封边</w:t>
            </w:r>
            <w:r>
              <w:rPr>
                <w:rFonts w:hint="eastAsia" w:ascii="宋体" w:hAnsi="宋体" w:cs="宋体"/>
                <w:color w:val="auto"/>
                <w:szCs w:val="21"/>
                <w:highlight w:val="none"/>
                <w:lang w:eastAsia="zh-CN" w:bidi="ar"/>
              </w:rPr>
              <w:t>。</w:t>
            </w:r>
            <w:r>
              <w:rPr>
                <w:rFonts w:hint="eastAsia" w:ascii="宋体" w:hAnsi="宋体" w:eastAsia="宋体" w:cs="宋体"/>
                <w:bCs/>
                <w:color w:val="auto"/>
                <w:szCs w:val="21"/>
                <w:highlight w:val="none"/>
                <w:lang w:bidi="ar"/>
              </w:rPr>
              <w:t>桌面挡板高度≥130mm，并在桌面挡板合理位置内嵌1个插排（≥2个2孔、≥2个3孔、≥1个USB接口）</w:t>
            </w:r>
            <w:r>
              <w:rPr>
                <w:rFonts w:hint="eastAsia" w:ascii="宋体" w:hAnsi="宋体" w:eastAsia="宋体" w:cs="宋体"/>
                <w:b/>
                <w:color w:val="auto"/>
                <w:szCs w:val="21"/>
                <w:highlight w:val="none"/>
                <w:lang w:bidi="ar"/>
              </w:rPr>
              <w:t>（▲投标文件中提供</w:t>
            </w:r>
            <w:r>
              <w:rPr>
                <w:rFonts w:hint="eastAsia" w:ascii="宋体" w:hAnsi="宋体" w:eastAsia="宋体" w:cs="宋体"/>
                <w:b/>
                <w:bCs w:val="0"/>
                <w:color w:val="auto"/>
                <w:szCs w:val="21"/>
                <w:highlight w:val="none"/>
                <w:lang w:bidi="ar"/>
              </w:rPr>
              <w:t>插排</w:t>
            </w:r>
            <w:r>
              <w:rPr>
                <w:rFonts w:hint="eastAsia" w:ascii="宋体" w:hAnsi="宋体" w:eastAsia="宋体" w:cs="宋体"/>
                <w:b/>
                <w:bCs w:val="0"/>
                <w:color w:val="auto"/>
                <w:szCs w:val="21"/>
                <w:highlight w:val="none"/>
                <w:lang w:val="en-US" w:eastAsia="zh-CN" w:bidi="ar"/>
              </w:rPr>
              <w:t>的</w:t>
            </w:r>
            <w:r>
              <w:rPr>
                <w:rFonts w:hint="eastAsia" w:ascii="宋体" w:hAnsi="宋体" w:eastAsia="宋体" w:cs="宋体"/>
                <w:b/>
                <w:color w:val="auto"/>
                <w:szCs w:val="21"/>
                <w:highlight w:val="none"/>
                <w:lang w:bidi="ar"/>
              </w:rPr>
              <w:t>有效的3C认证证书扫描件）</w:t>
            </w:r>
            <w:r>
              <w:rPr>
                <w:rFonts w:hint="eastAsia" w:ascii="宋体" w:hAnsi="宋体" w:eastAsia="宋体" w:cs="宋体"/>
                <w:bCs/>
                <w:color w:val="auto"/>
                <w:szCs w:val="21"/>
                <w:highlight w:val="none"/>
                <w:lang w:bidi="ar"/>
              </w:rPr>
              <w:t>。书桌与衣柜需独立分开</w:t>
            </w:r>
            <w:r>
              <w:rPr>
                <w:rFonts w:hint="eastAsia" w:ascii="宋体" w:hAnsi="宋体" w:eastAsia="宋体" w:cs="宋体"/>
                <w:color w:val="auto"/>
                <w:szCs w:val="21"/>
                <w:highlight w:val="none"/>
                <w:lang w:bidi="ar"/>
              </w:rPr>
              <w:t>。衣柜采用不锈钢挂衣杆。组合家具的下方加设防潮架，采用25*50*1.2mm方管制作，五金件采用品牌五金件。柜门拉手采用铝合金材质复合环形几何体，整体规格≥120mm*45*20mm，拉手安装方式为内嵌式拉手；拉手分上下盖两个部分。拉可加装锁舌，内置挂锁；</w:t>
            </w:r>
          </w:p>
          <w:p w14:paraId="63CD9C4E">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9、走步梯：采用中梯样式，宽度≥500mm，钢架采用≥20*50*1.2mm方管。其他涉及板材采用优质ENF级实木多层板，板材厚度≥18mm。合理分配台阶数，每级踏板大小一致，踏板表面需镶嵌防滑夜光条。合理设计中梯内部储物空间，若储物空间涉及柜门，配置铝合金长条形暗拉手和阻尼缓冲铰链；</w:t>
            </w:r>
          </w:p>
          <w:p w14:paraId="1AD24A16">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10、钢制件工艺要求：所有铁件必须做到焊接平整、无虚焊、无明显焊疤、静电喷塑处理，焊接处需打磨光滑；</w:t>
            </w:r>
          </w:p>
          <w:p w14:paraId="7BD7E2C2">
            <w:pPr>
              <w:widowControl/>
              <w:jc w:val="left"/>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lang w:bidi="ar"/>
              </w:rPr>
              <w:t>11、五金件采用优质品牌；</w:t>
            </w:r>
          </w:p>
          <w:p w14:paraId="0A5988C3">
            <w:pPr>
              <w:spacing w:line="288" w:lineRule="auto"/>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12、根据房型类别，合计设计床位编号样式及安装位置，如1，2，3，4或1号、2号.....等；</w:t>
            </w:r>
          </w:p>
          <w:p w14:paraId="62644C95">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13、家具颜色：自行搭配，最终颜色由采购人指定；</w:t>
            </w:r>
          </w:p>
          <w:p w14:paraId="7C9F7F24">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14、参考图片：</w:t>
            </w:r>
          </w:p>
          <w:p w14:paraId="3C57BB87">
            <w:pPr>
              <w:widowControl/>
              <w:jc w:val="center"/>
              <w:rPr>
                <w:rFonts w:hint="eastAsia" w:ascii="宋体" w:hAnsi="宋体" w:eastAsia="宋体" w:cs="宋体"/>
                <w:color w:val="auto"/>
                <w:highlight w:val="none"/>
              </w:rPr>
            </w:pPr>
            <w:r>
              <w:rPr>
                <w:rFonts w:hint="eastAsia" w:ascii="宋体" w:hAnsi="宋体" w:eastAsia="宋体" w:cs="宋体"/>
                <w:color w:val="auto"/>
                <w:sz w:val="24"/>
                <w:highlight w:val="none"/>
              </w:rPr>
              <w:drawing>
                <wp:inline distT="0" distB="0" distL="114300" distR="114300">
                  <wp:extent cx="1870075" cy="1246505"/>
                  <wp:effectExtent l="0" t="0" r="15875" b="10795"/>
                  <wp:docPr id="15" name="图片 17" descr="fcd1b5317a2fcf5d4673f11aba51a6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descr="fcd1b5317a2fcf5d4673f11aba51a6a6"/>
                          <pic:cNvPicPr>
                            <a:picLocks noChangeAspect="1"/>
                          </pic:cNvPicPr>
                        </pic:nvPicPr>
                        <pic:blipFill>
                          <a:blip r:embed="rId31"/>
                          <a:srcRect t="28618" r="26006"/>
                          <a:stretch>
                            <a:fillRect/>
                          </a:stretch>
                        </pic:blipFill>
                        <pic:spPr>
                          <a:xfrm>
                            <a:off x="0" y="0"/>
                            <a:ext cx="1870075" cy="1246505"/>
                          </a:xfrm>
                          <a:prstGeom prst="rect">
                            <a:avLst/>
                          </a:prstGeom>
                          <a:noFill/>
                          <a:ln>
                            <a:noFill/>
                          </a:ln>
                        </pic:spPr>
                      </pic:pic>
                    </a:graphicData>
                  </a:graphic>
                </wp:inline>
              </w:drawing>
            </w:r>
          </w:p>
        </w:tc>
        <w:tc>
          <w:tcPr>
            <w:tcW w:w="817" w:type="dxa"/>
            <w:noWrap w:val="0"/>
            <w:vAlign w:val="center"/>
          </w:tcPr>
          <w:p w14:paraId="41FAF03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168</w:t>
            </w:r>
          </w:p>
        </w:tc>
      </w:tr>
      <w:tr w14:paraId="6757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1072219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880" w:type="dxa"/>
            <w:noWrap w:val="0"/>
            <w:vAlign w:val="center"/>
          </w:tcPr>
          <w:p w14:paraId="2C578B26">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四人置物柜（四人间）</w:t>
            </w:r>
          </w:p>
        </w:tc>
        <w:tc>
          <w:tcPr>
            <w:tcW w:w="6217" w:type="dxa"/>
            <w:noWrap w:val="0"/>
            <w:vAlign w:val="top"/>
          </w:tcPr>
          <w:p w14:paraId="678B309D">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1.参考规格：850*550*2190（根据现场实际情况调整）；</w:t>
            </w:r>
          </w:p>
          <w:p w14:paraId="453BA662">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2.板材：采用优质ENF级实木多层板，同色封边。衣柜后背板厚度≥9mm，其余板材厚度≥16mm；</w:t>
            </w:r>
          </w:p>
          <w:p w14:paraId="371E01D9">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3.钢材：立柱采用≥25*25*1.2方管，立柱底部端口安装优质工程塑料内塞；其余采用≥20*20*1.2方管；</w:t>
            </w:r>
          </w:p>
          <w:p w14:paraId="2D6C63BE">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4.3.钢制件工艺要求：所有铁件必须做到焊接平整、无虚焊、无明显焊疤、静电喷塑处理，焊接处需打磨光滑；</w:t>
            </w:r>
          </w:p>
          <w:p w14:paraId="0B19569C">
            <w:pPr>
              <w:widowControl/>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5.根据房型类别，合理设计编号样式及安放位置（如：1,2,3,4或1号，2号…等）；</w:t>
            </w:r>
          </w:p>
          <w:p w14:paraId="32DD5A33">
            <w:pPr>
              <w:widowControl/>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6.参考图片：</w:t>
            </w:r>
          </w:p>
          <w:p w14:paraId="6B0ECC6B">
            <w:pPr>
              <w:widowControl/>
              <w:jc w:val="center"/>
              <w:rPr>
                <w:rFonts w:hint="eastAsia" w:ascii="宋体" w:hAnsi="宋体" w:eastAsia="宋体" w:cs="宋体"/>
                <w:color w:val="auto"/>
                <w:sz w:val="24"/>
                <w:highlight w:val="none"/>
              </w:rPr>
            </w:pPr>
          </w:p>
          <w:p w14:paraId="39442B1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1751330" cy="1239520"/>
                  <wp:effectExtent l="0" t="0" r="1270" b="17780"/>
                  <wp:docPr id="16" name="图片 18" descr="cee248a05498c756b65724d814b66a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8" descr="cee248a05498c756b65724d814b66ae5"/>
                          <pic:cNvPicPr>
                            <a:picLocks noChangeAspect="1"/>
                          </pic:cNvPicPr>
                        </pic:nvPicPr>
                        <pic:blipFill>
                          <a:blip r:embed="rId32"/>
                          <a:stretch>
                            <a:fillRect/>
                          </a:stretch>
                        </pic:blipFill>
                        <pic:spPr>
                          <a:xfrm>
                            <a:off x="0" y="0"/>
                            <a:ext cx="1751330" cy="1239520"/>
                          </a:xfrm>
                          <a:prstGeom prst="rect">
                            <a:avLst/>
                          </a:prstGeom>
                          <a:noFill/>
                          <a:ln>
                            <a:noFill/>
                          </a:ln>
                        </pic:spPr>
                      </pic:pic>
                    </a:graphicData>
                  </a:graphic>
                </wp:inline>
              </w:drawing>
            </w:r>
          </w:p>
        </w:tc>
        <w:tc>
          <w:tcPr>
            <w:tcW w:w="817" w:type="dxa"/>
            <w:noWrap w:val="0"/>
            <w:vAlign w:val="center"/>
          </w:tcPr>
          <w:p w14:paraId="34AF5E5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168</w:t>
            </w:r>
          </w:p>
        </w:tc>
      </w:tr>
      <w:tr w14:paraId="5D13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val="0"/>
            <w:vAlign w:val="center"/>
          </w:tcPr>
          <w:p w14:paraId="70A045E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880" w:type="dxa"/>
            <w:noWrap w:val="0"/>
            <w:vAlign w:val="center"/>
          </w:tcPr>
          <w:p w14:paraId="7B8FB149">
            <w:pPr>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公寓椅</w:t>
            </w:r>
          </w:p>
          <w:p w14:paraId="37119C1F">
            <w:pPr>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（四人间）</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b/>
                <w:bCs/>
                <w:color w:val="auto"/>
                <w:kern w:val="0"/>
                <w:sz w:val="22"/>
                <w:szCs w:val="22"/>
                <w:highlight w:val="none"/>
              </w:rPr>
              <w:t>提供样品</w:t>
            </w:r>
            <w:r>
              <w:rPr>
                <w:rFonts w:hint="eastAsia" w:ascii="宋体" w:hAnsi="宋体" w:eastAsia="宋体" w:cs="宋体"/>
                <w:b/>
                <w:bCs/>
                <w:color w:val="auto"/>
                <w:kern w:val="0"/>
                <w:sz w:val="22"/>
                <w:szCs w:val="22"/>
                <w:highlight w:val="none"/>
                <w:lang w:eastAsia="zh-CN"/>
              </w:rPr>
              <w:t>）</w:t>
            </w:r>
          </w:p>
        </w:tc>
        <w:tc>
          <w:tcPr>
            <w:tcW w:w="6217" w:type="dxa"/>
            <w:noWrap w:val="0"/>
            <w:vAlign w:val="top"/>
          </w:tcPr>
          <w:p w14:paraId="4D26E360">
            <w:pPr>
              <w:numPr>
                <w:ilvl w:val="0"/>
                <w:numId w:val="5"/>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尺寸（mm）：≥W520*D510*H775；</w:t>
            </w:r>
          </w:p>
          <w:p w14:paraId="275928C2">
            <w:pPr>
              <w:numPr>
                <w:ilvl w:val="0"/>
                <w:numId w:val="5"/>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椅座：坐深≥420mm，坐宽≥430mm ；</w:t>
            </w:r>
          </w:p>
          <w:p w14:paraId="5E2F9AFE">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 xml:space="preserve">3.椅面：背宽≥400mm，背高≥380mm。椅背四角采用圆润过渡造型，消除尖角磕碰风险，提升使用安全性。椅背坐靠板采用一体式结构或双柱支撑结构，确保坐板靠板牢固度。两侧弧形支撑翼自然延伸至座面，形成稳定的力学支撑；椅背中间位置带挂钩功能，便于挂包或衣物；整体通过≥20KG靠背拉力测试；             </w:t>
            </w:r>
            <w:r>
              <w:rPr>
                <w:rFonts w:hint="eastAsia" w:ascii="黑体" w:hAnsi="黑体" w:eastAsia="黑体" w:cs="黑体"/>
                <w:color w:val="auto"/>
                <w:sz w:val="28"/>
                <w:szCs w:val="28"/>
                <w:highlight w:val="none"/>
                <w:lang w:val="en-US" w:eastAsia="zh-CN"/>
              </w:rPr>
              <w:t xml:space="preserve">        </w:t>
            </w:r>
          </w:p>
          <w:p w14:paraId="10E6A226">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4.椅架：采用≥φ19*2.0mm厚优质冷轧钢管，自动焊接制成；</w:t>
            </w:r>
          </w:p>
          <w:p w14:paraId="30B20887">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5.脚垫：采用耐磨塑料材质、静音脚垫；保护垫应具有防滑性好；</w:t>
            </w:r>
          </w:p>
          <w:p w14:paraId="2C15C314">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6.塑料件外观：</w:t>
            </w:r>
            <w:r>
              <w:rPr>
                <w:rFonts w:hint="eastAsia" w:ascii="宋体" w:hAnsi="宋体" w:eastAsia="宋体" w:cs="宋体"/>
                <w:color w:val="auto"/>
                <w:szCs w:val="21"/>
                <w:highlight w:val="none"/>
                <w:lang w:val="en-US" w:eastAsia="zh-CN"/>
              </w:rPr>
              <w:t>材质选用全新加纤PP 塑料，环保可回收使用无污染。</w:t>
            </w:r>
            <w:r>
              <w:rPr>
                <w:rFonts w:hint="eastAsia" w:ascii="宋体" w:hAnsi="宋体" w:eastAsia="宋体" w:cs="宋体"/>
                <w:color w:val="auto"/>
                <w:sz w:val="21"/>
                <w:szCs w:val="21"/>
                <w:highlight w:val="none"/>
                <w:lang w:val="en-US" w:eastAsia="zh-CN"/>
              </w:rPr>
              <w:t>应无裂纹、明显变形、缩水、针孔；应无凹陷、飞边、杂质、伤痕、白印；表面应光洁，应无划痕、毛刺、拉毛、污渍；应无明显色差；</w:t>
            </w:r>
          </w:p>
          <w:p w14:paraId="07AFB592">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7.钢件外观：所有铁件需做到焊接平整、无虚焊、无明显焊疤、焊接处需打磨光滑。表面经抛丸、硅烷等防锈处理，流水线静电喷涂。</w:t>
            </w:r>
          </w:p>
          <w:p w14:paraId="68DE3999">
            <w:pPr>
              <w:numPr>
                <w:ilvl w:val="0"/>
                <w:numId w:val="0"/>
              </w:numPr>
              <w:jc w:val="both"/>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lang w:val="en-US" w:eastAsia="zh-CN"/>
              </w:rPr>
              <w:t>8.▲产品质量：符合 GB/T 35607-2024《绿色产品评价 家具》的规定，且甲醛释放量≤0.05mg/m³,苯≤0.05mg/m³，甲苯≤0.10mg/m³，二甲苯（邻、间、对二甲苯之和）≤0.10mg/m³，总挥发性有机化合物（TVOC）≤0.30mg/m³，椅座椅背耐久性≥12万次。</w:t>
            </w:r>
          </w:p>
          <w:p w14:paraId="00C63425">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en-US" w:eastAsia="zh-CN"/>
              </w:rPr>
              <w:t>.参考图片：</w:t>
            </w:r>
          </w:p>
          <w:p w14:paraId="0ADD5550">
            <w:pPr>
              <w:adjustRightInd w:val="0"/>
              <w:snapToGrid w:val="0"/>
              <w:spacing w:line="288" w:lineRule="auto"/>
              <w:jc w:val="center"/>
              <w:rPr>
                <w:rFonts w:hint="eastAsia" w:ascii="宋体" w:hAnsi="宋体" w:eastAsia="宋体" w:cs="宋体"/>
                <w:color w:val="auto"/>
                <w:szCs w:val="21"/>
                <w:highlight w:val="none"/>
              </w:rPr>
            </w:pPr>
            <w:r>
              <w:rPr>
                <w:rFonts w:hint="eastAsia" w:eastAsia="宋体"/>
                <w:color w:val="auto"/>
                <w:highlight w:val="none"/>
                <w:lang w:eastAsia="zh-CN"/>
              </w:rPr>
              <w:drawing>
                <wp:inline distT="0" distB="0" distL="114300" distR="114300">
                  <wp:extent cx="1400810" cy="1400810"/>
                  <wp:effectExtent l="0" t="0" r="8890" b="8890"/>
                  <wp:docPr id="17" name="图片 26" descr="c1b34d4996bcb7d1603be585145938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6" descr="c1b34d4996bcb7d1603be585145938ca"/>
                          <pic:cNvPicPr>
                            <a:picLocks noChangeAspect="1"/>
                          </pic:cNvPicPr>
                        </pic:nvPicPr>
                        <pic:blipFill>
                          <a:blip r:embed="rId30"/>
                          <a:stretch>
                            <a:fillRect/>
                          </a:stretch>
                        </pic:blipFill>
                        <pic:spPr>
                          <a:xfrm>
                            <a:off x="0" y="0"/>
                            <a:ext cx="1400810" cy="1400810"/>
                          </a:xfrm>
                          <a:prstGeom prst="rect">
                            <a:avLst/>
                          </a:prstGeom>
                          <a:noFill/>
                          <a:ln>
                            <a:noFill/>
                          </a:ln>
                        </pic:spPr>
                      </pic:pic>
                    </a:graphicData>
                  </a:graphic>
                </wp:inline>
              </w:drawing>
            </w:r>
          </w:p>
          <w:p w14:paraId="77A084CE">
            <w:pPr>
              <w:adjustRightInd w:val="0"/>
              <w:snapToGrid w:val="0"/>
              <w:spacing w:line="288" w:lineRule="auto"/>
              <w:jc w:val="center"/>
              <w:rPr>
                <w:rFonts w:hint="eastAsia" w:ascii="宋体" w:hAnsi="宋体" w:eastAsia="宋体" w:cs="宋体"/>
                <w:color w:val="auto"/>
                <w:szCs w:val="21"/>
                <w:highlight w:val="none"/>
              </w:rPr>
            </w:pPr>
          </w:p>
        </w:tc>
        <w:tc>
          <w:tcPr>
            <w:tcW w:w="817" w:type="dxa"/>
            <w:noWrap w:val="0"/>
            <w:vAlign w:val="center"/>
          </w:tcPr>
          <w:p w14:paraId="5BDEF7C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672</w:t>
            </w:r>
          </w:p>
        </w:tc>
      </w:tr>
      <w:tr w14:paraId="5773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51" w:type="dxa"/>
            <w:gridSpan w:val="4"/>
            <w:noWrap w:val="0"/>
            <w:vAlign w:val="center"/>
          </w:tcPr>
          <w:p w14:paraId="02A3B09A">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以上是标项四，下沙校区4北、6北、6南四人间家具</w:t>
            </w:r>
          </w:p>
        </w:tc>
      </w:tr>
      <w:tr w14:paraId="1B97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517" w:type="dxa"/>
            <w:gridSpan w:val="2"/>
            <w:noWrap w:val="0"/>
            <w:vAlign w:val="center"/>
          </w:tcPr>
          <w:p w14:paraId="48FD5829">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四人间参考平面图</w:t>
            </w:r>
          </w:p>
        </w:tc>
        <w:tc>
          <w:tcPr>
            <w:tcW w:w="7034" w:type="dxa"/>
            <w:gridSpan w:val="2"/>
            <w:noWrap w:val="0"/>
            <w:vAlign w:val="center"/>
          </w:tcPr>
          <w:p w14:paraId="09965FDD">
            <w:pPr>
              <w:jc w:val="center"/>
              <w:rPr>
                <w:rFonts w:hint="eastAsia" w:ascii="宋体" w:hAnsi="宋体" w:eastAsia="宋体" w:cs="宋体"/>
                <w:color w:val="auto"/>
                <w:highlight w:val="none"/>
              </w:rPr>
            </w:pPr>
            <w:r>
              <w:rPr>
                <w:rFonts w:hint="default"/>
                <w:color w:val="auto"/>
                <w:highlight w:val="none"/>
                <w:lang w:val="en-US" w:eastAsia="zh-CN"/>
              </w:rPr>
              <w:drawing>
                <wp:inline distT="0" distB="0" distL="114300" distR="114300">
                  <wp:extent cx="4401820" cy="3112135"/>
                  <wp:effectExtent l="0" t="0" r="17780" b="12065"/>
                  <wp:docPr id="18" name="图片 20" descr="平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descr="平面"/>
                          <pic:cNvPicPr>
                            <a:picLocks noChangeAspect="1"/>
                          </pic:cNvPicPr>
                        </pic:nvPicPr>
                        <pic:blipFill>
                          <a:blip r:embed="rId33"/>
                          <a:stretch>
                            <a:fillRect/>
                          </a:stretch>
                        </pic:blipFill>
                        <pic:spPr>
                          <a:xfrm>
                            <a:off x="0" y="0"/>
                            <a:ext cx="4401820" cy="3112135"/>
                          </a:xfrm>
                          <a:prstGeom prst="rect">
                            <a:avLst/>
                          </a:prstGeom>
                          <a:noFill/>
                          <a:ln>
                            <a:noFill/>
                          </a:ln>
                        </pic:spPr>
                      </pic:pic>
                    </a:graphicData>
                  </a:graphic>
                </wp:inline>
              </w:drawing>
            </w:r>
          </w:p>
        </w:tc>
      </w:tr>
      <w:tr w14:paraId="14A6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3" w:hRule="atLeast"/>
        </w:trPr>
        <w:tc>
          <w:tcPr>
            <w:tcW w:w="1517" w:type="dxa"/>
            <w:gridSpan w:val="2"/>
            <w:noWrap w:val="0"/>
            <w:vAlign w:val="center"/>
          </w:tcPr>
          <w:p w14:paraId="79B588BA">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五人间参考平面图</w:t>
            </w:r>
          </w:p>
        </w:tc>
        <w:tc>
          <w:tcPr>
            <w:tcW w:w="7034" w:type="dxa"/>
            <w:gridSpan w:val="2"/>
            <w:noWrap w:val="0"/>
            <w:vAlign w:val="center"/>
          </w:tcPr>
          <w:p w14:paraId="4E268DB3">
            <w:pPr>
              <w:jc w:val="center"/>
              <w:rPr>
                <w:rFonts w:hint="eastAsia" w:ascii="宋体" w:hAnsi="宋体" w:eastAsia="宋体" w:cs="宋体"/>
                <w:color w:val="auto"/>
                <w:highlight w:val="none"/>
              </w:rPr>
            </w:pPr>
            <w:r>
              <w:rPr>
                <w:rFonts w:hint="eastAsia" w:eastAsia="宋体"/>
                <w:color w:val="auto"/>
                <w:highlight w:val="none"/>
                <w:lang w:eastAsia="zh-CN"/>
              </w:rPr>
              <w:drawing>
                <wp:inline distT="0" distB="0" distL="114300" distR="114300">
                  <wp:extent cx="4709160" cy="3213100"/>
                  <wp:effectExtent l="0" t="0" r="15240" b="6350"/>
                  <wp:docPr id="19" name="图片 21" descr="平面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1" descr="平面02"/>
                          <pic:cNvPicPr>
                            <a:picLocks noChangeAspect="1"/>
                          </pic:cNvPicPr>
                        </pic:nvPicPr>
                        <pic:blipFill>
                          <a:blip r:embed="rId34"/>
                          <a:stretch>
                            <a:fillRect/>
                          </a:stretch>
                        </pic:blipFill>
                        <pic:spPr>
                          <a:xfrm>
                            <a:off x="0" y="0"/>
                            <a:ext cx="4709160" cy="3213100"/>
                          </a:xfrm>
                          <a:prstGeom prst="rect">
                            <a:avLst/>
                          </a:prstGeom>
                          <a:noFill/>
                          <a:ln>
                            <a:noFill/>
                          </a:ln>
                        </pic:spPr>
                      </pic:pic>
                    </a:graphicData>
                  </a:graphic>
                </wp:inline>
              </w:drawing>
            </w:r>
          </w:p>
        </w:tc>
      </w:tr>
    </w:tbl>
    <w:p w14:paraId="7EEB9C7F">
      <w:pPr>
        <w:spacing w:line="360" w:lineRule="auto"/>
        <w:ind w:firstLine="480" w:firstLineChars="200"/>
        <w:rPr>
          <w:rFonts w:hint="eastAsia" w:ascii="宋体" w:hAnsi="宋体" w:cs="宋体"/>
          <w:color w:val="auto"/>
          <w:sz w:val="24"/>
          <w:szCs w:val="24"/>
          <w:highlight w:val="none"/>
        </w:rPr>
      </w:pPr>
    </w:p>
    <w:p w14:paraId="296901D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r>
        <w:rPr>
          <w:rFonts w:hint="eastAsia" w:ascii="宋体" w:hAnsi="宋体" w:cs="宋体"/>
          <w:b/>
          <w:bCs/>
          <w:color w:val="auto"/>
          <w:sz w:val="24"/>
          <w:szCs w:val="24"/>
          <w:highlight w:val="none"/>
        </w:rPr>
        <w:t>本项目涉及内容较多，交付期短，为保证项目的顺利进行，该项目采取分标项采购。</w:t>
      </w:r>
    </w:p>
    <w:p w14:paraId="5FD72FAE">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本项目共设 4个标项，投标人可对全部标项同时进行投标，但同一投标人最多只能中标 1 个标项。当同一投标人在两个及以上标项中均被评审委员会推荐为第一中标候选人时，按标项序号</w:t>
      </w:r>
      <w:r>
        <w:rPr>
          <w:rFonts w:hint="eastAsia" w:ascii="宋体" w:hAnsi="宋体" w:cs="宋体"/>
          <w:b/>
          <w:bCs/>
          <w:color w:val="auto"/>
          <w:sz w:val="24"/>
          <w:szCs w:val="24"/>
          <w:highlight w:val="none"/>
          <w:lang w:val="en-US" w:eastAsia="zh-CN"/>
        </w:rPr>
        <w:t>一、二、三、四</w:t>
      </w:r>
      <w:r>
        <w:rPr>
          <w:rFonts w:hint="eastAsia" w:ascii="宋体" w:hAnsi="宋体" w:cs="宋体"/>
          <w:b/>
          <w:bCs/>
          <w:color w:val="auto"/>
          <w:sz w:val="24"/>
          <w:szCs w:val="24"/>
          <w:highlight w:val="none"/>
        </w:rPr>
        <w:t>的顺序确定其中标标项，该投标人在其余标项中的中标候选资格自动取消，由该标项的中标候选人</w:t>
      </w:r>
      <w:r>
        <w:rPr>
          <w:rFonts w:hint="eastAsia" w:ascii="宋体" w:hAnsi="宋体" w:cs="宋体"/>
          <w:b/>
          <w:bCs/>
          <w:color w:val="auto"/>
          <w:sz w:val="24"/>
          <w:szCs w:val="24"/>
          <w:highlight w:val="none"/>
          <w:lang w:val="en-US" w:eastAsia="zh-CN"/>
        </w:rPr>
        <w:t>按排名</w:t>
      </w:r>
      <w:r>
        <w:rPr>
          <w:rFonts w:hint="eastAsia" w:ascii="宋体" w:hAnsi="宋体" w:cs="宋体"/>
          <w:b/>
          <w:bCs/>
          <w:color w:val="auto"/>
          <w:sz w:val="24"/>
          <w:szCs w:val="24"/>
          <w:highlight w:val="none"/>
        </w:rPr>
        <w:t>依次递补。投标人应充分评估自身能力，合理分配投标资源，自行决定参与投标的标项数量。</w:t>
      </w:r>
    </w:p>
    <w:p w14:paraId="4C622400">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二</w:t>
      </w:r>
      <w:r>
        <w:rPr>
          <w:rFonts w:hint="eastAsia" w:ascii="宋体" w:hAnsi="宋体" w:cs="宋体"/>
          <w:b/>
          <w:color w:val="auto"/>
          <w:sz w:val="24"/>
          <w:szCs w:val="24"/>
          <w:highlight w:val="none"/>
        </w:rPr>
        <w:t>、技术要求</w:t>
      </w:r>
    </w:p>
    <w:p w14:paraId="14A082B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48" w:name="_Hlk92271413"/>
      <w:r>
        <w:rPr>
          <w:rFonts w:hint="eastAsia" w:ascii="宋体" w:hAnsi="宋体" w:eastAsia="宋体" w:cs="宋体"/>
          <w:b/>
          <w:bCs/>
          <w:color w:val="auto"/>
          <w:sz w:val="24"/>
          <w:szCs w:val="24"/>
          <w:highlight w:val="none"/>
        </w:rPr>
        <w:t>1</w:t>
      </w:r>
      <w:r>
        <w:rPr>
          <w:rFonts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1.需执行的国家相关标准、行业标准、地方标准或者其他标准、规范：</w:t>
      </w:r>
    </w:p>
    <w:p w14:paraId="34123C9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QB/T 2741-2013《学生公寓多功能家具》</w:t>
      </w:r>
    </w:p>
    <w:p w14:paraId="5A72DEB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GB/T 3325-2024《金属家具通用技术条件》</w:t>
      </w:r>
    </w:p>
    <w:p w14:paraId="57B34094">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GB/T 3324-2024《木家具通用技术条件》</w:t>
      </w:r>
    </w:p>
    <w:p w14:paraId="63C7A31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GB/T 35607-20</w:t>
      </w:r>
      <w:r>
        <w:rPr>
          <w:rFonts w:hint="eastAsia" w:ascii="宋体" w:hAnsi="宋体" w:eastAsia="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《绿色产品评价家具》</w:t>
      </w:r>
    </w:p>
    <w:p w14:paraId="00F9A2B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GB/T 10357.6-2013《家具力学性能试验》</w:t>
      </w:r>
    </w:p>
    <w:p w14:paraId="34140B0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QB/T 4463-2013《家具用封边条技术要求》</w:t>
      </w:r>
    </w:p>
    <w:p w14:paraId="5F8389F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QB/T 2280-2016《办公家具办公椅》</w:t>
      </w:r>
    </w:p>
    <w:p w14:paraId="464D0858">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QB/T 2454-2013《家具五金抽屉导轨》</w:t>
      </w:r>
    </w:p>
    <w:p w14:paraId="703385C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QB/T 2189-2013《家具五金杯状暗铰链》</w:t>
      </w:r>
    </w:p>
    <w:p w14:paraId="72EED5B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GB/T 34722-20</w:t>
      </w:r>
      <w:r>
        <w:rPr>
          <w:rFonts w:hint="eastAsia" w:ascii="宋体" w:hAnsi="宋体" w:eastAsia="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《浸渍胶膜纸饰面胶合板和细木工板》</w:t>
      </w:r>
    </w:p>
    <w:p w14:paraId="509267D4">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GB/T 32487-2016《塑料家具通用技术条件》</w:t>
      </w:r>
    </w:p>
    <w:p w14:paraId="408D923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GB 18584-2024《家具中有害物质限量》</w:t>
      </w:r>
    </w:p>
    <w:p w14:paraId="3A32B5E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ascii="宋体" w:hAnsi="宋体" w:eastAsia="宋体" w:cs="宋体"/>
          <w:b/>
          <w:bCs/>
          <w:color w:val="auto"/>
          <w:sz w:val="24"/>
          <w:szCs w:val="24"/>
          <w:highlight w:val="none"/>
        </w:rPr>
      </w:pPr>
      <w:bookmarkStart w:id="49" w:name="_Hlk94018176"/>
      <w:r>
        <w:rPr>
          <w:rFonts w:hint="eastAsia" w:ascii="宋体" w:hAnsi="宋体" w:eastAsia="宋体" w:cs="宋体"/>
          <w:b/>
          <w:bCs/>
          <w:color w:val="auto"/>
          <w:sz w:val="24"/>
          <w:szCs w:val="24"/>
          <w:highlight w:val="none"/>
        </w:rPr>
        <w:t>如技术要求中未注明需执行的国家相关标准、行业标准、地方标准或者其他标准、规范的，执行最新标准、规范。</w:t>
      </w:r>
      <w:bookmarkEnd w:id="49"/>
    </w:p>
    <w:bookmarkEnd w:id="48"/>
    <w:p w14:paraId="3537C637">
      <w:pPr>
        <w:numPr>
          <w:ilvl w:val="0"/>
          <w:numId w:val="0"/>
        </w:numPr>
        <w:spacing w:line="360" w:lineRule="auto"/>
        <w:ind w:left="630" w:leftChars="0"/>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三、</w:t>
      </w:r>
      <w:r>
        <w:rPr>
          <w:rFonts w:hint="eastAsia" w:ascii="宋体" w:hAnsi="宋体" w:cs="宋体"/>
          <w:b/>
          <w:color w:val="auto"/>
          <w:sz w:val="24"/>
          <w:szCs w:val="24"/>
          <w:highlight w:val="none"/>
        </w:rPr>
        <w:t>商务要求</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5980"/>
        <w:gridCol w:w="725"/>
      </w:tblGrid>
      <w:tr w14:paraId="562E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15571E97">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155" w:type="dxa"/>
            <w:noWrap w:val="0"/>
            <w:vAlign w:val="top"/>
          </w:tcPr>
          <w:p w14:paraId="779FCF72">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 xml:space="preserve"> 名称</w:t>
            </w:r>
          </w:p>
        </w:tc>
        <w:tc>
          <w:tcPr>
            <w:tcW w:w="5980" w:type="dxa"/>
            <w:noWrap w:val="0"/>
            <w:vAlign w:val="top"/>
          </w:tcPr>
          <w:p w14:paraId="13AE977C">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要求</w:t>
            </w:r>
          </w:p>
        </w:tc>
        <w:tc>
          <w:tcPr>
            <w:tcW w:w="725" w:type="dxa"/>
            <w:noWrap w:val="0"/>
            <w:vAlign w:val="top"/>
          </w:tcPr>
          <w:p w14:paraId="51C8C6FD">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5AAB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43" w:type="dxa"/>
            <w:noWrap w:val="0"/>
            <w:vAlign w:val="top"/>
          </w:tcPr>
          <w:p w14:paraId="17E5DC61">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1</w:t>
            </w:r>
          </w:p>
        </w:tc>
        <w:tc>
          <w:tcPr>
            <w:tcW w:w="1155" w:type="dxa"/>
            <w:noWrap w:val="0"/>
            <w:vAlign w:val="top"/>
          </w:tcPr>
          <w:p w14:paraId="32BA0002">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质保期</w:t>
            </w:r>
          </w:p>
        </w:tc>
        <w:tc>
          <w:tcPr>
            <w:tcW w:w="5980" w:type="dxa"/>
            <w:noWrap w:val="0"/>
            <w:vAlign w:val="top"/>
          </w:tcPr>
          <w:p w14:paraId="4CE43430">
            <w:pPr>
              <w:spacing w:line="288" w:lineRule="auto"/>
              <w:rPr>
                <w:rFonts w:hint="eastAsia" w:ascii="宋体" w:hAnsi="宋体" w:cs="宋体"/>
                <w:color w:val="auto"/>
                <w:szCs w:val="21"/>
                <w:highlight w:val="none"/>
              </w:rPr>
            </w:pPr>
            <w:r>
              <w:rPr>
                <w:rFonts w:hint="eastAsia"/>
                <w:color w:val="auto"/>
                <w:highlight w:val="none"/>
              </w:rPr>
              <w:t>自验收合格之日起，质保期</w:t>
            </w:r>
            <w:r>
              <w:rPr>
                <w:color w:val="auto"/>
                <w:highlight w:val="none"/>
                <w:u w:val="single"/>
              </w:rPr>
              <w:t xml:space="preserve">  </w:t>
            </w:r>
            <w:r>
              <w:rPr>
                <w:rFonts w:hint="eastAsia"/>
                <w:color w:val="auto"/>
                <w:highlight w:val="none"/>
                <w:u w:val="single"/>
              </w:rPr>
              <w:t>120</w:t>
            </w:r>
            <w:r>
              <w:rPr>
                <w:color w:val="auto"/>
                <w:highlight w:val="none"/>
                <w:u w:val="single"/>
              </w:rPr>
              <w:t xml:space="preserve"> </w:t>
            </w:r>
            <w:r>
              <w:rPr>
                <w:rFonts w:hint="eastAsia"/>
                <w:color w:val="auto"/>
                <w:highlight w:val="none"/>
                <w:u w:val="single"/>
              </w:rPr>
              <w:t xml:space="preserve">  </w:t>
            </w:r>
            <w:r>
              <w:rPr>
                <w:rFonts w:hint="eastAsia"/>
                <w:color w:val="auto"/>
                <w:highlight w:val="none"/>
              </w:rPr>
              <w:t xml:space="preserve"> 月。超过质保期的货物，终生维修，维修时只收部件成本费。软件的质保期即维护期，</w:t>
            </w:r>
            <w:r>
              <w:rPr>
                <w:rFonts w:hint="eastAsia"/>
                <w:color w:val="auto"/>
                <w:highlight w:val="none"/>
                <w:lang w:eastAsia="zh-CN"/>
              </w:rPr>
              <w:t>中标供应商</w:t>
            </w:r>
            <w:r>
              <w:rPr>
                <w:rFonts w:hint="eastAsia"/>
                <w:color w:val="auto"/>
                <w:highlight w:val="none"/>
              </w:rPr>
              <w:t>应提供升级服务。质保期内质保维护升级等费用包含在合同总价中，不额外收取。</w:t>
            </w:r>
          </w:p>
        </w:tc>
        <w:tc>
          <w:tcPr>
            <w:tcW w:w="725" w:type="dxa"/>
            <w:noWrap w:val="0"/>
            <w:vAlign w:val="top"/>
          </w:tcPr>
          <w:p w14:paraId="007781EF">
            <w:pPr>
              <w:spacing w:line="288" w:lineRule="auto"/>
              <w:rPr>
                <w:rFonts w:hint="eastAsia" w:ascii="宋体" w:hAnsi="宋体" w:cs="宋体"/>
                <w:color w:val="auto"/>
                <w:szCs w:val="21"/>
                <w:highlight w:val="none"/>
              </w:rPr>
            </w:pPr>
          </w:p>
        </w:tc>
      </w:tr>
      <w:tr w14:paraId="4441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2BA05A4B">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2</w:t>
            </w:r>
          </w:p>
        </w:tc>
        <w:tc>
          <w:tcPr>
            <w:tcW w:w="1155" w:type="dxa"/>
            <w:noWrap w:val="0"/>
            <w:vAlign w:val="top"/>
          </w:tcPr>
          <w:p w14:paraId="375DCD2E">
            <w:pPr>
              <w:spacing w:line="288" w:lineRule="auto"/>
              <w:rPr>
                <w:rFonts w:ascii="宋体" w:hAnsi="宋体" w:cs="宋体"/>
                <w:color w:val="auto"/>
                <w:szCs w:val="21"/>
                <w:highlight w:val="none"/>
              </w:rPr>
            </w:pPr>
            <w:r>
              <w:rPr>
                <w:rFonts w:hint="eastAsia" w:ascii="宋体" w:hAnsi="宋体" w:cs="宋体"/>
                <w:color w:val="auto"/>
                <w:szCs w:val="21"/>
                <w:highlight w:val="none"/>
              </w:rPr>
              <w:t>履约保证金（如有）</w:t>
            </w:r>
          </w:p>
        </w:tc>
        <w:tc>
          <w:tcPr>
            <w:tcW w:w="5980" w:type="dxa"/>
            <w:noWrap w:val="0"/>
            <w:vAlign w:val="top"/>
          </w:tcPr>
          <w:p w14:paraId="775CCF5E">
            <w:pPr>
              <w:spacing w:line="288" w:lineRule="auto"/>
              <w:rPr>
                <w:rFonts w:hint="eastAsia"/>
                <w:color w:val="auto"/>
                <w:highlight w:val="none"/>
              </w:rPr>
            </w:pPr>
            <w:r>
              <w:rPr>
                <w:rFonts w:hint="eastAsia"/>
                <w:color w:val="auto"/>
                <w:highlight w:val="none"/>
              </w:rPr>
              <w:t>履约保证金（如有）</w:t>
            </w:r>
            <w:r>
              <w:rPr>
                <w:rFonts w:hint="eastAsia"/>
                <w:b/>
                <w:bCs/>
                <w:color w:val="auto"/>
                <w:highlight w:val="none"/>
              </w:rPr>
              <w:t>：</w:t>
            </w:r>
            <w:r>
              <w:rPr>
                <w:rFonts w:hint="eastAsia"/>
                <w:color w:val="auto"/>
                <w:highlight w:val="none"/>
              </w:rPr>
              <w:t>合同总金额的</w:t>
            </w:r>
            <w:r>
              <w:rPr>
                <w:color w:val="auto"/>
                <w:highlight w:val="none"/>
                <w:u w:val="single"/>
              </w:rPr>
              <w:t xml:space="preserve">  </w:t>
            </w:r>
            <w:r>
              <w:rPr>
                <w:rFonts w:hint="eastAsia"/>
                <w:color w:val="auto"/>
                <w:highlight w:val="none"/>
                <w:u w:val="single"/>
              </w:rPr>
              <w:t>　1</w:t>
            </w:r>
            <w:r>
              <w:rPr>
                <w:color w:val="auto"/>
                <w:highlight w:val="none"/>
                <w:u w:val="single"/>
              </w:rPr>
              <w:t xml:space="preserve">  </w:t>
            </w:r>
            <w:r>
              <w:rPr>
                <w:color w:val="auto"/>
                <w:highlight w:val="none"/>
              </w:rPr>
              <w:t>%</w:t>
            </w:r>
            <w:r>
              <w:rPr>
                <w:rFonts w:hint="eastAsia"/>
                <w:color w:val="auto"/>
                <w:highlight w:val="none"/>
              </w:rPr>
              <w:t>，合同签订后</w:t>
            </w:r>
            <w:r>
              <w:rPr>
                <w:color w:val="auto"/>
                <w:highlight w:val="none"/>
              </w:rPr>
              <w:t>5</w:t>
            </w:r>
            <w:r>
              <w:rPr>
                <w:rFonts w:hint="eastAsia"/>
                <w:color w:val="auto"/>
                <w:highlight w:val="none"/>
              </w:rPr>
              <w:t>个工作日内交纳。交付方式：保函</w:t>
            </w:r>
            <w:r>
              <w:rPr>
                <w:color w:val="auto"/>
                <w:highlight w:val="none"/>
              </w:rPr>
              <w:t>/</w:t>
            </w:r>
            <w:r>
              <w:rPr>
                <w:rFonts w:hint="eastAsia"/>
                <w:color w:val="auto"/>
                <w:highlight w:val="none"/>
              </w:rPr>
              <w:t>汇票</w:t>
            </w:r>
            <w:r>
              <w:rPr>
                <w:color w:val="auto"/>
                <w:highlight w:val="none"/>
              </w:rPr>
              <w:t>/</w:t>
            </w:r>
            <w:r>
              <w:rPr>
                <w:rFonts w:hint="eastAsia"/>
                <w:color w:val="auto"/>
                <w:highlight w:val="none"/>
              </w:rPr>
              <w:t>支票</w:t>
            </w:r>
            <w:r>
              <w:rPr>
                <w:color w:val="auto"/>
                <w:highlight w:val="none"/>
              </w:rPr>
              <w:t>/</w:t>
            </w:r>
            <w:r>
              <w:rPr>
                <w:rFonts w:hint="eastAsia"/>
                <w:color w:val="auto"/>
                <w:highlight w:val="none"/>
              </w:rPr>
              <w:t>电汇</w:t>
            </w:r>
            <w:r>
              <w:rPr>
                <w:color w:val="auto"/>
                <w:highlight w:val="none"/>
              </w:rPr>
              <w:t>/</w:t>
            </w:r>
            <w:r>
              <w:rPr>
                <w:rFonts w:hint="eastAsia"/>
                <w:color w:val="auto"/>
                <w:highlight w:val="none"/>
              </w:rPr>
              <w:t>转账等。交付完毕后提供保函或联系杭州电子科技大学计划财务处大厅开收据，验收合格后</w:t>
            </w:r>
            <w:r>
              <w:rPr>
                <w:color w:val="auto"/>
                <w:highlight w:val="none"/>
              </w:rPr>
              <w:t>7</w:t>
            </w:r>
            <w:r>
              <w:rPr>
                <w:rFonts w:hint="eastAsia"/>
                <w:color w:val="auto"/>
                <w:highlight w:val="none"/>
              </w:rPr>
              <w:t>个工作日内凭原始收据不计息退还（须到学校计划财务处办理退还手续），以保函形式提交的履约保证金无需办理退还手续。</w:t>
            </w:r>
          </w:p>
          <w:p w14:paraId="38412D09">
            <w:pPr>
              <w:spacing w:line="288" w:lineRule="auto"/>
              <w:rPr>
                <w:rFonts w:hint="eastAsia"/>
                <w:color w:val="auto"/>
                <w:highlight w:val="none"/>
              </w:rPr>
            </w:pPr>
            <w:r>
              <w:rPr>
                <w:rFonts w:hint="eastAsia"/>
                <w:color w:val="auto"/>
                <w:highlight w:val="none"/>
              </w:rPr>
              <w:t>收款单位（户名）：杭州电子科技大学</w:t>
            </w:r>
          </w:p>
          <w:p w14:paraId="346EB587">
            <w:pPr>
              <w:spacing w:line="288" w:lineRule="auto"/>
              <w:rPr>
                <w:rFonts w:hint="eastAsia"/>
                <w:color w:val="auto"/>
                <w:highlight w:val="none"/>
              </w:rPr>
            </w:pPr>
            <w:r>
              <w:rPr>
                <w:rFonts w:hint="eastAsia"/>
                <w:color w:val="auto"/>
                <w:highlight w:val="none"/>
              </w:rPr>
              <w:t>开户银行：工行高新支行</w:t>
            </w:r>
          </w:p>
          <w:p w14:paraId="51B149A0">
            <w:pPr>
              <w:spacing w:line="288" w:lineRule="auto"/>
              <w:rPr>
                <w:rFonts w:hint="eastAsia" w:ascii="宋体" w:hAnsi="宋体" w:cs="宋体"/>
                <w:color w:val="auto"/>
                <w:szCs w:val="21"/>
                <w:highlight w:val="none"/>
              </w:rPr>
            </w:pPr>
            <w:r>
              <w:rPr>
                <w:rFonts w:hint="eastAsia"/>
                <w:color w:val="auto"/>
                <w:highlight w:val="none"/>
              </w:rPr>
              <w:t>银行账号：</w:t>
            </w:r>
            <w:r>
              <w:rPr>
                <w:color w:val="auto"/>
                <w:highlight w:val="none"/>
              </w:rPr>
              <w:t>1202026209008806216</w:t>
            </w:r>
          </w:p>
        </w:tc>
        <w:tc>
          <w:tcPr>
            <w:tcW w:w="725" w:type="dxa"/>
            <w:noWrap w:val="0"/>
            <w:vAlign w:val="top"/>
          </w:tcPr>
          <w:p w14:paraId="78937D05">
            <w:pPr>
              <w:spacing w:line="288" w:lineRule="auto"/>
              <w:rPr>
                <w:rFonts w:hint="eastAsia" w:ascii="宋体" w:hAnsi="宋体" w:cs="宋体"/>
                <w:color w:val="auto"/>
                <w:szCs w:val="21"/>
                <w:highlight w:val="none"/>
              </w:rPr>
            </w:pPr>
          </w:p>
        </w:tc>
      </w:tr>
      <w:tr w14:paraId="1396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1D98A9C3">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3</w:t>
            </w:r>
          </w:p>
        </w:tc>
        <w:tc>
          <w:tcPr>
            <w:tcW w:w="1155" w:type="dxa"/>
            <w:noWrap w:val="0"/>
            <w:vAlign w:val="top"/>
          </w:tcPr>
          <w:p w14:paraId="068D6FD5">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交货期</w:t>
            </w:r>
          </w:p>
        </w:tc>
        <w:tc>
          <w:tcPr>
            <w:tcW w:w="5980" w:type="dxa"/>
            <w:noWrap w:val="0"/>
            <w:vAlign w:val="top"/>
          </w:tcPr>
          <w:p w14:paraId="513242FD">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30日内生产完成，接到通知之日</w:t>
            </w:r>
            <w:r>
              <w:rPr>
                <w:rFonts w:hint="eastAsia" w:ascii="宋体" w:hAnsi="宋体" w:cs="宋体"/>
                <w:color w:val="auto"/>
                <w:szCs w:val="21"/>
                <w:highlight w:val="none"/>
                <w:lang w:val="en-US" w:eastAsia="zh-CN"/>
              </w:rPr>
              <w:t>起</w:t>
            </w:r>
            <w:r>
              <w:rPr>
                <w:rFonts w:hint="eastAsia" w:ascii="宋体" w:hAnsi="宋体" w:cs="宋体"/>
                <w:color w:val="auto"/>
                <w:szCs w:val="21"/>
                <w:highlight w:val="none"/>
              </w:rPr>
              <w:t>25日内安装完成并交付。</w:t>
            </w:r>
          </w:p>
        </w:tc>
        <w:tc>
          <w:tcPr>
            <w:tcW w:w="725" w:type="dxa"/>
            <w:noWrap w:val="0"/>
            <w:vAlign w:val="top"/>
          </w:tcPr>
          <w:p w14:paraId="5A4B9D0C">
            <w:pPr>
              <w:spacing w:line="288" w:lineRule="auto"/>
              <w:rPr>
                <w:rFonts w:hint="eastAsia" w:ascii="宋体" w:hAnsi="宋体" w:cs="宋体"/>
                <w:color w:val="auto"/>
                <w:szCs w:val="21"/>
                <w:highlight w:val="none"/>
              </w:rPr>
            </w:pPr>
          </w:p>
        </w:tc>
      </w:tr>
      <w:tr w14:paraId="44D5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27585AA1">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4</w:t>
            </w:r>
          </w:p>
        </w:tc>
        <w:tc>
          <w:tcPr>
            <w:tcW w:w="1155" w:type="dxa"/>
            <w:noWrap w:val="0"/>
            <w:vAlign w:val="top"/>
          </w:tcPr>
          <w:p w14:paraId="273DA33E">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验收方式</w:t>
            </w:r>
          </w:p>
        </w:tc>
        <w:tc>
          <w:tcPr>
            <w:tcW w:w="5980" w:type="dxa"/>
            <w:noWrap w:val="0"/>
            <w:vAlign w:val="top"/>
          </w:tcPr>
          <w:p w14:paraId="3BFCF551">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验收由</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负责实施，双方验收人员在安装数量和合同价格清单上签字确认</w:t>
            </w:r>
          </w:p>
        </w:tc>
        <w:tc>
          <w:tcPr>
            <w:tcW w:w="725" w:type="dxa"/>
            <w:noWrap w:val="0"/>
            <w:vAlign w:val="top"/>
          </w:tcPr>
          <w:p w14:paraId="291C7B8D">
            <w:pPr>
              <w:spacing w:line="288" w:lineRule="auto"/>
              <w:rPr>
                <w:rFonts w:hint="eastAsia" w:ascii="宋体" w:hAnsi="宋体" w:cs="宋体"/>
                <w:color w:val="auto"/>
                <w:szCs w:val="21"/>
                <w:highlight w:val="none"/>
              </w:rPr>
            </w:pPr>
          </w:p>
        </w:tc>
      </w:tr>
      <w:tr w14:paraId="22EB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13146BA4">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5</w:t>
            </w:r>
          </w:p>
        </w:tc>
        <w:tc>
          <w:tcPr>
            <w:tcW w:w="1155" w:type="dxa"/>
            <w:noWrap w:val="0"/>
            <w:vAlign w:val="top"/>
          </w:tcPr>
          <w:p w14:paraId="7F0BE1B9">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最终验收</w:t>
            </w:r>
          </w:p>
        </w:tc>
        <w:tc>
          <w:tcPr>
            <w:tcW w:w="5980" w:type="dxa"/>
            <w:noWrap w:val="0"/>
            <w:vAlign w:val="top"/>
          </w:tcPr>
          <w:p w14:paraId="13235E41">
            <w:pPr>
              <w:spacing w:line="288" w:lineRule="auto"/>
              <w:jc w:val="left"/>
              <w:rPr>
                <w:rFonts w:hint="eastAsia" w:ascii="宋体" w:hAnsi="宋体" w:cs="宋体"/>
                <w:color w:val="auto"/>
                <w:szCs w:val="21"/>
                <w:highlight w:val="none"/>
              </w:rPr>
            </w:pPr>
            <w:r>
              <w:rPr>
                <w:rFonts w:hint="eastAsia"/>
                <w:color w:val="auto"/>
                <w:highlight w:val="none"/>
              </w:rPr>
              <w:t>货物经安装调试完成且符合技术要求后，</w:t>
            </w:r>
            <w:r>
              <w:rPr>
                <w:rFonts w:hint="eastAsia"/>
                <w:color w:val="auto"/>
                <w:highlight w:val="none"/>
                <w:lang w:eastAsia="zh-CN"/>
              </w:rPr>
              <w:t>采购人</w:t>
            </w:r>
            <w:r>
              <w:rPr>
                <w:rFonts w:hint="eastAsia"/>
                <w:color w:val="auto"/>
                <w:highlight w:val="none"/>
              </w:rPr>
              <w:t>负责在</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rPr>
              <w:t xml:space="preserve"> </w:t>
            </w:r>
            <w:r>
              <w:rPr>
                <w:rFonts w:hint="eastAsia"/>
                <w:color w:val="auto"/>
                <w:highlight w:val="none"/>
              </w:rPr>
              <w:t>个工作日内进行最终验收。</w:t>
            </w:r>
          </w:p>
        </w:tc>
        <w:tc>
          <w:tcPr>
            <w:tcW w:w="725" w:type="dxa"/>
            <w:noWrap w:val="0"/>
            <w:vAlign w:val="top"/>
          </w:tcPr>
          <w:p w14:paraId="078D400F">
            <w:pPr>
              <w:spacing w:line="288" w:lineRule="auto"/>
              <w:rPr>
                <w:rFonts w:hint="eastAsia" w:ascii="宋体" w:hAnsi="宋体" w:cs="宋体"/>
                <w:color w:val="auto"/>
                <w:szCs w:val="21"/>
                <w:highlight w:val="none"/>
              </w:rPr>
            </w:pPr>
          </w:p>
        </w:tc>
      </w:tr>
      <w:tr w14:paraId="1D7A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65B51630">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6</w:t>
            </w:r>
          </w:p>
        </w:tc>
        <w:tc>
          <w:tcPr>
            <w:tcW w:w="1155" w:type="dxa"/>
            <w:noWrap w:val="0"/>
            <w:vAlign w:val="top"/>
          </w:tcPr>
          <w:p w14:paraId="039BA1B4">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付款方式</w:t>
            </w:r>
          </w:p>
        </w:tc>
        <w:tc>
          <w:tcPr>
            <w:tcW w:w="5980" w:type="dxa"/>
            <w:noWrap w:val="0"/>
            <w:vAlign w:val="top"/>
          </w:tcPr>
          <w:p w14:paraId="7C532B60">
            <w:pPr>
              <w:rPr>
                <w:color w:val="auto"/>
                <w:highlight w:val="none"/>
              </w:rPr>
            </w:pPr>
            <w:r>
              <w:rPr>
                <w:rFonts w:hint="eastAsia"/>
                <w:color w:val="auto"/>
                <w:highlight w:val="none"/>
              </w:rPr>
              <w:t>（</w:t>
            </w:r>
            <w:r>
              <w:rPr>
                <w:rFonts w:ascii="宋体" w:hAnsi="宋体"/>
                <w:color w:val="auto"/>
                <w:spacing w:val="-6"/>
                <w:highlight w:val="none"/>
              </w:rPr>
              <w:t>1</w:t>
            </w:r>
            <w:r>
              <w:rPr>
                <w:rFonts w:hint="eastAsia"/>
                <w:color w:val="auto"/>
                <w:highlight w:val="none"/>
              </w:rPr>
              <w:t>）预付款方式：合同生效以及具备实施条件且</w:t>
            </w:r>
            <w:r>
              <w:rPr>
                <w:rFonts w:hint="eastAsia"/>
                <w:color w:val="auto"/>
                <w:highlight w:val="none"/>
                <w:lang w:eastAsia="zh-CN"/>
              </w:rPr>
              <w:t>中标供应商</w:t>
            </w:r>
            <w:r>
              <w:rPr>
                <w:rFonts w:hint="eastAsia"/>
                <w:color w:val="auto"/>
                <w:highlight w:val="none"/>
              </w:rPr>
              <w:t>已向</w:t>
            </w:r>
            <w:r>
              <w:rPr>
                <w:rFonts w:hint="eastAsia"/>
                <w:color w:val="auto"/>
                <w:highlight w:val="none"/>
                <w:lang w:eastAsia="zh-CN"/>
              </w:rPr>
              <w:t>采购人</w:t>
            </w:r>
            <w:r>
              <w:rPr>
                <w:rFonts w:hint="eastAsia"/>
                <w:color w:val="auto"/>
                <w:highlight w:val="none"/>
              </w:rPr>
              <w:t>提交银行、保险公司等金融机构出具的预付款保函后，</w:t>
            </w:r>
            <w:r>
              <w:rPr>
                <w:color w:val="auto"/>
                <w:highlight w:val="none"/>
              </w:rPr>
              <w:t>7</w:t>
            </w:r>
            <w:r>
              <w:rPr>
                <w:rFonts w:hint="eastAsia"/>
                <w:color w:val="auto"/>
                <w:highlight w:val="none"/>
              </w:rPr>
              <w:t>个工作日内，</w:t>
            </w:r>
            <w:r>
              <w:rPr>
                <w:rFonts w:hint="eastAsia"/>
                <w:color w:val="auto"/>
                <w:highlight w:val="none"/>
                <w:lang w:eastAsia="zh-CN"/>
              </w:rPr>
              <w:t>采购人</w:t>
            </w:r>
            <w:r>
              <w:rPr>
                <w:rFonts w:hint="eastAsia"/>
                <w:color w:val="auto"/>
                <w:highlight w:val="none"/>
              </w:rPr>
              <w:t>向</w:t>
            </w:r>
            <w:r>
              <w:rPr>
                <w:rFonts w:hint="eastAsia"/>
                <w:color w:val="auto"/>
                <w:highlight w:val="none"/>
                <w:lang w:eastAsia="zh-CN"/>
              </w:rPr>
              <w:t>中标供应商</w:t>
            </w:r>
            <w:r>
              <w:rPr>
                <w:rFonts w:hint="eastAsia"/>
                <w:color w:val="auto"/>
                <w:highlight w:val="none"/>
              </w:rPr>
              <w:t>支付合同总价的</w:t>
            </w:r>
            <w:r>
              <w:rPr>
                <w:color w:val="auto"/>
                <w:highlight w:val="none"/>
                <w:u w:val="single"/>
              </w:rPr>
              <w:t xml:space="preserve">   </w:t>
            </w:r>
            <w:r>
              <w:rPr>
                <w:rFonts w:hint="eastAsia"/>
                <w:color w:val="auto"/>
                <w:highlight w:val="none"/>
                <w:u w:val="single"/>
              </w:rPr>
              <w:t>40</w:t>
            </w:r>
            <w:r>
              <w:rPr>
                <w:color w:val="auto"/>
                <w:highlight w:val="none"/>
                <w:u w:val="single"/>
              </w:rPr>
              <w:t xml:space="preserve">   </w:t>
            </w:r>
            <w:r>
              <w:rPr>
                <w:color w:val="auto"/>
                <w:highlight w:val="none"/>
              </w:rPr>
              <w:t>%（</w:t>
            </w:r>
            <w:r>
              <w:rPr>
                <w:rFonts w:hint="eastAsia"/>
                <w:color w:val="auto"/>
                <w:highlight w:val="none"/>
              </w:rPr>
              <w:t>中小微企业限</w:t>
            </w:r>
            <w:r>
              <w:rPr>
                <w:rFonts w:hint="eastAsia" w:ascii="仿宋_GB2312" w:hAnsi="仿宋" w:eastAsia="仿宋_GB2312" w:cs="仿宋_GB2312"/>
                <w:color w:val="auto"/>
                <w:sz w:val="24"/>
                <w:highlight w:val="none"/>
              </w:rPr>
              <w:t>30％-70%</w:t>
            </w:r>
            <w:r>
              <w:rPr>
                <w:color w:val="auto"/>
                <w:highlight w:val="none"/>
              </w:rPr>
              <w:t>）</w:t>
            </w:r>
            <w:r>
              <w:rPr>
                <w:rFonts w:hint="eastAsia"/>
                <w:color w:val="auto"/>
                <w:highlight w:val="none"/>
              </w:rPr>
              <w:t>；货物在</w:t>
            </w:r>
            <w:r>
              <w:rPr>
                <w:rFonts w:hint="eastAsia"/>
                <w:color w:val="auto"/>
                <w:highlight w:val="none"/>
                <w:lang w:eastAsia="zh-CN"/>
              </w:rPr>
              <w:t>中标供应商</w:t>
            </w:r>
            <w:r>
              <w:rPr>
                <w:rFonts w:hint="eastAsia"/>
                <w:color w:val="auto"/>
                <w:highlight w:val="none"/>
              </w:rPr>
              <w:t>安装调试完毕经</w:t>
            </w:r>
            <w:r>
              <w:rPr>
                <w:rFonts w:hint="eastAsia"/>
                <w:color w:val="auto"/>
                <w:highlight w:val="none"/>
                <w:lang w:eastAsia="zh-CN"/>
              </w:rPr>
              <w:t>采购人</w:t>
            </w:r>
            <w:r>
              <w:rPr>
                <w:rFonts w:hint="eastAsia"/>
                <w:color w:val="auto"/>
                <w:highlight w:val="none"/>
              </w:rPr>
              <w:t>验收合格并收到增值税专用发票后</w:t>
            </w:r>
            <w:r>
              <w:rPr>
                <w:color w:val="auto"/>
                <w:highlight w:val="none"/>
              </w:rPr>
              <w:t>7</w:t>
            </w:r>
            <w:r>
              <w:rPr>
                <w:rFonts w:hint="eastAsia"/>
                <w:color w:val="auto"/>
                <w:highlight w:val="none"/>
              </w:rPr>
              <w:t>个工作日内，向</w:t>
            </w:r>
            <w:r>
              <w:rPr>
                <w:rFonts w:hint="eastAsia"/>
                <w:color w:val="auto"/>
                <w:highlight w:val="none"/>
                <w:lang w:eastAsia="zh-CN"/>
              </w:rPr>
              <w:t>中标供应商</w:t>
            </w:r>
            <w:r>
              <w:rPr>
                <w:rFonts w:hint="eastAsia"/>
                <w:color w:val="auto"/>
                <w:highlight w:val="none"/>
              </w:rPr>
              <w:t>支付合同总价的</w:t>
            </w:r>
            <w:r>
              <w:rPr>
                <w:rFonts w:hint="eastAsia"/>
                <w:color w:val="auto"/>
                <w:highlight w:val="none"/>
                <w:u w:val="single"/>
              </w:rPr>
              <w:t xml:space="preserve">　 60  </w:t>
            </w:r>
            <w:r>
              <w:rPr>
                <w:color w:val="auto"/>
                <w:highlight w:val="none"/>
              </w:rPr>
              <w:t>%</w:t>
            </w:r>
            <w:r>
              <w:rPr>
                <w:rFonts w:hint="eastAsia"/>
                <w:color w:val="auto"/>
                <w:highlight w:val="none"/>
              </w:rPr>
              <w:t>。若供应商收取预付款，要求预付款保函有效期覆盖项目验收合格时间；提供了预付款保函则供应商无需再缴纳履约保证金。</w:t>
            </w:r>
          </w:p>
          <w:p w14:paraId="0623B76A">
            <w:pPr>
              <w:rPr>
                <w:color w:val="auto"/>
                <w:highlight w:val="none"/>
              </w:rPr>
            </w:pPr>
            <w:r>
              <w:rPr>
                <w:rFonts w:hint="eastAsia"/>
                <w:color w:val="auto"/>
                <w:highlight w:val="none"/>
              </w:rPr>
              <w:t>付款前，</w:t>
            </w:r>
            <w:r>
              <w:rPr>
                <w:rFonts w:hint="eastAsia"/>
                <w:color w:val="auto"/>
                <w:highlight w:val="none"/>
                <w:lang w:eastAsia="zh-CN"/>
              </w:rPr>
              <w:t>中标供应商</w:t>
            </w:r>
            <w:r>
              <w:rPr>
                <w:rFonts w:hint="eastAsia"/>
                <w:color w:val="auto"/>
                <w:highlight w:val="none"/>
              </w:rPr>
              <w:t>须交纳合同约定的履约保证金（如有）并提供</w:t>
            </w:r>
            <w:r>
              <w:rPr>
                <w:rFonts w:hint="eastAsia"/>
                <w:color w:val="auto"/>
                <w:highlight w:val="none"/>
                <w:lang w:eastAsia="zh-CN"/>
              </w:rPr>
              <w:t>采购人</w:t>
            </w:r>
            <w:r>
              <w:rPr>
                <w:rFonts w:hint="eastAsia"/>
                <w:color w:val="auto"/>
                <w:highlight w:val="none"/>
              </w:rPr>
              <w:t>财务处开具的履约保证金收据，</w:t>
            </w:r>
            <w:r>
              <w:rPr>
                <w:rFonts w:hint="eastAsia"/>
                <w:color w:val="auto"/>
                <w:highlight w:val="none"/>
                <w:lang w:eastAsia="zh-CN"/>
              </w:rPr>
              <w:t>中标供应商</w:t>
            </w:r>
            <w:r>
              <w:rPr>
                <w:rFonts w:hint="eastAsia"/>
                <w:color w:val="auto"/>
                <w:highlight w:val="none"/>
              </w:rPr>
              <w:t>向</w:t>
            </w:r>
            <w:r>
              <w:rPr>
                <w:rFonts w:hint="eastAsia"/>
                <w:color w:val="auto"/>
                <w:highlight w:val="none"/>
                <w:lang w:eastAsia="zh-CN"/>
              </w:rPr>
              <w:t>采购人</w:t>
            </w:r>
            <w:r>
              <w:rPr>
                <w:rFonts w:hint="eastAsia"/>
                <w:color w:val="auto"/>
                <w:highlight w:val="none"/>
              </w:rPr>
              <w:t>开具等额有效的票据。</w:t>
            </w:r>
            <w:r>
              <w:rPr>
                <w:rFonts w:hint="eastAsia"/>
                <w:color w:val="auto"/>
                <w:highlight w:val="none"/>
                <w:lang w:eastAsia="zh-CN"/>
              </w:rPr>
              <w:t>采购人</w:t>
            </w:r>
            <w:r>
              <w:rPr>
                <w:rFonts w:hint="eastAsia"/>
                <w:color w:val="auto"/>
                <w:highlight w:val="none"/>
              </w:rPr>
              <w:t>开票信息如下：</w:t>
            </w:r>
          </w:p>
          <w:p w14:paraId="25C5FC83">
            <w:pPr>
              <w:rPr>
                <w:rFonts w:hint="eastAsia"/>
                <w:color w:val="auto"/>
                <w:highlight w:val="none"/>
              </w:rPr>
            </w:pPr>
            <w:r>
              <w:rPr>
                <w:rFonts w:hint="eastAsia"/>
                <w:color w:val="auto"/>
                <w:highlight w:val="none"/>
              </w:rPr>
              <w:t>单位名称：杭州电子科技大学</w:t>
            </w:r>
          </w:p>
          <w:p w14:paraId="3FC8D9E4">
            <w:pPr>
              <w:rPr>
                <w:color w:val="auto"/>
                <w:highlight w:val="none"/>
              </w:rPr>
            </w:pPr>
            <w:r>
              <w:rPr>
                <w:rFonts w:hint="eastAsia"/>
                <w:color w:val="auto"/>
                <w:highlight w:val="none"/>
              </w:rPr>
              <w:t>税号：</w:t>
            </w:r>
            <w:r>
              <w:rPr>
                <w:color w:val="auto"/>
                <w:highlight w:val="none"/>
              </w:rPr>
              <w:t>12330000470009026T</w:t>
            </w:r>
          </w:p>
          <w:p w14:paraId="3A208550">
            <w:pPr>
              <w:rPr>
                <w:rFonts w:hint="eastAsia"/>
                <w:color w:val="auto"/>
                <w:highlight w:val="none"/>
              </w:rPr>
            </w:pPr>
            <w:r>
              <w:rPr>
                <w:rFonts w:hint="eastAsia"/>
                <w:color w:val="auto"/>
                <w:highlight w:val="none"/>
              </w:rPr>
              <w:t>开户银行：工行杭州高新支行</w:t>
            </w:r>
          </w:p>
          <w:p w14:paraId="50BE3A2F">
            <w:pPr>
              <w:rPr>
                <w:rFonts w:hint="eastAsia" w:ascii="宋体" w:hAnsi="宋体" w:cs="宋体"/>
                <w:color w:val="auto"/>
                <w:szCs w:val="21"/>
                <w:highlight w:val="none"/>
              </w:rPr>
            </w:pPr>
            <w:r>
              <w:rPr>
                <w:rFonts w:hint="eastAsia"/>
                <w:color w:val="auto"/>
                <w:highlight w:val="none"/>
              </w:rPr>
              <w:t>账号：</w:t>
            </w:r>
            <w:r>
              <w:rPr>
                <w:color w:val="auto"/>
                <w:highlight w:val="none"/>
              </w:rPr>
              <w:t>1202026209008806216</w:t>
            </w:r>
          </w:p>
        </w:tc>
        <w:tc>
          <w:tcPr>
            <w:tcW w:w="725" w:type="dxa"/>
            <w:noWrap w:val="0"/>
            <w:vAlign w:val="top"/>
          </w:tcPr>
          <w:p w14:paraId="6018EDFC">
            <w:pPr>
              <w:spacing w:line="288" w:lineRule="auto"/>
              <w:rPr>
                <w:rFonts w:hint="eastAsia" w:ascii="宋体" w:hAnsi="宋体" w:cs="宋体"/>
                <w:color w:val="auto"/>
                <w:szCs w:val="21"/>
                <w:highlight w:val="none"/>
              </w:rPr>
            </w:pPr>
          </w:p>
        </w:tc>
      </w:tr>
      <w:tr w14:paraId="29CE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noWrap w:val="0"/>
            <w:vAlign w:val="top"/>
          </w:tcPr>
          <w:p w14:paraId="639B7143">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7</w:t>
            </w:r>
          </w:p>
        </w:tc>
        <w:tc>
          <w:tcPr>
            <w:tcW w:w="1155" w:type="dxa"/>
            <w:noWrap w:val="0"/>
            <w:vAlign w:val="top"/>
          </w:tcPr>
          <w:p w14:paraId="7F74E042">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售后服务要求</w:t>
            </w:r>
          </w:p>
        </w:tc>
        <w:tc>
          <w:tcPr>
            <w:tcW w:w="5980" w:type="dxa"/>
            <w:noWrap w:val="0"/>
            <w:vAlign w:val="top"/>
          </w:tcPr>
          <w:p w14:paraId="7D436FC1">
            <w:pPr>
              <w:rPr>
                <w:rFonts w:hint="eastAsia" w:ascii="宋体" w:hAnsi="宋体" w:cs="宋体"/>
                <w:color w:val="auto"/>
                <w:szCs w:val="21"/>
                <w:highlight w:val="none"/>
              </w:rPr>
            </w:pPr>
            <w:r>
              <w:rPr>
                <w:rFonts w:hint="eastAsia" w:ascii="宋体" w:hAnsi="宋体" w:cs="宋体"/>
                <w:color w:val="auto"/>
                <w:szCs w:val="21"/>
                <w:highlight w:val="none"/>
              </w:rPr>
              <w:t>2.1远程技术支持：</w:t>
            </w:r>
            <w:r>
              <w:rPr>
                <w:rFonts w:hint="eastAsia" w:ascii="宋体" w:hAnsi="宋体" w:cs="宋体"/>
                <w:color w:val="auto"/>
                <w:szCs w:val="21"/>
                <w:highlight w:val="none"/>
                <w:lang w:eastAsia="zh-CN"/>
              </w:rPr>
              <w:t>中标供应商</w:t>
            </w:r>
            <w:r>
              <w:rPr>
                <w:rFonts w:hint="eastAsia" w:ascii="宋体" w:hAnsi="宋体" w:cs="宋体"/>
                <w:color w:val="auto"/>
                <w:szCs w:val="21"/>
                <w:highlight w:val="none"/>
              </w:rPr>
              <w:t>应具有稳定的技术支持队伍和完善的服务支持网络，提供</w:t>
            </w:r>
            <w:r>
              <w:rPr>
                <w:rFonts w:hint="eastAsia" w:ascii="宋体" w:hAnsi="宋体" w:cs="宋体"/>
                <w:color w:val="auto"/>
                <w:szCs w:val="21"/>
                <w:highlight w:val="none"/>
                <w:u w:val="single"/>
              </w:rPr>
              <w:t xml:space="preserve"> 7×24小时 </w:t>
            </w:r>
            <w:r>
              <w:rPr>
                <w:rFonts w:hint="eastAsia" w:ascii="宋体" w:hAnsi="宋体" w:cs="宋体"/>
                <w:color w:val="auto"/>
                <w:szCs w:val="21"/>
                <w:highlight w:val="none"/>
              </w:rPr>
              <w:t>技术支持服务，及时响应</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的技术服务支持需求，提出有效的解决方案，解决</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在货物使用过程中遇到的实际问题。</w:t>
            </w:r>
          </w:p>
          <w:p w14:paraId="687F2D47">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2.2现场技术支持：对于通过电话、邮件等远程技术支持不能解决的问题，</w:t>
            </w:r>
            <w:r>
              <w:rPr>
                <w:rFonts w:hint="eastAsia" w:ascii="宋体" w:hAnsi="宋体" w:cs="宋体"/>
                <w:color w:val="auto"/>
                <w:szCs w:val="21"/>
                <w:highlight w:val="none"/>
                <w:lang w:eastAsia="zh-CN"/>
              </w:rPr>
              <w:t>中标供应商</w:t>
            </w:r>
            <w:r>
              <w:rPr>
                <w:rFonts w:hint="eastAsia" w:ascii="宋体" w:hAnsi="宋体" w:cs="宋体"/>
                <w:color w:val="auto"/>
                <w:szCs w:val="21"/>
                <w:highlight w:val="none"/>
              </w:rPr>
              <w:t>应在</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小时内派遣相关人员赶赴现场，</w:t>
            </w:r>
            <w:r>
              <w:rPr>
                <w:rFonts w:hint="eastAsia" w:ascii="宋体" w:hAnsi="宋体" w:cs="宋体"/>
                <w:color w:val="auto"/>
                <w:szCs w:val="21"/>
                <w:highlight w:val="none"/>
                <w:u w:val="single"/>
              </w:rPr>
              <w:t xml:space="preserve">  4  </w:t>
            </w:r>
            <w:r>
              <w:rPr>
                <w:rFonts w:hint="eastAsia" w:ascii="宋体" w:hAnsi="宋体" w:cs="宋体"/>
                <w:color w:val="auto"/>
                <w:szCs w:val="21"/>
                <w:highlight w:val="none"/>
              </w:rPr>
              <w:t>小时内维修完毕；发生紧急抢修事故的，</w:t>
            </w:r>
            <w:r>
              <w:rPr>
                <w:rFonts w:hint="eastAsia" w:ascii="宋体" w:hAnsi="宋体" w:cs="宋体"/>
                <w:color w:val="auto"/>
                <w:szCs w:val="21"/>
                <w:highlight w:val="none"/>
                <w:lang w:eastAsia="zh-CN"/>
              </w:rPr>
              <w:t>中标供应商</w:t>
            </w:r>
            <w:r>
              <w:rPr>
                <w:rFonts w:hint="eastAsia" w:ascii="宋体" w:hAnsi="宋体" w:cs="宋体"/>
                <w:color w:val="auto"/>
                <w:szCs w:val="21"/>
                <w:highlight w:val="none"/>
              </w:rPr>
              <w:t>应在接到</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通知后</w:t>
            </w:r>
            <w:r>
              <w:rPr>
                <w:rFonts w:hint="eastAsia" w:ascii="宋体" w:hAnsi="宋体" w:cs="宋体"/>
                <w:color w:val="auto"/>
                <w:szCs w:val="21"/>
                <w:highlight w:val="none"/>
                <w:u w:val="single"/>
              </w:rPr>
              <w:t xml:space="preserve">  12   </w:t>
            </w:r>
            <w:r>
              <w:rPr>
                <w:rFonts w:hint="eastAsia" w:ascii="宋体" w:hAnsi="宋体" w:cs="宋体"/>
                <w:color w:val="auto"/>
                <w:szCs w:val="21"/>
                <w:highlight w:val="none"/>
              </w:rPr>
              <w:t>小时内到达现场抢修，并于到达现场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小时之内排除故障。</w:t>
            </w:r>
            <w:r>
              <w:rPr>
                <w:rFonts w:hint="eastAsia" w:ascii="宋体" w:hAnsi="宋体" w:cs="宋体"/>
                <w:color w:val="auto"/>
                <w:szCs w:val="21"/>
                <w:highlight w:val="none"/>
                <w:lang w:eastAsia="zh-CN"/>
              </w:rPr>
              <w:t>中标供应商</w:t>
            </w:r>
            <w:r>
              <w:rPr>
                <w:rFonts w:hint="eastAsia" w:ascii="宋体" w:hAnsi="宋体" w:cs="宋体"/>
                <w:color w:val="auto"/>
                <w:szCs w:val="21"/>
                <w:highlight w:val="none"/>
              </w:rPr>
              <w:t>未在约定时间内修复的或同一货物经</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次维修后仍不能稳定、可靠运行的，</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有权要求</w:t>
            </w:r>
            <w:r>
              <w:rPr>
                <w:rFonts w:hint="eastAsia" w:ascii="宋体" w:hAnsi="宋体" w:cs="宋体"/>
                <w:color w:val="auto"/>
                <w:szCs w:val="21"/>
                <w:highlight w:val="none"/>
                <w:lang w:eastAsia="zh-CN"/>
              </w:rPr>
              <w:t>中标供应商</w:t>
            </w:r>
            <w:r>
              <w:rPr>
                <w:rFonts w:hint="eastAsia" w:ascii="宋体" w:hAnsi="宋体" w:cs="宋体"/>
                <w:color w:val="auto"/>
                <w:szCs w:val="21"/>
                <w:highlight w:val="none"/>
              </w:rPr>
              <w:t>免费更换。</w:t>
            </w:r>
          </w:p>
        </w:tc>
        <w:tc>
          <w:tcPr>
            <w:tcW w:w="725" w:type="dxa"/>
            <w:noWrap w:val="0"/>
            <w:vAlign w:val="top"/>
          </w:tcPr>
          <w:p w14:paraId="109D82B5">
            <w:pPr>
              <w:spacing w:line="288" w:lineRule="auto"/>
              <w:rPr>
                <w:rFonts w:hint="eastAsia" w:ascii="宋体" w:hAnsi="宋体" w:cs="宋体"/>
                <w:color w:val="auto"/>
                <w:szCs w:val="21"/>
                <w:highlight w:val="none"/>
              </w:rPr>
            </w:pPr>
          </w:p>
        </w:tc>
      </w:tr>
      <w:tr w14:paraId="696B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643" w:type="dxa"/>
            <w:noWrap w:val="0"/>
            <w:vAlign w:val="top"/>
          </w:tcPr>
          <w:p w14:paraId="66EE2359">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8</w:t>
            </w:r>
          </w:p>
        </w:tc>
        <w:tc>
          <w:tcPr>
            <w:tcW w:w="1155" w:type="dxa"/>
            <w:noWrap w:val="0"/>
            <w:vAlign w:val="top"/>
          </w:tcPr>
          <w:p w14:paraId="02355538">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违约条款</w:t>
            </w:r>
          </w:p>
        </w:tc>
        <w:tc>
          <w:tcPr>
            <w:tcW w:w="5980" w:type="dxa"/>
            <w:noWrap w:val="0"/>
            <w:vAlign w:val="top"/>
          </w:tcPr>
          <w:p w14:paraId="07EF1E7A">
            <w:pPr>
              <w:rPr>
                <w:color w:val="auto"/>
                <w:highlight w:val="none"/>
              </w:rPr>
            </w:pPr>
            <w:r>
              <w:rPr>
                <w:rFonts w:ascii="宋体" w:hAnsi="宋体"/>
                <w:color w:val="auto"/>
                <w:highlight w:val="none"/>
              </w:rPr>
              <w:t>1</w:t>
            </w:r>
            <w:r>
              <w:rPr>
                <w:rFonts w:ascii="宋体" w:hAnsi="宋体"/>
                <w:color w:val="auto"/>
                <w:spacing w:val="-6"/>
                <w:highlight w:val="none"/>
              </w:rPr>
              <w:t>.</w:t>
            </w:r>
            <w:r>
              <w:rPr>
                <w:rFonts w:hint="eastAsia"/>
                <w:color w:val="auto"/>
                <w:highlight w:val="none"/>
                <w:lang w:eastAsia="zh-CN"/>
              </w:rPr>
              <w:t>采购人</w:t>
            </w:r>
            <w:r>
              <w:rPr>
                <w:rFonts w:hint="eastAsia"/>
                <w:color w:val="auto"/>
                <w:highlight w:val="none"/>
              </w:rPr>
              <w:t>无故逾期验收和办理货款支付手续的，每逾期一日，应按逾期付款总额</w:t>
            </w:r>
            <w:r>
              <w:rPr>
                <w:rFonts w:hint="eastAsia"/>
                <w:color w:val="auto"/>
                <w:highlight w:val="none"/>
                <w:u w:val="single"/>
              </w:rPr>
              <w:t>0.3</w:t>
            </w:r>
            <w:r>
              <w:rPr>
                <w:rFonts w:ascii="Arial" w:hAnsi="Arial" w:cs="Arial"/>
                <w:color w:val="auto"/>
                <w:highlight w:val="none"/>
                <w:u w:val="single"/>
              </w:rPr>
              <w:t>‰</w:t>
            </w:r>
            <w:r>
              <w:rPr>
                <w:rFonts w:hint="eastAsia"/>
                <w:color w:val="auto"/>
                <w:highlight w:val="none"/>
              </w:rPr>
              <w:t>向</w:t>
            </w:r>
            <w:r>
              <w:rPr>
                <w:rFonts w:hint="eastAsia"/>
                <w:color w:val="auto"/>
                <w:highlight w:val="none"/>
                <w:lang w:eastAsia="zh-CN"/>
              </w:rPr>
              <w:t>中标供应商</w:t>
            </w:r>
            <w:r>
              <w:rPr>
                <w:rFonts w:hint="eastAsia"/>
                <w:color w:val="auto"/>
                <w:highlight w:val="none"/>
              </w:rPr>
              <w:t>支付违约金。</w:t>
            </w:r>
          </w:p>
          <w:p w14:paraId="0671E95F">
            <w:pPr>
              <w:rPr>
                <w:color w:val="auto"/>
                <w:highlight w:val="none"/>
              </w:rPr>
            </w:pPr>
            <w:r>
              <w:rPr>
                <w:rFonts w:ascii="宋体" w:hAnsi="宋体"/>
                <w:color w:val="auto"/>
                <w:highlight w:val="none"/>
              </w:rPr>
              <w:t>2</w:t>
            </w:r>
            <w:r>
              <w:rPr>
                <w:rFonts w:ascii="宋体" w:hAnsi="宋体"/>
                <w:color w:val="auto"/>
                <w:spacing w:val="-6"/>
                <w:highlight w:val="none"/>
              </w:rPr>
              <w:t>.</w:t>
            </w:r>
            <w:r>
              <w:rPr>
                <w:rFonts w:hint="eastAsia"/>
                <w:color w:val="auto"/>
                <w:highlight w:val="none"/>
                <w:lang w:eastAsia="zh-CN"/>
              </w:rPr>
              <w:t>中标供应商</w:t>
            </w:r>
            <w:r>
              <w:rPr>
                <w:rFonts w:hint="eastAsia"/>
                <w:color w:val="auto"/>
                <w:highlight w:val="none"/>
              </w:rPr>
              <w:t>逾期交货完工的，每逾期一日，应按合同总价</w:t>
            </w:r>
            <w:r>
              <w:rPr>
                <w:rFonts w:hint="eastAsia"/>
                <w:color w:val="auto"/>
                <w:highlight w:val="none"/>
                <w:u w:val="single"/>
              </w:rPr>
              <w:t>0.3</w:t>
            </w:r>
            <w:r>
              <w:rPr>
                <w:rFonts w:ascii="Arial" w:hAnsi="Arial" w:cs="Arial"/>
                <w:color w:val="auto"/>
                <w:highlight w:val="none"/>
                <w:u w:val="single"/>
              </w:rPr>
              <w:t>‰</w:t>
            </w:r>
            <w:r>
              <w:rPr>
                <w:rFonts w:hint="eastAsia"/>
                <w:color w:val="auto"/>
                <w:highlight w:val="none"/>
              </w:rPr>
              <w:t>向</w:t>
            </w:r>
            <w:r>
              <w:rPr>
                <w:rFonts w:hint="eastAsia"/>
                <w:color w:val="auto"/>
                <w:highlight w:val="none"/>
                <w:lang w:eastAsia="zh-CN"/>
              </w:rPr>
              <w:t>采购人</w:t>
            </w:r>
            <w:r>
              <w:rPr>
                <w:rFonts w:hint="eastAsia"/>
                <w:color w:val="auto"/>
                <w:highlight w:val="none"/>
              </w:rPr>
              <w:t>支付违约金。逾期超过约定日期</w:t>
            </w:r>
            <w:r>
              <w:rPr>
                <w:color w:val="auto"/>
                <w:highlight w:val="none"/>
                <w:u w:val="single"/>
              </w:rPr>
              <w:t xml:space="preserve"> 10 </w:t>
            </w:r>
            <w:r>
              <w:rPr>
                <w:rFonts w:hint="eastAsia"/>
                <w:color w:val="auto"/>
                <w:highlight w:val="none"/>
              </w:rPr>
              <w:t>个工作日不能交货完工的，</w:t>
            </w:r>
            <w:r>
              <w:rPr>
                <w:rFonts w:hint="eastAsia"/>
                <w:color w:val="auto"/>
                <w:highlight w:val="none"/>
                <w:lang w:eastAsia="zh-CN"/>
              </w:rPr>
              <w:t>采购人</w:t>
            </w:r>
            <w:r>
              <w:rPr>
                <w:rFonts w:hint="eastAsia"/>
                <w:color w:val="auto"/>
                <w:highlight w:val="none"/>
              </w:rPr>
              <w:t>有权解除本合同，并要求</w:t>
            </w:r>
            <w:r>
              <w:rPr>
                <w:rFonts w:hint="eastAsia"/>
                <w:color w:val="auto"/>
                <w:highlight w:val="none"/>
                <w:lang w:eastAsia="zh-CN"/>
              </w:rPr>
              <w:t>中标供应商</w:t>
            </w:r>
            <w:r>
              <w:rPr>
                <w:rFonts w:hint="eastAsia"/>
                <w:color w:val="auto"/>
                <w:highlight w:val="none"/>
              </w:rPr>
              <w:t>支付合同总价</w:t>
            </w:r>
            <w:r>
              <w:rPr>
                <w:color w:val="auto"/>
                <w:highlight w:val="none"/>
                <w:u w:val="single"/>
              </w:rPr>
              <w:t xml:space="preserve"> 5 %</w:t>
            </w:r>
            <w:r>
              <w:rPr>
                <w:rFonts w:hint="eastAsia"/>
                <w:color w:val="auto"/>
                <w:highlight w:val="none"/>
              </w:rPr>
              <w:t>的违约金，违约金不足以弥补</w:t>
            </w:r>
            <w:r>
              <w:rPr>
                <w:rFonts w:hint="eastAsia"/>
                <w:color w:val="auto"/>
                <w:highlight w:val="none"/>
                <w:lang w:eastAsia="zh-CN"/>
              </w:rPr>
              <w:t>采购人</w:t>
            </w:r>
            <w:r>
              <w:rPr>
                <w:rFonts w:hint="eastAsia"/>
                <w:color w:val="auto"/>
                <w:highlight w:val="none"/>
              </w:rPr>
              <w:t>损失的，</w:t>
            </w:r>
            <w:r>
              <w:rPr>
                <w:rFonts w:hint="eastAsia"/>
                <w:color w:val="auto"/>
                <w:highlight w:val="none"/>
                <w:lang w:eastAsia="zh-CN"/>
              </w:rPr>
              <w:t>中标供应商</w:t>
            </w:r>
            <w:r>
              <w:rPr>
                <w:rFonts w:hint="eastAsia"/>
                <w:color w:val="auto"/>
                <w:highlight w:val="none"/>
              </w:rPr>
              <w:t>还应负责赔偿。</w:t>
            </w:r>
          </w:p>
          <w:p w14:paraId="56E7B837">
            <w:pPr>
              <w:rPr>
                <w:color w:val="auto"/>
                <w:highlight w:val="none"/>
              </w:rPr>
            </w:pPr>
            <w:r>
              <w:rPr>
                <w:rFonts w:ascii="宋体" w:hAnsi="宋体"/>
                <w:color w:val="auto"/>
                <w:highlight w:val="none"/>
              </w:rPr>
              <w:t>3</w:t>
            </w:r>
            <w:r>
              <w:rPr>
                <w:rFonts w:ascii="宋体" w:hAnsi="宋体"/>
                <w:color w:val="auto"/>
                <w:spacing w:val="-6"/>
                <w:highlight w:val="none"/>
              </w:rPr>
              <w:t>.</w:t>
            </w:r>
            <w:r>
              <w:rPr>
                <w:rFonts w:hint="eastAsia"/>
                <w:color w:val="auto"/>
                <w:highlight w:val="none"/>
                <w:lang w:eastAsia="zh-CN"/>
              </w:rPr>
              <w:t>中标供应商</w:t>
            </w:r>
            <w:r>
              <w:rPr>
                <w:rFonts w:hint="eastAsia"/>
                <w:color w:val="auto"/>
                <w:highlight w:val="none"/>
              </w:rPr>
              <w:t>所交付的货物品种、型号、规格、技术参数、质量不符合合同规定及采购文件规定标准的，</w:t>
            </w:r>
            <w:r>
              <w:rPr>
                <w:rFonts w:hint="eastAsia"/>
                <w:color w:val="auto"/>
                <w:highlight w:val="none"/>
                <w:lang w:eastAsia="zh-CN"/>
              </w:rPr>
              <w:t>采购人</w:t>
            </w:r>
            <w:r>
              <w:rPr>
                <w:rFonts w:hint="eastAsia"/>
                <w:color w:val="auto"/>
                <w:highlight w:val="none"/>
              </w:rPr>
              <w:t>有权拒收该货物，</w:t>
            </w:r>
            <w:r>
              <w:rPr>
                <w:rFonts w:hint="eastAsia"/>
                <w:color w:val="auto"/>
                <w:highlight w:val="none"/>
                <w:lang w:eastAsia="zh-CN"/>
              </w:rPr>
              <w:t>中标供应商</w:t>
            </w:r>
            <w:r>
              <w:rPr>
                <w:rFonts w:hint="eastAsia"/>
                <w:color w:val="auto"/>
                <w:highlight w:val="none"/>
              </w:rPr>
              <w:t>愿意更换货物但逾期完工的，按</w:t>
            </w:r>
            <w:r>
              <w:rPr>
                <w:rFonts w:hint="eastAsia"/>
                <w:color w:val="auto"/>
                <w:highlight w:val="none"/>
                <w:lang w:eastAsia="zh-CN"/>
              </w:rPr>
              <w:t>中标供应商</w:t>
            </w:r>
            <w:r>
              <w:rPr>
                <w:rFonts w:hint="eastAsia"/>
                <w:color w:val="auto"/>
                <w:highlight w:val="none"/>
              </w:rPr>
              <w:t>逾期处理。</w:t>
            </w:r>
            <w:r>
              <w:rPr>
                <w:rFonts w:hint="eastAsia"/>
                <w:color w:val="auto"/>
                <w:highlight w:val="none"/>
                <w:lang w:eastAsia="zh-CN"/>
              </w:rPr>
              <w:t>中标供应商</w:t>
            </w:r>
            <w:r>
              <w:rPr>
                <w:rFonts w:hint="eastAsia"/>
                <w:color w:val="auto"/>
                <w:highlight w:val="none"/>
              </w:rPr>
              <w:t>拒绝更换货物的，</w:t>
            </w:r>
            <w:r>
              <w:rPr>
                <w:rFonts w:hint="eastAsia"/>
                <w:color w:val="auto"/>
                <w:highlight w:val="none"/>
                <w:lang w:eastAsia="zh-CN"/>
              </w:rPr>
              <w:t>采购人</w:t>
            </w:r>
            <w:r>
              <w:rPr>
                <w:rFonts w:hint="eastAsia"/>
                <w:color w:val="auto"/>
                <w:highlight w:val="none"/>
              </w:rPr>
              <w:t>可单方面解除合同，并要求</w:t>
            </w:r>
            <w:r>
              <w:rPr>
                <w:rFonts w:hint="eastAsia"/>
                <w:color w:val="auto"/>
                <w:highlight w:val="none"/>
                <w:lang w:eastAsia="zh-CN"/>
              </w:rPr>
              <w:t>中标供应商</w:t>
            </w:r>
            <w:r>
              <w:rPr>
                <w:rFonts w:hint="eastAsia"/>
                <w:color w:val="auto"/>
                <w:highlight w:val="none"/>
              </w:rPr>
              <w:t>支付合同总价</w:t>
            </w:r>
            <w:r>
              <w:rPr>
                <w:color w:val="auto"/>
                <w:highlight w:val="none"/>
                <w:u w:val="single"/>
              </w:rPr>
              <w:t xml:space="preserve"> 5 %</w:t>
            </w:r>
            <w:r>
              <w:rPr>
                <w:rFonts w:hint="eastAsia"/>
                <w:color w:val="auto"/>
                <w:highlight w:val="none"/>
              </w:rPr>
              <w:t>的违约金，违约金不足以弥补</w:t>
            </w:r>
            <w:r>
              <w:rPr>
                <w:rFonts w:hint="eastAsia"/>
                <w:color w:val="auto"/>
                <w:highlight w:val="none"/>
                <w:lang w:eastAsia="zh-CN"/>
              </w:rPr>
              <w:t>采购人</w:t>
            </w:r>
            <w:r>
              <w:rPr>
                <w:rFonts w:hint="eastAsia"/>
                <w:color w:val="auto"/>
                <w:highlight w:val="none"/>
              </w:rPr>
              <w:t>损失的，</w:t>
            </w:r>
            <w:r>
              <w:rPr>
                <w:rFonts w:hint="eastAsia"/>
                <w:color w:val="auto"/>
                <w:highlight w:val="none"/>
                <w:lang w:eastAsia="zh-CN"/>
              </w:rPr>
              <w:t>中标供应商</w:t>
            </w:r>
            <w:r>
              <w:rPr>
                <w:rFonts w:hint="eastAsia"/>
                <w:color w:val="auto"/>
                <w:highlight w:val="none"/>
              </w:rPr>
              <w:t>还应负责赔偿。</w:t>
            </w:r>
          </w:p>
          <w:p w14:paraId="0222C58E">
            <w:pPr>
              <w:rPr>
                <w:color w:val="auto"/>
                <w:highlight w:val="none"/>
              </w:rPr>
            </w:pPr>
            <w:r>
              <w:rPr>
                <w:rFonts w:ascii="宋体" w:hAnsi="宋体"/>
                <w:color w:val="auto"/>
                <w:highlight w:val="none"/>
              </w:rPr>
              <w:t>4</w:t>
            </w:r>
            <w:r>
              <w:rPr>
                <w:rFonts w:ascii="宋体" w:hAnsi="宋体"/>
                <w:color w:val="auto"/>
                <w:spacing w:val="-6"/>
                <w:highlight w:val="none"/>
              </w:rPr>
              <w:t>.</w:t>
            </w:r>
            <w:r>
              <w:rPr>
                <w:rFonts w:hint="eastAsia"/>
                <w:color w:val="auto"/>
                <w:highlight w:val="none"/>
                <w:lang w:eastAsia="zh-CN"/>
              </w:rPr>
              <w:t>中标供应商</w:t>
            </w:r>
            <w:r>
              <w:rPr>
                <w:rFonts w:hint="eastAsia"/>
                <w:color w:val="auto"/>
                <w:highlight w:val="none"/>
              </w:rPr>
              <w:t>未能按约定要求履行保修义务的，</w:t>
            </w:r>
            <w:bookmarkStart w:id="50" w:name="_Hlk154755811"/>
            <w:r>
              <w:rPr>
                <w:rFonts w:hint="eastAsia"/>
                <w:color w:val="auto"/>
                <w:highlight w:val="none"/>
              </w:rPr>
              <w:t>每发生一次应向</w:t>
            </w:r>
            <w:r>
              <w:rPr>
                <w:rFonts w:hint="eastAsia"/>
                <w:color w:val="auto"/>
                <w:highlight w:val="none"/>
                <w:lang w:eastAsia="zh-CN"/>
              </w:rPr>
              <w:t>采购人</w:t>
            </w:r>
            <w:r>
              <w:rPr>
                <w:rFonts w:hint="eastAsia"/>
                <w:color w:val="auto"/>
                <w:highlight w:val="none"/>
              </w:rPr>
              <w:t>支付</w:t>
            </w:r>
            <w:r>
              <w:rPr>
                <w:color w:val="auto"/>
                <w:highlight w:val="none"/>
                <w:u w:val="single"/>
              </w:rPr>
              <w:t xml:space="preserve"> </w:t>
            </w:r>
            <w:r>
              <w:rPr>
                <w:rFonts w:hint="eastAsia"/>
                <w:color w:val="auto"/>
                <w:highlight w:val="none"/>
                <w:u w:val="single"/>
              </w:rPr>
              <w:t xml:space="preserve"> 2000  </w:t>
            </w:r>
            <w:r>
              <w:rPr>
                <w:color w:val="auto"/>
                <w:highlight w:val="none"/>
                <w:u w:val="single"/>
              </w:rPr>
              <w:t xml:space="preserve"> </w:t>
            </w:r>
            <w:r>
              <w:rPr>
                <w:rFonts w:hint="eastAsia"/>
                <w:color w:val="auto"/>
                <w:highlight w:val="none"/>
              </w:rPr>
              <w:t>元的违约金，同时，</w:t>
            </w:r>
            <w:r>
              <w:rPr>
                <w:rFonts w:hint="eastAsia"/>
                <w:color w:val="auto"/>
                <w:highlight w:val="none"/>
                <w:lang w:eastAsia="zh-CN"/>
              </w:rPr>
              <w:t>采购人</w:t>
            </w:r>
            <w:r>
              <w:rPr>
                <w:rFonts w:hint="eastAsia"/>
                <w:color w:val="auto"/>
                <w:highlight w:val="none"/>
              </w:rPr>
              <w:t>有权委托第三方进行保修，所产生的费用由</w:t>
            </w:r>
            <w:r>
              <w:rPr>
                <w:rFonts w:hint="eastAsia"/>
                <w:color w:val="auto"/>
                <w:highlight w:val="none"/>
                <w:lang w:eastAsia="zh-CN"/>
              </w:rPr>
              <w:t>中标供应商</w:t>
            </w:r>
            <w:r>
              <w:rPr>
                <w:rFonts w:hint="eastAsia"/>
                <w:color w:val="auto"/>
                <w:highlight w:val="none"/>
              </w:rPr>
              <w:t>承担。</w:t>
            </w:r>
            <w:bookmarkEnd w:id="50"/>
            <w:r>
              <w:rPr>
                <w:rFonts w:hint="eastAsia"/>
                <w:color w:val="auto"/>
                <w:highlight w:val="none"/>
              </w:rPr>
              <w:t>若因货物缺陷或</w:t>
            </w:r>
            <w:r>
              <w:rPr>
                <w:rFonts w:hint="eastAsia"/>
                <w:color w:val="auto"/>
                <w:highlight w:val="none"/>
                <w:lang w:eastAsia="zh-CN"/>
              </w:rPr>
              <w:t>中标供应商</w:t>
            </w:r>
            <w:r>
              <w:rPr>
                <w:rFonts w:hint="eastAsia"/>
                <w:color w:val="auto"/>
                <w:highlight w:val="none"/>
              </w:rPr>
              <w:t>服务质量等问题造成</w:t>
            </w:r>
            <w:r>
              <w:rPr>
                <w:rFonts w:hint="eastAsia"/>
                <w:color w:val="auto"/>
                <w:highlight w:val="none"/>
                <w:lang w:eastAsia="zh-CN"/>
              </w:rPr>
              <w:t>采购人</w:t>
            </w:r>
            <w:r>
              <w:rPr>
                <w:rFonts w:hint="eastAsia"/>
                <w:color w:val="auto"/>
                <w:highlight w:val="none"/>
              </w:rPr>
              <w:t>或任何人员人身、财产损害的，</w:t>
            </w:r>
            <w:r>
              <w:rPr>
                <w:rFonts w:hint="eastAsia"/>
                <w:color w:val="auto"/>
                <w:highlight w:val="none"/>
                <w:lang w:eastAsia="zh-CN"/>
              </w:rPr>
              <w:t>中标供应商</w:t>
            </w:r>
            <w:r>
              <w:rPr>
                <w:rFonts w:hint="eastAsia"/>
                <w:color w:val="auto"/>
                <w:highlight w:val="none"/>
              </w:rPr>
              <w:t>应承担有关责任并作出相应赔偿。</w:t>
            </w:r>
          </w:p>
          <w:p w14:paraId="6A4ED1F0">
            <w:pPr>
              <w:spacing w:line="288" w:lineRule="auto"/>
              <w:rPr>
                <w:rFonts w:hint="eastAsia" w:ascii="宋体" w:hAnsi="宋体" w:cs="宋体"/>
                <w:color w:val="auto"/>
                <w:szCs w:val="21"/>
                <w:highlight w:val="none"/>
              </w:rPr>
            </w:pPr>
            <w:r>
              <w:rPr>
                <w:rFonts w:ascii="宋体" w:hAnsi="宋体"/>
                <w:color w:val="auto"/>
                <w:highlight w:val="none"/>
              </w:rPr>
              <w:t>5</w:t>
            </w:r>
            <w:r>
              <w:rPr>
                <w:rFonts w:ascii="宋体" w:hAnsi="宋体"/>
                <w:color w:val="auto"/>
                <w:spacing w:val="-6"/>
                <w:highlight w:val="none"/>
              </w:rPr>
              <w:t>.</w:t>
            </w:r>
            <w:r>
              <w:rPr>
                <w:rFonts w:hint="eastAsia"/>
                <w:color w:val="auto"/>
                <w:highlight w:val="none"/>
              </w:rPr>
              <w:t>因</w:t>
            </w:r>
            <w:r>
              <w:rPr>
                <w:rFonts w:hint="eastAsia"/>
                <w:color w:val="auto"/>
                <w:highlight w:val="none"/>
                <w:lang w:eastAsia="zh-CN"/>
              </w:rPr>
              <w:t>中标供应商</w:t>
            </w:r>
            <w:r>
              <w:rPr>
                <w:rFonts w:hint="eastAsia"/>
                <w:color w:val="auto"/>
                <w:highlight w:val="none"/>
              </w:rPr>
              <w:t>其他违约行为导致</w:t>
            </w:r>
            <w:r>
              <w:rPr>
                <w:rFonts w:hint="eastAsia"/>
                <w:color w:val="auto"/>
                <w:highlight w:val="none"/>
                <w:lang w:eastAsia="zh-CN"/>
              </w:rPr>
              <w:t>采购人</w:t>
            </w:r>
            <w:r>
              <w:rPr>
                <w:rFonts w:hint="eastAsia"/>
                <w:color w:val="auto"/>
                <w:highlight w:val="none"/>
              </w:rPr>
              <w:t>解除合同的，</w:t>
            </w:r>
            <w:r>
              <w:rPr>
                <w:rFonts w:hint="eastAsia"/>
                <w:color w:val="auto"/>
                <w:highlight w:val="none"/>
                <w:lang w:eastAsia="zh-CN"/>
              </w:rPr>
              <w:t>中标供应商</w:t>
            </w:r>
            <w:r>
              <w:rPr>
                <w:rFonts w:hint="eastAsia"/>
                <w:color w:val="auto"/>
                <w:highlight w:val="none"/>
              </w:rPr>
              <w:t>应向</w:t>
            </w:r>
            <w:r>
              <w:rPr>
                <w:rFonts w:hint="eastAsia"/>
                <w:color w:val="auto"/>
                <w:highlight w:val="none"/>
                <w:lang w:eastAsia="zh-CN"/>
              </w:rPr>
              <w:t>采购人</w:t>
            </w:r>
            <w:r>
              <w:rPr>
                <w:rFonts w:hint="eastAsia"/>
                <w:color w:val="auto"/>
                <w:highlight w:val="none"/>
              </w:rPr>
              <w:t>支付合同总价</w:t>
            </w:r>
            <w:r>
              <w:rPr>
                <w:color w:val="auto"/>
                <w:highlight w:val="none"/>
              </w:rPr>
              <w:t xml:space="preserve"> </w:t>
            </w:r>
            <w:r>
              <w:rPr>
                <w:color w:val="auto"/>
                <w:highlight w:val="none"/>
                <w:u w:val="single"/>
              </w:rPr>
              <w:t>5 %</w:t>
            </w:r>
            <w:r>
              <w:rPr>
                <w:rFonts w:hint="eastAsia"/>
                <w:color w:val="auto"/>
                <w:highlight w:val="none"/>
              </w:rPr>
              <w:t>的违约金，违约金不足以弥补</w:t>
            </w:r>
            <w:r>
              <w:rPr>
                <w:rFonts w:hint="eastAsia"/>
                <w:color w:val="auto"/>
                <w:highlight w:val="none"/>
                <w:lang w:eastAsia="zh-CN"/>
              </w:rPr>
              <w:t>采购人</w:t>
            </w:r>
            <w:r>
              <w:rPr>
                <w:rFonts w:hint="eastAsia"/>
                <w:color w:val="auto"/>
                <w:highlight w:val="none"/>
              </w:rPr>
              <w:t>损失的，</w:t>
            </w:r>
            <w:r>
              <w:rPr>
                <w:rFonts w:hint="eastAsia"/>
                <w:color w:val="auto"/>
                <w:highlight w:val="none"/>
                <w:lang w:eastAsia="zh-CN"/>
              </w:rPr>
              <w:t>中标供应商</w:t>
            </w:r>
            <w:r>
              <w:rPr>
                <w:rFonts w:hint="eastAsia"/>
                <w:color w:val="auto"/>
                <w:highlight w:val="none"/>
              </w:rPr>
              <w:t>还应负责赔偿。</w:t>
            </w:r>
          </w:p>
        </w:tc>
        <w:tc>
          <w:tcPr>
            <w:tcW w:w="725" w:type="dxa"/>
            <w:noWrap w:val="0"/>
            <w:vAlign w:val="top"/>
          </w:tcPr>
          <w:p w14:paraId="4ADF76E0">
            <w:pPr>
              <w:spacing w:line="288" w:lineRule="auto"/>
              <w:rPr>
                <w:rFonts w:hint="eastAsia" w:ascii="宋体" w:hAnsi="宋体" w:cs="宋体"/>
                <w:color w:val="auto"/>
                <w:szCs w:val="21"/>
                <w:highlight w:val="none"/>
              </w:rPr>
            </w:pPr>
          </w:p>
        </w:tc>
      </w:tr>
      <w:tr w14:paraId="2B7C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643" w:type="dxa"/>
            <w:noWrap w:val="0"/>
            <w:vAlign w:val="top"/>
          </w:tcPr>
          <w:p w14:paraId="6A9F07C1">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9</w:t>
            </w:r>
          </w:p>
        </w:tc>
        <w:tc>
          <w:tcPr>
            <w:tcW w:w="1155" w:type="dxa"/>
            <w:noWrap w:val="0"/>
            <w:vAlign w:val="top"/>
          </w:tcPr>
          <w:p w14:paraId="031FA98D">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t>配件、耗材及安装要求</w:t>
            </w:r>
          </w:p>
        </w:tc>
        <w:tc>
          <w:tcPr>
            <w:tcW w:w="5980" w:type="dxa"/>
            <w:noWrap w:val="0"/>
            <w:vAlign w:val="top"/>
          </w:tcPr>
          <w:p w14:paraId="0ADA2B59">
            <w:pPr>
              <w:adjustRightInd w:val="0"/>
              <w:snapToGrid w:val="0"/>
              <w:spacing w:line="288" w:lineRule="auto"/>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rPr>
              <w:t>1.中标人需要负责</w:t>
            </w:r>
            <w:r>
              <w:rPr>
                <w:rFonts w:hint="eastAsia" w:ascii="宋体" w:hAnsi="宋体" w:eastAsia="宋体" w:cs="Times New Roman"/>
                <w:b w:val="0"/>
                <w:bCs w:val="0"/>
                <w:color w:val="auto"/>
                <w:sz w:val="21"/>
                <w:szCs w:val="21"/>
                <w:highlight w:val="none"/>
                <w:lang w:val="en-US" w:eastAsia="zh-CN"/>
              </w:rPr>
              <w:t>中标</w:t>
            </w:r>
            <w:r>
              <w:rPr>
                <w:rFonts w:hint="eastAsia" w:ascii="宋体" w:hAnsi="宋体" w:eastAsia="宋体" w:cs="Times New Roman"/>
                <w:b w:val="0"/>
                <w:bCs w:val="0"/>
                <w:color w:val="auto"/>
                <w:sz w:val="21"/>
                <w:szCs w:val="21"/>
                <w:highlight w:val="none"/>
              </w:rPr>
              <w:t>宿舍的原家具拆除、清运工作</w:t>
            </w:r>
            <w:r>
              <w:rPr>
                <w:rFonts w:hint="eastAsia" w:ascii="宋体" w:hAnsi="宋体" w:cs="Times New Roman"/>
                <w:b w:val="0"/>
                <w:bCs w:val="0"/>
                <w:color w:val="auto"/>
                <w:sz w:val="21"/>
                <w:szCs w:val="21"/>
                <w:highlight w:val="none"/>
                <w:lang w:eastAsia="zh-CN"/>
              </w:rPr>
              <w:t>；</w:t>
            </w:r>
          </w:p>
          <w:p w14:paraId="70078B26">
            <w:pPr>
              <w:adjustRightInd w:val="0"/>
              <w:snapToGrid w:val="0"/>
              <w:spacing w:line="288" w:lineRule="auto"/>
              <w:rPr>
                <w:rFonts w:hint="eastAsia" w:ascii="宋体" w:hAnsi="宋体" w:eastAsia="宋体" w:cs="Times New Roman"/>
                <w:b w:val="0"/>
                <w:bCs w:val="0"/>
                <w:color w:val="auto"/>
                <w:sz w:val="21"/>
                <w:szCs w:val="21"/>
                <w:highlight w:val="none"/>
              </w:rPr>
            </w:pPr>
            <w:r>
              <w:rPr>
                <w:rFonts w:hint="eastAsia" w:ascii="宋体" w:hAnsi="宋体" w:cs="Times New Roman"/>
                <w:b w:val="0"/>
                <w:bCs w:val="0"/>
                <w:color w:val="auto"/>
                <w:sz w:val="21"/>
                <w:szCs w:val="21"/>
                <w:highlight w:val="none"/>
                <w:lang w:val="en-US" w:eastAsia="zh-CN"/>
              </w:rPr>
              <w:t>2</w:t>
            </w:r>
            <w:r>
              <w:rPr>
                <w:rFonts w:hint="eastAsia" w:ascii="宋体" w:hAnsi="宋体" w:eastAsia="宋体" w:cs="Times New Roman"/>
                <w:b w:val="0"/>
                <w:bCs w:val="0"/>
                <w:color w:val="auto"/>
                <w:sz w:val="21"/>
                <w:szCs w:val="21"/>
                <w:highlight w:val="none"/>
              </w:rPr>
              <w:t>.以上费用均包含在本项目投标总价中。</w:t>
            </w:r>
          </w:p>
          <w:p w14:paraId="7E1A4886">
            <w:pPr>
              <w:adjustRightInd w:val="0"/>
              <w:snapToGrid w:val="0"/>
              <w:spacing w:line="288" w:lineRule="auto"/>
              <w:rPr>
                <w:rFonts w:hint="eastAsia" w:ascii="宋体" w:hAnsi="宋体" w:eastAsia="宋体" w:cs="Times New Roman"/>
                <w:b w:val="0"/>
                <w:bCs w:val="0"/>
                <w:color w:val="auto"/>
                <w:sz w:val="21"/>
                <w:szCs w:val="21"/>
                <w:highlight w:val="none"/>
              </w:rPr>
            </w:pP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欢迎其他能满足本项目技术需求，性能</w:t>
            </w:r>
            <w:r>
              <w:rPr>
                <w:rFonts w:hint="eastAsia" w:ascii="宋体" w:hAnsi="宋体" w:eastAsia="宋体" w:cs="Times New Roman"/>
                <w:b w:val="0"/>
                <w:bCs w:val="0"/>
                <w:color w:val="auto"/>
                <w:sz w:val="21"/>
                <w:szCs w:val="21"/>
                <w:highlight w:val="none"/>
              </w:rPr>
              <w:t>相当于或高于招标文件中技术参数的产品参加投标报价。同时在技术偏离表中作出详细对比说明。</w:t>
            </w:r>
          </w:p>
          <w:p w14:paraId="0736AE34">
            <w:pPr>
              <w:adjustRightInd w:val="0"/>
              <w:snapToGrid w:val="0"/>
              <w:spacing w:line="288" w:lineRule="auto"/>
              <w:rPr>
                <w:rFonts w:hint="eastAsia" w:ascii="宋体" w:hAnsi="宋体" w:cs="宋体"/>
                <w:color w:val="auto"/>
                <w:szCs w:val="21"/>
                <w:highlight w:val="none"/>
              </w:rPr>
            </w:pPr>
            <w:r>
              <w:rPr>
                <w:rFonts w:hint="eastAsia" w:ascii="宋体" w:hAnsi="宋体" w:eastAsia="宋体" w:cs="Times New Roman"/>
                <w:b w:val="0"/>
                <w:bCs w:val="0"/>
                <w:color w:val="auto"/>
                <w:sz w:val="21"/>
                <w:szCs w:val="21"/>
                <w:highlight w:val="none"/>
                <w:lang w:val="en-US" w:eastAsia="zh-CN"/>
              </w:rPr>
              <w:t xml:space="preserve"> 4.30日内生产完成，接到通知之日内25日内安装完成并交付。</w:t>
            </w:r>
          </w:p>
        </w:tc>
        <w:tc>
          <w:tcPr>
            <w:tcW w:w="725" w:type="dxa"/>
            <w:noWrap w:val="0"/>
            <w:vAlign w:val="top"/>
          </w:tcPr>
          <w:p w14:paraId="08E7F894">
            <w:pPr>
              <w:spacing w:line="288" w:lineRule="auto"/>
              <w:rPr>
                <w:rFonts w:hint="eastAsia" w:ascii="宋体" w:hAnsi="宋体" w:cs="宋体"/>
                <w:color w:val="auto"/>
                <w:szCs w:val="21"/>
                <w:highlight w:val="none"/>
              </w:rPr>
            </w:pPr>
          </w:p>
        </w:tc>
      </w:tr>
    </w:tbl>
    <w:p w14:paraId="415E2C8D">
      <w:pPr>
        <w:pStyle w:val="10"/>
        <w:numPr>
          <w:ilvl w:val="0"/>
          <w:numId w:val="0"/>
        </w:numPr>
        <w:snapToGrid w:val="0"/>
        <w:spacing w:line="360" w:lineRule="auto"/>
        <w:ind w:firstLine="480" w:firstLineChars="200"/>
        <w:rPr>
          <w:rFonts w:hint="eastAsia"/>
          <w:color w:val="auto"/>
          <w:highlight w:val="none"/>
          <w:lang w:val="en-US" w:eastAsia="zh-CN"/>
        </w:rPr>
      </w:pPr>
      <w:r>
        <w:rPr>
          <w:rFonts w:hint="eastAsia" w:ascii="宋体" w:hAnsi="宋体"/>
          <w:color w:val="auto"/>
          <w:kern w:val="2"/>
          <w:sz w:val="24"/>
          <w:szCs w:val="24"/>
          <w:highlight w:val="none"/>
          <w:lang w:val="en-US" w:eastAsia="zh-CN" w:bidi="ar-SA"/>
        </w:rPr>
        <w:t>四、</w:t>
      </w:r>
      <w:r>
        <w:rPr>
          <w:rFonts w:hint="eastAsia"/>
          <w:color w:val="auto"/>
          <w:highlight w:val="none"/>
          <w:lang w:val="en-US" w:eastAsia="zh-CN"/>
        </w:rPr>
        <w:t>样品</w:t>
      </w:r>
    </w:p>
    <w:p w14:paraId="2A8C0FCC">
      <w:pPr>
        <w:pStyle w:val="10"/>
        <w:numPr>
          <w:ilvl w:val="0"/>
          <w:numId w:val="0"/>
        </w:numPr>
        <w:snapToGrid w:val="0"/>
        <w:spacing w:line="360" w:lineRule="auto"/>
        <w:ind w:firstLine="480" w:firstLineChars="200"/>
        <w:rPr>
          <w:rFonts w:hint="eastAsia" w:cs="宋体"/>
          <w:color w:val="auto"/>
          <w:highlight w:val="none"/>
        </w:rPr>
      </w:pPr>
      <w:r>
        <w:rPr>
          <w:rFonts w:hint="eastAsia" w:cs="宋体"/>
          <w:color w:val="auto"/>
          <w:highlight w:val="none"/>
        </w:rPr>
        <w:t>1.样品清单</w:t>
      </w:r>
    </w:p>
    <w:tbl>
      <w:tblPr>
        <w:tblStyle w:val="27"/>
        <w:tblpPr w:leftFromText="180" w:rightFromText="180" w:vertAnchor="text" w:horzAnchor="page" w:tblpX="1414" w:tblpY="440"/>
        <w:tblOverlap w:val="never"/>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3470"/>
        <w:gridCol w:w="981"/>
        <w:gridCol w:w="1420"/>
        <w:gridCol w:w="2533"/>
      </w:tblGrid>
      <w:tr w14:paraId="2EB1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899" w:type="dxa"/>
            <w:noWrap w:val="0"/>
            <w:vAlign w:val="center"/>
          </w:tcPr>
          <w:p w14:paraId="4FED8E9C">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序号</w:t>
            </w:r>
          </w:p>
        </w:tc>
        <w:tc>
          <w:tcPr>
            <w:tcW w:w="3470" w:type="dxa"/>
            <w:noWrap w:val="0"/>
            <w:vAlign w:val="center"/>
          </w:tcPr>
          <w:p w14:paraId="048904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样品名称</w:t>
            </w:r>
          </w:p>
        </w:tc>
        <w:tc>
          <w:tcPr>
            <w:tcW w:w="981" w:type="dxa"/>
            <w:noWrap w:val="0"/>
            <w:vAlign w:val="center"/>
          </w:tcPr>
          <w:p w14:paraId="71EA55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数量</w:t>
            </w:r>
          </w:p>
        </w:tc>
        <w:tc>
          <w:tcPr>
            <w:tcW w:w="1420" w:type="dxa"/>
            <w:noWrap w:val="0"/>
            <w:vAlign w:val="center"/>
          </w:tcPr>
          <w:p w14:paraId="4C13EE90">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规格、材质要求</w:t>
            </w:r>
          </w:p>
        </w:tc>
        <w:tc>
          <w:tcPr>
            <w:tcW w:w="2533" w:type="dxa"/>
            <w:noWrap w:val="0"/>
            <w:vAlign w:val="center"/>
          </w:tcPr>
          <w:p w14:paraId="5CF38D76">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备注</w:t>
            </w:r>
          </w:p>
        </w:tc>
      </w:tr>
      <w:tr w14:paraId="5E5B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99" w:type="dxa"/>
            <w:noWrap w:val="0"/>
            <w:vAlign w:val="center"/>
          </w:tcPr>
          <w:p w14:paraId="2DD985F0">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470" w:type="dxa"/>
            <w:noWrap w:val="0"/>
            <w:vAlign w:val="center"/>
          </w:tcPr>
          <w:p w14:paraId="42204B5A">
            <w:pPr>
              <w:widowControl/>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三人位公寓组合床（五人间）加长床</w:t>
            </w:r>
          </w:p>
        </w:tc>
        <w:tc>
          <w:tcPr>
            <w:tcW w:w="981" w:type="dxa"/>
            <w:noWrap w:val="0"/>
            <w:vAlign w:val="center"/>
          </w:tcPr>
          <w:p w14:paraId="07983CA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1套</w:t>
            </w:r>
          </w:p>
        </w:tc>
        <w:tc>
          <w:tcPr>
            <w:tcW w:w="1420" w:type="dxa"/>
            <w:vMerge w:val="restart"/>
            <w:noWrap w:val="0"/>
            <w:vAlign w:val="center"/>
          </w:tcPr>
          <w:p w14:paraId="2155B72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w:t>
            </w:r>
            <w:r>
              <w:rPr>
                <w:rFonts w:hint="eastAsia" w:ascii="宋体" w:hAnsi="宋体" w:eastAsia="宋体" w:cs="宋体"/>
                <w:color w:val="auto"/>
                <w:sz w:val="21"/>
                <w:szCs w:val="21"/>
                <w:highlight w:val="none"/>
                <w:lang w:val="en-US" w:eastAsia="zh-CN"/>
              </w:rPr>
              <w:t>一、采购内容</w:t>
            </w:r>
            <w:r>
              <w:rPr>
                <w:rFonts w:hint="eastAsia" w:ascii="宋体" w:hAnsi="宋体" w:eastAsia="宋体" w:cs="宋体"/>
                <w:color w:val="auto"/>
                <w:kern w:val="2"/>
                <w:sz w:val="21"/>
                <w:szCs w:val="21"/>
                <w:highlight w:val="none"/>
                <w:lang w:val="en-US" w:eastAsia="zh-CN" w:bidi="ar-SA"/>
              </w:rPr>
              <w:t>”</w:t>
            </w:r>
          </w:p>
        </w:tc>
        <w:tc>
          <w:tcPr>
            <w:tcW w:w="2533" w:type="dxa"/>
            <w:vMerge w:val="restart"/>
            <w:noWrap w:val="0"/>
            <w:vAlign w:val="center"/>
          </w:tcPr>
          <w:p w14:paraId="267A8402">
            <w:pPr>
              <w:widowControl/>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兼投标项四的投标供应商提供第1、2、3、4项样品；单独投标标项四的投标供应商提供第</w:t>
            </w:r>
            <w:r>
              <w:rPr>
                <w:rFonts w:hint="eastAsia" w:ascii="宋体" w:hAnsi="宋体" w:cs="宋体"/>
                <w:bCs/>
                <w:color w:val="auto"/>
                <w:kern w:val="2"/>
                <w:sz w:val="21"/>
                <w:szCs w:val="21"/>
                <w:highlight w:val="none"/>
                <w:lang w:val="en-US" w:eastAsia="zh-CN" w:bidi="ar-SA"/>
              </w:rPr>
              <w:t>3</w:t>
            </w: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4</w:t>
            </w:r>
            <w:r>
              <w:rPr>
                <w:rFonts w:hint="eastAsia" w:ascii="宋体" w:hAnsi="宋体" w:eastAsia="宋体" w:cs="宋体"/>
                <w:bCs/>
                <w:color w:val="auto"/>
                <w:kern w:val="2"/>
                <w:sz w:val="21"/>
                <w:szCs w:val="21"/>
                <w:highlight w:val="none"/>
                <w:lang w:val="en-US" w:eastAsia="zh-CN" w:bidi="ar-SA"/>
              </w:rPr>
              <w:t>项样品；未投标标项四的投标供应商提供第1、2、3项样品</w:t>
            </w:r>
          </w:p>
        </w:tc>
      </w:tr>
      <w:tr w14:paraId="2695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99" w:type="dxa"/>
            <w:noWrap w:val="0"/>
            <w:vAlign w:val="center"/>
          </w:tcPr>
          <w:p w14:paraId="1AB7F9E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p>
        </w:tc>
        <w:tc>
          <w:tcPr>
            <w:tcW w:w="3470" w:type="dxa"/>
            <w:noWrap w:val="0"/>
            <w:vAlign w:val="center"/>
          </w:tcPr>
          <w:p w14:paraId="615B9F5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四人衣柜（五人间）</w:t>
            </w:r>
          </w:p>
        </w:tc>
        <w:tc>
          <w:tcPr>
            <w:tcW w:w="981" w:type="dxa"/>
            <w:noWrap w:val="0"/>
            <w:vAlign w:val="center"/>
          </w:tcPr>
          <w:p w14:paraId="228FE3D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1套</w:t>
            </w:r>
          </w:p>
        </w:tc>
        <w:tc>
          <w:tcPr>
            <w:tcW w:w="1420" w:type="dxa"/>
            <w:vMerge w:val="continue"/>
            <w:noWrap w:val="0"/>
            <w:vAlign w:val="center"/>
          </w:tcPr>
          <w:p w14:paraId="01F21141">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2533" w:type="dxa"/>
            <w:vMerge w:val="continue"/>
            <w:noWrap w:val="0"/>
            <w:vAlign w:val="center"/>
          </w:tcPr>
          <w:p w14:paraId="4E4C2BC3">
            <w:pPr>
              <w:widowControl/>
              <w:jc w:val="center"/>
              <w:textAlignment w:val="center"/>
              <w:rPr>
                <w:rFonts w:hint="eastAsia" w:ascii="宋体" w:hAnsi="宋体" w:eastAsia="宋体" w:cs="宋体"/>
                <w:color w:val="auto"/>
                <w:kern w:val="2"/>
                <w:sz w:val="21"/>
                <w:szCs w:val="21"/>
                <w:highlight w:val="none"/>
                <w:lang w:val="en-US" w:eastAsia="zh-CN" w:bidi="ar-SA"/>
              </w:rPr>
            </w:pPr>
          </w:p>
        </w:tc>
      </w:tr>
      <w:tr w14:paraId="122B4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99" w:type="dxa"/>
            <w:noWrap w:val="0"/>
            <w:vAlign w:val="center"/>
          </w:tcPr>
          <w:p w14:paraId="36EFE53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w:t>
            </w:r>
          </w:p>
        </w:tc>
        <w:tc>
          <w:tcPr>
            <w:tcW w:w="3470" w:type="dxa"/>
            <w:noWrap w:val="0"/>
            <w:vAlign w:val="center"/>
          </w:tcPr>
          <w:p w14:paraId="30FF83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公寓椅</w:t>
            </w:r>
            <w:r>
              <w:rPr>
                <w:rFonts w:hint="eastAsia" w:ascii="宋体" w:hAnsi="宋体" w:eastAsia="宋体" w:cs="宋体"/>
                <w:b w:val="0"/>
                <w:bCs w:val="0"/>
                <w:color w:val="auto"/>
                <w:kern w:val="0"/>
                <w:sz w:val="21"/>
                <w:szCs w:val="21"/>
                <w:highlight w:val="none"/>
                <w:lang w:val="en-US" w:eastAsia="zh-CN" w:bidi="ar-SA"/>
              </w:rPr>
              <w:t>（四人间</w:t>
            </w:r>
            <w:r>
              <w:rPr>
                <w:rFonts w:hint="eastAsia" w:ascii="宋体" w:hAnsi="宋体" w:cs="宋体"/>
                <w:b w:val="0"/>
                <w:bCs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五人间）</w:t>
            </w:r>
          </w:p>
        </w:tc>
        <w:tc>
          <w:tcPr>
            <w:tcW w:w="981" w:type="dxa"/>
            <w:noWrap w:val="0"/>
            <w:vAlign w:val="center"/>
          </w:tcPr>
          <w:p w14:paraId="260C969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1套</w:t>
            </w:r>
          </w:p>
        </w:tc>
        <w:tc>
          <w:tcPr>
            <w:tcW w:w="1420" w:type="dxa"/>
            <w:vMerge w:val="continue"/>
            <w:noWrap w:val="0"/>
            <w:vAlign w:val="center"/>
          </w:tcPr>
          <w:p w14:paraId="6B676611">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2533" w:type="dxa"/>
            <w:vMerge w:val="continue"/>
            <w:noWrap w:val="0"/>
            <w:vAlign w:val="center"/>
          </w:tcPr>
          <w:p w14:paraId="4EC3BF6B">
            <w:pPr>
              <w:widowControl/>
              <w:jc w:val="center"/>
              <w:textAlignment w:val="center"/>
              <w:rPr>
                <w:rFonts w:hint="eastAsia" w:ascii="宋体" w:hAnsi="宋体" w:eastAsia="宋体" w:cs="宋体"/>
                <w:color w:val="auto"/>
                <w:kern w:val="2"/>
                <w:sz w:val="21"/>
                <w:szCs w:val="21"/>
                <w:highlight w:val="none"/>
                <w:lang w:val="en-US" w:eastAsia="zh-CN" w:bidi="ar-SA"/>
              </w:rPr>
            </w:pPr>
          </w:p>
        </w:tc>
      </w:tr>
      <w:tr w14:paraId="6EC93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99" w:type="dxa"/>
            <w:noWrap w:val="0"/>
            <w:vAlign w:val="center"/>
          </w:tcPr>
          <w:p w14:paraId="4FF7DB32">
            <w:pPr>
              <w:keepNext w:val="0"/>
              <w:keepLines w:val="0"/>
              <w:widowControl/>
              <w:suppressLineNumbers w:val="0"/>
              <w:jc w:val="center"/>
              <w:textAlignment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w:t>
            </w:r>
          </w:p>
        </w:tc>
        <w:tc>
          <w:tcPr>
            <w:tcW w:w="3470" w:type="dxa"/>
            <w:noWrap w:val="0"/>
            <w:vAlign w:val="center"/>
          </w:tcPr>
          <w:p w14:paraId="5E429BCF">
            <w:pPr>
              <w:keepNext w:val="0"/>
              <w:keepLines w:val="0"/>
              <w:widowControl/>
              <w:suppressLineNumbers w:val="0"/>
              <w:jc w:val="center"/>
              <w:textAlignment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二人位公寓组合床加长床（四人间）</w:t>
            </w:r>
          </w:p>
        </w:tc>
        <w:tc>
          <w:tcPr>
            <w:tcW w:w="981" w:type="dxa"/>
            <w:noWrap w:val="0"/>
            <w:vAlign w:val="center"/>
          </w:tcPr>
          <w:p w14:paraId="40CBE769">
            <w:pPr>
              <w:widowControl/>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1套</w:t>
            </w:r>
          </w:p>
        </w:tc>
        <w:tc>
          <w:tcPr>
            <w:tcW w:w="1420" w:type="dxa"/>
            <w:vMerge w:val="continue"/>
            <w:noWrap w:val="0"/>
            <w:vAlign w:val="center"/>
          </w:tcPr>
          <w:p w14:paraId="7CD4F090">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2533" w:type="dxa"/>
            <w:vMerge w:val="continue"/>
            <w:noWrap w:val="0"/>
            <w:vAlign w:val="center"/>
          </w:tcPr>
          <w:p w14:paraId="491C6D8D">
            <w:pPr>
              <w:widowControl/>
              <w:jc w:val="center"/>
              <w:textAlignment w:val="center"/>
              <w:rPr>
                <w:rFonts w:hint="eastAsia" w:ascii="宋体" w:hAnsi="宋体" w:eastAsia="宋体" w:cs="宋体"/>
                <w:color w:val="auto"/>
                <w:kern w:val="2"/>
                <w:sz w:val="21"/>
                <w:szCs w:val="21"/>
                <w:highlight w:val="none"/>
                <w:lang w:val="en-US" w:eastAsia="zh-CN" w:bidi="ar-SA"/>
              </w:rPr>
            </w:pPr>
          </w:p>
        </w:tc>
      </w:tr>
    </w:tbl>
    <w:p w14:paraId="3C8AB2FB">
      <w:pPr>
        <w:snapToGrid w:val="0"/>
        <w:spacing w:line="360" w:lineRule="auto"/>
        <w:rPr>
          <w:rFonts w:hint="eastAsia" w:ascii="宋体" w:hAnsi="宋体" w:eastAsia="宋体" w:cs="宋体"/>
          <w:b/>
          <w:bCs/>
          <w:color w:val="auto"/>
          <w:sz w:val="24"/>
          <w:szCs w:val="32"/>
          <w:highlight w:val="none"/>
          <w:lang w:eastAsia="zh-CN"/>
        </w:rPr>
      </w:pPr>
      <w:r>
        <w:rPr>
          <w:rFonts w:hint="eastAsia" w:ascii="宋体" w:hAnsi="宋体" w:cs="宋体"/>
          <w:b/>
          <w:bCs/>
          <w:color w:val="auto"/>
          <w:sz w:val="24"/>
          <w:szCs w:val="32"/>
          <w:highlight w:val="none"/>
        </w:rPr>
        <w:t>注：样品中不得出现</w:t>
      </w:r>
      <w:r>
        <w:rPr>
          <w:rFonts w:hint="eastAsia" w:ascii="宋体" w:hAnsi="宋体" w:cs="宋体"/>
          <w:b/>
          <w:bCs/>
          <w:color w:val="auto"/>
          <w:sz w:val="24"/>
          <w:szCs w:val="32"/>
          <w:highlight w:val="none"/>
          <w:lang w:eastAsia="zh-CN"/>
        </w:rPr>
        <w:t>供应商</w:t>
      </w:r>
      <w:r>
        <w:rPr>
          <w:rFonts w:hint="eastAsia" w:ascii="宋体" w:hAnsi="宋体" w:cs="宋体"/>
          <w:b/>
          <w:bCs/>
          <w:color w:val="auto"/>
          <w:sz w:val="24"/>
          <w:szCs w:val="32"/>
          <w:highlight w:val="none"/>
        </w:rPr>
        <w:t>的名称、商标</w:t>
      </w:r>
      <w:r>
        <w:rPr>
          <w:rFonts w:hint="eastAsia" w:ascii="宋体" w:hAnsi="宋体" w:cs="宋体"/>
          <w:b/>
          <w:bCs/>
          <w:color w:val="auto"/>
          <w:sz w:val="24"/>
          <w:szCs w:val="32"/>
          <w:highlight w:val="none"/>
          <w:lang w:eastAsia="zh-CN"/>
        </w:rPr>
        <w:t>。</w:t>
      </w:r>
    </w:p>
    <w:p w14:paraId="30672600">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2.样品递交方式：供应商自行运送到指定的地点</w:t>
      </w:r>
      <w:r>
        <w:rPr>
          <w:rFonts w:hint="eastAsia" w:ascii="宋体" w:hAnsi="宋体" w:cs="宋体"/>
          <w:color w:val="auto"/>
          <w:sz w:val="24"/>
          <w:szCs w:val="32"/>
          <w:highlight w:val="none"/>
          <w:lang w:val="en-US" w:eastAsia="zh-CN"/>
        </w:rPr>
        <w:t>,送达后需</w:t>
      </w:r>
      <w:r>
        <w:rPr>
          <w:rFonts w:hint="eastAsia" w:ascii="宋体" w:hAnsi="宋体" w:cs="宋体"/>
          <w:b/>
          <w:bCs/>
          <w:color w:val="auto"/>
          <w:sz w:val="24"/>
          <w:szCs w:val="32"/>
          <w:highlight w:val="none"/>
          <w:lang w:val="en-US" w:eastAsia="zh-CN"/>
        </w:rPr>
        <w:t>遮盖严密</w:t>
      </w:r>
      <w:r>
        <w:rPr>
          <w:rFonts w:hint="eastAsia" w:ascii="宋体" w:hAnsi="宋体" w:cs="宋体"/>
          <w:color w:val="auto"/>
          <w:sz w:val="24"/>
          <w:szCs w:val="32"/>
          <w:highlight w:val="none"/>
        </w:rPr>
        <w:t>。</w:t>
      </w:r>
    </w:p>
    <w:p w14:paraId="49BBA796">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3.样品递交时间：202</w:t>
      </w:r>
      <w:r>
        <w:rPr>
          <w:rFonts w:hint="eastAsia" w:ascii="宋体" w:hAnsi="宋体" w:cs="宋体"/>
          <w:color w:val="auto"/>
          <w:sz w:val="24"/>
          <w:szCs w:val="32"/>
          <w:highlight w:val="none"/>
          <w:lang w:val="en-US" w:eastAsia="zh-CN"/>
        </w:rPr>
        <w:t>6</w:t>
      </w:r>
      <w:r>
        <w:rPr>
          <w:rFonts w:hint="eastAsia" w:ascii="宋体" w:hAnsi="宋体" w:cs="宋体"/>
          <w:color w:val="auto"/>
          <w:sz w:val="24"/>
          <w:szCs w:val="32"/>
          <w:highlight w:val="none"/>
        </w:rPr>
        <w:t>年</w:t>
      </w:r>
      <w:r>
        <w:rPr>
          <w:rFonts w:hint="eastAsia" w:ascii="宋体" w:hAnsi="宋体" w:cs="宋体"/>
          <w:color w:val="auto"/>
          <w:sz w:val="24"/>
          <w:szCs w:val="32"/>
          <w:highlight w:val="none"/>
          <w:lang w:val="en-US" w:eastAsia="zh-CN"/>
        </w:rPr>
        <w:t>06月25日17点00分</w:t>
      </w:r>
      <w:r>
        <w:rPr>
          <w:rFonts w:hint="eastAsia" w:ascii="宋体" w:hAnsi="宋体" w:cs="宋体"/>
          <w:color w:val="auto"/>
          <w:sz w:val="24"/>
          <w:szCs w:val="32"/>
          <w:highlight w:val="none"/>
        </w:rPr>
        <w:t>00秒（北京时间）前。</w:t>
      </w:r>
    </w:p>
    <w:p w14:paraId="232B485E">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4.样品递交地点：杭州市西湖区天目山路东海宾馆，联系人：</w:t>
      </w:r>
      <w:r>
        <w:rPr>
          <w:rFonts w:hint="eastAsia" w:ascii="宋体" w:hAnsi="宋体" w:cs="宋体"/>
          <w:color w:val="auto"/>
          <w:sz w:val="24"/>
          <w:szCs w:val="32"/>
          <w:highlight w:val="none"/>
          <w:lang w:val="en-US" w:eastAsia="zh-CN"/>
        </w:rPr>
        <w:t>方</w:t>
      </w:r>
      <w:r>
        <w:rPr>
          <w:rFonts w:hint="eastAsia" w:ascii="宋体" w:hAnsi="宋体" w:cs="宋体"/>
          <w:color w:val="auto"/>
          <w:sz w:val="24"/>
          <w:szCs w:val="32"/>
          <w:highlight w:val="none"/>
        </w:rPr>
        <w:t>工</w:t>
      </w:r>
      <w:r>
        <w:rPr>
          <w:rFonts w:hint="eastAsia" w:ascii="宋体" w:hAnsi="宋体" w:cs="宋体"/>
          <w:color w:val="auto"/>
          <w:sz w:val="24"/>
          <w:szCs w:val="32"/>
          <w:highlight w:val="none"/>
          <w:lang w:val="en-US" w:eastAsia="zh-CN"/>
        </w:rPr>
        <w:t>18258914900</w:t>
      </w:r>
      <w:r>
        <w:rPr>
          <w:rFonts w:hint="eastAsia" w:ascii="宋体" w:hAnsi="宋体" w:cs="宋体"/>
          <w:color w:val="auto"/>
          <w:sz w:val="24"/>
          <w:szCs w:val="32"/>
          <w:highlight w:val="none"/>
        </w:rPr>
        <w:t>。</w:t>
      </w:r>
    </w:p>
    <w:p w14:paraId="17C05459">
      <w:pPr>
        <w:snapToGrid w:val="0"/>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5.未中标单位样品的退还处理方式：由未中标单位在开标结束后当天内自行撤回，采购人和代理机构不负责样品保管。逾期未取回的，采购人、代理机构不负保管义务；对于中标人提供的样品，采购人将进行保管、封存，并作为履约验收的参考。</w:t>
      </w:r>
    </w:p>
    <w:p w14:paraId="7DCDD8D9">
      <w:pPr>
        <w:snapToGrid w:val="0"/>
        <w:spacing w:line="360" w:lineRule="auto"/>
        <w:ind w:firstLine="480" w:firstLineChars="200"/>
        <w:rPr>
          <w:rFonts w:hint="eastAsia" w:ascii="宋体" w:hAnsi="宋体" w:cs="宋体"/>
          <w:color w:val="auto"/>
          <w:sz w:val="24"/>
          <w:szCs w:val="32"/>
          <w:highlight w:val="none"/>
        </w:rPr>
      </w:pPr>
      <w:r>
        <w:rPr>
          <w:rFonts w:hint="eastAsia" w:ascii="宋体" w:hAnsi="宋体" w:cs="宋体"/>
          <w:color w:val="auto"/>
          <w:sz w:val="24"/>
          <w:szCs w:val="32"/>
          <w:highlight w:val="none"/>
        </w:rPr>
        <w:t>6.制作、运输、安装和保管样品所发生的一切费用由</w:t>
      </w:r>
      <w:r>
        <w:rPr>
          <w:rFonts w:hint="eastAsia" w:ascii="宋体" w:hAnsi="宋体" w:cs="宋体"/>
          <w:color w:val="auto"/>
          <w:sz w:val="24"/>
          <w:szCs w:val="32"/>
          <w:highlight w:val="none"/>
          <w:lang w:eastAsia="zh-CN"/>
        </w:rPr>
        <w:t>供应商</w:t>
      </w:r>
      <w:r>
        <w:rPr>
          <w:rFonts w:hint="eastAsia" w:ascii="宋体" w:hAnsi="宋体" w:cs="宋体"/>
          <w:color w:val="auto"/>
          <w:sz w:val="24"/>
          <w:szCs w:val="32"/>
          <w:highlight w:val="none"/>
        </w:rPr>
        <w:t>自理，其中样品存放场地占用费800元/半天，由每个半天（以每日中午12：00为半天划分界限）内同时存放样品的供应商分摊，</w:t>
      </w:r>
      <w:r>
        <w:rPr>
          <w:rFonts w:hint="eastAsia" w:ascii="宋体" w:hAnsi="宋体" w:cs="宋体"/>
          <w:color w:val="auto"/>
          <w:sz w:val="24"/>
          <w:szCs w:val="32"/>
          <w:highlight w:val="none"/>
          <w:lang w:val="en-US" w:eastAsia="zh-CN"/>
        </w:rPr>
        <w:t>在取回样品时由</w:t>
      </w:r>
      <w:r>
        <w:rPr>
          <w:rFonts w:hint="eastAsia" w:ascii="宋体" w:hAnsi="宋体" w:cs="宋体"/>
          <w:color w:val="auto"/>
          <w:sz w:val="24"/>
          <w:szCs w:val="32"/>
          <w:highlight w:val="none"/>
        </w:rPr>
        <w:t>代理公司代为收取。</w:t>
      </w:r>
    </w:p>
    <w:p w14:paraId="0CDD250F">
      <w:pPr>
        <w:pStyle w:val="38"/>
        <w:numPr>
          <w:ilvl w:val="0"/>
          <w:numId w:val="0"/>
        </w:numPr>
        <w:rPr>
          <w:rFonts w:hint="default"/>
          <w:color w:val="auto"/>
          <w:highlight w:val="none"/>
          <w:lang w:val="en-US" w:eastAsia="zh-CN"/>
        </w:rPr>
      </w:pPr>
      <w:bookmarkStart w:id="452" w:name="_GoBack"/>
      <w:bookmarkEnd w:id="452"/>
    </w:p>
    <w:bookmarkEnd w:id="42"/>
    <w:bookmarkEnd w:id="43"/>
    <w:bookmarkEnd w:id="44"/>
    <w:bookmarkEnd w:id="45"/>
    <w:bookmarkEnd w:id="46"/>
    <w:bookmarkEnd w:id="47"/>
    <w:p w14:paraId="547E4BF1">
      <w:pPr>
        <w:numPr>
          <w:ilvl w:val="0"/>
          <w:numId w:val="0"/>
        </w:numPr>
        <w:spacing w:line="360" w:lineRule="auto"/>
        <w:ind w:leftChars="200"/>
        <w:jc w:val="center"/>
        <w:outlineLvl w:val="0"/>
        <w:rPr>
          <w:rStyle w:val="34"/>
          <w:rFonts w:hint="eastAsia"/>
          <w:color w:val="auto"/>
          <w:highlight w:val="none"/>
        </w:rPr>
      </w:pPr>
      <w:r>
        <w:rPr>
          <w:rFonts w:hint="eastAsia" w:ascii="宋体" w:hAnsi="宋体" w:cs="宋体"/>
          <w:b/>
          <w:color w:val="auto"/>
          <w:sz w:val="24"/>
          <w:highlight w:val="none"/>
        </w:rPr>
        <w:br w:type="page"/>
      </w:r>
      <w:bookmarkStart w:id="51" w:name="_Toc9022"/>
      <w:r>
        <w:rPr>
          <w:rStyle w:val="34"/>
          <w:rFonts w:hint="eastAsia"/>
          <w:color w:val="auto"/>
          <w:highlight w:val="none"/>
        </w:rPr>
        <w:t xml:space="preserve">第四部分 </w:t>
      </w:r>
      <w:bookmarkStart w:id="52" w:name="_Toc184313254"/>
      <w:bookmarkEnd w:id="52"/>
      <w:bookmarkStart w:id="53" w:name="_Toc184312123"/>
      <w:bookmarkEnd w:id="53"/>
      <w:bookmarkStart w:id="54" w:name="_Toc184313296"/>
      <w:bookmarkEnd w:id="54"/>
      <w:bookmarkStart w:id="55" w:name="_Toc184308071"/>
      <w:bookmarkEnd w:id="55"/>
      <w:bookmarkStart w:id="56" w:name="_Toc184313244"/>
      <w:bookmarkEnd w:id="56"/>
      <w:bookmarkStart w:id="57" w:name="_Toc184308088"/>
      <w:bookmarkEnd w:id="57"/>
      <w:bookmarkStart w:id="58" w:name="_Toc184314468"/>
      <w:bookmarkEnd w:id="58"/>
      <w:bookmarkStart w:id="59" w:name="_Toc184314458"/>
      <w:bookmarkEnd w:id="59"/>
      <w:bookmarkStart w:id="60" w:name="_Toc184313239"/>
      <w:bookmarkEnd w:id="60"/>
      <w:bookmarkStart w:id="61" w:name="_Toc184310277"/>
      <w:bookmarkEnd w:id="61"/>
      <w:bookmarkStart w:id="62" w:name="_Toc184313277"/>
      <w:bookmarkEnd w:id="62"/>
      <w:bookmarkStart w:id="63" w:name="_Toc184314427"/>
      <w:bookmarkEnd w:id="63"/>
      <w:bookmarkStart w:id="64" w:name="_Toc184312106"/>
      <w:bookmarkEnd w:id="64"/>
      <w:bookmarkStart w:id="65" w:name="_Toc184312126"/>
      <w:bookmarkEnd w:id="65"/>
      <w:bookmarkStart w:id="66" w:name="_Toc184310303"/>
      <w:bookmarkEnd w:id="66"/>
      <w:bookmarkStart w:id="67" w:name="_Toc184312114"/>
      <w:bookmarkEnd w:id="67"/>
      <w:bookmarkStart w:id="68" w:name="_Toc184312086"/>
      <w:bookmarkEnd w:id="68"/>
      <w:bookmarkStart w:id="69" w:name="_Toc184310282"/>
      <w:bookmarkEnd w:id="69"/>
      <w:bookmarkStart w:id="70" w:name="_Toc184312072"/>
      <w:bookmarkEnd w:id="70"/>
      <w:bookmarkStart w:id="71" w:name="_Toc184310338"/>
      <w:bookmarkEnd w:id="71"/>
      <w:bookmarkStart w:id="72" w:name="_Toc184312085"/>
      <w:bookmarkEnd w:id="72"/>
      <w:bookmarkStart w:id="73" w:name="_Toc184314433"/>
      <w:bookmarkEnd w:id="73"/>
      <w:bookmarkStart w:id="74" w:name="_Toc184308068"/>
      <w:bookmarkEnd w:id="74"/>
      <w:bookmarkStart w:id="75" w:name="_Toc184312107"/>
      <w:bookmarkEnd w:id="75"/>
      <w:bookmarkStart w:id="76" w:name="_Toc184314442"/>
      <w:bookmarkEnd w:id="76"/>
      <w:bookmarkStart w:id="77" w:name="_Toc184313240"/>
      <w:bookmarkEnd w:id="77"/>
      <w:bookmarkStart w:id="78" w:name="_Toc184313253"/>
      <w:bookmarkEnd w:id="78"/>
      <w:bookmarkStart w:id="79" w:name="_Toc184312090"/>
      <w:bookmarkEnd w:id="79"/>
      <w:bookmarkStart w:id="80" w:name="_Toc184313260"/>
      <w:bookmarkEnd w:id="80"/>
      <w:bookmarkStart w:id="81" w:name="_Toc184308062"/>
      <w:bookmarkEnd w:id="81"/>
      <w:bookmarkStart w:id="82" w:name="_Toc184312101"/>
      <w:bookmarkEnd w:id="82"/>
      <w:bookmarkStart w:id="83" w:name="_Toc184310296"/>
      <w:bookmarkEnd w:id="83"/>
      <w:bookmarkStart w:id="84" w:name="_Toc184312076"/>
      <w:bookmarkEnd w:id="84"/>
      <w:bookmarkStart w:id="85" w:name="_Toc184314463"/>
      <w:bookmarkEnd w:id="85"/>
      <w:bookmarkStart w:id="86" w:name="_Toc184310293"/>
      <w:bookmarkEnd w:id="86"/>
      <w:bookmarkStart w:id="87" w:name="_Toc184313281"/>
      <w:bookmarkEnd w:id="87"/>
      <w:bookmarkStart w:id="88" w:name="_Toc184310323"/>
      <w:bookmarkEnd w:id="88"/>
      <w:bookmarkStart w:id="89" w:name="_Toc184310320"/>
      <w:bookmarkEnd w:id="89"/>
      <w:bookmarkStart w:id="90" w:name="_Toc184313271"/>
      <w:bookmarkEnd w:id="90"/>
      <w:bookmarkStart w:id="91" w:name="_Toc184314476"/>
      <w:bookmarkEnd w:id="91"/>
      <w:bookmarkStart w:id="92" w:name="_Toc184313273"/>
      <w:bookmarkEnd w:id="92"/>
      <w:bookmarkStart w:id="93" w:name="_Toc184310309"/>
      <w:bookmarkEnd w:id="93"/>
      <w:bookmarkStart w:id="94" w:name="_Toc184313252"/>
      <w:bookmarkEnd w:id="94"/>
      <w:bookmarkStart w:id="95" w:name="_Toc184314447"/>
      <w:bookmarkEnd w:id="95"/>
      <w:bookmarkStart w:id="96" w:name="_Toc184314478"/>
      <w:bookmarkEnd w:id="96"/>
      <w:bookmarkStart w:id="97" w:name="_Toc184313246"/>
      <w:bookmarkEnd w:id="97"/>
      <w:bookmarkStart w:id="98" w:name="_Toc184312099"/>
      <w:bookmarkEnd w:id="98"/>
      <w:bookmarkStart w:id="99" w:name="_Toc184312108"/>
      <w:bookmarkEnd w:id="99"/>
      <w:bookmarkStart w:id="100" w:name="_Toc184314444"/>
      <w:bookmarkEnd w:id="100"/>
      <w:bookmarkStart w:id="101" w:name="_Toc184308099"/>
      <w:bookmarkEnd w:id="101"/>
      <w:bookmarkStart w:id="102" w:name="_Toc184314423"/>
      <w:bookmarkEnd w:id="102"/>
      <w:bookmarkStart w:id="103" w:name="_Toc184314411"/>
      <w:bookmarkEnd w:id="103"/>
      <w:bookmarkStart w:id="104" w:name="_Toc184313285"/>
      <w:bookmarkEnd w:id="104"/>
      <w:bookmarkStart w:id="105" w:name="_Toc184312071"/>
      <w:bookmarkEnd w:id="105"/>
      <w:bookmarkStart w:id="106" w:name="_Toc184313294"/>
      <w:bookmarkEnd w:id="106"/>
      <w:bookmarkStart w:id="107" w:name="_Toc184313286"/>
      <w:bookmarkEnd w:id="107"/>
      <w:bookmarkStart w:id="108" w:name="_Toc184310297"/>
      <w:bookmarkEnd w:id="108"/>
      <w:bookmarkStart w:id="109" w:name="_Toc184308085"/>
      <w:bookmarkEnd w:id="109"/>
      <w:bookmarkStart w:id="110" w:name="_Toc184314445"/>
      <w:bookmarkEnd w:id="110"/>
      <w:bookmarkStart w:id="111" w:name="_Toc184313251"/>
      <w:bookmarkEnd w:id="111"/>
      <w:bookmarkStart w:id="112" w:name="_Toc184308051"/>
      <w:bookmarkEnd w:id="112"/>
      <w:bookmarkStart w:id="113" w:name="_Toc184308102"/>
      <w:bookmarkEnd w:id="113"/>
      <w:bookmarkStart w:id="114" w:name="_Toc184310299"/>
      <w:bookmarkEnd w:id="114"/>
      <w:bookmarkStart w:id="115" w:name="_Toc184312084"/>
      <w:bookmarkEnd w:id="115"/>
      <w:bookmarkStart w:id="116" w:name="_Toc184312074"/>
      <w:bookmarkEnd w:id="116"/>
      <w:bookmarkStart w:id="117" w:name="_Toc184312092"/>
      <w:bookmarkEnd w:id="117"/>
      <w:bookmarkStart w:id="118" w:name="_Toc184313310"/>
      <w:bookmarkEnd w:id="118"/>
      <w:bookmarkStart w:id="119" w:name="_Toc184310331"/>
      <w:bookmarkEnd w:id="119"/>
      <w:bookmarkStart w:id="120" w:name="_Toc184308074"/>
      <w:bookmarkEnd w:id="120"/>
      <w:bookmarkStart w:id="121" w:name="_Toc184308056"/>
      <w:bookmarkEnd w:id="121"/>
      <w:bookmarkStart w:id="122" w:name="_Toc184313259"/>
      <w:bookmarkEnd w:id="122"/>
      <w:bookmarkStart w:id="123" w:name="_Toc184308053"/>
      <w:bookmarkEnd w:id="123"/>
      <w:bookmarkStart w:id="124" w:name="_Toc184313250"/>
      <w:bookmarkEnd w:id="124"/>
      <w:bookmarkStart w:id="125" w:name="_Toc184314464"/>
      <w:bookmarkEnd w:id="125"/>
      <w:bookmarkStart w:id="126" w:name="_Toc184312096"/>
      <w:bookmarkEnd w:id="126"/>
      <w:bookmarkStart w:id="127" w:name="_Toc184308065"/>
      <w:bookmarkEnd w:id="127"/>
      <w:bookmarkStart w:id="128" w:name="_Toc184312095"/>
      <w:bookmarkEnd w:id="128"/>
      <w:bookmarkStart w:id="129" w:name="_Toc184314412"/>
      <w:bookmarkEnd w:id="129"/>
      <w:bookmarkStart w:id="130" w:name="_Toc184312136"/>
      <w:bookmarkEnd w:id="130"/>
      <w:bookmarkStart w:id="131" w:name="_Toc184308092"/>
      <w:bookmarkEnd w:id="131"/>
      <w:bookmarkStart w:id="132" w:name="_Toc184308046"/>
      <w:bookmarkEnd w:id="132"/>
      <w:bookmarkStart w:id="133" w:name="_Toc184312068"/>
      <w:bookmarkEnd w:id="133"/>
      <w:bookmarkStart w:id="134" w:name="_Toc184308036"/>
      <w:bookmarkEnd w:id="134"/>
      <w:bookmarkStart w:id="135" w:name="_Toc184310308"/>
      <w:bookmarkEnd w:id="135"/>
      <w:bookmarkStart w:id="136" w:name="_Toc184314479"/>
      <w:bookmarkEnd w:id="136"/>
      <w:bookmarkStart w:id="137" w:name="_Toc184314410"/>
      <w:bookmarkEnd w:id="137"/>
      <w:bookmarkStart w:id="138" w:name="_Toc184310326"/>
      <w:bookmarkEnd w:id="138"/>
      <w:bookmarkStart w:id="139" w:name="_Toc184308066"/>
      <w:bookmarkEnd w:id="139"/>
      <w:bookmarkStart w:id="140" w:name="_Toc184308076"/>
      <w:bookmarkEnd w:id="140"/>
      <w:bookmarkStart w:id="141" w:name="_Toc184308097"/>
      <w:bookmarkEnd w:id="141"/>
      <w:bookmarkStart w:id="142" w:name="_Toc184314419"/>
      <w:bookmarkEnd w:id="142"/>
      <w:bookmarkStart w:id="143" w:name="_Toc184312070"/>
      <w:bookmarkEnd w:id="143"/>
      <w:bookmarkStart w:id="144" w:name="_Toc184308103"/>
      <w:bookmarkEnd w:id="144"/>
      <w:bookmarkStart w:id="145" w:name="_Toc184308039"/>
      <w:bookmarkEnd w:id="145"/>
      <w:bookmarkStart w:id="146" w:name="_Toc184313307"/>
      <w:bookmarkEnd w:id="146"/>
      <w:bookmarkStart w:id="147" w:name="_Toc184313268"/>
      <w:bookmarkEnd w:id="147"/>
      <w:bookmarkStart w:id="148" w:name="_Toc184314466"/>
      <w:bookmarkEnd w:id="148"/>
      <w:bookmarkStart w:id="149" w:name="_Toc184313291"/>
      <w:bookmarkEnd w:id="149"/>
      <w:bookmarkStart w:id="150" w:name="_Toc184313278"/>
      <w:bookmarkEnd w:id="150"/>
      <w:bookmarkStart w:id="151" w:name="_Toc184312118"/>
      <w:bookmarkEnd w:id="151"/>
      <w:bookmarkStart w:id="152" w:name="_Toc184313245"/>
      <w:bookmarkEnd w:id="152"/>
      <w:bookmarkStart w:id="153" w:name="_Toc184312138"/>
      <w:bookmarkEnd w:id="153"/>
      <w:bookmarkStart w:id="154" w:name="_Toc184310291"/>
      <w:bookmarkEnd w:id="154"/>
      <w:bookmarkStart w:id="155" w:name="_Toc184314420"/>
      <w:bookmarkEnd w:id="155"/>
      <w:bookmarkStart w:id="156" w:name="_Toc184312139"/>
      <w:bookmarkEnd w:id="156"/>
      <w:bookmarkStart w:id="157" w:name="_Toc184308067"/>
      <w:bookmarkEnd w:id="157"/>
      <w:bookmarkStart w:id="158" w:name="_Toc184314465"/>
      <w:bookmarkEnd w:id="158"/>
      <w:bookmarkStart w:id="159" w:name="_Toc184310339"/>
      <w:bookmarkEnd w:id="159"/>
      <w:bookmarkStart w:id="160" w:name="_Toc184310283"/>
      <w:bookmarkEnd w:id="160"/>
      <w:bookmarkStart w:id="161" w:name="_Toc184314461"/>
      <w:bookmarkEnd w:id="161"/>
      <w:bookmarkStart w:id="162" w:name="_Toc184308101"/>
      <w:bookmarkEnd w:id="162"/>
      <w:bookmarkStart w:id="163" w:name="_Toc184312113"/>
      <w:bookmarkEnd w:id="163"/>
      <w:bookmarkStart w:id="164" w:name="_Toc184310332"/>
      <w:bookmarkEnd w:id="164"/>
      <w:bookmarkStart w:id="165" w:name="_Toc184312128"/>
      <w:bookmarkEnd w:id="165"/>
      <w:bookmarkStart w:id="166" w:name="_Toc184314460"/>
      <w:bookmarkEnd w:id="166"/>
      <w:bookmarkStart w:id="167" w:name="_Toc184314475"/>
      <w:bookmarkEnd w:id="167"/>
      <w:bookmarkStart w:id="168" w:name="_Toc184310307"/>
      <w:bookmarkEnd w:id="168"/>
      <w:bookmarkStart w:id="169" w:name="_Toc184313261"/>
      <w:bookmarkEnd w:id="169"/>
      <w:bookmarkStart w:id="170" w:name="_Toc184312124"/>
      <w:bookmarkEnd w:id="170"/>
      <w:bookmarkStart w:id="171" w:name="_Toc184310321"/>
      <w:bookmarkEnd w:id="171"/>
      <w:bookmarkStart w:id="172" w:name="_Toc184313290"/>
      <w:bookmarkEnd w:id="172"/>
      <w:bookmarkStart w:id="173" w:name="_Toc184310306"/>
      <w:bookmarkEnd w:id="173"/>
      <w:bookmarkStart w:id="174" w:name="_Toc184310287"/>
      <w:bookmarkEnd w:id="174"/>
      <w:bookmarkStart w:id="175" w:name="_Toc184308104"/>
      <w:bookmarkEnd w:id="175"/>
      <w:bookmarkStart w:id="176" w:name="_Toc184310298"/>
      <w:bookmarkEnd w:id="176"/>
      <w:bookmarkStart w:id="177" w:name="_Toc184313256"/>
      <w:bookmarkEnd w:id="177"/>
      <w:bookmarkStart w:id="178" w:name="_Toc184310340"/>
      <w:bookmarkEnd w:id="178"/>
      <w:bookmarkStart w:id="179" w:name="_Toc184314441"/>
      <w:bookmarkEnd w:id="179"/>
      <w:bookmarkStart w:id="180" w:name="_Toc184310314"/>
      <w:bookmarkEnd w:id="180"/>
      <w:bookmarkStart w:id="181" w:name="_Toc184314454"/>
      <w:bookmarkEnd w:id="181"/>
      <w:bookmarkStart w:id="182" w:name="_Toc184310335"/>
      <w:bookmarkEnd w:id="182"/>
      <w:bookmarkStart w:id="183" w:name="_Toc184313270"/>
      <w:bookmarkEnd w:id="183"/>
      <w:bookmarkStart w:id="184" w:name="_Toc184310304"/>
      <w:bookmarkEnd w:id="184"/>
      <w:bookmarkStart w:id="185" w:name="_Toc184308070"/>
      <w:bookmarkEnd w:id="185"/>
      <w:bookmarkStart w:id="186" w:name="_Toc184313301"/>
      <w:bookmarkEnd w:id="186"/>
      <w:bookmarkStart w:id="187" w:name="_Toc184308037"/>
      <w:bookmarkEnd w:id="187"/>
      <w:bookmarkStart w:id="188" w:name="_Toc184310310"/>
      <w:bookmarkEnd w:id="188"/>
      <w:bookmarkStart w:id="189" w:name="_Toc184310279"/>
      <w:bookmarkEnd w:id="189"/>
      <w:bookmarkStart w:id="190" w:name="_Toc184313255"/>
      <w:bookmarkEnd w:id="190"/>
      <w:bookmarkStart w:id="191" w:name="_Toc184314449"/>
      <w:bookmarkEnd w:id="191"/>
      <w:bookmarkStart w:id="192" w:name="_Toc184313293"/>
      <w:bookmarkEnd w:id="192"/>
      <w:bookmarkStart w:id="193" w:name="_Toc184310292"/>
      <w:bookmarkEnd w:id="193"/>
      <w:bookmarkStart w:id="194" w:name="_Toc184312104"/>
      <w:bookmarkEnd w:id="194"/>
      <w:bookmarkStart w:id="195" w:name="_Toc184312087"/>
      <w:bookmarkEnd w:id="195"/>
      <w:bookmarkStart w:id="196" w:name="_Toc184308094"/>
      <w:bookmarkEnd w:id="196"/>
      <w:bookmarkStart w:id="197" w:name="_Toc184314432"/>
      <w:bookmarkEnd w:id="197"/>
      <w:bookmarkStart w:id="198" w:name="_Toc184312109"/>
      <w:bookmarkEnd w:id="198"/>
      <w:bookmarkStart w:id="199" w:name="_Toc184310324"/>
      <w:bookmarkEnd w:id="199"/>
      <w:bookmarkStart w:id="200" w:name="_Toc184308106"/>
      <w:bookmarkEnd w:id="200"/>
      <w:bookmarkStart w:id="201" w:name="_Toc184308072"/>
      <w:bookmarkEnd w:id="201"/>
      <w:bookmarkStart w:id="202" w:name="_Toc184308078"/>
      <w:bookmarkEnd w:id="202"/>
      <w:bookmarkStart w:id="203" w:name="_Toc184312091"/>
      <w:bookmarkEnd w:id="203"/>
      <w:bookmarkStart w:id="204" w:name="_Toc184314473"/>
      <w:bookmarkEnd w:id="204"/>
      <w:bookmarkStart w:id="205" w:name="_Toc184310285"/>
      <w:bookmarkEnd w:id="205"/>
      <w:bookmarkStart w:id="206" w:name="_Toc184314425"/>
      <w:bookmarkEnd w:id="206"/>
      <w:bookmarkStart w:id="207" w:name="_Toc184308038"/>
      <w:bookmarkEnd w:id="207"/>
      <w:bookmarkStart w:id="208" w:name="_Toc184308054"/>
      <w:bookmarkEnd w:id="208"/>
      <w:bookmarkStart w:id="209" w:name="_Toc184308050"/>
      <w:bookmarkEnd w:id="209"/>
      <w:bookmarkStart w:id="210" w:name="_Toc184313257"/>
      <w:bookmarkEnd w:id="210"/>
      <w:bookmarkStart w:id="211" w:name="_Toc184312081"/>
      <w:bookmarkEnd w:id="211"/>
      <w:bookmarkStart w:id="212" w:name="_Toc184308043"/>
      <w:bookmarkEnd w:id="212"/>
      <w:bookmarkStart w:id="213" w:name="_Toc184308091"/>
      <w:bookmarkEnd w:id="213"/>
      <w:bookmarkStart w:id="214" w:name="_Toc184312122"/>
      <w:bookmarkEnd w:id="214"/>
      <w:bookmarkStart w:id="215" w:name="_Toc184313302"/>
      <w:bookmarkEnd w:id="215"/>
      <w:bookmarkStart w:id="216" w:name="_Toc184308077"/>
      <w:bookmarkEnd w:id="216"/>
      <w:bookmarkStart w:id="217" w:name="_Toc184312120"/>
      <w:bookmarkEnd w:id="217"/>
      <w:bookmarkStart w:id="218" w:name="_Toc184312129"/>
      <w:bookmarkEnd w:id="218"/>
      <w:bookmarkStart w:id="219" w:name="_Toc184310290"/>
      <w:bookmarkEnd w:id="219"/>
      <w:bookmarkStart w:id="220" w:name="_Toc184308108"/>
      <w:bookmarkEnd w:id="220"/>
      <w:bookmarkStart w:id="221" w:name="_Toc184314431"/>
      <w:bookmarkEnd w:id="221"/>
      <w:bookmarkStart w:id="222" w:name="_Toc184310300"/>
      <w:bookmarkEnd w:id="222"/>
      <w:bookmarkStart w:id="223" w:name="_Toc184312069"/>
      <w:bookmarkEnd w:id="223"/>
      <w:bookmarkStart w:id="224" w:name="_Toc184310280"/>
      <w:bookmarkEnd w:id="224"/>
      <w:bookmarkStart w:id="225" w:name="_Toc184314439"/>
      <w:bookmarkEnd w:id="225"/>
      <w:bookmarkStart w:id="226" w:name="_Toc184314437"/>
      <w:bookmarkEnd w:id="226"/>
      <w:bookmarkStart w:id="227" w:name="_Toc184308095"/>
      <w:bookmarkEnd w:id="227"/>
      <w:bookmarkStart w:id="228" w:name="_Toc184312131"/>
      <w:bookmarkEnd w:id="228"/>
      <w:bookmarkStart w:id="229" w:name="_Toc184313243"/>
      <w:bookmarkEnd w:id="229"/>
      <w:bookmarkStart w:id="230" w:name="_Toc184313272"/>
      <w:bookmarkEnd w:id="230"/>
      <w:bookmarkStart w:id="231" w:name="_Toc184314450"/>
      <w:bookmarkEnd w:id="231"/>
      <w:bookmarkStart w:id="232" w:name="_Toc184313241"/>
      <w:bookmarkEnd w:id="232"/>
      <w:bookmarkStart w:id="233" w:name="_Toc184310311"/>
      <w:bookmarkEnd w:id="233"/>
      <w:bookmarkStart w:id="234" w:name="_Toc184310275"/>
      <w:bookmarkEnd w:id="234"/>
      <w:bookmarkStart w:id="235" w:name="_Toc184308089"/>
      <w:bookmarkEnd w:id="235"/>
      <w:bookmarkStart w:id="236" w:name="_Toc184310333"/>
      <w:bookmarkEnd w:id="236"/>
      <w:bookmarkStart w:id="237" w:name="_Toc184314455"/>
      <w:bookmarkEnd w:id="237"/>
      <w:bookmarkStart w:id="238" w:name="_Toc184313280"/>
      <w:bookmarkEnd w:id="238"/>
      <w:bookmarkStart w:id="239" w:name="_Toc184310305"/>
      <w:bookmarkEnd w:id="239"/>
      <w:bookmarkStart w:id="240" w:name="_Toc184314480"/>
      <w:bookmarkEnd w:id="240"/>
      <w:bookmarkStart w:id="241" w:name="_Toc184314415"/>
      <w:bookmarkEnd w:id="241"/>
      <w:bookmarkStart w:id="242" w:name="_Toc184313288"/>
      <w:bookmarkEnd w:id="242"/>
      <w:bookmarkStart w:id="243" w:name="_Toc184308073"/>
      <w:bookmarkEnd w:id="243"/>
      <w:bookmarkStart w:id="244" w:name="_Toc184308064"/>
      <w:bookmarkEnd w:id="244"/>
      <w:bookmarkStart w:id="245" w:name="_Toc184308080"/>
      <w:bookmarkEnd w:id="245"/>
      <w:bookmarkStart w:id="246" w:name="_Toc184312103"/>
      <w:bookmarkEnd w:id="246"/>
      <w:bookmarkStart w:id="247" w:name="_Toc184312094"/>
      <w:bookmarkEnd w:id="247"/>
      <w:bookmarkStart w:id="248" w:name="_Toc184312077"/>
      <w:bookmarkEnd w:id="248"/>
      <w:bookmarkStart w:id="249" w:name="_Toc184313309"/>
      <w:bookmarkEnd w:id="249"/>
      <w:bookmarkStart w:id="250" w:name="_Toc184314413"/>
      <w:bookmarkEnd w:id="250"/>
      <w:bookmarkStart w:id="251" w:name="_Toc184308100"/>
      <w:bookmarkEnd w:id="251"/>
      <w:bookmarkStart w:id="252" w:name="_Toc184308093"/>
      <w:bookmarkEnd w:id="252"/>
      <w:bookmarkStart w:id="253" w:name="_Toc184312097"/>
      <w:bookmarkEnd w:id="253"/>
      <w:bookmarkStart w:id="254" w:name="_Toc184308096"/>
      <w:bookmarkEnd w:id="254"/>
      <w:bookmarkStart w:id="255" w:name="_Toc184314453"/>
      <w:bookmarkEnd w:id="255"/>
      <w:bookmarkStart w:id="256" w:name="_Toc184312130"/>
      <w:bookmarkEnd w:id="256"/>
      <w:bookmarkStart w:id="257" w:name="_Toc184314482"/>
      <w:bookmarkEnd w:id="257"/>
      <w:bookmarkStart w:id="258" w:name="_Toc184310278"/>
      <w:bookmarkEnd w:id="258"/>
      <w:bookmarkStart w:id="259" w:name="_Toc184314443"/>
      <w:bookmarkEnd w:id="259"/>
      <w:bookmarkStart w:id="260" w:name="_Toc184313274"/>
      <w:bookmarkEnd w:id="260"/>
      <w:bookmarkStart w:id="261" w:name="_Toc184313304"/>
      <w:bookmarkEnd w:id="261"/>
      <w:bookmarkStart w:id="262" w:name="_Toc184312079"/>
      <w:bookmarkEnd w:id="262"/>
      <w:bookmarkStart w:id="263" w:name="_Toc184314416"/>
      <w:bookmarkEnd w:id="263"/>
      <w:bookmarkStart w:id="264" w:name="_Toc184313279"/>
      <w:bookmarkEnd w:id="264"/>
      <w:bookmarkStart w:id="265" w:name="_Toc184308057"/>
      <w:bookmarkEnd w:id="265"/>
      <w:bookmarkStart w:id="266" w:name="_Toc184312080"/>
      <w:bookmarkEnd w:id="266"/>
      <w:bookmarkStart w:id="267" w:name="_Toc184314477"/>
      <w:bookmarkEnd w:id="267"/>
      <w:bookmarkStart w:id="268" w:name="_Toc184314467"/>
      <w:bookmarkEnd w:id="268"/>
      <w:bookmarkStart w:id="269" w:name="_Toc184312121"/>
      <w:bookmarkEnd w:id="269"/>
      <w:bookmarkStart w:id="270" w:name="_Toc184308049"/>
      <w:bookmarkEnd w:id="270"/>
      <w:bookmarkStart w:id="271" w:name="_Toc184312088"/>
      <w:bookmarkEnd w:id="271"/>
      <w:bookmarkStart w:id="272" w:name="_Toc184310273"/>
      <w:bookmarkEnd w:id="272"/>
      <w:bookmarkStart w:id="273" w:name="_Toc184312117"/>
      <w:bookmarkEnd w:id="273"/>
      <w:bookmarkStart w:id="274" w:name="_Toc184310344"/>
      <w:bookmarkEnd w:id="274"/>
      <w:bookmarkStart w:id="275" w:name="_Toc184313297"/>
      <w:bookmarkEnd w:id="275"/>
      <w:bookmarkStart w:id="276" w:name="_Toc184308042"/>
      <w:bookmarkEnd w:id="276"/>
      <w:bookmarkStart w:id="277" w:name="_Toc184314481"/>
      <w:bookmarkEnd w:id="277"/>
      <w:bookmarkStart w:id="278" w:name="_Toc184313247"/>
      <w:bookmarkEnd w:id="278"/>
      <w:bookmarkStart w:id="279" w:name="_Toc184312112"/>
      <w:bookmarkEnd w:id="279"/>
      <w:bookmarkStart w:id="280" w:name="_Toc184308081"/>
      <w:bookmarkEnd w:id="280"/>
      <w:bookmarkStart w:id="281" w:name="_Toc184312067"/>
      <w:bookmarkEnd w:id="281"/>
      <w:bookmarkStart w:id="282" w:name="_Toc184310334"/>
      <w:bookmarkEnd w:id="282"/>
      <w:bookmarkStart w:id="283" w:name="_Toc184310286"/>
      <w:bookmarkEnd w:id="283"/>
      <w:bookmarkStart w:id="284" w:name="_Toc184314469"/>
      <w:bookmarkEnd w:id="284"/>
      <w:bookmarkStart w:id="285" w:name="_Toc184314430"/>
      <w:bookmarkEnd w:id="285"/>
      <w:bookmarkStart w:id="286" w:name="_Toc184308044"/>
      <w:bookmarkEnd w:id="286"/>
      <w:bookmarkStart w:id="287" w:name="_Toc184312135"/>
      <w:bookmarkEnd w:id="287"/>
      <w:bookmarkStart w:id="288" w:name="_Toc184314429"/>
      <w:bookmarkEnd w:id="288"/>
      <w:bookmarkStart w:id="289" w:name="_Toc184310343"/>
      <w:bookmarkEnd w:id="289"/>
      <w:bookmarkStart w:id="290" w:name="_Toc184312127"/>
      <w:bookmarkEnd w:id="290"/>
      <w:bookmarkStart w:id="291" w:name="_Toc184308084"/>
      <w:bookmarkEnd w:id="291"/>
      <w:bookmarkStart w:id="292" w:name="_Toc184312082"/>
      <w:bookmarkEnd w:id="292"/>
      <w:bookmarkStart w:id="293" w:name="_Toc184314434"/>
      <w:bookmarkEnd w:id="293"/>
      <w:bookmarkStart w:id="294" w:name="_Toc184313275"/>
      <w:bookmarkEnd w:id="294"/>
      <w:bookmarkStart w:id="295" w:name="_Toc184310318"/>
      <w:bookmarkEnd w:id="295"/>
      <w:bookmarkStart w:id="296" w:name="_Toc184313263"/>
      <w:bookmarkEnd w:id="296"/>
      <w:bookmarkStart w:id="297" w:name="_Toc184313267"/>
      <w:bookmarkEnd w:id="297"/>
      <w:bookmarkStart w:id="298" w:name="_Toc184314471"/>
      <w:bookmarkEnd w:id="298"/>
      <w:bookmarkStart w:id="299" w:name="_Toc184312134"/>
      <w:bookmarkEnd w:id="299"/>
      <w:bookmarkStart w:id="300" w:name="_Toc184314414"/>
      <w:bookmarkEnd w:id="300"/>
      <w:bookmarkStart w:id="301" w:name="_Toc184308105"/>
      <w:bookmarkEnd w:id="301"/>
      <w:bookmarkStart w:id="302" w:name="_Toc184310317"/>
      <w:bookmarkEnd w:id="302"/>
      <w:bookmarkStart w:id="303" w:name="_Toc184310336"/>
      <w:bookmarkEnd w:id="303"/>
      <w:bookmarkStart w:id="304" w:name="_Toc184310341"/>
      <w:bookmarkEnd w:id="304"/>
      <w:bookmarkStart w:id="305" w:name="_Toc184310312"/>
      <w:bookmarkEnd w:id="305"/>
      <w:bookmarkStart w:id="306" w:name="_Toc184314438"/>
      <w:bookmarkEnd w:id="306"/>
      <w:bookmarkStart w:id="307" w:name="_Toc184314418"/>
      <w:bookmarkEnd w:id="307"/>
      <w:bookmarkStart w:id="308" w:name="_Toc184313266"/>
      <w:bookmarkEnd w:id="308"/>
      <w:bookmarkStart w:id="309" w:name="_Toc184310325"/>
      <w:bookmarkEnd w:id="309"/>
      <w:bookmarkStart w:id="310" w:name="_Toc184310289"/>
      <w:bookmarkEnd w:id="310"/>
      <w:bookmarkStart w:id="311" w:name="_Toc184308069"/>
      <w:bookmarkEnd w:id="311"/>
      <w:bookmarkStart w:id="312" w:name="_Toc184313284"/>
      <w:bookmarkEnd w:id="312"/>
      <w:bookmarkStart w:id="313" w:name="_Toc184314456"/>
      <w:bookmarkEnd w:id="313"/>
      <w:bookmarkStart w:id="314" w:name="_Toc184308040"/>
      <w:bookmarkEnd w:id="314"/>
      <w:bookmarkStart w:id="315" w:name="_Toc184308079"/>
      <w:bookmarkEnd w:id="315"/>
      <w:bookmarkStart w:id="316" w:name="_Toc184313298"/>
      <w:bookmarkEnd w:id="316"/>
      <w:bookmarkStart w:id="317" w:name="_Toc184308098"/>
      <w:bookmarkEnd w:id="317"/>
      <w:bookmarkStart w:id="318" w:name="_Toc184310342"/>
      <w:bookmarkEnd w:id="318"/>
      <w:bookmarkStart w:id="319" w:name="_Toc184314472"/>
      <w:bookmarkEnd w:id="319"/>
      <w:bookmarkStart w:id="320" w:name="_Toc184310315"/>
      <w:bookmarkEnd w:id="320"/>
      <w:bookmarkStart w:id="321" w:name="_Toc184314446"/>
      <w:bookmarkEnd w:id="321"/>
      <w:bookmarkStart w:id="322" w:name="_Toc184313276"/>
      <w:bookmarkEnd w:id="322"/>
      <w:bookmarkStart w:id="323" w:name="_Toc184310330"/>
      <w:bookmarkEnd w:id="323"/>
      <w:bookmarkStart w:id="324" w:name="_Toc184312078"/>
      <w:bookmarkEnd w:id="324"/>
      <w:bookmarkStart w:id="325" w:name="_Toc184314462"/>
      <w:bookmarkEnd w:id="325"/>
      <w:bookmarkStart w:id="326" w:name="_Toc184314451"/>
      <w:bookmarkEnd w:id="326"/>
      <w:bookmarkStart w:id="327" w:name="_Toc184310327"/>
      <w:bookmarkEnd w:id="327"/>
      <w:bookmarkStart w:id="328" w:name="_Toc184308048"/>
      <w:bookmarkEnd w:id="328"/>
      <w:bookmarkStart w:id="329" w:name="_Toc184310295"/>
      <w:bookmarkEnd w:id="329"/>
      <w:bookmarkStart w:id="330" w:name="_Toc184310276"/>
      <w:bookmarkEnd w:id="330"/>
      <w:bookmarkStart w:id="331" w:name="_Toc184312075"/>
      <w:bookmarkEnd w:id="331"/>
      <w:bookmarkStart w:id="332" w:name="_Toc184308059"/>
      <w:bookmarkEnd w:id="332"/>
      <w:bookmarkStart w:id="333" w:name="_Toc184312105"/>
      <w:bookmarkEnd w:id="333"/>
      <w:bookmarkStart w:id="334" w:name="_Toc184310288"/>
      <w:bookmarkEnd w:id="334"/>
      <w:bookmarkStart w:id="335" w:name="_Toc184314448"/>
      <w:bookmarkEnd w:id="335"/>
      <w:bookmarkStart w:id="336" w:name="_Toc184313265"/>
      <w:bookmarkEnd w:id="336"/>
      <w:bookmarkStart w:id="337" w:name="_Toc184313258"/>
      <w:bookmarkEnd w:id="337"/>
      <w:bookmarkStart w:id="338" w:name="_Toc184313299"/>
      <w:bookmarkEnd w:id="338"/>
      <w:bookmarkStart w:id="339" w:name="_Toc184313264"/>
      <w:bookmarkEnd w:id="339"/>
      <w:bookmarkStart w:id="340" w:name="_Toc184308086"/>
      <w:bookmarkEnd w:id="340"/>
      <w:bookmarkStart w:id="341" w:name="_Toc184314428"/>
      <w:bookmarkEnd w:id="341"/>
      <w:bookmarkStart w:id="342" w:name="_Toc184308087"/>
      <w:bookmarkEnd w:id="342"/>
      <w:bookmarkStart w:id="343" w:name="_Toc184308041"/>
      <w:bookmarkEnd w:id="343"/>
      <w:bookmarkStart w:id="344" w:name="_Toc184313287"/>
      <w:bookmarkEnd w:id="344"/>
      <w:bookmarkStart w:id="345" w:name="_Toc184312110"/>
      <w:bookmarkEnd w:id="345"/>
      <w:bookmarkStart w:id="346" w:name="_Toc184313289"/>
      <w:bookmarkEnd w:id="346"/>
      <w:bookmarkStart w:id="347" w:name="_Toc184313242"/>
      <w:bookmarkEnd w:id="347"/>
      <w:bookmarkStart w:id="348" w:name="_Toc184312119"/>
      <w:bookmarkEnd w:id="348"/>
      <w:bookmarkStart w:id="349" w:name="_Toc184310302"/>
      <w:bookmarkEnd w:id="349"/>
      <w:bookmarkStart w:id="350" w:name="_Toc184308055"/>
      <w:bookmarkEnd w:id="350"/>
      <w:bookmarkStart w:id="351" w:name="_Toc184308045"/>
      <w:bookmarkEnd w:id="351"/>
      <w:bookmarkStart w:id="352" w:name="_Toc184314417"/>
      <w:bookmarkEnd w:id="352"/>
      <w:bookmarkStart w:id="353" w:name="_Toc184308058"/>
      <w:bookmarkEnd w:id="353"/>
      <w:bookmarkStart w:id="354" w:name="_Toc184313300"/>
      <w:bookmarkEnd w:id="354"/>
      <w:bookmarkStart w:id="355" w:name="_Toc184314452"/>
      <w:bookmarkEnd w:id="355"/>
      <w:bookmarkStart w:id="356" w:name="_Toc184312073"/>
      <w:bookmarkEnd w:id="356"/>
      <w:bookmarkStart w:id="357" w:name="_Toc184314440"/>
      <w:bookmarkEnd w:id="357"/>
      <w:bookmarkStart w:id="358" w:name="_Toc184313282"/>
      <w:bookmarkEnd w:id="358"/>
      <w:bookmarkStart w:id="359" w:name="_Toc184314436"/>
      <w:bookmarkEnd w:id="359"/>
      <w:bookmarkStart w:id="360" w:name="_Toc184312132"/>
      <w:bookmarkEnd w:id="360"/>
      <w:bookmarkStart w:id="361" w:name="_Toc184310272"/>
      <w:bookmarkEnd w:id="361"/>
      <w:bookmarkStart w:id="362" w:name="_Toc184312100"/>
      <w:bookmarkEnd w:id="362"/>
      <w:bookmarkStart w:id="363" w:name="_Toc184313295"/>
      <w:bookmarkEnd w:id="363"/>
      <w:bookmarkStart w:id="364" w:name="_Toc184308063"/>
      <w:bookmarkEnd w:id="364"/>
      <w:bookmarkStart w:id="365" w:name="_Toc184308090"/>
      <w:bookmarkEnd w:id="365"/>
      <w:bookmarkStart w:id="366" w:name="_Toc184312115"/>
      <w:bookmarkEnd w:id="366"/>
      <w:bookmarkStart w:id="367" w:name="_Toc184313303"/>
      <w:bookmarkEnd w:id="367"/>
      <w:bookmarkStart w:id="368" w:name="_Toc184313308"/>
      <w:bookmarkEnd w:id="368"/>
      <w:bookmarkStart w:id="369" w:name="_Toc184310319"/>
      <w:bookmarkEnd w:id="369"/>
      <w:bookmarkStart w:id="370" w:name="_Toc184312111"/>
      <w:bookmarkEnd w:id="370"/>
      <w:bookmarkStart w:id="371" w:name="_Toc184312102"/>
      <w:bookmarkEnd w:id="371"/>
      <w:bookmarkStart w:id="372" w:name="_Toc184313269"/>
      <w:bookmarkEnd w:id="372"/>
      <w:bookmarkStart w:id="373" w:name="_Toc184308060"/>
      <w:bookmarkEnd w:id="373"/>
      <w:bookmarkStart w:id="374" w:name="_Toc184312098"/>
      <w:bookmarkEnd w:id="374"/>
      <w:bookmarkStart w:id="375" w:name="_Toc184310328"/>
      <w:bookmarkEnd w:id="375"/>
      <w:bookmarkStart w:id="376" w:name="_Toc184313238"/>
      <w:bookmarkEnd w:id="376"/>
      <w:bookmarkStart w:id="377" w:name="_Toc184313283"/>
      <w:bookmarkEnd w:id="377"/>
      <w:bookmarkStart w:id="378" w:name="_Toc184310294"/>
      <w:bookmarkEnd w:id="378"/>
      <w:bookmarkStart w:id="379" w:name="_Toc184314435"/>
      <w:bookmarkEnd w:id="379"/>
      <w:bookmarkStart w:id="380" w:name="_Toc184308082"/>
      <w:bookmarkEnd w:id="380"/>
      <w:bookmarkStart w:id="381" w:name="_Toc184312083"/>
      <w:bookmarkEnd w:id="381"/>
      <w:bookmarkStart w:id="382" w:name="_Toc184310281"/>
      <w:bookmarkEnd w:id="382"/>
      <w:bookmarkStart w:id="383" w:name="_Toc184310274"/>
      <w:bookmarkEnd w:id="383"/>
      <w:bookmarkStart w:id="384" w:name="_Toc184314424"/>
      <w:bookmarkEnd w:id="384"/>
      <w:bookmarkStart w:id="385" w:name="_Toc184313262"/>
      <w:bookmarkEnd w:id="385"/>
      <w:bookmarkStart w:id="386" w:name="_Toc184313248"/>
      <w:bookmarkEnd w:id="386"/>
      <w:bookmarkStart w:id="387" w:name="_Toc184314426"/>
      <w:bookmarkEnd w:id="387"/>
      <w:bookmarkStart w:id="388" w:name="_Toc184313306"/>
      <w:bookmarkEnd w:id="388"/>
      <w:bookmarkStart w:id="389" w:name="_Toc184314470"/>
      <w:bookmarkEnd w:id="389"/>
      <w:bookmarkStart w:id="390" w:name="_Toc184310337"/>
      <w:bookmarkEnd w:id="390"/>
      <w:bookmarkStart w:id="391" w:name="_Toc184313249"/>
      <w:bookmarkEnd w:id="391"/>
      <w:bookmarkStart w:id="392" w:name="_Toc184308052"/>
      <w:bookmarkEnd w:id="392"/>
      <w:bookmarkStart w:id="393" w:name="_Toc184308061"/>
      <w:bookmarkEnd w:id="393"/>
      <w:bookmarkStart w:id="394" w:name="_Toc184312116"/>
      <w:bookmarkEnd w:id="394"/>
      <w:bookmarkStart w:id="395" w:name="_Toc184310329"/>
      <w:bookmarkEnd w:id="395"/>
      <w:bookmarkStart w:id="396" w:name="_Toc184310322"/>
      <w:bookmarkEnd w:id="396"/>
      <w:bookmarkStart w:id="397" w:name="_Toc184314457"/>
      <w:bookmarkEnd w:id="397"/>
      <w:bookmarkStart w:id="398" w:name="_Toc184312089"/>
      <w:bookmarkEnd w:id="398"/>
      <w:bookmarkStart w:id="399" w:name="_Toc184314474"/>
      <w:bookmarkEnd w:id="399"/>
      <w:bookmarkStart w:id="400" w:name="_Toc184312137"/>
      <w:bookmarkEnd w:id="400"/>
      <w:bookmarkStart w:id="401" w:name="_Toc184312093"/>
      <w:bookmarkEnd w:id="401"/>
      <w:bookmarkStart w:id="402" w:name="_Toc184310301"/>
      <w:bookmarkEnd w:id="402"/>
      <w:bookmarkStart w:id="403" w:name="_Toc184308047"/>
      <w:bookmarkEnd w:id="403"/>
      <w:bookmarkStart w:id="404" w:name="_Toc184314422"/>
      <w:bookmarkEnd w:id="404"/>
      <w:bookmarkStart w:id="405" w:name="_Toc184312133"/>
      <w:bookmarkEnd w:id="405"/>
      <w:bookmarkStart w:id="406" w:name="_Toc184310316"/>
      <w:bookmarkEnd w:id="406"/>
      <w:bookmarkStart w:id="407" w:name="_Toc184308075"/>
      <w:bookmarkEnd w:id="407"/>
      <w:bookmarkStart w:id="408" w:name="_Toc184308107"/>
      <w:bookmarkEnd w:id="408"/>
      <w:bookmarkStart w:id="409" w:name="_Toc184313305"/>
      <w:bookmarkEnd w:id="409"/>
      <w:bookmarkStart w:id="410" w:name="_Toc184314459"/>
      <w:bookmarkEnd w:id="410"/>
      <w:bookmarkStart w:id="411" w:name="_Toc184314421"/>
      <w:bookmarkEnd w:id="411"/>
      <w:bookmarkStart w:id="412" w:name="_Toc184313292"/>
      <w:bookmarkEnd w:id="412"/>
      <w:bookmarkStart w:id="413" w:name="_Toc184308083"/>
      <w:bookmarkEnd w:id="413"/>
      <w:bookmarkStart w:id="414" w:name="_Toc184312125"/>
      <w:bookmarkEnd w:id="414"/>
      <w:bookmarkStart w:id="415" w:name="_Toc184310284"/>
      <w:bookmarkEnd w:id="415"/>
      <w:bookmarkStart w:id="416" w:name="_Toc184310313"/>
      <w:bookmarkEnd w:id="416"/>
      <w:r>
        <w:rPr>
          <w:rStyle w:val="34"/>
          <w:rFonts w:hint="eastAsia"/>
          <w:color w:val="auto"/>
          <w:highlight w:val="none"/>
        </w:rPr>
        <w:t>评标办法</w:t>
      </w:r>
      <w:bookmarkEnd w:id="51"/>
    </w:p>
    <w:p w14:paraId="23101E38">
      <w:pPr>
        <w:pStyle w:val="4"/>
        <w:spacing w:line="240" w:lineRule="auto"/>
        <w:jc w:val="center"/>
        <w:rPr>
          <w:rFonts w:hint="default" w:eastAsia="黑体"/>
          <w:color w:val="auto"/>
          <w:sz w:val="28"/>
          <w:szCs w:val="28"/>
          <w:highlight w:val="none"/>
          <w:lang w:val="en-US" w:eastAsia="zh-CN"/>
        </w:rPr>
      </w:pPr>
      <w:bookmarkStart w:id="417" w:name="_Toc7267"/>
      <w:r>
        <w:rPr>
          <w:rFonts w:hint="eastAsia"/>
          <w:color w:val="auto"/>
          <w:sz w:val="28"/>
          <w:szCs w:val="28"/>
          <w:highlight w:val="none"/>
        </w:rPr>
        <w:t>评标办法前附表</w:t>
      </w:r>
      <w:bookmarkEnd w:id="417"/>
      <w:r>
        <w:rPr>
          <w:rFonts w:hint="eastAsia"/>
          <w:color w:val="auto"/>
          <w:sz w:val="28"/>
          <w:szCs w:val="28"/>
          <w:highlight w:val="none"/>
          <w:lang w:eastAsia="zh-CN"/>
        </w:rPr>
        <w:t>（</w:t>
      </w:r>
      <w:r>
        <w:rPr>
          <w:rFonts w:hint="eastAsia"/>
          <w:color w:val="auto"/>
          <w:sz w:val="28"/>
          <w:szCs w:val="28"/>
          <w:highlight w:val="none"/>
          <w:lang w:val="en-US" w:eastAsia="zh-CN"/>
        </w:rPr>
        <w:t>标项一、标项二、标项三、标项四）</w:t>
      </w:r>
    </w:p>
    <w:tbl>
      <w:tblPr>
        <w:tblStyle w:val="27"/>
        <w:tblW w:w="9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4665"/>
        <w:gridCol w:w="699"/>
        <w:gridCol w:w="1279"/>
        <w:gridCol w:w="1525"/>
      </w:tblGrid>
      <w:tr w14:paraId="4FC1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AA9A31D">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665" w:type="dxa"/>
            <w:noWrap w:val="0"/>
            <w:vAlign w:val="center"/>
          </w:tcPr>
          <w:p w14:paraId="7DFE41C5">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评标标准</w:t>
            </w:r>
          </w:p>
          <w:p w14:paraId="35701733">
            <w:pP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注:评审结束后、结果确认前成交人应配合采购代理机构完成涉及客观分评审内容的证明材料真实性核对，中标人自行准备证明材料（业绩合同等原件）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tc>
        <w:tc>
          <w:tcPr>
            <w:tcW w:w="699" w:type="dxa"/>
            <w:noWrap w:val="0"/>
            <w:vAlign w:val="center"/>
          </w:tcPr>
          <w:p w14:paraId="1C754F9E">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权重</w:t>
            </w:r>
          </w:p>
        </w:tc>
        <w:tc>
          <w:tcPr>
            <w:tcW w:w="1279" w:type="dxa"/>
            <w:noWrap w:val="0"/>
            <w:vAlign w:val="center"/>
          </w:tcPr>
          <w:p w14:paraId="700ABF4E">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主观分/客观分属性</w:t>
            </w:r>
          </w:p>
        </w:tc>
        <w:tc>
          <w:tcPr>
            <w:tcW w:w="1525" w:type="dxa"/>
            <w:noWrap w:val="0"/>
            <w:vAlign w:val="top"/>
          </w:tcPr>
          <w:p w14:paraId="1370E7FC">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投标文件中评标标准相应的商务技术资料目录*</w:t>
            </w:r>
          </w:p>
        </w:tc>
      </w:tr>
      <w:tr w14:paraId="7264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6926A4B1">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665" w:type="dxa"/>
            <w:noWrap w:val="0"/>
            <w:vAlign w:val="center"/>
          </w:tcPr>
          <w:p w14:paraId="428536C4">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业绩</w:t>
            </w:r>
            <w:r>
              <w:rPr>
                <w:rFonts w:hint="eastAsia" w:ascii="宋体" w:hAnsi="宋体" w:eastAsia="宋体" w:cs="宋体"/>
                <w:b/>
                <w:color w:val="auto"/>
                <w:sz w:val="24"/>
                <w:szCs w:val="24"/>
                <w:highlight w:val="none"/>
                <w:lang w:eastAsia="zh-CN"/>
              </w:rPr>
              <w:t>：</w:t>
            </w:r>
          </w:p>
          <w:p w14:paraId="3F0EE39F">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投标人自20</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年1月1日以来（以合同签订时间为准）同类合同业绩（同时提供完整合同扫描件、中标通知书扫描件、合同对应的业主评价（评价内容须为</w:t>
            </w:r>
            <w:r>
              <w:rPr>
                <w:rFonts w:hint="eastAsia" w:ascii="宋体" w:hAnsi="宋体" w:eastAsia="宋体" w:cs="宋体"/>
                <w:color w:val="auto"/>
                <w:sz w:val="24"/>
                <w:szCs w:val="24"/>
                <w:highlight w:val="none"/>
                <w:lang w:val="en-US" w:eastAsia="zh-CN"/>
              </w:rPr>
              <w:t>优秀</w:t>
            </w:r>
            <w:r>
              <w:rPr>
                <w:rFonts w:hint="eastAsia" w:ascii="宋体" w:hAnsi="宋体" w:eastAsia="宋体" w:cs="宋体"/>
                <w:color w:val="auto"/>
                <w:sz w:val="24"/>
                <w:szCs w:val="24"/>
                <w:highlight w:val="none"/>
              </w:rPr>
              <w:t>及以上）扫描件的，视为1份有效业绩）：每提供1份合同业绩得1分，最高得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699" w:type="dxa"/>
            <w:noWrap w:val="0"/>
            <w:vAlign w:val="center"/>
          </w:tcPr>
          <w:p w14:paraId="720A06F0">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9" w:type="dxa"/>
            <w:noWrap w:val="0"/>
            <w:vAlign w:val="center"/>
          </w:tcPr>
          <w:p w14:paraId="074891DE">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客观分</w:t>
            </w:r>
          </w:p>
        </w:tc>
        <w:tc>
          <w:tcPr>
            <w:tcW w:w="1525" w:type="dxa"/>
            <w:noWrap w:val="0"/>
            <w:vAlign w:val="top"/>
          </w:tcPr>
          <w:p w14:paraId="0E50620A">
            <w:pPr>
              <w:snapToGrid w:val="0"/>
              <w:jc w:val="center"/>
              <w:rPr>
                <w:rFonts w:hint="eastAsia" w:ascii="宋体" w:hAnsi="宋体" w:eastAsia="宋体" w:cs="宋体"/>
                <w:color w:val="auto"/>
                <w:sz w:val="24"/>
                <w:szCs w:val="24"/>
                <w:highlight w:val="none"/>
              </w:rPr>
            </w:pPr>
          </w:p>
        </w:tc>
      </w:tr>
      <w:tr w14:paraId="4285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ACB4AA4">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665" w:type="dxa"/>
            <w:noWrap w:val="0"/>
            <w:vAlign w:val="center"/>
          </w:tcPr>
          <w:p w14:paraId="120E7CD8">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投标人信誉：</w:t>
            </w:r>
          </w:p>
          <w:p w14:paraId="3C06E882">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具有有的质量管理体系、环境管理体系、职业健康与安全管理体系认证</w:t>
            </w:r>
            <w:r>
              <w:rPr>
                <w:rFonts w:hint="eastAsia" w:ascii="宋体" w:hAnsi="宋体" w:eastAsia="宋体" w:cs="宋体"/>
                <w:color w:val="auto"/>
                <w:sz w:val="24"/>
                <w:szCs w:val="24"/>
                <w:highlight w:val="none"/>
                <w:lang w:val="en-US" w:eastAsia="zh-CN"/>
              </w:rPr>
              <w:t>证书的</w:t>
            </w:r>
            <w:r>
              <w:rPr>
                <w:rFonts w:hint="eastAsia" w:ascii="宋体" w:hAnsi="宋体" w:eastAsia="宋体" w:cs="宋体"/>
                <w:color w:val="auto"/>
                <w:sz w:val="24"/>
                <w:szCs w:val="24"/>
                <w:highlight w:val="none"/>
              </w:rPr>
              <w:t>，每提供一份得1分，最多得3分（提供证书扫描件、国家认证认可监督管理委员会官网（http://www.cnca.gov.cn/）查询截图，不提供不得分）。</w:t>
            </w:r>
          </w:p>
        </w:tc>
        <w:tc>
          <w:tcPr>
            <w:tcW w:w="699" w:type="dxa"/>
            <w:noWrap w:val="0"/>
            <w:vAlign w:val="center"/>
          </w:tcPr>
          <w:p w14:paraId="68B5F880">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120CF915">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客观分</w:t>
            </w:r>
          </w:p>
        </w:tc>
        <w:tc>
          <w:tcPr>
            <w:tcW w:w="1525" w:type="dxa"/>
            <w:noWrap w:val="0"/>
            <w:vAlign w:val="top"/>
          </w:tcPr>
          <w:p w14:paraId="47C4BA71">
            <w:pPr>
              <w:snapToGrid w:val="0"/>
              <w:jc w:val="center"/>
              <w:rPr>
                <w:rFonts w:hint="eastAsia" w:ascii="宋体" w:hAnsi="宋体" w:eastAsia="宋体" w:cs="宋体"/>
                <w:color w:val="auto"/>
                <w:sz w:val="24"/>
                <w:szCs w:val="24"/>
                <w:highlight w:val="none"/>
              </w:rPr>
            </w:pPr>
          </w:p>
        </w:tc>
      </w:tr>
      <w:tr w14:paraId="32CF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3661827D">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665" w:type="dxa"/>
            <w:noWrap w:val="0"/>
            <w:vAlign w:val="center"/>
          </w:tcPr>
          <w:p w14:paraId="69C35E56">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政策功能</w:t>
            </w:r>
            <w:r>
              <w:rPr>
                <w:rFonts w:hint="eastAsia" w:ascii="宋体" w:hAnsi="宋体" w:eastAsia="宋体" w:cs="宋体"/>
                <w:b/>
                <w:color w:val="auto"/>
                <w:sz w:val="24"/>
                <w:szCs w:val="24"/>
                <w:highlight w:val="none"/>
                <w:lang w:eastAsia="zh-CN"/>
              </w:rPr>
              <w:t>：</w:t>
            </w:r>
          </w:p>
          <w:p w14:paraId="18E655FA">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投标产品属于品目清单范围且提供国家确定的认证机构出具的有效的环境标志产品认证证书（扫描件加盖公章）的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每有1份</w:t>
            </w:r>
            <w:r>
              <w:rPr>
                <w:rFonts w:hint="eastAsia" w:ascii="宋体" w:hAnsi="宋体" w:eastAsia="宋体" w:cs="宋体"/>
                <w:color w:val="auto"/>
                <w:sz w:val="24"/>
                <w:szCs w:val="24"/>
                <w:highlight w:val="none"/>
              </w:rPr>
              <w:t>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最高得2分</w:t>
            </w:r>
            <w:r>
              <w:rPr>
                <w:rFonts w:hint="eastAsia" w:ascii="宋体" w:hAnsi="宋体" w:eastAsia="宋体" w:cs="宋体"/>
                <w:color w:val="auto"/>
                <w:sz w:val="24"/>
                <w:szCs w:val="24"/>
                <w:highlight w:val="none"/>
              </w:rPr>
              <w:t>。</w:t>
            </w:r>
          </w:p>
        </w:tc>
        <w:tc>
          <w:tcPr>
            <w:tcW w:w="699" w:type="dxa"/>
            <w:noWrap w:val="0"/>
            <w:vAlign w:val="center"/>
          </w:tcPr>
          <w:p w14:paraId="33FF5D95">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279" w:type="dxa"/>
            <w:noWrap w:val="0"/>
            <w:vAlign w:val="center"/>
          </w:tcPr>
          <w:p w14:paraId="17A72807">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客观分</w:t>
            </w:r>
          </w:p>
        </w:tc>
        <w:tc>
          <w:tcPr>
            <w:tcW w:w="1525" w:type="dxa"/>
            <w:noWrap w:val="0"/>
            <w:vAlign w:val="top"/>
          </w:tcPr>
          <w:p w14:paraId="4C54BC41">
            <w:pPr>
              <w:snapToGrid w:val="0"/>
              <w:jc w:val="center"/>
              <w:rPr>
                <w:rFonts w:hint="eastAsia" w:ascii="宋体" w:hAnsi="宋体" w:eastAsia="宋体" w:cs="宋体"/>
                <w:color w:val="auto"/>
                <w:sz w:val="24"/>
                <w:szCs w:val="24"/>
                <w:highlight w:val="none"/>
              </w:rPr>
            </w:pPr>
          </w:p>
        </w:tc>
      </w:tr>
      <w:tr w14:paraId="74F6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C25DD11">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665" w:type="dxa"/>
            <w:noWrap w:val="0"/>
            <w:vAlign w:val="center"/>
          </w:tcPr>
          <w:p w14:paraId="18DED1DB">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技术响应程度</w:t>
            </w:r>
            <w:r>
              <w:rPr>
                <w:rFonts w:hint="eastAsia" w:ascii="宋体" w:hAnsi="宋体" w:eastAsia="宋体" w:cs="宋体"/>
                <w:b/>
                <w:bCs/>
                <w:color w:val="auto"/>
                <w:sz w:val="24"/>
                <w:szCs w:val="24"/>
                <w:highlight w:val="none"/>
                <w:lang w:eastAsia="zh-CN"/>
              </w:rPr>
              <w:t>：</w:t>
            </w:r>
          </w:p>
          <w:p w14:paraId="3CF64667">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不符合（负偏离）技术要求中标注“▲”条款（不可偏离）的投标无效；</w:t>
            </w:r>
          </w:p>
          <w:p w14:paraId="6A313DC9">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满足招标文件明确的全部技术条款要求的该项得满分；</w:t>
            </w:r>
          </w:p>
          <w:p w14:paraId="5F1CF69A">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技术条款低于技术要求（负偏离）的每项扣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D091246">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负偏离</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项及以上的视为采购人不能接受的附加条件。</w:t>
            </w:r>
          </w:p>
        </w:tc>
        <w:tc>
          <w:tcPr>
            <w:tcW w:w="699" w:type="dxa"/>
            <w:noWrap w:val="0"/>
            <w:vAlign w:val="center"/>
          </w:tcPr>
          <w:p w14:paraId="77D826FC">
            <w:pPr>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p>
        </w:tc>
        <w:tc>
          <w:tcPr>
            <w:tcW w:w="1279" w:type="dxa"/>
            <w:noWrap w:val="0"/>
            <w:vAlign w:val="center"/>
          </w:tcPr>
          <w:p w14:paraId="5027CAAD">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客</w:t>
            </w:r>
            <w:r>
              <w:rPr>
                <w:rFonts w:hint="eastAsia" w:ascii="宋体" w:hAnsi="宋体" w:eastAsia="宋体" w:cs="宋体"/>
                <w:color w:val="auto"/>
                <w:sz w:val="24"/>
                <w:szCs w:val="24"/>
                <w:highlight w:val="none"/>
              </w:rPr>
              <w:t>观分</w:t>
            </w:r>
          </w:p>
        </w:tc>
        <w:tc>
          <w:tcPr>
            <w:tcW w:w="1525" w:type="dxa"/>
            <w:noWrap w:val="0"/>
            <w:vAlign w:val="top"/>
          </w:tcPr>
          <w:p w14:paraId="475A5BF6">
            <w:pPr>
              <w:snapToGrid w:val="0"/>
              <w:jc w:val="center"/>
              <w:rPr>
                <w:rFonts w:hint="eastAsia" w:ascii="宋体" w:hAnsi="宋体" w:eastAsia="宋体" w:cs="宋体"/>
                <w:color w:val="auto"/>
                <w:sz w:val="24"/>
                <w:szCs w:val="24"/>
                <w:highlight w:val="none"/>
              </w:rPr>
            </w:pPr>
          </w:p>
        </w:tc>
      </w:tr>
      <w:tr w14:paraId="4B19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6A2C49D">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665" w:type="dxa"/>
            <w:noWrap w:val="0"/>
            <w:vAlign w:val="center"/>
          </w:tcPr>
          <w:p w14:paraId="125173C6">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技术方案</w:t>
            </w:r>
            <w:r>
              <w:rPr>
                <w:rFonts w:hint="eastAsia" w:ascii="宋体" w:hAnsi="宋体" w:eastAsia="宋体" w:cs="宋体"/>
                <w:b/>
                <w:bCs/>
                <w:color w:val="auto"/>
                <w:sz w:val="24"/>
                <w:szCs w:val="24"/>
                <w:highlight w:val="none"/>
                <w:lang w:val="en-US" w:eastAsia="zh-CN"/>
              </w:rPr>
              <w:t>:</w:t>
            </w:r>
          </w:p>
          <w:p w14:paraId="78996077">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highlight w:val="none"/>
              </w:rPr>
            </w:pPr>
            <w:r>
              <w:rPr>
                <w:rFonts w:hint="eastAsia" w:ascii="宋体" w:hAnsi="宋体" w:eastAsia="宋体" w:cs="宋体"/>
                <w:color w:val="auto"/>
                <w:spacing w:val="-6"/>
                <w:kern w:val="2"/>
                <w:sz w:val="24"/>
                <w:szCs w:val="24"/>
                <w:highlight w:val="none"/>
                <w:lang w:val="en-US" w:eastAsia="zh-CN" w:bidi="ar"/>
              </w:rPr>
              <w:t>投标人整体项目实施方案的完整性、可行性、有效性，</w:t>
            </w:r>
            <w:r>
              <w:rPr>
                <w:rFonts w:hint="eastAsia" w:ascii="宋体" w:hAnsi="宋体" w:eastAsia="宋体" w:cs="宋体"/>
                <w:color w:val="auto"/>
                <w:kern w:val="2"/>
                <w:sz w:val="24"/>
                <w:szCs w:val="24"/>
                <w:highlight w:val="none"/>
                <w:lang w:val="en-US" w:eastAsia="zh-CN" w:bidi="ar"/>
              </w:rPr>
              <w:t>投标人具体项目技术团队，生产实施方案、品质管理管控过程等情况</w:t>
            </w:r>
            <w:r>
              <w:rPr>
                <w:rFonts w:hint="eastAsia" w:ascii="宋体" w:hAnsi="宋体" w:eastAsia="宋体" w:cs="宋体"/>
                <w:color w:val="auto"/>
                <w:spacing w:val="-6"/>
                <w:kern w:val="2"/>
                <w:sz w:val="24"/>
                <w:szCs w:val="24"/>
                <w:highlight w:val="none"/>
                <w:lang w:val="en-US" w:eastAsia="zh-CN" w:bidi="ar"/>
              </w:rPr>
              <w:t>（评分范围：5,4,3,2,1,0）。</w:t>
            </w:r>
          </w:p>
        </w:tc>
        <w:tc>
          <w:tcPr>
            <w:tcW w:w="699" w:type="dxa"/>
            <w:noWrap w:val="0"/>
            <w:vAlign w:val="center"/>
          </w:tcPr>
          <w:p w14:paraId="1D1A293F">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79" w:type="dxa"/>
            <w:noWrap w:val="0"/>
            <w:vAlign w:val="center"/>
          </w:tcPr>
          <w:p w14:paraId="2946D5DE">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34520707">
            <w:pPr>
              <w:snapToGrid w:val="0"/>
              <w:jc w:val="center"/>
              <w:rPr>
                <w:rFonts w:hint="eastAsia" w:ascii="宋体" w:hAnsi="宋体" w:eastAsia="宋体" w:cs="宋体"/>
                <w:color w:val="auto"/>
                <w:sz w:val="24"/>
                <w:szCs w:val="24"/>
                <w:highlight w:val="none"/>
              </w:rPr>
            </w:pPr>
          </w:p>
        </w:tc>
      </w:tr>
      <w:tr w14:paraId="0894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27A8C423">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665" w:type="dxa"/>
            <w:noWrap w:val="0"/>
            <w:vAlign w:val="center"/>
          </w:tcPr>
          <w:p w14:paraId="2867309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深化设计</w:t>
            </w:r>
            <w:r>
              <w:rPr>
                <w:rFonts w:hint="eastAsia" w:ascii="宋体" w:hAnsi="宋体" w:eastAsia="宋体" w:cs="宋体"/>
                <w:b/>
                <w:bCs/>
                <w:color w:val="auto"/>
                <w:sz w:val="24"/>
                <w:szCs w:val="24"/>
                <w:highlight w:val="none"/>
              </w:rPr>
              <w:t>方案</w:t>
            </w:r>
            <w:r>
              <w:rPr>
                <w:rFonts w:hint="eastAsia" w:ascii="宋体" w:hAnsi="宋体" w:eastAsia="宋体" w:cs="宋体"/>
                <w:b/>
                <w:bCs/>
                <w:color w:val="auto"/>
                <w:sz w:val="24"/>
                <w:szCs w:val="24"/>
                <w:highlight w:val="none"/>
                <w:lang w:val="en-US" w:eastAsia="zh-CN"/>
              </w:rPr>
              <w:t>:</w:t>
            </w:r>
          </w:p>
          <w:p w14:paraId="1462D361">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投标人针对本项目产品的整体深化设计情况，在满足采购需求的前提下，是否有进一步的设计深化（评分范围：</w:t>
            </w:r>
            <w:r>
              <w:rPr>
                <w:rFonts w:hint="eastAsia" w:ascii="宋体" w:hAnsi="宋体" w:cs="宋体"/>
                <w:color w:val="auto"/>
                <w:kern w:val="2"/>
                <w:sz w:val="24"/>
                <w:szCs w:val="24"/>
                <w:highlight w:val="none"/>
                <w:lang w:val="en-US" w:eastAsia="zh-CN" w:bidi="ar"/>
              </w:rPr>
              <w:t>5，4，</w:t>
            </w:r>
            <w:r>
              <w:rPr>
                <w:rFonts w:hint="eastAsia" w:ascii="宋体" w:hAnsi="宋体" w:eastAsia="宋体" w:cs="宋体"/>
                <w:color w:val="auto"/>
                <w:kern w:val="2"/>
                <w:sz w:val="24"/>
                <w:szCs w:val="24"/>
                <w:highlight w:val="none"/>
                <w:lang w:val="en-US" w:eastAsia="zh-CN" w:bidi="ar"/>
              </w:rPr>
              <w:t>3,2,1,0）。</w:t>
            </w:r>
          </w:p>
        </w:tc>
        <w:tc>
          <w:tcPr>
            <w:tcW w:w="699" w:type="dxa"/>
            <w:noWrap w:val="0"/>
            <w:vAlign w:val="center"/>
          </w:tcPr>
          <w:p w14:paraId="0C7211DC">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3127E957">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77D387F4">
            <w:pPr>
              <w:snapToGrid w:val="0"/>
              <w:jc w:val="center"/>
              <w:rPr>
                <w:rFonts w:hint="eastAsia" w:ascii="宋体" w:hAnsi="宋体" w:eastAsia="宋体" w:cs="宋体"/>
                <w:color w:val="auto"/>
                <w:sz w:val="24"/>
                <w:szCs w:val="24"/>
                <w:highlight w:val="none"/>
              </w:rPr>
            </w:pPr>
          </w:p>
        </w:tc>
      </w:tr>
      <w:tr w14:paraId="76EF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3C96834B">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4665" w:type="dxa"/>
            <w:noWrap w:val="0"/>
            <w:vAlign w:val="center"/>
          </w:tcPr>
          <w:p w14:paraId="33C592C1">
            <w:pPr>
              <w:keepNext w:val="0"/>
              <w:keepLines w:val="0"/>
              <w:suppressLineNumbers w:val="0"/>
              <w:spacing w:before="0" w:beforeAutospacing="0" w:after="0" w:afterAutospacing="0" w:line="240" w:lineRule="auto"/>
              <w:ind w:left="0" w:leftChars="0" w:right="0" w:righ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主材整体情况</w:t>
            </w:r>
            <w:r>
              <w:rPr>
                <w:rFonts w:hint="eastAsia" w:ascii="宋体" w:hAnsi="宋体" w:eastAsia="宋体" w:cs="宋体"/>
                <w:b/>
                <w:bCs/>
                <w:color w:val="auto"/>
                <w:sz w:val="24"/>
                <w:szCs w:val="24"/>
                <w:highlight w:val="none"/>
                <w:lang w:val="en-US" w:eastAsia="zh-CN"/>
              </w:rPr>
              <w:t>:</w:t>
            </w:r>
          </w:p>
          <w:p w14:paraId="2109968A">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本项目产品所用主材整体情况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包括主材来源，主材环保性的保障措施</w:t>
            </w:r>
            <w:r>
              <w:rPr>
                <w:rFonts w:hint="eastAsia" w:ascii="宋体" w:hAnsi="宋体" w:eastAsia="宋体" w:cs="宋体"/>
                <w:color w:val="auto"/>
                <w:sz w:val="24"/>
                <w:szCs w:val="24"/>
                <w:highlight w:val="none"/>
              </w:rPr>
              <w:t>（评分范围：</w:t>
            </w:r>
            <w:r>
              <w:rPr>
                <w:rFonts w:hint="eastAsia" w:ascii="宋体" w:hAnsi="宋体" w:cs="宋体"/>
                <w:color w:val="auto"/>
                <w:sz w:val="24"/>
                <w:szCs w:val="24"/>
                <w:highlight w:val="none"/>
                <w:lang w:val="en-US" w:eastAsia="zh-CN"/>
              </w:rPr>
              <w:t>5，4，</w:t>
            </w:r>
            <w:r>
              <w:rPr>
                <w:rFonts w:hint="eastAsia" w:ascii="宋体" w:hAnsi="宋体" w:eastAsia="宋体" w:cs="宋体"/>
                <w:color w:val="auto"/>
                <w:sz w:val="24"/>
                <w:szCs w:val="24"/>
                <w:highlight w:val="none"/>
              </w:rPr>
              <w:t>3,2,1,0）。</w:t>
            </w:r>
          </w:p>
        </w:tc>
        <w:tc>
          <w:tcPr>
            <w:tcW w:w="699" w:type="dxa"/>
            <w:noWrap w:val="0"/>
            <w:vAlign w:val="center"/>
          </w:tcPr>
          <w:p w14:paraId="209059BB">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6024D076">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22463910">
            <w:pPr>
              <w:snapToGrid w:val="0"/>
              <w:jc w:val="center"/>
              <w:rPr>
                <w:rFonts w:hint="eastAsia" w:ascii="宋体" w:hAnsi="宋体" w:eastAsia="宋体" w:cs="宋体"/>
                <w:color w:val="auto"/>
                <w:sz w:val="24"/>
                <w:szCs w:val="24"/>
                <w:highlight w:val="none"/>
              </w:rPr>
            </w:pPr>
          </w:p>
        </w:tc>
      </w:tr>
      <w:tr w14:paraId="6CFF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6" w:type="dxa"/>
            <w:noWrap w:val="0"/>
            <w:vAlign w:val="center"/>
          </w:tcPr>
          <w:p w14:paraId="0B458074">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4665" w:type="dxa"/>
            <w:noWrap w:val="0"/>
            <w:vAlign w:val="center"/>
          </w:tcPr>
          <w:p w14:paraId="2D46DC88">
            <w:pPr>
              <w:keepNext w:val="0"/>
              <w:keepLines w:val="0"/>
              <w:suppressLineNumbers w:val="0"/>
              <w:spacing w:before="0" w:beforeAutospacing="0" w:after="0" w:afterAutospacing="0" w:line="240" w:lineRule="auto"/>
              <w:ind w:left="0" w:right="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拟投入设备</w:t>
            </w:r>
            <w:r>
              <w:rPr>
                <w:rFonts w:hint="eastAsia" w:ascii="宋体" w:hAnsi="宋体" w:eastAsia="宋体" w:cs="宋体"/>
                <w:b/>
                <w:bCs/>
                <w:color w:val="auto"/>
                <w:sz w:val="24"/>
                <w:szCs w:val="24"/>
                <w:highlight w:val="none"/>
                <w:lang w:val="en-US" w:eastAsia="zh-CN"/>
              </w:rPr>
              <w:t>:</w:t>
            </w:r>
          </w:p>
          <w:p w14:paraId="777D7D83">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投标人（或生产厂家）具有与本项目采购产品生产相关的设备的（包括但不限于下列设备），得0.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分（提供设备购置发票扫描件或设备租赁发票扫描件，不提供不得分，同款设备不重复计分）：</w:t>
            </w:r>
          </w:p>
          <w:p w14:paraId="2EF58F27">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Style w:val="30"/>
                <w:rFonts w:ascii="Segoe UI" w:hAnsi="Segoe UI" w:eastAsia="Segoe UI" w:cs="Segoe UI"/>
                <w:b/>
                <w:bCs/>
                <w:i w:val="0"/>
                <w:iCs w:val="0"/>
                <w:caps w:val="0"/>
                <w:color w:val="auto"/>
                <w:spacing w:val="0"/>
                <w:sz w:val="24"/>
                <w:szCs w:val="24"/>
                <w:shd w:val="clear" w:fill="FFFFFF"/>
              </w:rPr>
              <w:t>光纤激光切割机</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冲床</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开式可倾压力机</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机器人焊接系统</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hint="default" w:ascii="Segoe UI" w:hAnsi="Segoe UI" w:eastAsia="Segoe UI" w:cs="Segoe UI"/>
                <w:b/>
                <w:bCs/>
                <w:i w:val="0"/>
                <w:iCs w:val="0"/>
                <w:caps w:val="0"/>
                <w:color w:val="auto"/>
                <w:spacing w:val="0"/>
                <w:kern w:val="2"/>
                <w:sz w:val="24"/>
                <w:szCs w:val="24"/>
                <w:shd w:val="clear" w:fill="FFFFFF"/>
                <w:lang w:val="en-US" w:eastAsia="zh-CN" w:bidi="ar"/>
              </w:rPr>
              <w:t>抛丸机、</w:t>
            </w:r>
            <w:r>
              <w:rPr>
                <w:rStyle w:val="30"/>
                <w:rFonts w:ascii="Segoe UI" w:hAnsi="Segoe UI" w:eastAsia="Segoe UI" w:cs="Segoe UI"/>
                <w:b/>
                <w:bCs/>
                <w:i w:val="0"/>
                <w:iCs w:val="0"/>
                <w:caps w:val="0"/>
                <w:color w:val="auto"/>
                <w:spacing w:val="0"/>
                <w:sz w:val="24"/>
                <w:szCs w:val="24"/>
                <w:shd w:val="clear" w:fill="FFFFFF"/>
              </w:rPr>
              <w:t>干式喷漆柜</w:t>
            </w:r>
            <w:r>
              <w:rPr>
                <w:rStyle w:val="30"/>
                <w:rFonts w:hint="default" w:ascii="Segoe UI" w:hAnsi="Segoe UI" w:eastAsia="Segoe UI"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KEF-UV滚涂线</w:t>
            </w:r>
            <w:r>
              <w:rPr>
                <w:rStyle w:val="30"/>
                <w:rFonts w:hint="eastAsia" w:ascii="Segoe UI" w:hAnsi="Segoe UI" w:eastAsia="宋体" w:cs="Segoe UI"/>
                <w:b/>
                <w:bCs/>
                <w:i w:val="0"/>
                <w:iCs w:val="0"/>
                <w:caps w:val="0"/>
                <w:color w:val="auto"/>
                <w:spacing w:val="0"/>
                <w:sz w:val="24"/>
                <w:szCs w:val="24"/>
                <w:shd w:val="clear" w:fill="FFFFFF"/>
                <w:lang w:eastAsia="zh-CN"/>
              </w:rPr>
              <w:t>、</w:t>
            </w:r>
            <w:r>
              <w:rPr>
                <w:rStyle w:val="30"/>
                <w:rFonts w:ascii="Segoe UI" w:hAnsi="Segoe UI" w:eastAsia="Segoe UI" w:cs="Segoe UI"/>
                <w:b/>
                <w:bCs/>
                <w:i w:val="0"/>
                <w:iCs w:val="0"/>
                <w:caps w:val="0"/>
                <w:color w:val="auto"/>
                <w:spacing w:val="0"/>
                <w:sz w:val="24"/>
                <w:szCs w:val="24"/>
                <w:shd w:val="clear" w:fill="FFFFFF"/>
              </w:rPr>
              <w:t>缩管机</w:t>
            </w:r>
            <w:r>
              <w:rPr>
                <w:rFonts w:hint="eastAsia" w:ascii="宋体" w:hAnsi="宋体" w:eastAsia="宋体" w:cs="宋体"/>
                <w:color w:val="auto"/>
                <w:sz w:val="24"/>
                <w:szCs w:val="24"/>
                <w:highlight w:val="none"/>
              </w:rPr>
              <w:t>。</w:t>
            </w:r>
          </w:p>
          <w:p w14:paraId="3B9F595E">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（注：如遇设备名称不一致但使用功能一致的，须提供相应的证明材料，评标委员会根据相关材料进行评判。）</w:t>
            </w:r>
          </w:p>
        </w:tc>
        <w:tc>
          <w:tcPr>
            <w:tcW w:w="699" w:type="dxa"/>
            <w:noWrap w:val="0"/>
            <w:vAlign w:val="center"/>
          </w:tcPr>
          <w:p w14:paraId="188050C5">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279" w:type="dxa"/>
            <w:noWrap w:val="0"/>
            <w:vAlign w:val="center"/>
          </w:tcPr>
          <w:p w14:paraId="25D5F7EF">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客</w:t>
            </w:r>
            <w:r>
              <w:rPr>
                <w:rFonts w:hint="eastAsia" w:ascii="宋体" w:hAnsi="宋体" w:eastAsia="宋体" w:cs="宋体"/>
                <w:bCs/>
                <w:color w:val="auto"/>
                <w:sz w:val="24"/>
                <w:szCs w:val="24"/>
                <w:highlight w:val="none"/>
              </w:rPr>
              <w:t>观分</w:t>
            </w:r>
          </w:p>
        </w:tc>
        <w:tc>
          <w:tcPr>
            <w:tcW w:w="1525" w:type="dxa"/>
            <w:noWrap w:val="0"/>
            <w:vAlign w:val="top"/>
          </w:tcPr>
          <w:p w14:paraId="0FDE6871">
            <w:pPr>
              <w:snapToGrid w:val="0"/>
              <w:jc w:val="center"/>
              <w:rPr>
                <w:rFonts w:hint="eastAsia" w:ascii="宋体" w:hAnsi="宋体" w:eastAsia="宋体" w:cs="宋体"/>
                <w:color w:val="auto"/>
                <w:sz w:val="24"/>
                <w:szCs w:val="24"/>
                <w:highlight w:val="none"/>
              </w:rPr>
            </w:pPr>
          </w:p>
        </w:tc>
      </w:tr>
      <w:tr w14:paraId="1D36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C39E2B5">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4665" w:type="dxa"/>
            <w:noWrap w:val="0"/>
            <w:vAlign w:val="center"/>
          </w:tcPr>
          <w:p w14:paraId="590FF5C2">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安装调试</w:t>
            </w:r>
            <w:r>
              <w:rPr>
                <w:rFonts w:hint="eastAsia" w:ascii="宋体" w:hAnsi="宋体" w:eastAsia="宋体" w:cs="宋体"/>
                <w:b/>
                <w:bCs/>
                <w:color w:val="auto"/>
                <w:sz w:val="24"/>
                <w:szCs w:val="24"/>
                <w:highlight w:val="none"/>
                <w:lang w:eastAsia="zh-CN"/>
              </w:rPr>
              <w:t>：</w:t>
            </w:r>
          </w:p>
          <w:p w14:paraId="4A059B10">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安装、调试方法或方案的详细完整度、合理可行性（评分范围：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4,3,2,1,0）。</w:t>
            </w:r>
          </w:p>
        </w:tc>
        <w:tc>
          <w:tcPr>
            <w:tcW w:w="699" w:type="dxa"/>
            <w:noWrap w:val="0"/>
            <w:vAlign w:val="center"/>
          </w:tcPr>
          <w:p w14:paraId="03BA2D5B">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04F5D89B">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4C6617B3">
            <w:pPr>
              <w:snapToGrid w:val="0"/>
              <w:jc w:val="center"/>
              <w:rPr>
                <w:rFonts w:hint="eastAsia" w:ascii="宋体" w:hAnsi="宋体" w:eastAsia="宋体" w:cs="宋体"/>
                <w:color w:val="auto"/>
                <w:sz w:val="24"/>
                <w:szCs w:val="24"/>
                <w:highlight w:val="none"/>
              </w:rPr>
            </w:pPr>
          </w:p>
        </w:tc>
      </w:tr>
      <w:tr w14:paraId="23F0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161CF46">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665" w:type="dxa"/>
            <w:noWrap w:val="0"/>
            <w:vAlign w:val="center"/>
          </w:tcPr>
          <w:p w14:paraId="3E6B2FED">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交付检测：</w:t>
            </w:r>
          </w:p>
          <w:p w14:paraId="17DBE263">
            <w:pPr>
              <w:keepNext w:val="0"/>
              <w:keepLines w:val="0"/>
              <w:suppressLineNumbers w:val="0"/>
              <w:adjustRightInd w:val="0"/>
              <w:snapToGrid w:val="0"/>
              <w:spacing w:before="0" w:beforeAutospacing="0" w:after="0" w:afterAutospacing="0" w:line="24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货物交付时是否能够提供所有货物的成品检测报告、主材检测报告，采购人抽检显示的检测结果与投标人检测报告结果不一致时，投标人的针对性解决方案（评分范围：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4,3,2,1,0）。</w:t>
            </w:r>
          </w:p>
        </w:tc>
        <w:tc>
          <w:tcPr>
            <w:tcW w:w="699" w:type="dxa"/>
            <w:noWrap w:val="0"/>
            <w:vAlign w:val="center"/>
          </w:tcPr>
          <w:p w14:paraId="6AEB3EAD">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1F8B0DCB">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4EB18C1E">
            <w:pPr>
              <w:snapToGrid w:val="0"/>
              <w:jc w:val="center"/>
              <w:rPr>
                <w:rFonts w:hint="eastAsia" w:ascii="宋体" w:hAnsi="宋体" w:eastAsia="宋体" w:cs="宋体"/>
                <w:color w:val="auto"/>
                <w:sz w:val="24"/>
                <w:szCs w:val="24"/>
                <w:highlight w:val="none"/>
              </w:rPr>
            </w:pPr>
          </w:p>
        </w:tc>
      </w:tr>
      <w:tr w14:paraId="62A3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C14BC30">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4665" w:type="dxa"/>
            <w:noWrap w:val="0"/>
            <w:vAlign w:val="center"/>
          </w:tcPr>
          <w:p w14:paraId="150DA99E">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售后服务：</w:t>
            </w:r>
          </w:p>
          <w:p w14:paraId="72E3397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投标人提供的详细完整的“三包”措施及售后服务措施和方案（包括服务措施、产品质量保证、回访、技术培训等）情况（评分范围：</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4,3,2,1,0）。</w:t>
            </w:r>
          </w:p>
        </w:tc>
        <w:tc>
          <w:tcPr>
            <w:tcW w:w="699" w:type="dxa"/>
            <w:noWrap w:val="0"/>
            <w:vAlign w:val="center"/>
          </w:tcPr>
          <w:p w14:paraId="6247E648">
            <w:pPr>
              <w:snapToGrid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279" w:type="dxa"/>
            <w:noWrap w:val="0"/>
            <w:vAlign w:val="center"/>
          </w:tcPr>
          <w:p w14:paraId="3A4F70BA">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0D151433">
            <w:pPr>
              <w:snapToGrid w:val="0"/>
              <w:jc w:val="center"/>
              <w:rPr>
                <w:rFonts w:hint="eastAsia" w:ascii="宋体" w:hAnsi="宋体" w:eastAsia="宋体" w:cs="宋体"/>
                <w:color w:val="auto"/>
                <w:sz w:val="24"/>
                <w:szCs w:val="24"/>
                <w:highlight w:val="none"/>
              </w:rPr>
            </w:pPr>
          </w:p>
        </w:tc>
      </w:tr>
      <w:tr w14:paraId="48FA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C101F6E">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168" w:type="dxa"/>
            <w:gridSpan w:val="4"/>
            <w:noWrap w:val="0"/>
            <w:vAlign w:val="center"/>
          </w:tcPr>
          <w:p w14:paraId="36B22CCC">
            <w:pPr>
              <w:snapToGrid w:val="0"/>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
              </w:rPr>
              <w:t>样品打分</w:t>
            </w:r>
          </w:p>
        </w:tc>
      </w:tr>
      <w:tr w14:paraId="0DAA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44DDECAF">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p>
        </w:tc>
        <w:tc>
          <w:tcPr>
            <w:tcW w:w="4665" w:type="dxa"/>
            <w:noWrap w:val="0"/>
            <w:vAlign w:val="center"/>
          </w:tcPr>
          <w:p w14:paraId="073CA1C0">
            <w:pPr>
              <w:keepNext w:val="0"/>
              <w:keepLines w:val="0"/>
              <w:numPr>
                <w:ilvl w:val="0"/>
                <w:numId w:val="0"/>
              </w:numPr>
              <w:suppressLineNumbers w:val="0"/>
              <w:spacing w:before="0" w:beforeAutospacing="0" w:after="0" w:afterAutospacing="0" w:line="240" w:lineRule="auto"/>
              <w:ind w:left="0" w:right="-107" w:rightChars="-5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样品制作工艺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评分范围：3,2,1,0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8A190C9">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1.榫及零件结合应牢固；薄木和其他材料贴面的拼贴应严密、平整，不允许有脱胶、明显透胶、鼓泡、凹陷、压痕以及表面划伤、麻点、裂痕、崩角和刃口；</w:t>
            </w:r>
          </w:p>
          <w:p w14:paraId="1D47E4A2">
            <w:pPr>
              <w:keepNext w:val="0"/>
              <w:keepLines w:val="0"/>
              <w:suppressLineNumbers w:val="0"/>
              <w:spacing w:before="0" w:beforeAutospacing="0" w:after="0" w:afterAutospacing="0" w:line="240" w:lineRule="auto"/>
              <w:ind w:left="0" w:leftChars="0" w:right="-107" w:rightChars="-51"/>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2.贴面的纹理、图案、颜色应对称相似；各种配件结合处应无崩茬或松动；不得有少件、漏钉、透钉，安装、扎实程度等。</w:t>
            </w:r>
          </w:p>
        </w:tc>
        <w:tc>
          <w:tcPr>
            <w:tcW w:w="699" w:type="dxa"/>
            <w:noWrap w:val="0"/>
            <w:vAlign w:val="center"/>
          </w:tcPr>
          <w:p w14:paraId="47256013">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54C3C823">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6924B673">
            <w:pPr>
              <w:snapToGrid w:val="0"/>
              <w:jc w:val="center"/>
              <w:rPr>
                <w:rFonts w:hint="eastAsia" w:ascii="宋体" w:hAnsi="宋体" w:eastAsia="宋体" w:cs="宋体"/>
                <w:color w:val="auto"/>
                <w:sz w:val="24"/>
                <w:szCs w:val="24"/>
                <w:highlight w:val="none"/>
              </w:rPr>
            </w:pPr>
          </w:p>
        </w:tc>
      </w:tr>
      <w:tr w14:paraId="36B9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5B1B8BAD">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2.2</w:t>
            </w:r>
          </w:p>
        </w:tc>
        <w:tc>
          <w:tcPr>
            <w:tcW w:w="4665" w:type="dxa"/>
            <w:noWrap w:val="0"/>
            <w:vAlign w:val="center"/>
          </w:tcPr>
          <w:p w14:paraId="4F968D8E">
            <w:pPr>
              <w:keepNext w:val="0"/>
              <w:keepLines w:val="0"/>
              <w:numPr>
                <w:ilvl w:val="0"/>
                <w:numId w:val="0"/>
              </w:numPr>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涂饰要求</w:t>
            </w:r>
            <w:r>
              <w:rPr>
                <w:rFonts w:hint="eastAsia" w:ascii="宋体" w:hAnsi="宋体" w:eastAsia="宋体" w:cs="宋体"/>
                <w:color w:val="auto"/>
                <w:sz w:val="24"/>
                <w:szCs w:val="24"/>
                <w:highlight w:val="none"/>
              </w:rPr>
              <w:t>（评分范围：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2,1,0）：</w:t>
            </w:r>
          </w:p>
          <w:p w14:paraId="7792A18D">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1.正视面（包括面板）涂层应平整光滑、清晰，涂膜实干后应无明显木孔沉陷；其他部位表面涂层手感应光滑，无明显粒子、涨边和不平整，涂膜实干后允许有木孔沉陷；</w:t>
            </w:r>
          </w:p>
          <w:p w14:paraId="74E31EC5">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2.涂层不得有皱皮、发粘和漏漆现象。应无明显加工痕迹、划痕、白点、鼓泡、油臼、流挂、缩孔、刷毛、积粉和杂渣；表面平整度、光泽度、防虫、防腐处理；</w:t>
            </w:r>
          </w:p>
          <w:p w14:paraId="3E9B75D3">
            <w:pPr>
              <w:keepNext w:val="0"/>
              <w:keepLines w:val="0"/>
              <w:suppressLineNumbers w:val="0"/>
              <w:spacing w:before="0" w:beforeAutospacing="0" w:after="0" w:afterAutospacing="0" w:line="240" w:lineRule="auto"/>
              <w:ind w:left="0" w:leftChars="0" w:right="-107" w:rightChars="-51"/>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3.无刺激性异味。</w:t>
            </w:r>
          </w:p>
        </w:tc>
        <w:tc>
          <w:tcPr>
            <w:tcW w:w="699" w:type="dxa"/>
            <w:noWrap w:val="0"/>
            <w:vAlign w:val="center"/>
          </w:tcPr>
          <w:p w14:paraId="68E756EE">
            <w:pPr>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778ECC05">
            <w:pPr>
              <w:snapToGrid w:val="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57DC49DE">
            <w:pPr>
              <w:snapToGrid w:val="0"/>
              <w:jc w:val="center"/>
              <w:rPr>
                <w:rFonts w:hint="eastAsia" w:ascii="宋体" w:hAnsi="宋体" w:eastAsia="宋体" w:cs="宋体"/>
                <w:color w:val="auto"/>
                <w:sz w:val="24"/>
                <w:szCs w:val="24"/>
                <w:highlight w:val="none"/>
              </w:rPr>
            </w:pPr>
          </w:p>
        </w:tc>
      </w:tr>
      <w:tr w14:paraId="7F7D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09BABD50">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2.3</w:t>
            </w:r>
          </w:p>
        </w:tc>
        <w:tc>
          <w:tcPr>
            <w:tcW w:w="4665" w:type="dxa"/>
            <w:noWrap w:val="0"/>
            <w:vAlign w:val="center"/>
          </w:tcPr>
          <w:p w14:paraId="6049A9B3">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三、样品材质</w:t>
            </w:r>
            <w:r>
              <w:rPr>
                <w:rFonts w:hint="eastAsia" w:ascii="宋体" w:hAnsi="宋体" w:eastAsia="宋体" w:cs="宋体"/>
                <w:color w:val="auto"/>
                <w:sz w:val="24"/>
                <w:szCs w:val="24"/>
                <w:highlight w:val="none"/>
              </w:rPr>
              <w:t>（除五金件外）（评分范围：3,2,1,0）：</w:t>
            </w:r>
          </w:p>
          <w:p w14:paraId="3337FC38">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木质或钢铁质材料（木质干燥、坚实，无腐烂、缺损、裂缝；钢材应无锈斑、裂缝、叠缝，外露端口表面应封闭，焊接处应无脱焊、虚焊、焊穿、错位，无夹渣、气孔、焊瘤、焊丝头）</w:t>
            </w:r>
            <w:r>
              <w:rPr>
                <w:rFonts w:hint="eastAsia" w:ascii="宋体" w:hAnsi="宋体" w:eastAsia="宋体" w:cs="宋体"/>
                <w:color w:val="auto"/>
                <w:sz w:val="24"/>
                <w:szCs w:val="24"/>
                <w:highlight w:val="none"/>
                <w:lang w:eastAsia="zh-CN"/>
              </w:rPr>
              <w:t>。</w:t>
            </w:r>
          </w:p>
        </w:tc>
        <w:tc>
          <w:tcPr>
            <w:tcW w:w="699" w:type="dxa"/>
            <w:noWrap w:val="0"/>
            <w:vAlign w:val="center"/>
          </w:tcPr>
          <w:p w14:paraId="7F87D8B4">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9" w:type="dxa"/>
            <w:noWrap w:val="0"/>
            <w:vAlign w:val="center"/>
          </w:tcPr>
          <w:p w14:paraId="012E4BF2">
            <w:pPr>
              <w:snapToGrid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top"/>
          </w:tcPr>
          <w:p w14:paraId="53959830">
            <w:pPr>
              <w:snapToGrid w:val="0"/>
              <w:jc w:val="center"/>
              <w:rPr>
                <w:rFonts w:hint="eastAsia" w:ascii="宋体" w:hAnsi="宋体" w:eastAsia="宋体" w:cs="宋体"/>
                <w:color w:val="auto"/>
                <w:sz w:val="24"/>
                <w:szCs w:val="24"/>
                <w:highlight w:val="none"/>
              </w:rPr>
            </w:pPr>
          </w:p>
        </w:tc>
      </w:tr>
      <w:tr w14:paraId="0227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1724BD10">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2.4</w:t>
            </w:r>
          </w:p>
        </w:tc>
        <w:tc>
          <w:tcPr>
            <w:tcW w:w="4665" w:type="dxa"/>
            <w:noWrap w:val="0"/>
            <w:vAlign w:val="center"/>
          </w:tcPr>
          <w:p w14:paraId="553C1E5B">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四、外观式样及其它性能</w:t>
            </w:r>
            <w:r>
              <w:rPr>
                <w:rFonts w:hint="eastAsia" w:ascii="宋体" w:hAnsi="宋体" w:eastAsia="宋体" w:cs="宋体"/>
                <w:b/>
                <w:bCs/>
                <w:color w:val="auto"/>
                <w:sz w:val="24"/>
                <w:szCs w:val="24"/>
                <w:highlight w:val="none"/>
                <w:lang w:val="en-US" w:eastAsia="zh-CN"/>
              </w:rPr>
              <w:t>情况</w:t>
            </w:r>
            <w:r>
              <w:rPr>
                <w:rFonts w:hint="eastAsia" w:ascii="宋体" w:hAnsi="宋体" w:eastAsia="宋体" w:cs="宋体"/>
                <w:color w:val="auto"/>
                <w:sz w:val="24"/>
                <w:szCs w:val="24"/>
                <w:highlight w:val="none"/>
                <w:lang w:val="en-US" w:eastAsia="zh-CN"/>
              </w:rPr>
              <w:t>（评分范围：3,2,1,0）</w:t>
            </w:r>
            <w:r>
              <w:rPr>
                <w:rFonts w:hint="eastAsia" w:ascii="宋体" w:hAnsi="宋体" w:eastAsia="宋体" w:cs="宋体"/>
                <w:color w:val="auto"/>
                <w:sz w:val="24"/>
                <w:szCs w:val="24"/>
                <w:highlight w:val="none"/>
              </w:rPr>
              <w:t>：</w:t>
            </w:r>
          </w:p>
          <w:p w14:paraId="2FF5A7B2">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1.样品的</w:t>
            </w:r>
            <w:r>
              <w:rPr>
                <w:rFonts w:hint="eastAsia" w:ascii="宋体" w:hAnsi="宋体" w:eastAsia="宋体" w:cs="宋体"/>
                <w:color w:val="auto"/>
                <w:sz w:val="24"/>
                <w:szCs w:val="24"/>
                <w:highlight w:val="none"/>
                <w:lang w:val="en-US" w:eastAsia="zh-CN"/>
              </w:rPr>
              <w:t>尺寸、</w:t>
            </w:r>
            <w:r>
              <w:rPr>
                <w:rFonts w:hint="eastAsia" w:ascii="宋体" w:hAnsi="宋体" w:eastAsia="宋体" w:cs="宋体"/>
                <w:color w:val="auto"/>
                <w:sz w:val="24"/>
                <w:szCs w:val="24"/>
                <w:highlight w:val="none"/>
              </w:rPr>
              <w:t>外观、款式、整体效果；</w:t>
            </w:r>
          </w:p>
          <w:p w14:paraId="18C3B1C3">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2.样品其它性能</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：样品在实用性、创新性、舒适性、匹配性、先进性、成熟性、安全性、可维护性及结构是否合理等方面的</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w:t>
            </w:r>
          </w:p>
        </w:tc>
        <w:tc>
          <w:tcPr>
            <w:tcW w:w="699" w:type="dxa"/>
            <w:noWrap w:val="0"/>
            <w:vAlign w:val="center"/>
          </w:tcPr>
          <w:p w14:paraId="458CE3E8">
            <w:pPr>
              <w:jc w:val="center"/>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5BDA9205">
            <w:pPr>
              <w:jc w:val="center"/>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center"/>
          </w:tcPr>
          <w:p w14:paraId="45BB84CE">
            <w:pPr>
              <w:jc w:val="center"/>
              <w:outlineLvl w:val="0"/>
              <w:rPr>
                <w:rFonts w:hint="eastAsia" w:ascii="宋体" w:hAnsi="宋体" w:eastAsia="宋体" w:cs="宋体"/>
                <w:color w:val="auto"/>
                <w:sz w:val="24"/>
                <w:szCs w:val="24"/>
                <w:highlight w:val="none"/>
              </w:rPr>
            </w:pPr>
          </w:p>
        </w:tc>
      </w:tr>
      <w:tr w14:paraId="0FA4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341640DD">
            <w:pPr>
              <w:snapToGrid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w:t>
            </w:r>
          </w:p>
        </w:tc>
        <w:tc>
          <w:tcPr>
            <w:tcW w:w="4665" w:type="dxa"/>
            <w:noWrap w:val="0"/>
            <w:vAlign w:val="center"/>
          </w:tcPr>
          <w:p w14:paraId="1CBEDE97">
            <w:pPr>
              <w:keepNext w:val="0"/>
              <w:keepLines w:val="0"/>
              <w:numPr>
                <w:ilvl w:val="0"/>
                <w:numId w:val="0"/>
              </w:numPr>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五金配件</w:t>
            </w:r>
            <w:r>
              <w:rPr>
                <w:rFonts w:hint="eastAsia" w:ascii="宋体" w:hAnsi="宋体" w:eastAsia="宋体" w:cs="宋体"/>
                <w:color w:val="auto"/>
                <w:sz w:val="24"/>
                <w:szCs w:val="24"/>
                <w:highlight w:val="none"/>
              </w:rPr>
              <w:t>（评分范围：3,2,1,0）：</w:t>
            </w:r>
          </w:p>
          <w:p w14:paraId="7D37E36E">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五金配件（拉手、铝合金连接头、铰链、抽屉滑轨、塑料件、螺丝紧固件等应材质优良，无臼点、无锈迹、发亮、硬度达标及使用时开关柔顺无杂音，无阻害；是否按采购文件中的要求提供）。</w:t>
            </w:r>
          </w:p>
        </w:tc>
        <w:tc>
          <w:tcPr>
            <w:tcW w:w="699" w:type="dxa"/>
            <w:noWrap w:val="0"/>
            <w:vAlign w:val="center"/>
          </w:tcPr>
          <w:p w14:paraId="33951637">
            <w:pPr>
              <w:jc w:val="center"/>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279" w:type="dxa"/>
            <w:noWrap w:val="0"/>
            <w:vAlign w:val="center"/>
          </w:tcPr>
          <w:p w14:paraId="61C8D2CE">
            <w:pPr>
              <w:jc w:val="center"/>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主观分</w:t>
            </w:r>
          </w:p>
        </w:tc>
        <w:tc>
          <w:tcPr>
            <w:tcW w:w="1525" w:type="dxa"/>
            <w:noWrap w:val="0"/>
            <w:vAlign w:val="center"/>
          </w:tcPr>
          <w:p w14:paraId="69664E89">
            <w:pPr>
              <w:jc w:val="center"/>
              <w:outlineLvl w:val="0"/>
              <w:rPr>
                <w:rFonts w:hint="eastAsia" w:ascii="宋体" w:hAnsi="宋体" w:eastAsia="宋体" w:cs="宋体"/>
                <w:color w:val="auto"/>
                <w:sz w:val="24"/>
                <w:szCs w:val="24"/>
                <w:highlight w:val="none"/>
              </w:rPr>
            </w:pPr>
          </w:p>
        </w:tc>
      </w:tr>
      <w:tr w14:paraId="0E55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noWrap w:val="0"/>
            <w:vAlign w:val="center"/>
          </w:tcPr>
          <w:p w14:paraId="5C6B9BA2">
            <w:pPr>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4665" w:type="dxa"/>
            <w:noWrap w:val="0"/>
            <w:vAlign w:val="center"/>
          </w:tcPr>
          <w:p w14:paraId="250A0868">
            <w:pPr>
              <w:snapToGrid w:val="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投标报价得分采用低价优先法计算</w:t>
            </w:r>
            <w:r>
              <w:rPr>
                <w:rFonts w:hint="eastAsia" w:ascii="宋体" w:hAnsi="宋体" w:eastAsia="宋体" w:cs="宋体"/>
                <w:color w:val="auto"/>
                <w:sz w:val="24"/>
                <w:szCs w:val="24"/>
                <w:highlight w:val="none"/>
              </w:rPr>
              <w:t>（小数点后保留2位）</w:t>
            </w:r>
            <w:r>
              <w:rPr>
                <w:rFonts w:hint="eastAsia" w:ascii="宋体" w:hAnsi="宋体" w:eastAsia="宋体" w:cs="宋体"/>
                <w:color w:val="auto"/>
                <w:sz w:val="24"/>
                <w:szCs w:val="24"/>
                <w:highlight w:val="none"/>
                <w:lang w:val="zh-CN"/>
              </w:rPr>
              <w:t>，即满足招标文件要求且投标价格最低的投标报价为评标基准价，其报价得满分。其他投标人的投标报价得分按下列公式计算：</w:t>
            </w:r>
          </w:p>
          <w:p w14:paraId="7C943340">
            <w:pP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投标报价得分=（评标基准价/投标报价）×30%×100 。</w:t>
            </w:r>
          </w:p>
        </w:tc>
        <w:tc>
          <w:tcPr>
            <w:tcW w:w="699" w:type="dxa"/>
            <w:noWrap w:val="0"/>
            <w:vAlign w:val="center"/>
          </w:tcPr>
          <w:p w14:paraId="64773E06">
            <w:pPr>
              <w:jc w:val="center"/>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1279" w:type="dxa"/>
            <w:noWrap w:val="0"/>
            <w:vAlign w:val="center"/>
          </w:tcPr>
          <w:p w14:paraId="7523AE25">
            <w:pPr>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价格分</w:t>
            </w:r>
          </w:p>
        </w:tc>
        <w:tc>
          <w:tcPr>
            <w:tcW w:w="1525" w:type="dxa"/>
            <w:noWrap w:val="0"/>
            <w:vAlign w:val="center"/>
          </w:tcPr>
          <w:p w14:paraId="0EF5ABFC">
            <w:pPr>
              <w:jc w:val="center"/>
              <w:outlineLvl w:val="0"/>
              <w:rPr>
                <w:rFonts w:hint="eastAsia" w:ascii="宋体" w:hAnsi="宋体" w:eastAsia="宋体" w:cs="宋体"/>
                <w:color w:val="auto"/>
                <w:sz w:val="24"/>
                <w:szCs w:val="24"/>
                <w:highlight w:val="none"/>
              </w:rPr>
            </w:pPr>
          </w:p>
        </w:tc>
      </w:tr>
    </w:tbl>
    <w:p w14:paraId="3AB5A0FB">
      <w:pPr>
        <w:rPr>
          <w:color w:val="auto"/>
          <w:highlight w:val="none"/>
        </w:rPr>
      </w:pPr>
    </w:p>
    <w:p w14:paraId="2DF234D5">
      <w:pPr>
        <w:snapToGrid w:val="0"/>
        <w:spacing w:line="360" w:lineRule="auto"/>
        <w:rPr>
          <w:rFonts w:hint="eastAsia" w:ascii="宋体" w:hAnsi="宋体" w:cs="宋体"/>
          <w:color w:val="auto"/>
          <w:sz w:val="24"/>
          <w:highlight w:val="none"/>
        </w:rPr>
      </w:pPr>
      <w:r>
        <w:rPr>
          <w:rFonts w:hint="eastAsia" w:ascii="宋体" w:hAnsi="宋体" w:cs="宋体"/>
          <w:color w:val="auto"/>
          <w:sz w:val="20"/>
          <w:szCs w:val="20"/>
          <w:highlight w:val="none"/>
          <w:shd w:val="clear" w:color="auto" w:fill="FFFFFF"/>
        </w:rPr>
        <w:t>*</w:t>
      </w:r>
      <w:r>
        <w:rPr>
          <w:rFonts w:hint="eastAsia" w:ascii="宋体" w:hAnsi="宋体" w:cs="宋体"/>
          <w:b/>
          <w:color w:val="auto"/>
          <w:sz w:val="24"/>
          <w:highlight w:val="none"/>
        </w:rPr>
        <w:t>备注：</w:t>
      </w:r>
      <w:r>
        <w:rPr>
          <w:rFonts w:hint="eastAsia" w:ascii="宋体" w:hAnsi="宋体" w:cs="宋体"/>
          <w:color w:val="auto"/>
          <w:sz w:val="24"/>
          <w:highlight w:val="none"/>
        </w:rPr>
        <w:t>投标人编制投标文件（商务技术文件部分）时，建议按此目录（序号和内容）提供评标标准相应的商务技术资料。</w:t>
      </w:r>
    </w:p>
    <w:p w14:paraId="6A345FF9">
      <w:pPr>
        <w:snapToGrid w:val="0"/>
        <w:spacing w:line="360" w:lineRule="auto"/>
        <w:rPr>
          <w:rFonts w:hint="eastAsia" w:ascii="宋体" w:hAnsi="宋体" w:cs="宋体"/>
          <w:color w:val="auto"/>
          <w:sz w:val="24"/>
          <w:highlight w:val="none"/>
          <w:lang w:eastAsia="zh-CN"/>
        </w:rPr>
      </w:pPr>
      <w:r>
        <w:rPr>
          <w:rStyle w:val="41"/>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p w14:paraId="6EB88B62">
      <w:pPr>
        <w:pStyle w:val="4"/>
        <w:spacing w:before="0" w:after="0" w:line="360" w:lineRule="auto"/>
        <w:jc w:val="left"/>
        <w:rPr>
          <w:rFonts w:hint="eastAsia"/>
          <w:color w:val="auto"/>
          <w:sz w:val="28"/>
          <w:szCs w:val="28"/>
          <w:highlight w:val="none"/>
        </w:rPr>
      </w:pPr>
      <w:bookmarkStart w:id="418" w:name="_Toc8326"/>
      <w:r>
        <w:rPr>
          <w:rFonts w:hint="eastAsia"/>
          <w:color w:val="auto"/>
          <w:sz w:val="28"/>
          <w:szCs w:val="28"/>
          <w:highlight w:val="none"/>
        </w:rPr>
        <w:t>一、评标方法</w:t>
      </w:r>
      <w:bookmarkEnd w:id="418"/>
    </w:p>
    <w:p w14:paraId="6EAEBAB5">
      <w:pPr>
        <w:adjustRightInd/>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1.本项目采用综合评分法。</w:t>
      </w:r>
      <w:r>
        <w:rPr>
          <w:rFonts w:hint="eastAsia" w:ascii="宋体" w:hAnsi="宋体" w:cs="宋体"/>
          <w:color w:val="auto"/>
          <w:kern w:val="0"/>
          <w:sz w:val="24"/>
          <w:highlight w:val="none"/>
        </w:rPr>
        <w:t>综合评分法，是指投标文件满足招标文件全部实质性要求，且按照评审因素的量化指标评审得分最高的投标人为中标候选人的评标方法。</w:t>
      </w:r>
    </w:p>
    <w:p w14:paraId="2C1A15E8">
      <w:pPr>
        <w:pStyle w:val="4"/>
        <w:spacing w:before="0" w:after="0" w:line="360" w:lineRule="auto"/>
        <w:jc w:val="left"/>
        <w:rPr>
          <w:rFonts w:hint="eastAsia"/>
          <w:color w:val="auto"/>
          <w:sz w:val="28"/>
          <w:szCs w:val="28"/>
          <w:highlight w:val="none"/>
        </w:rPr>
      </w:pPr>
      <w:bookmarkStart w:id="419" w:name="_Toc23985"/>
      <w:r>
        <w:rPr>
          <w:rFonts w:hint="eastAsia"/>
          <w:color w:val="auto"/>
          <w:sz w:val="28"/>
          <w:szCs w:val="28"/>
          <w:highlight w:val="none"/>
        </w:rPr>
        <w:t>二、评标标准</w:t>
      </w:r>
      <w:bookmarkEnd w:id="419"/>
    </w:p>
    <w:p w14:paraId="4919B3F4">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color w:val="auto"/>
          <w:highlight w:val="none"/>
        </w:rPr>
        <w:t xml:space="preserve"> </w:t>
      </w:r>
      <w:r>
        <w:rPr>
          <w:rFonts w:hint="eastAsia" w:ascii="宋体" w:hAnsi="宋体" w:cs="宋体"/>
          <w:b/>
          <w:color w:val="auto"/>
          <w:sz w:val="24"/>
          <w:highlight w:val="none"/>
        </w:rPr>
        <w:t>评标标准：</w:t>
      </w:r>
      <w:r>
        <w:rPr>
          <w:rFonts w:hint="eastAsia" w:ascii="宋体" w:hAnsi="宋体" w:cs="宋体"/>
          <w:color w:val="auto"/>
          <w:kern w:val="0"/>
          <w:sz w:val="24"/>
          <w:highlight w:val="none"/>
        </w:rPr>
        <w:t>见评标办法前附表。</w:t>
      </w:r>
    </w:p>
    <w:p w14:paraId="0398F5D3">
      <w:pPr>
        <w:pStyle w:val="4"/>
        <w:spacing w:before="0" w:after="0" w:line="360" w:lineRule="auto"/>
        <w:jc w:val="left"/>
        <w:rPr>
          <w:rFonts w:hint="eastAsia"/>
          <w:color w:val="auto"/>
          <w:sz w:val="28"/>
          <w:szCs w:val="28"/>
          <w:highlight w:val="none"/>
        </w:rPr>
      </w:pPr>
      <w:bookmarkStart w:id="420" w:name="_Toc9096"/>
      <w:r>
        <w:rPr>
          <w:rFonts w:hint="eastAsia"/>
          <w:color w:val="auto"/>
          <w:sz w:val="28"/>
          <w:szCs w:val="28"/>
          <w:highlight w:val="none"/>
        </w:rPr>
        <w:t>三、评标程序</w:t>
      </w:r>
      <w:bookmarkEnd w:id="420"/>
    </w:p>
    <w:p w14:paraId="35B37DCB">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3.1符合性审查。</w:t>
      </w:r>
      <w:r>
        <w:rPr>
          <w:rFonts w:hint="eastAsia" w:ascii="宋体" w:hAnsi="宋体" w:cs="宋体"/>
          <w:color w:val="auto"/>
          <w:kern w:val="0"/>
          <w:sz w:val="24"/>
          <w:highlight w:val="none"/>
        </w:rPr>
        <w:t>评标委员会应当对符合资格的投标人的投标文件进行符合性审查，以确定其是否满足招标文件的实质性要求。不满足招标文件的实质性要求的，投标无效。</w:t>
      </w:r>
    </w:p>
    <w:p w14:paraId="74FC798C">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3.2 比较与评价。</w:t>
      </w:r>
      <w:r>
        <w:rPr>
          <w:rFonts w:hint="eastAsia" w:ascii="宋体" w:hAnsi="宋体" w:cs="宋体"/>
          <w:color w:val="auto"/>
          <w:kern w:val="0"/>
          <w:sz w:val="24"/>
          <w:highlight w:val="none"/>
        </w:rPr>
        <w:t>评标委员会应当按照招标文件中规定的评标方法和标准，对符合性审查合格的投标文件进行商务和技术评估，综合比较与评价。</w:t>
      </w:r>
    </w:p>
    <w:p w14:paraId="7E5A6544">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3.3汇总商务技术得分。</w:t>
      </w:r>
      <w:r>
        <w:rPr>
          <w:rFonts w:hint="eastAsia" w:ascii="宋体" w:hAnsi="宋体" w:cs="宋体"/>
          <w:color w:val="auto"/>
          <w:kern w:val="0"/>
          <w:sz w:val="24"/>
          <w:highlight w:val="none"/>
        </w:rPr>
        <w:t>评标委员会各成员应当独立对每个投标人的商务和技术文件进行评价，并汇总商务技术得分情况。</w:t>
      </w:r>
    </w:p>
    <w:p w14:paraId="62321F7A">
      <w:pPr>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3.4报价评审。</w:t>
      </w:r>
    </w:p>
    <w:p w14:paraId="64CE0D3B">
      <w:pPr>
        <w:pStyle w:val="42"/>
        <w:spacing w:before="0"/>
        <w:ind w:firstLine="508" w:firstLineChars="212"/>
        <w:rPr>
          <w:rFonts w:ascii="宋体" w:hAnsi="宋体" w:cs="宋体"/>
          <w:color w:val="auto"/>
          <w:kern w:val="0"/>
          <w:highlight w:val="none"/>
        </w:rPr>
      </w:pPr>
      <w:r>
        <w:rPr>
          <w:rFonts w:hint="eastAsia" w:ascii="宋体" w:hAnsi="宋体" w:cs="宋体"/>
          <w:color w:val="auto"/>
          <w:kern w:val="0"/>
          <w:highlight w:val="none"/>
        </w:rPr>
        <w:t>3.4.1投标文件报价出现前后不一致的，按照下列规定修正：</w:t>
      </w:r>
    </w:p>
    <w:p w14:paraId="5A7D8E60">
      <w:pPr>
        <w:pStyle w:val="42"/>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3.4.1.1投标文件中开标一览表(报价表)内容与投标文件中相应内容不一致的，以开标一览表(报价表)为准;</w:t>
      </w:r>
    </w:p>
    <w:p w14:paraId="6C9022C4">
      <w:pPr>
        <w:pStyle w:val="42"/>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3.4.1.2大写金额和小写金额不一致的，以大写金额为准;</w:t>
      </w:r>
    </w:p>
    <w:p w14:paraId="259C9D13">
      <w:pPr>
        <w:pStyle w:val="42"/>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3.4.1.3单价金额小数点或者百分比有明显错位的，以开标一览表的总价为准，并修改单价;</w:t>
      </w:r>
    </w:p>
    <w:p w14:paraId="3934E856">
      <w:pPr>
        <w:pStyle w:val="42"/>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3.4.1.4总价金额与按单价汇总金额不一致的，以单价金额计算结果为准。</w:t>
      </w:r>
    </w:p>
    <w:p w14:paraId="4AE10CFA">
      <w:pPr>
        <w:pStyle w:val="42"/>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0ED640A1">
      <w:pPr>
        <w:pStyle w:val="42"/>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3.4.2投标文件出现不是唯一的、有选择性投标报价的，投标无效。</w:t>
      </w:r>
    </w:p>
    <w:p w14:paraId="557BB45C">
      <w:pPr>
        <w:pStyle w:val="42"/>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3.4.3投标报价超过招标文件中规定的预算金额或者最高限价的，投标无效。</w:t>
      </w:r>
    </w:p>
    <w:p w14:paraId="3C40E1B0">
      <w:pPr>
        <w:pStyle w:val="42"/>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3.4.4政府采购评审中出现下列情形之一的，评审委员会应当启动异常低价投标（响应）审查程序：</w:t>
      </w:r>
    </w:p>
    <w:p w14:paraId="26FF6DBE">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3.4.4.1投标（响应）报价低于全部通过符合性审查供应商投标（响应）报价平均值50%的，即投标（响应）报价&lt;全部通过符合性审查供应商投标（响应）报价平均值×50%；</w:t>
      </w:r>
    </w:p>
    <w:p w14:paraId="0112C413">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3.4.4.2投标（响应）报价低于通过符合性审查的次低报价供应商投标（响应）报价50%的，即投标（响应）报价&lt;通过符合性审查的次低报价供应商投标（响应）报价×50%；</w:t>
      </w:r>
    </w:p>
    <w:p w14:paraId="3A2472C6">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3.4.4.3投标（响应）报价低于采购项目最高限价</w:t>
      </w:r>
      <w:r>
        <w:rPr>
          <w:rFonts w:hint="eastAsia" w:ascii="宋体" w:hAnsi="宋体" w:cs="宋体"/>
          <w:b/>
          <w:bCs/>
          <w:color w:val="auto"/>
          <w:kern w:val="0"/>
          <w:szCs w:val="24"/>
          <w:highlight w:val="none"/>
          <w:lang w:val="en-US" w:eastAsia="zh-CN"/>
        </w:rPr>
        <w:t>45</w:t>
      </w:r>
      <w:r>
        <w:rPr>
          <w:rFonts w:hint="eastAsia" w:ascii="宋体" w:hAnsi="宋体" w:cs="宋体"/>
          <w:b/>
          <w:bCs/>
          <w:color w:val="auto"/>
          <w:kern w:val="0"/>
          <w:szCs w:val="24"/>
          <w:highlight w:val="none"/>
        </w:rPr>
        <w:t>%的，即投标（响应）报价&lt;采购项目最高限价×</w:t>
      </w:r>
      <w:r>
        <w:rPr>
          <w:rFonts w:hint="eastAsia" w:ascii="宋体" w:hAnsi="宋体" w:cs="宋体"/>
          <w:b/>
          <w:bCs/>
          <w:color w:val="auto"/>
          <w:kern w:val="0"/>
          <w:szCs w:val="24"/>
          <w:highlight w:val="none"/>
          <w:lang w:val="en-US" w:eastAsia="zh-CN"/>
        </w:rPr>
        <w:t>4</w:t>
      </w:r>
      <w:r>
        <w:rPr>
          <w:rFonts w:hint="eastAsia" w:ascii="宋体" w:hAnsi="宋体" w:cs="宋体"/>
          <w:b/>
          <w:bCs/>
          <w:color w:val="auto"/>
          <w:kern w:val="0"/>
          <w:szCs w:val="24"/>
          <w:highlight w:val="none"/>
        </w:rPr>
        <w:t>5%；</w:t>
      </w:r>
    </w:p>
    <w:p w14:paraId="14FF6008">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3.4.4.4评审委员会基于专业判断，认为供应商报价过低，有可能影响产品质量或者不能诚信履约的其他情形。</w:t>
      </w:r>
    </w:p>
    <w:p w14:paraId="1B75C9D4">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相关法律法规对供应商报价有规定的，从其规定。</w:t>
      </w:r>
    </w:p>
    <w:p w14:paraId="5E183C85">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评审委员会启动异常低价投标（响应）审查后，属于前述第3.4.4.1项至第3.4.4.4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3.4.4.3项情形，供应商已随投标（响应）文件一并提交相关书面说明及必要的证明材料的，在评审现场可不再重复提交。</w:t>
      </w:r>
    </w:p>
    <w:p w14:paraId="6E591405">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应当提供的是“同类项目中标（成交）价格、类似产品市场价格水平、行业人工费用标准、国家有关部门指导行业协会发布的行业平均成本等”相关证明材料。投标（响应）供应商不能提供书面说明、证明材料，或者提供的书面说明、证明材料不能证明其报价合理性的，评审委员会应当将其作为无效投标（响应）处理。投标（响应）供应商仅以这些理由“假如中标，我公司承诺保证能履行合同”、“我公司做业绩”、“我公司有库存产品”、“我公司亏得起”进行说明的，评标委员会不应作出其投标有效的评审结论。</w:t>
      </w:r>
    </w:p>
    <w:p w14:paraId="4C7330C9">
      <w:pPr>
        <w:pStyle w:val="42"/>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C7D5D3">
      <w:pPr>
        <w:pStyle w:val="42"/>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ACFD39">
      <w:pPr>
        <w:pStyle w:val="42"/>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36E2518">
      <w:pPr>
        <w:spacing w:line="360" w:lineRule="auto"/>
        <w:ind w:firstLine="482" w:firstLineChars="200"/>
        <w:rPr>
          <w:rFonts w:ascii="宋体" w:hAnsi="宋体" w:cs="宋体"/>
          <w:color w:val="auto"/>
          <w:kern w:val="0"/>
          <w:sz w:val="24"/>
          <w:highlight w:val="none"/>
        </w:rPr>
      </w:pPr>
      <w:r>
        <w:rPr>
          <w:rFonts w:hint="eastAsia" w:ascii="宋体" w:hAnsi="宋体" w:cs="宋体"/>
          <w:b/>
          <w:color w:val="auto"/>
          <w:kern w:val="0"/>
          <w:sz w:val="24"/>
          <w:highlight w:val="none"/>
        </w:rPr>
        <w:t>3.5排序与推荐。</w:t>
      </w:r>
      <w:r>
        <w:rPr>
          <w:rFonts w:hint="eastAsia" w:ascii="宋体" w:hAnsi="宋体" w:cs="宋体"/>
          <w:color w:val="auto"/>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15F484">
      <w:pPr>
        <w:spacing w:line="360" w:lineRule="auto"/>
        <w:ind w:firstLine="480" w:firstLineChars="200"/>
        <w:rPr>
          <w:rFonts w:ascii="宋体" w:hAnsi="宋体" w:cs="宋体"/>
          <w:b/>
          <w:color w:val="auto"/>
          <w:kern w:val="0"/>
          <w:sz w:val="24"/>
          <w:highlight w:val="none"/>
        </w:rPr>
      </w:pPr>
      <w:r>
        <w:rPr>
          <w:rFonts w:hint="eastAsia" w:ascii="宋体" w:hAnsi="宋体" w:cs="宋体"/>
          <w:color w:val="auto"/>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供应商推荐资格；评审得分相同的，采取随机抽取方式确定，其他同品牌投标人不作为中标候选人。</w:t>
      </w:r>
    </w:p>
    <w:p w14:paraId="28785EA5">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3.6编写评标报告。</w:t>
      </w:r>
      <w:r>
        <w:rPr>
          <w:rFonts w:hint="eastAsia" w:ascii="宋体" w:hAnsi="宋体" w:cs="宋体"/>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3F832B3B">
      <w:pPr>
        <w:pStyle w:val="4"/>
        <w:spacing w:before="0" w:after="0" w:line="360" w:lineRule="auto"/>
        <w:jc w:val="left"/>
        <w:rPr>
          <w:rFonts w:hint="eastAsia"/>
          <w:color w:val="auto"/>
          <w:sz w:val="28"/>
          <w:szCs w:val="28"/>
          <w:highlight w:val="none"/>
        </w:rPr>
      </w:pPr>
      <w:bookmarkStart w:id="421" w:name="_Toc22188"/>
      <w:r>
        <w:rPr>
          <w:rFonts w:hint="eastAsia"/>
          <w:color w:val="auto"/>
          <w:sz w:val="28"/>
          <w:szCs w:val="28"/>
          <w:highlight w:val="none"/>
        </w:rPr>
        <w:t>四、评标中的其他事项</w:t>
      </w:r>
      <w:bookmarkEnd w:id="421"/>
    </w:p>
    <w:p w14:paraId="0BA7D5A0">
      <w:pPr>
        <w:pStyle w:val="42"/>
        <w:spacing w:before="0"/>
        <w:ind w:firstLine="472" w:firstLineChars="196"/>
        <w:rPr>
          <w:rFonts w:ascii="宋体" w:hAnsi="宋体" w:cs="宋体"/>
          <w:color w:val="auto"/>
          <w:kern w:val="0"/>
          <w:szCs w:val="24"/>
          <w:highlight w:val="none"/>
        </w:rPr>
      </w:pPr>
      <w:r>
        <w:rPr>
          <w:rFonts w:hint="eastAsia" w:ascii="宋体" w:hAnsi="宋体" w:cs="宋体"/>
          <w:b/>
          <w:color w:val="auto"/>
          <w:kern w:val="0"/>
          <w:szCs w:val="24"/>
          <w:highlight w:val="none"/>
        </w:rPr>
        <w:t>4.1投标人澄清、说明或者补正。</w:t>
      </w:r>
      <w:r>
        <w:rPr>
          <w:rFonts w:hint="eastAsia" w:ascii="宋体" w:hAnsi="宋体" w:cs="宋体"/>
          <w:color w:val="auto"/>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34130CE">
      <w:pPr>
        <w:pStyle w:val="10"/>
        <w:spacing w:line="360" w:lineRule="auto"/>
        <w:ind w:left="954" w:leftChars="226" w:hanging="479" w:firstLineChars="0"/>
        <w:rPr>
          <w:rFonts w:cs="宋体"/>
          <w:color w:val="auto"/>
          <w:szCs w:val="21"/>
          <w:highlight w:val="none"/>
        </w:rPr>
      </w:pPr>
      <w:r>
        <w:rPr>
          <w:rFonts w:hint="eastAsia" w:cs="宋体"/>
          <w:b/>
          <w:color w:val="auto"/>
          <w:kern w:val="0"/>
          <w:highlight w:val="none"/>
        </w:rPr>
        <w:t>4.2投标无效。</w:t>
      </w:r>
      <w:r>
        <w:rPr>
          <w:rFonts w:hint="eastAsia" w:cs="宋体"/>
          <w:color w:val="auto"/>
          <w:szCs w:val="21"/>
          <w:highlight w:val="none"/>
        </w:rPr>
        <w:t>有下列情形之一的，投标无效：</w:t>
      </w:r>
    </w:p>
    <w:p w14:paraId="4189DE75">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4.2.1投标人不具备招标文件中规定的资格要求的（投标人未提供有效的资格文件的，视为投标人不具备招标文件中规定的资格要求）；</w:t>
      </w:r>
    </w:p>
    <w:p w14:paraId="7972038F">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4.2.2投标文件未按照招标文件要求签署、盖章的；</w:t>
      </w:r>
    </w:p>
    <w:p w14:paraId="7ED3E023">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53C27A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4.2.4投标文件含有采购人不能接受的附加条件的；</w:t>
      </w:r>
    </w:p>
    <w:p w14:paraId="1B5325AB">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4.2.5投标文件中承诺的投标有效期少于招标文件中载明的投标有效期的；</w:t>
      </w:r>
    </w:p>
    <w:p w14:paraId="3422C3B1">
      <w:pPr>
        <w:snapToGrid w:val="0"/>
        <w:spacing w:line="360" w:lineRule="auto"/>
        <w:ind w:firstLine="120" w:firstLineChars="5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4.2.6投标文件出现不是唯一的、有选择性投标报价的;</w:t>
      </w:r>
    </w:p>
    <w:p w14:paraId="3E43F0D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4.2.7投标报价超过招标文件中规定的预算金额或者最高限价的;</w:t>
      </w:r>
    </w:p>
    <w:p w14:paraId="689785A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4.2.8报价异常且未能按要求提供书面说明或者提交相关证明材料，不能证明其报价合理性的;</w:t>
      </w:r>
    </w:p>
    <w:p w14:paraId="103CD17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4.2.9投标人对根据修正原则修正后的报价不确认的；</w:t>
      </w:r>
    </w:p>
    <w:p w14:paraId="05E05E0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4.2.10投标人提供虚假材料投标的；</w:t>
      </w:r>
    </w:p>
    <w:p w14:paraId="1BC3D693">
      <w:pPr>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 xml:space="preserve">  4.2.11投标人有恶意串通、妨碍其他投标人的竞争行为、损害采购人或者其他投标人的合法权益情形的；</w:t>
      </w:r>
    </w:p>
    <w:p w14:paraId="56880FE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4.2.12投标人仅提交备份投标文件，未在电子交易平台传输递交投标文件的，投标无效；</w:t>
      </w:r>
    </w:p>
    <w:p w14:paraId="7696C45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4.2.13 参与同一标段（包）的投标人（供应商）存在MAC地址相同、计算机硬盘序列号相同、投标文件细节错误一致且无合理解释、供应商手机号相同等情形的；</w:t>
      </w:r>
    </w:p>
    <w:p w14:paraId="283D5241">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4.2.14法律、法规、规章（适用本市的）及省级以上规范性文件（适用本市的）规定的其他无效情形。</w:t>
      </w:r>
    </w:p>
    <w:p w14:paraId="2B0E4E0B">
      <w:pPr>
        <w:pStyle w:val="10"/>
        <w:snapToGrid w:val="0"/>
        <w:spacing w:line="360" w:lineRule="auto"/>
        <w:ind w:firstLine="472" w:firstLineChars="196"/>
        <w:rPr>
          <w:rFonts w:cs="宋体"/>
          <w:color w:val="auto"/>
          <w:highlight w:val="none"/>
        </w:rPr>
      </w:pPr>
      <w:r>
        <w:rPr>
          <w:rFonts w:hint="eastAsia" w:cs="宋体"/>
          <w:b/>
          <w:color w:val="auto"/>
          <w:highlight w:val="none"/>
        </w:rPr>
        <w:t>5.废标。</w:t>
      </w:r>
      <w:r>
        <w:rPr>
          <w:rFonts w:hint="eastAsia" w:cs="宋体"/>
          <w:color w:val="auto"/>
          <w:highlight w:val="none"/>
        </w:rPr>
        <w:t>根据《中华人民共和国政府采购法》第三十六条之规定，在采购中，出现下列情形之一的，应予废标：</w:t>
      </w:r>
    </w:p>
    <w:p w14:paraId="726C5696">
      <w:pPr>
        <w:pStyle w:val="10"/>
        <w:snapToGrid w:val="0"/>
        <w:spacing w:line="360" w:lineRule="auto"/>
        <w:rPr>
          <w:rFonts w:cs="宋体"/>
          <w:color w:val="auto"/>
          <w:highlight w:val="none"/>
        </w:rPr>
      </w:pPr>
      <w:r>
        <w:rPr>
          <w:rFonts w:hint="eastAsia" w:cs="宋体"/>
          <w:color w:val="auto"/>
          <w:highlight w:val="none"/>
        </w:rPr>
        <w:t>5.1符合专业条件的供应商或者对招标文件作实质响应的供应商不足3家的；</w:t>
      </w:r>
    </w:p>
    <w:p w14:paraId="26F58D5C">
      <w:pPr>
        <w:pStyle w:val="10"/>
        <w:snapToGrid w:val="0"/>
        <w:spacing w:line="360" w:lineRule="auto"/>
        <w:rPr>
          <w:rFonts w:cs="宋体"/>
          <w:color w:val="auto"/>
          <w:highlight w:val="none"/>
        </w:rPr>
      </w:pPr>
      <w:r>
        <w:rPr>
          <w:rFonts w:hint="eastAsia" w:cs="宋体"/>
          <w:color w:val="auto"/>
          <w:highlight w:val="none"/>
        </w:rPr>
        <w:t>5.2出现影响采购公正的违法、违规行为的；</w:t>
      </w:r>
    </w:p>
    <w:p w14:paraId="72198F98">
      <w:pPr>
        <w:pStyle w:val="10"/>
        <w:snapToGrid w:val="0"/>
        <w:spacing w:line="360" w:lineRule="auto"/>
        <w:rPr>
          <w:rFonts w:cs="宋体"/>
          <w:color w:val="auto"/>
          <w:highlight w:val="none"/>
        </w:rPr>
      </w:pPr>
      <w:r>
        <w:rPr>
          <w:rFonts w:hint="eastAsia" w:cs="宋体"/>
          <w:color w:val="auto"/>
          <w:highlight w:val="none"/>
        </w:rPr>
        <w:t>5.3投标人的报价均超过了采购预算，采购人不能支付的；</w:t>
      </w:r>
    </w:p>
    <w:p w14:paraId="1D3CFF5A">
      <w:pPr>
        <w:pStyle w:val="10"/>
        <w:snapToGrid w:val="0"/>
        <w:spacing w:line="360" w:lineRule="auto"/>
        <w:rPr>
          <w:rFonts w:cs="宋体"/>
          <w:color w:val="auto"/>
          <w:highlight w:val="none"/>
        </w:rPr>
      </w:pPr>
      <w:r>
        <w:rPr>
          <w:rFonts w:hint="eastAsia" w:cs="宋体"/>
          <w:color w:val="auto"/>
          <w:highlight w:val="none"/>
        </w:rPr>
        <w:t>5.4因重大变故，采购任务取消的。</w:t>
      </w:r>
    </w:p>
    <w:p w14:paraId="2B13D5FF">
      <w:pPr>
        <w:pStyle w:val="10"/>
        <w:snapToGrid w:val="0"/>
        <w:spacing w:line="360" w:lineRule="auto"/>
        <w:rPr>
          <w:rFonts w:cs="宋体"/>
          <w:color w:val="auto"/>
          <w:highlight w:val="none"/>
        </w:rPr>
      </w:pPr>
      <w:r>
        <w:rPr>
          <w:rFonts w:hint="eastAsia" w:cs="宋体"/>
          <w:color w:val="auto"/>
          <w:highlight w:val="none"/>
        </w:rPr>
        <w:t>废标后，采购代理机构应当将废标理由通知所有投标人。</w:t>
      </w:r>
    </w:p>
    <w:p w14:paraId="61F05EFD">
      <w:pPr>
        <w:pStyle w:val="10"/>
        <w:snapToGrid w:val="0"/>
        <w:spacing w:line="360" w:lineRule="auto"/>
        <w:ind w:firstLine="482"/>
        <w:rPr>
          <w:rFonts w:cs="宋体"/>
          <w:color w:val="auto"/>
          <w:highlight w:val="none"/>
        </w:rPr>
      </w:pPr>
      <w:r>
        <w:rPr>
          <w:rFonts w:hint="eastAsia" w:cs="宋体"/>
          <w:b/>
          <w:color w:val="auto"/>
          <w:highlight w:val="none"/>
        </w:rPr>
        <w:t>6.修改招标文件，重新组织采购活动。</w:t>
      </w:r>
      <w:r>
        <w:rPr>
          <w:rFonts w:hint="eastAsia" w:cs="宋体"/>
          <w:color w:val="auto"/>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5A527EDD">
      <w:pPr>
        <w:pStyle w:val="10"/>
        <w:snapToGrid w:val="0"/>
        <w:spacing w:line="360" w:lineRule="auto"/>
        <w:ind w:firstLine="482"/>
        <w:rPr>
          <w:rFonts w:cs="宋体"/>
          <w:color w:val="auto"/>
          <w:highlight w:val="none"/>
        </w:rPr>
      </w:pPr>
      <w:r>
        <w:rPr>
          <w:rFonts w:hint="eastAsia" w:cs="宋体"/>
          <w:b/>
          <w:color w:val="auto"/>
          <w:kern w:val="0"/>
          <w:highlight w:val="none"/>
        </w:rPr>
        <w:t>7.重新开展采购。</w:t>
      </w:r>
      <w:r>
        <w:rPr>
          <w:rFonts w:hint="eastAsia" w:cs="宋体"/>
          <w:color w:val="auto"/>
          <w:highlight w:val="none"/>
        </w:rPr>
        <w:t>有政府采购法第七十一条、第七十二条规定的违法行为之一，影响或者可能影响中标结果的，依照下列规定处理：</w:t>
      </w:r>
    </w:p>
    <w:p w14:paraId="7AE364C3">
      <w:pPr>
        <w:pStyle w:val="10"/>
        <w:snapToGrid w:val="0"/>
        <w:spacing w:line="360" w:lineRule="auto"/>
        <w:rPr>
          <w:rFonts w:cs="宋体"/>
          <w:color w:val="auto"/>
          <w:highlight w:val="none"/>
        </w:rPr>
      </w:pPr>
      <w:r>
        <w:rPr>
          <w:rFonts w:hint="eastAsia" w:cs="宋体"/>
          <w:color w:val="auto"/>
          <w:highlight w:val="none"/>
        </w:rPr>
        <w:t>7.1未确定中标供应商的，终止本次政府采购活动，重新开展政府采购活动。</w:t>
      </w:r>
    </w:p>
    <w:p w14:paraId="76B768B1">
      <w:pPr>
        <w:pStyle w:val="10"/>
        <w:snapToGrid w:val="0"/>
        <w:spacing w:line="360" w:lineRule="auto"/>
        <w:rPr>
          <w:rFonts w:cs="宋体"/>
          <w:color w:val="auto"/>
          <w:highlight w:val="none"/>
        </w:rPr>
      </w:pPr>
      <w:r>
        <w:rPr>
          <w:rFonts w:hint="eastAsia" w:cs="宋体"/>
          <w:color w:val="auto"/>
          <w:highlight w:val="none"/>
        </w:rPr>
        <w:t>7.2已确定中标供应商但尚未签订政府采购合同的，中标结果无效，从合格的中标候选人中另行确定中标供应商；没有合格的中标候选人的，重新开展政府采购活动。</w:t>
      </w:r>
    </w:p>
    <w:p w14:paraId="24947E26">
      <w:pPr>
        <w:pStyle w:val="10"/>
        <w:snapToGrid w:val="0"/>
        <w:spacing w:line="360" w:lineRule="auto"/>
        <w:rPr>
          <w:rFonts w:cs="宋体"/>
          <w:color w:val="auto"/>
          <w:highlight w:val="none"/>
        </w:rPr>
      </w:pPr>
      <w:r>
        <w:rPr>
          <w:rFonts w:hint="eastAsia" w:cs="宋体"/>
          <w:color w:val="auto"/>
          <w:highlight w:val="none"/>
        </w:rPr>
        <w:t>7.3政府采购合同已签订但尚未履行的，撤销合同，从合格的中标候选人中另行确定中标供应商；没有合格的中标候选人的，重新开展政府采购活动。</w:t>
      </w:r>
    </w:p>
    <w:p w14:paraId="0765FBCD">
      <w:pPr>
        <w:pStyle w:val="10"/>
        <w:snapToGrid w:val="0"/>
        <w:spacing w:line="360" w:lineRule="auto"/>
        <w:rPr>
          <w:rFonts w:cs="宋体"/>
          <w:color w:val="auto"/>
          <w:highlight w:val="none"/>
        </w:rPr>
      </w:pPr>
      <w:r>
        <w:rPr>
          <w:rFonts w:hint="eastAsia" w:cs="宋体"/>
          <w:color w:val="auto"/>
          <w:highlight w:val="none"/>
        </w:rPr>
        <w:t>7.4政府采购合同已经履行，给采购人、供应商造成损失的，由责任人承担赔偿责任。</w:t>
      </w:r>
    </w:p>
    <w:p w14:paraId="477AEECD">
      <w:pPr>
        <w:pStyle w:val="10"/>
        <w:snapToGrid w:val="0"/>
        <w:spacing w:line="360" w:lineRule="auto"/>
        <w:rPr>
          <w:rFonts w:cs="宋体"/>
          <w:color w:val="auto"/>
          <w:highlight w:val="none"/>
        </w:rPr>
      </w:pPr>
      <w:r>
        <w:rPr>
          <w:rFonts w:hint="eastAsia" w:cs="宋体"/>
          <w:color w:val="auto"/>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41"/>
    <w:p w14:paraId="00FF2A5F">
      <w:pPr>
        <w:rPr>
          <w:rFonts w:ascii="宋体" w:hAnsi="宋体" w:cs="宋体"/>
          <w:b/>
          <w:color w:val="auto"/>
          <w:sz w:val="36"/>
          <w:szCs w:val="36"/>
          <w:highlight w:val="none"/>
        </w:rPr>
      </w:pPr>
      <w:bookmarkStart w:id="422" w:name="第五部分"/>
      <w:bookmarkStart w:id="423" w:name="_Toc86217003"/>
      <w:r>
        <w:rPr>
          <w:rFonts w:hint="eastAsia" w:ascii="宋体" w:hAnsi="宋体" w:cs="宋体"/>
          <w:b/>
          <w:color w:val="auto"/>
          <w:sz w:val="36"/>
          <w:szCs w:val="36"/>
          <w:highlight w:val="none"/>
        </w:rPr>
        <w:br w:type="page"/>
      </w:r>
    </w:p>
    <w:p w14:paraId="6A5DD0FA">
      <w:pPr>
        <w:adjustRightInd/>
        <w:spacing w:line="360" w:lineRule="auto"/>
        <w:jc w:val="center"/>
        <w:outlineLvl w:val="0"/>
        <w:rPr>
          <w:rStyle w:val="34"/>
          <w:rFonts w:hint="eastAsia"/>
          <w:color w:val="auto"/>
          <w:highlight w:val="none"/>
        </w:rPr>
      </w:pPr>
      <w:bookmarkStart w:id="424" w:name="_Toc31027"/>
      <w:r>
        <w:rPr>
          <w:rStyle w:val="34"/>
          <w:rFonts w:hint="eastAsia"/>
          <w:color w:val="auto"/>
          <w:highlight w:val="none"/>
        </w:rPr>
        <w:t>第五部分 拟签订的合同文本</w:t>
      </w:r>
      <w:bookmarkEnd w:id="424"/>
    </w:p>
    <w:p w14:paraId="45D4132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562"/>
        <w:jc w:val="center"/>
        <w:rPr>
          <w:color w:val="auto"/>
          <w:highlight w:val="none"/>
        </w:rPr>
      </w:pPr>
      <w:r>
        <w:rPr>
          <w:rFonts w:hint="default" w:ascii="Times New Roman" w:hAnsi="Times New Roman" w:cs="Times New Roman"/>
          <w:b/>
          <w:bCs/>
          <w:color w:val="auto"/>
          <w:sz w:val="28"/>
          <w:szCs w:val="28"/>
          <w:highlight w:val="none"/>
        </w:rPr>
        <w:t>杭州电子科技大学采购合同（货物类）</w:t>
      </w:r>
    </w:p>
    <w:p w14:paraId="6A27D7F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合同编号_________________ </w:t>
      </w:r>
    </w:p>
    <w:p w14:paraId="70953CC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确认书号：</w:t>
      </w:r>
    </w:p>
    <w:p w14:paraId="14C0923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88"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493961A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甲方（采购人）：杭州电子科技大学  </w:t>
      </w:r>
    </w:p>
    <w:p w14:paraId="5F186F6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乙方（供应商）： </w:t>
      </w:r>
    </w:p>
    <w:p w14:paraId="3DE338B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采购代理机构（鉴证方）：             </w:t>
      </w:r>
    </w:p>
    <w:p w14:paraId="587498F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为了保护甲乙双方合法权益，根据项目</w:t>
      </w:r>
      <w:r>
        <w:rPr>
          <w:rFonts w:hint="eastAsia" w:ascii="宋体" w:hAnsi="宋体" w:eastAsia="宋体" w:cs="宋体"/>
          <w:color w:val="auto"/>
          <w:sz w:val="24"/>
          <w:szCs w:val="24"/>
          <w:highlight w:val="none"/>
          <w:u w:val="single"/>
        </w:rPr>
        <w:t xml:space="preserve">   (填项目名称)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（填采购方式）   </w:t>
      </w:r>
      <w:r>
        <w:rPr>
          <w:rFonts w:hint="eastAsia" w:ascii="宋体" w:hAnsi="宋体" w:eastAsia="宋体" w:cs="宋体"/>
          <w:color w:val="auto"/>
          <w:sz w:val="24"/>
          <w:szCs w:val="24"/>
          <w:highlight w:val="none"/>
        </w:rPr>
        <w:t xml:space="preserve">的中标（成交）结果，签署本合同，以资共同遵守。  </w:t>
      </w:r>
    </w:p>
    <w:p w14:paraId="1979D15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一、采购货物与合同价格</w:t>
      </w:r>
    </w:p>
    <w:tbl>
      <w:tblPr>
        <w:tblStyle w:val="2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245"/>
        <w:gridCol w:w="3053"/>
        <w:gridCol w:w="896"/>
        <w:gridCol w:w="896"/>
        <w:gridCol w:w="1186"/>
        <w:gridCol w:w="1119"/>
      </w:tblGrid>
      <w:tr w14:paraId="1B07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11D0432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8F1AFC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9A2F12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品牌、型号等</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2AA2CA1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82B7A1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28ACBA6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A4D7C8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14:paraId="0EAA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6F91D5A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760FB0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0D11D1A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品牌、型号、详细技术参数（技术参数可以合同附件方式提供）</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5C2E384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881725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6BADBD0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C042B0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503F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002FAA3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7B500D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A2F205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1B5A26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370924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4028303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27C761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7395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9291" w:type="dxa"/>
            <w:gridSpan w:val="7"/>
            <w:tcBorders>
              <w:top w:val="single" w:color="000000" w:sz="4" w:space="0"/>
              <w:left w:val="single" w:color="000000" w:sz="4" w:space="0"/>
              <w:bottom w:val="single" w:color="000000" w:sz="4" w:space="0"/>
              <w:right w:val="single" w:color="000000" w:sz="4" w:space="0"/>
            </w:tcBorders>
            <w:noWrap w:val="0"/>
            <w:vAlign w:val="center"/>
          </w:tcPr>
          <w:p w14:paraId="1CEE2B3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合同总价（元，人民币）：小写￥              ，大写：</w:t>
            </w:r>
          </w:p>
        </w:tc>
      </w:tr>
    </w:tbl>
    <w:p w14:paraId="2A388F3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58240A3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二、供货范围</w:t>
      </w:r>
    </w:p>
    <w:p w14:paraId="39205C9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合同供货范围包括所有合同货物、相关的技术资料。</w:t>
      </w:r>
    </w:p>
    <w:p w14:paraId="54E5AFB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5B12F9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三、质保期、履约保证金与货款结算</w:t>
      </w:r>
    </w:p>
    <w:p w14:paraId="76320F1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1.质保期：自验收合格之日起，质保期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120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7C794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2.履约保证金（如有）</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合同总金额的</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30EA151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3.货款结算：按以下第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种方式支付乙方合同价款。</w:t>
      </w:r>
    </w:p>
    <w:p w14:paraId="0D75C9C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sz w:val="24"/>
          <w:szCs w:val="24"/>
          <w:highlight w:val="none"/>
          <w:u w:val="single"/>
        </w:rPr>
        <w:t xml:space="preserve">   40   </w:t>
      </w:r>
      <w:r>
        <w:rPr>
          <w:rFonts w:hint="eastAsia" w:ascii="宋体" w:hAnsi="宋体" w:eastAsia="宋体" w:cs="宋体"/>
          <w:color w:val="auto"/>
          <w:sz w:val="24"/>
          <w:szCs w:val="24"/>
          <w:highlight w:val="none"/>
        </w:rPr>
        <w:t>%（中小微企业限30％-70%）；货物在乙方安装调试完毕经甲方验收合格并收到增值税专用发票后7个工作日内，向乙方支付合同总价的</w:t>
      </w:r>
      <w:r>
        <w:rPr>
          <w:rFonts w:hint="eastAsia" w:ascii="宋体" w:hAnsi="宋体" w:eastAsia="宋体" w:cs="宋体"/>
          <w:color w:val="auto"/>
          <w:sz w:val="24"/>
          <w:szCs w:val="24"/>
          <w:highlight w:val="none"/>
          <w:u w:val="single"/>
        </w:rPr>
        <w:t>60</w:t>
      </w:r>
      <w:r>
        <w:rPr>
          <w:rFonts w:hint="eastAsia" w:ascii="宋体" w:hAnsi="宋体" w:eastAsia="宋体" w:cs="宋体"/>
          <w:color w:val="auto"/>
          <w:sz w:val="24"/>
          <w:szCs w:val="24"/>
          <w:highlight w:val="none"/>
        </w:rPr>
        <w:t>%。若供应商收取预付款，要求预付款保函有效期覆盖项目验收合格时间；提供了预付款保函则供应商无需再缴纳履约保证金。</w:t>
      </w:r>
    </w:p>
    <w:p w14:paraId="6617433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（2）无需预付款的，可以采用以下付款方式：</w:t>
      </w:r>
    </w:p>
    <w:p w14:paraId="429335C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①货到分期付款：货物送达并经甲方初步验收并收到有效票据后10个工作日内，甲方向乙方支付合同总价的70%；货物由乙方安装调试完毕并经甲方验收合格后，收到</w:t>
      </w:r>
      <w:bookmarkStart w:id="425" w:name="OLE_LINK2"/>
      <w:bookmarkStart w:id="426" w:name="OLE_LINK1"/>
      <w:r>
        <w:rPr>
          <w:rFonts w:hint="eastAsia" w:ascii="宋体" w:hAnsi="宋体" w:eastAsia="宋体" w:cs="宋体"/>
          <w:color w:val="auto"/>
          <w:sz w:val="24"/>
          <w:szCs w:val="24"/>
          <w:highlight w:val="none"/>
        </w:rPr>
        <w:t>增值税专用</w:t>
      </w:r>
      <w:bookmarkEnd w:id="425"/>
      <w:bookmarkEnd w:id="426"/>
      <w:r>
        <w:rPr>
          <w:rFonts w:hint="eastAsia" w:ascii="宋体" w:hAnsi="宋体" w:eastAsia="宋体" w:cs="宋体"/>
          <w:color w:val="auto"/>
          <w:sz w:val="24"/>
          <w:szCs w:val="24"/>
          <w:highlight w:val="none"/>
        </w:rPr>
        <w:t>发票后10个工作日内，甲方向乙方支付合同总价的30%。</w:t>
      </w:r>
    </w:p>
    <w:p w14:paraId="72C7622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②货到一次性支付：</w:t>
      </w:r>
    </w:p>
    <w:p w14:paraId="2AFC3E6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全部货物送达安装调试完毕，经甲方验收合格，收到增值税专用发票后10个工作日内，甲方向乙方支付全部合同价款。 </w:t>
      </w:r>
    </w:p>
    <w:p w14:paraId="629A0B5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③其它支付形式（双方协商一致，须符合采购法规）：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223CD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bookmarkStart w:id="427" w:name="OLE_LINK3"/>
      <w:bookmarkStart w:id="428" w:name="OLE_LINK4"/>
      <w:r>
        <w:rPr>
          <w:rFonts w:hint="eastAsia" w:ascii="宋体" w:hAnsi="宋体" w:eastAsia="宋体" w:cs="宋体"/>
          <w:color w:val="auto"/>
          <w:sz w:val="24"/>
          <w:szCs w:val="24"/>
          <w:highlight w:val="none"/>
        </w:rPr>
        <w:t>无论何种结算方式，</w:t>
      </w:r>
      <w:bookmarkEnd w:id="427"/>
      <w:bookmarkEnd w:id="428"/>
      <w:r>
        <w:rPr>
          <w:rFonts w:hint="eastAsia" w:ascii="宋体" w:hAnsi="宋体" w:eastAsia="宋体" w:cs="宋体"/>
          <w:color w:val="auto"/>
          <w:sz w:val="24"/>
          <w:szCs w:val="24"/>
          <w:highlight w:val="none"/>
        </w:rPr>
        <w:t>付款前，乙方须交纳合同约定的履约保证金（如有）并提供甲方财务处开具的履约保证金收据，乙方向甲方开具等额有效的票据。甲方开票信息如下：</w:t>
      </w:r>
    </w:p>
    <w:p w14:paraId="733507C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单位名称：杭州电子科技大学。税号：12330000470009026T</w:t>
      </w:r>
    </w:p>
    <w:p w14:paraId="665D1AC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开户银行：工行杭州高新支行。账号：1202026209008806216</w:t>
      </w:r>
    </w:p>
    <w:p w14:paraId="12FBE11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四、知识产权 </w:t>
      </w:r>
    </w:p>
    <w:p w14:paraId="2A12651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738A184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2.涉及产品定做的，甲方交付给乙方的设计图纸、样品、模具等商业秘密和知识产权归属于甲方，许可乙方在合同范围内使用，乙方负有保密责任。</w:t>
      </w:r>
    </w:p>
    <w:p w14:paraId="295AD00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3.乙方违反上述条款导致甲方受损的，由此所导致的所有责任以及甲方所支付的所有费用（包括但不限于律师费、诉讼费等）均由乙方承担。</w:t>
      </w:r>
    </w:p>
    <w:p w14:paraId="62C9809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五、转包或分包</w:t>
      </w:r>
    </w:p>
    <w:p w14:paraId="43F8B40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29380B3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2.除非得到甲方的书面同意，乙方不得将本合同范围的货物分包给他人供应。</w:t>
      </w:r>
    </w:p>
    <w:p w14:paraId="0F618E8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3.如有转让或未经甲方同意的分包行为，甲方有权解除合同，没收履约保证金并要求乙方支付合同总价15%的违约金。</w:t>
      </w:r>
    </w:p>
    <w:p w14:paraId="0A13FCF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六、货物交付</w:t>
      </w:r>
    </w:p>
    <w:p w14:paraId="4DA9213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1.交货期：自合同签订之日起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w:t>
      </w:r>
    </w:p>
    <w:p w14:paraId="0B00566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2.交货方式：</w:t>
      </w:r>
      <w:bookmarkStart w:id="429" w:name="_Hlk155602651"/>
      <w:r>
        <w:rPr>
          <w:rFonts w:hint="eastAsia" w:ascii="宋体" w:hAnsi="宋体" w:eastAsia="宋体" w:cs="宋体"/>
          <w:color w:val="auto"/>
          <w:sz w:val="24"/>
          <w:szCs w:val="24"/>
          <w:highlight w:val="none"/>
        </w:rPr>
        <w:t>送货上门</w:t>
      </w:r>
      <w:bookmarkStart w:id="430" w:name="_Hlk155602451"/>
      <w:r>
        <w:rPr>
          <w:rFonts w:hint="eastAsia" w:ascii="宋体" w:hAnsi="宋体" w:eastAsia="宋体" w:cs="宋体"/>
          <w:color w:val="auto"/>
          <w:sz w:val="24"/>
          <w:szCs w:val="24"/>
          <w:highlight w:val="none"/>
        </w:rPr>
        <w:t>。</w:t>
      </w:r>
      <w:bookmarkEnd w:id="429"/>
      <w:bookmarkEnd w:id="430"/>
    </w:p>
    <w:p w14:paraId="288022F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3.交货地点：</w:t>
      </w:r>
      <w:bookmarkStart w:id="431" w:name="_Hlk155602663"/>
      <w:r>
        <w:rPr>
          <w:rFonts w:hint="eastAsia" w:ascii="宋体" w:hAnsi="宋体" w:eastAsia="宋体" w:cs="宋体"/>
          <w:color w:val="auto"/>
          <w:sz w:val="24"/>
          <w:szCs w:val="24"/>
          <w:highlight w:val="none"/>
        </w:rPr>
        <w:t>甲方指定地点。</w:t>
      </w:r>
      <w:bookmarkEnd w:id="431"/>
    </w:p>
    <w:p w14:paraId="77143B0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4.联系人及电话：</w:t>
      </w:r>
      <w:bookmarkStart w:id="432" w:name="_Hlk155181628"/>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918821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姓名</w:t>
      </w:r>
      <w:bookmarkEnd w:id="43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3C27EB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5.乙方应在交货前3日内，以电话或传真向甲方提供交货计划（内容包括合同号、设备名称、型号规格、数量、重量和体积的约数、交货时间、地点、运输安排）。甲方应及时作好准备，办妥一切接货手续。</w:t>
      </w:r>
    </w:p>
    <w:p w14:paraId="1D363F8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6.本合同所有物品运抵甲方现场后，乙方应在确保设备外包装完好无损的情况下向甲方交货，出现货物不全，外包装破损等情况，甲方不予接收，由乙方负责更换，其相关费用由乙方负担。</w:t>
      </w:r>
    </w:p>
    <w:p w14:paraId="704B028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7.乙方负责在约定期内将货物安全运抵指定地点，运输方式由乙方自行决定，相关费用由乙方承担。运输途中产生的交通事故、人身伤害、财产损失等责任均由乙方自行承担，与甲方无涉。</w:t>
      </w:r>
    </w:p>
    <w:p w14:paraId="3C52C4A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七、安装与验收</w:t>
      </w:r>
    </w:p>
    <w:p w14:paraId="0FD39D3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bookmarkStart w:id="433" w:name="OLE_LINK5"/>
      <w:r>
        <w:rPr>
          <w:rFonts w:hint="eastAsia" w:ascii="宋体" w:hAnsi="宋体" w:eastAsia="宋体" w:cs="宋体"/>
          <w:color w:val="auto"/>
          <w:sz w:val="24"/>
          <w:szCs w:val="24"/>
          <w:highlight w:val="none"/>
        </w:rPr>
        <w:t>验收由甲方负责实施，甲乙双方验收人员在安装数量和合同价格清单上签字确认。</w:t>
      </w:r>
      <w:bookmarkEnd w:id="433"/>
    </w:p>
    <w:p w14:paraId="10FE436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17326C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61C263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3.最终验收：货物经安装调试完成且符合技术要求后，甲方负责在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3746791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八、质量保证与售后服务</w:t>
      </w:r>
    </w:p>
    <w:p w14:paraId="7D3F8F7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34" w:name="OLE_LINK6"/>
      <w:r>
        <w:rPr>
          <w:rFonts w:hint="eastAsia" w:ascii="宋体" w:hAnsi="宋体" w:eastAsia="宋体" w:cs="宋体"/>
          <w:color w:val="auto"/>
          <w:sz w:val="24"/>
          <w:szCs w:val="24"/>
          <w:highlight w:val="none"/>
        </w:rPr>
        <w:t>乙方</w:t>
      </w:r>
      <w:bookmarkStart w:id="435" w:name="_Hlk154577956"/>
      <w:r>
        <w:rPr>
          <w:rFonts w:hint="eastAsia" w:ascii="宋体" w:hAnsi="宋体" w:eastAsia="宋体" w:cs="宋体"/>
          <w:color w:val="auto"/>
          <w:sz w:val="24"/>
          <w:szCs w:val="24"/>
          <w:highlight w:val="none"/>
        </w:rPr>
        <w:t>应按采购文件规定的货物性能、技术要求、质量标准向甲方提供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月后生产的，全新未经使用的，符合国家法律规定和技术规格、质量标准的出厂原装合格产品。</w:t>
      </w:r>
      <w:bookmarkEnd w:id="434"/>
      <w:bookmarkEnd w:id="435"/>
    </w:p>
    <w:p w14:paraId="1E824CE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w:t>
      </w:r>
    </w:p>
    <w:p w14:paraId="35D7D7A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2.1远程技术支持：乙方应具有稳定的技术支持队伍和完善的服务支持网络，提供</w:t>
      </w:r>
      <w:r>
        <w:rPr>
          <w:rFonts w:hint="eastAsia" w:ascii="宋体" w:hAnsi="宋体" w:eastAsia="宋体" w:cs="宋体"/>
          <w:color w:val="auto"/>
          <w:sz w:val="24"/>
          <w:szCs w:val="24"/>
          <w:highlight w:val="none"/>
          <w:u w:val="single"/>
        </w:rPr>
        <w:t xml:space="preserve"> 7×24小时 </w:t>
      </w:r>
      <w:r>
        <w:rPr>
          <w:rFonts w:hint="eastAsia" w:ascii="宋体" w:hAnsi="宋体" w:eastAsia="宋体" w:cs="宋体"/>
          <w:color w:val="auto"/>
          <w:sz w:val="24"/>
          <w:szCs w:val="24"/>
          <w:highlight w:val="none"/>
        </w:rPr>
        <w:t>技术支持服务，及时响应甲方的技术服务支持需求，提出有效的解决方案，解决甲方在货物使用过程中遇到的实际问题。</w:t>
      </w:r>
    </w:p>
    <w:p w14:paraId="0505D39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2.2现场技术支持：对于通过电话、邮件等远程技术支持不能解决的问题，乙方应在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小时内派遣相关人员赶赴现场，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小时内维修完毕；发生紧急抢修事故的，乙方应在接到甲方通知后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小时内到达现场抢修，并于到达现场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小时之内排除故障。乙方未在约定时间内修复的或同一货物经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次维修后仍不能稳定、可靠运行的，甲方有权要求乙方免费更换。</w:t>
      </w:r>
    </w:p>
    <w:p w14:paraId="3B801FB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九、保密条款</w:t>
      </w:r>
    </w:p>
    <w:p w14:paraId="4154A07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017B09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十、违约责任</w:t>
      </w:r>
    </w:p>
    <w:p w14:paraId="1E80457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1.甲方无故逾期验收和办理货款支付手续的，每逾期一日，应按逾期付款总额</w:t>
      </w:r>
      <w:r>
        <w:rPr>
          <w:rFonts w:hint="eastAsia" w:ascii="宋体" w:hAnsi="宋体" w:eastAsia="宋体" w:cs="宋体"/>
          <w:color w:val="auto"/>
          <w:sz w:val="24"/>
          <w:szCs w:val="24"/>
          <w:highlight w:val="none"/>
          <w:u w:val="single"/>
        </w:rPr>
        <w:t>0.3‰</w:t>
      </w:r>
      <w:r>
        <w:rPr>
          <w:rFonts w:hint="eastAsia" w:ascii="宋体" w:hAnsi="宋体" w:eastAsia="宋体" w:cs="宋体"/>
          <w:color w:val="auto"/>
          <w:sz w:val="24"/>
          <w:szCs w:val="24"/>
          <w:highlight w:val="none"/>
        </w:rPr>
        <w:t>向乙方支付违约金。</w:t>
      </w:r>
    </w:p>
    <w:p w14:paraId="55EC9A8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2.乙方逾期交货完工的，每逾期一日，应按合同总价</w:t>
      </w:r>
      <w:r>
        <w:rPr>
          <w:rFonts w:hint="eastAsia" w:ascii="宋体" w:hAnsi="宋体" w:eastAsia="宋体" w:cs="宋体"/>
          <w:color w:val="auto"/>
          <w:sz w:val="24"/>
          <w:szCs w:val="24"/>
          <w:highlight w:val="none"/>
          <w:u w:val="single"/>
        </w:rPr>
        <w:t>0.3‰</w:t>
      </w:r>
      <w:r>
        <w:rPr>
          <w:rFonts w:hint="eastAsia" w:ascii="宋体" w:hAnsi="宋体" w:eastAsia="宋体" w:cs="宋体"/>
          <w:color w:val="auto"/>
          <w:sz w:val="24"/>
          <w:szCs w:val="24"/>
          <w:highlight w:val="none"/>
        </w:rPr>
        <w:t>向甲方支付违约金。逾期超过约定日期</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个工作日不能交货完工的，甲方有权解除本合同，并要求乙方支付合同总价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的违约金，违约金不足以弥补甲方损失的，乙方还应负责赔偿。</w:t>
      </w:r>
    </w:p>
    <w:p w14:paraId="203DB20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的违约金，违约金不足以弥补甲方损失的，乙方还应负责赔偿。</w:t>
      </w:r>
    </w:p>
    <w:p w14:paraId="409B71B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4.乙方未能按约定要求履行保修义务的，每发生一次应向甲方支付</w:t>
      </w:r>
      <w:r>
        <w:rPr>
          <w:rFonts w:hint="eastAsia" w:ascii="宋体" w:hAnsi="宋体" w:eastAsia="宋体" w:cs="宋体"/>
          <w:color w:val="auto"/>
          <w:sz w:val="24"/>
          <w:szCs w:val="24"/>
          <w:highlight w:val="none"/>
          <w:u w:val="single"/>
        </w:rPr>
        <w:t>  2000   </w:t>
      </w:r>
      <w:r>
        <w:rPr>
          <w:rFonts w:hint="eastAsia" w:ascii="宋体" w:hAnsi="宋体" w:eastAsia="宋体" w:cs="宋体"/>
          <w:color w:val="auto"/>
          <w:sz w:val="24"/>
          <w:szCs w:val="24"/>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759BF66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5.因乙方其他违约行为导致甲方解除合同的，乙方应向甲方支付合同总价 </w:t>
      </w:r>
      <w:r>
        <w:rPr>
          <w:rFonts w:hint="eastAsia" w:ascii="宋体" w:hAnsi="宋体" w:eastAsia="宋体" w:cs="宋体"/>
          <w:color w:val="auto"/>
          <w:sz w:val="24"/>
          <w:szCs w:val="24"/>
          <w:highlight w:val="none"/>
          <w:u w:val="single"/>
        </w:rPr>
        <w:t>5 %</w:t>
      </w:r>
      <w:r>
        <w:rPr>
          <w:rFonts w:hint="eastAsia" w:ascii="宋体" w:hAnsi="宋体" w:eastAsia="宋体" w:cs="宋体"/>
          <w:color w:val="auto"/>
          <w:sz w:val="24"/>
          <w:szCs w:val="24"/>
          <w:highlight w:val="none"/>
        </w:rPr>
        <w:t>的违约金，违约金不足以弥补甲方损失的，乙方还应负责赔偿。</w:t>
      </w:r>
    </w:p>
    <w:p w14:paraId="78A0F0F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十一、不可抗力</w:t>
      </w:r>
    </w:p>
    <w:p w14:paraId="58082BD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65BF94E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2.不可抗力事件发生后，受不可抗力事件影响的一方应在事件发生后3日内通知对方，并寄送有关权威机构出具的证明。同时应立即尽一切合理努力采取措施，消除影响，减少损失。</w:t>
      </w:r>
    </w:p>
    <w:p w14:paraId="2DFCFC3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3.不可抗力事件延续30天以上，双方应通过友好协商，确定是否继续履行合同。</w:t>
      </w:r>
    </w:p>
    <w:p w14:paraId="2ED19C8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4.本条所述的“不可抗力”依法律规定。</w:t>
      </w:r>
    </w:p>
    <w:p w14:paraId="3E59C2B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十二、法律适用与争议解决</w:t>
      </w:r>
    </w:p>
    <w:p w14:paraId="6781FC2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1.本合同的订立、解释、履行及争议解决，均适用中华人民共和国法律。</w:t>
      </w:r>
    </w:p>
    <w:p w14:paraId="4AC79FA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2.本合同履行过程中发生争议的，甲乙双方应友好协商；协商不成的，任何一方可向甲方所在地人民法院起诉。</w:t>
      </w:r>
    </w:p>
    <w:p w14:paraId="30D161F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十三、合同生效及其他</w:t>
      </w:r>
    </w:p>
    <w:p w14:paraId="5B67F88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1.本合同经甲、乙双方代表签字并加盖单位公章或合同专用章后生效，甲方的单位公章盖采购中心合同专用章。</w:t>
      </w:r>
    </w:p>
    <w:p w14:paraId="7C389D1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6C46E5A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31AEC4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（1）本合同及其补充合同、变更协议；</w:t>
      </w:r>
    </w:p>
    <w:p w14:paraId="43A23EE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（2）中标（成交）通知书；</w:t>
      </w:r>
    </w:p>
    <w:p w14:paraId="368FFB7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（3）投标（响应）文件（含澄清或者说明文件）；</w:t>
      </w:r>
    </w:p>
    <w:p w14:paraId="0B5E078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（4）招标（非招标）文件（含澄清或者修改文件）；</w:t>
      </w:r>
    </w:p>
    <w:p w14:paraId="472FCFF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（5）其他相关采购文件。</w:t>
      </w:r>
    </w:p>
    <w:p w14:paraId="5F495C3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4.本合同未尽事宜，遵照《中华人民共和国民法典》有关条文执行。</w:t>
      </w:r>
    </w:p>
    <w:p w14:paraId="5BA3E2F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本合同一式伍份，甲方执叁份，乙方和鉴证方各执壹份，具有同等法律效力。</w:t>
      </w:r>
    </w:p>
    <w:p w14:paraId="3F9AEE3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E5D580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 （附件名称</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（如有）</w:t>
      </w:r>
    </w:p>
    <w:p w14:paraId="2DCA0C6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27"/>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0"/>
        <w:gridCol w:w="4416"/>
      </w:tblGrid>
      <w:tr w14:paraId="0CB5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blCellSpacing w:w="0" w:type="dxa"/>
          <w:jc w:val="center"/>
        </w:trPr>
        <w:tc>
          <w:tcPr>
            <w:tcW w:w="4870" w:type="dxa"/>
            <w:tcBorders>
              <w:top w:val="nil"/>
              <w:left w:val="nil"/>
              <w:bottom w:val="nil"/>
              <w:right w:val="nil"/>
            </w:tcBorders>
            <w:noWrap w:val="0"/>
            <w:vAlign w:val="center"/>
          </w:tcPr>
          <w:p w14:paraId="0263B6F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B95B17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DCE7B9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甲方：杭州电子科技大学（公章）</w:t>
            </w:r>
          </w:p>
        </w:tc>
        <w:tc>
          <w:tcPr>
            <w:tcW w:w="4416" w:type="dxa"/>
            <w:tcBorders>
              <w:top w:val="nil"/>
              <w:left w:val="nil"/>
              <w:bottom w:val="nil"/>
              <w:right w:val="nil"/>
            </w:tcBorders>
            <w:noWrap w:val="0"/>
            <w:vAlign w:val="center"/>
          </w:tcPr>
          <w:p w14:paraId="6863F39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3608E2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9E5060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乙方：（公章）</w:t>
            </w:r>
          </w:p>
        </w:tc>
      </w:tr>
      <w:tr w14:paraId="23B10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blCellSpacing w:w="0" w:type="dxa"/>
          <w:jc w:val="center"/>
        </w:trPr>
        <w:tc>
          <w:tcPr>
            <w:tcW w:w="4870" w:type="dxa"/>
            <w:tcBorders>
              <w:top w:val="nil"/>
              <w:left w:val="nil"/>
              <w:bottom w:val="nil"/>
              <w:right w:val="nil"/>
            </w:tcBorders>
            <w:noWrap w:val="0"/>
            <w:vAlign w:val="center"/>
          </w:tcPr>
          <w:p w14:paraId="4BBC23F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p>
          <w:p w14:paraId="4113F72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c>
          <w:tcPr>
            <w:tcW w:w="4416" w:type="dxa"/>
            <w:tcBorders>
              <w:top w:val="nil"/>
              <w:left w:val="nil"/>
              <w:bottom w:val="nil"/>
              <w:right w:val="nil"/>
            </w:tcBorders>
            <w:noWrap w:val="0"/>
            <w:vAlign w:val="center"/>
          </w:tcPr>
          <w:p w14:paraId="1375F4D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p>
          <w:p w14:paraId="581B47F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r>
      <w:tr w14:paraId="4C25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04AD91B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地址：杭州下沙高教园区二号大街1158号</w:t>
            </w:r>
          </w:p>
        </w:tc>
        <w:tc>
          <w:tcPr>
            <w:tcW w:w="4416" w:type="dxa"/>
            <w:tcBorders>
              <w:top w:val="nil"/>
              <w:left w:val="nil"/>
              <w:bottom w:val="nil"/>
              <w:right w:val="nil"/>
            </w:tcBorders>
            <w:noWrap w:val="0"/>
            <w:vAlign w:val="center"/>
          </w:tcPr>
          <w:p w14:paraId="4AA0D35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tc>
      </w:tr>
      <w:tr w14:paraId="6948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4DF9D45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c>
          <w:tcPr>
            <w:tcW w:w="4416" w:type="dxa"/>
            <w:tcBorders>
              <w:top w:val="nil"/>
              <w:left w:val="nil"/>
              <w:bottom w:val="nil"/>
              <w:right w:val="nil"/>
            </w:tcBorders>
            <w:noWrap w:val="0"/>
            <w:vAlign w:val="center"/>
          </w:tcPr>
          <w:p w14:paraId="63DE1AC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rPr>
              <w:tab/>
            </w:r>
          </w:p>
        </w:tc>
      </w:tr>
      <w:tr w14:paraId="60F09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320B5B0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开户银行：工行高新支行 </w:t>
            </w:r>
          </w:p>
        </w:tc>
        <w:tc>
          <w:tcPr>
            <w:tcW w:w="4416" w:type="dxa"/>
            <w:tcBorders>
              <w:top w:val="nil"/>
              <w:left w:val="nil"/>
              <w:bottom w:val="nil"/>
              <w:right w:val="nil"/>
            </w:tcBorders>
            <w:noWrap w:val="0"/>
            <w:vAlign w:val="center"/>
          </w:tcPr>
          <w:p w14:paraId="4093190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rPr>
              <w:tab/>
            </w:r>
          </w:p>
        </w:tc>
      </w:tr>
      <w:tr w14:paraId="6E52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334FF7F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帐号：1202026209008806216</w:t>
            </w:r>
          </w:p>
        </w:tc>
        <w:tc>
          <w:tcPr>
            <w:tcW w:w="4416" w:type="dxa"/>
            <w:tcBorders>
              <w:top w:val="nil"/>
              <w:left w:val="nil"/>
              <w:bottom w:val="nil"/>
              <w:right w:val="nil"/>
            </w:tcBorders>
            <w:noWrap w:val="0"/>
            <w:vAlign w:val="center"/>
          </w:tcPr>
          <w:p w14:paraId="43A9B52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w:t>
            </w:r>
          </w:p>
        </w:tc>
      </w:tr>
      <w:tr w14:paraId="1FC57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7FD5643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tc>
        <w:tc>
          <w:tcPr>
            <w:tcW w:w="4416" w:type="dxa"/>
            <w:tcBorders>
              <w:top w:val="nil"/>
              <w:left w:val="nil"/>
              <w:bottom w:val="nil"/>
              <w:right w:val="nil"/>
            </w:tcBorders>
            <w:noWrap w:val="0"/>
            <w:vAlign w:val="center"/>
          </w:tcPr>
          <w:p w14:paraId="353A464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tc>
      </w:tr>
      <w:tr w14:paraId="5213E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9286" w:type="dxa"/>
            <w:gridSpan w:val="2"/>
            <w:tcBorders>
              <w:top w:val="nil"/>
              <w:left w:val="nil"/>
              <w:bottom w:val="nil"/>
              <w:right w:val="nil"/>
            </w:tcBorders>
            <w:noWrap w:val="0"/>
            <w:vAlign w:val="center"/>
          </w:tcPr>
          <w:p w14:paraId="2DAC904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561950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合同鉴证方（公章）： </w:t>
            </w:r>
          </w:p>
          <w:p w14:paraId="54A7BFD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p>
          <w:p w14:paraId="2889B38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p w14:paraId="08D7E0A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2FCE9A8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r>
    </w:tbl>
    <w:p w14:paraId="0E33992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p w14:paraId="2D503912">
      <w:pPr>
        <w:jc w:val="center"/>
        <w:rPr>
          <w:rFonts w:hint="eastAsia" w:ascii="宋体" w:hAnsi="宋体" w:cs="宋体"/>
          <w:b/>
          <w:color w:val="auto"/>
          <w:kern w:val="0"/>
          <w:sz w:val="72"/>
          <w:szCs w:val="72"/>
          <w:highlight w:val="none"/>
        </w:rPr>
      </w:pPr>
    </w:p>
    <w:p w14:paraId="136DC355">
      <w:pPr>
        <w:jc w:val="center"/>
        <w:rPr>
          <w:rFonts w:hint="eastAsia" w:ascii="宋体" w:hAnsi="宋体" w:cs="宋体"/>
          <w:b/>
          <w:color w:val="auto"/>
          <w:kern w:val="0"/>
          <w:sz w:val="72"/>
          <w:szCs w:val="72"/>
          <w:highlight w:val="none"/>
        </w:rPr>
      </w:pPr>
    </w:p>
    <w:p w14:paraId="5059EE07">
      <w:pPr>
        <w:jc w:val="center"/>
        <w:rPr>
          <w:rFonts w:hint="eastAsia" w:ascii="宋体" w:hAnsi="宋体" w:cs="宋体"/>
          <w:b/>
          <w:color w:val="auto"/>
          <w:kern w:val="0"/>
          <w:sz w:val="72"/>
          <w:szCs w:val="72"/>
          <w:highlight w:val="none"/>
        </w:rPr>
      </w:pPr>
    </w:p>
    <w:p w14:paraId="0A44AADF">
      <w:pPr>
        <w:jc w:val="center"/>
        <w:rPr>
          <w:rFonts w:hint="eastAsia" w:ascii="宋体" w:hAnsi="宋体" w:cs="宋体"/>
          <w:b/>
          <w:color w:val="auto"/>
          <w:kern w:val="0"/>
          <w:sz w:val="72"/>
          <w:szCs w:val="72"/>
          <w:highlight w:val="none"/>
        </w:rPr>
      </w:pPr>
    </w:p>
    <w:p w14:paraId="36150F7D">
      <w:pPr>
        <w:jc w:val="center"/>
        <w:rPr>
          <w:rFonts w:hint="eastAsia" w:ascii="宋体" w:hAnsi="宋体" w:cs="宋体"/>
          <w:b/>
          <w:color w:val="auto"/>
          <w:kern w:val="0"/>
          <w:sz w:val="72"/>
          <w:szCs w:val="72"/>
          <w:highlight w:val="none"/>
        </w:rPr>
      </w:pPr>
    </w:p>
    <w:p w14:paraId="72116A94">
      <w:pPr>
        <w:jc w:val="center"/>
        <w:rPr>
          <w:rFonts w:hint="eastAsia" w:ascii="宋体" w:hAnsi="宋体" w:cs="宋体"/>
          <w:b/>
          <w:color w:val="auto"/>
          <w:kern w:val="0"/>
          <w:sz w:val="72"/>
          <w:szCs w:val="72"/>
          <w:highlight w:val="none"/>
        </w:rPr>
      </w:pPr>
    </w:p>
    <w:p w14:paraId="1802E9AC">
      <w:pPr>
        <w:jc w:val="center"/>
        <w:rPr>
          <w:rFonts w:hint="eastAsia" w:ascii="宋体" w:hAnsi="宋体" w:cs="宋体"/>
          <w:b/>
          <w:color w:val="auto"/>
          <w:kern w:val="0"/>
          <w:sz w:val="72"/>
          <w:szCs w:val="72"/>
          <w:highlight w:val="none"/>
        </w:rPr>
      </w:pPr>
    </w:p>
    <w:p w14:paraId="5623DBA0">
      <w:pPr>
        <w:jc w:val="center"/>
        <w:rPr>
          <w:rFonts w:hint="eastAsia" w:ascii="宋体" w:hAnsi="宋体" w:cs="宋体"/>
          <w:b/>
          <w:color w:val="auto"/>
          <w:kern w:val="0"/>
          <w:sz w:val="72"/>
          <w:szCs w:val="72"/>
          <w:highlight w:val="none"/>
        </w:rPr>
      </w:pPr>
    </w:p>
    <w:p w14:paraId="27DB4527">
      <w:pPr>
        <w:jc w:val="center"/>
        <w:rPr>
          <w:rFonts w:hint="eastAsia" w:ascii="宋体" w:hAnsi="宋体" w:cs="宋体"/>
          <w:b/>
          <w:color w:val="auto"/>
          <w:kern w:val="0"/>
          <w:sz w:val="72"/>
          <w:szCs w:val="72"/>
          <w:highlight w:val="none"/>
        </w:rPr>
      </w:pPr>
    </w:p>
    <w:p w14:paraId="33A39742">
      <w:pPr>
        <w:jc w:val="center"/>
        <w:rPr>
          <w:rFonts w:hint="eastAsia" w:ascii="宋体" w:hAnsi="宋体" w:cs="宋体"/>
          <w:b/>
          <w:color w:val="auto"/>
          <w:kern w:val="0"/>
          <w:sz w:val="72"/>
          <w:szCs w:val="72"/>
          <w:highlight w:val="none"/>
        </w:rPr>
      </w:pPr>
    </w:p>
    <w:p w14:paraId="0818E16D">
      <w:pPr>
        <w:jc w:val="center"/>
        <w:rPr>
          <w:rFonts w:hint="eastAsia" w:ascii="宋体" w:hAnsi="宋体" w:cs="宋体"/>
          <w:b/>
          <w:color w:val="auto"/>
          <w:kern w:val="0"/>
          <w:sz w:val="72"/>
          <w:szCs w:val="72"/>
          <w:highlight w:val="none"/>
        </w:rPr>
      </w:pPr>
    </w:p>
    <w:p w14:paraId="68032D7B">
      <w:pPr>
        <w:jc w:val="center"/>
        <w:rPr>
          <w:rFonts w:hint="eastAsia" w:ascii="宋体" w:hAnsi="宋体" w:cs="宋体"/>
          <w:b/>
          <w:color w:val="auto"/>
          <w:kern w:val="0"/>
          <w:sz w:val="72"/>
          <w:szCs w:val="72"/>
          <w:highlight w:val="none"/>
        </w:rPr>
      </w:pPr>
    </w:p>
    <w:p w14:paraId="582B04BF">
      <w:pPr>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授权书</w:t>
      </w:r>
    </w:p>
    <w:p w14:paraId="64EE2AA1">
      <w:pPr>
        <w:spacing w:line="360" w:lineRule="auto"/>
        <w:jc w:val="center"/>
        <w:rPr>
          <w:rFonts w:hint="eastAsia" w:ascii="宋体" w:hAnsi="宋体" w:cs="宋体"/>
          <w:b/>
          <w:color w:val="auto"/>
          <w:kern w:val="0"/>
          <w:sz w:val="72"/>
          <w:szCs w:val="72"/>
          <w:highlight w:val="none"/>
        </w:rPr>
      </w:pPr>
    </w:p>
    <w:p w14:paraId="0C5B90D7">
      <w:pPr>
        <w:spacing w:line="360" w:lineRule="auto"/>
        <w:jc w:val="center"/>
        <w:rPr>
          <w:rFonts w:hint="eastAsia" w:ascii="宋体" w:hAnsi="宋体" w:cs="宋体"/>
          <w:b/>
          <w:color w:val="auto"/>
          <w:kern w:val="0"/>
          <w:sz w:val="72"/>
          <w:szCs w:val="72"/>
          <w:highlight w:val="none"/>
        </w:rPr>
      </w:pPr>
    </w:p>
    <w:p w14:paraId="7CCAAAF6">
      <w:pPr>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   </w:t>
      </w:r>
      <w:r>
        <w:rPr>
          <w:rFonts w:hint="eastAsia" w:ascii="宋体" w:hAnsi="宋体" w:cs="宋体"/>
          <w:color w:val="auto"/>
          <w:kern w:val="0"/>
          <w:sz w:val="28"/>
          <w:szCs w:val="28"/>
          <w:highlight w:val="none"/>
        </w:rPr>
        <w:t>兹授权</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公司为</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项目</w:t>
      </w:r>
    </w:p>
    <w:p w14:paraId="059231B2">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（编号：</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产品的经销商（分销商），有效期为</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日至</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2F9F304C">
      <w:pPr>
        <w:spacing w:line="360" w:lineRule="auto"/>
        <w:rPr>
          <w:rFonts w:hint="eastAsia" w:ascii="宋体" w:hAnsi="宋体" w:cs="宋体"/>
          <w:color w:val="auto"/>
          <w:kern w:val="0"/>
          <w:sz w:val="28"/>
          <w:szCs w:val="28"/>
          <w:highlight w:val="none"/>
        </w:rPr>
      </w:pPr>
    </w:p>
    <w:p w14:paraId="6E1F3C6E">
      <w:pPr>
        <w:spacing w:line="360" w:lineRule="auto"/>
        <w:rPr>
          <w:rFonts w:hint="eastAsia" w:ascii="宋体" w:hAnsi="宋体" w:cs="宋体"/>
          <w:color w:val="auto"/>
          <w:kern w:val="0"/>
          <w:sz w:val="28"/>
          <w:szCs w:val="28"/>
          <w:highlight w:val="none"/>
        </w:rPr>
      </w:pPr>
    </w:p>
    <w:p w14:paraId="3C01F5AD">
      <w:pPr>
        <w:spacing w:line="360" w:lineRule="auto"/>
        <w:rPr>
          <w:rFonts w:hint="eastAsia" w:ascii="宋体" w:hAnsi="宋体" w:cs="宋体"/>
          <w:color w:val="auto"/>
          <w:kern w:val="0"/>
          <w:sz w:val="28"/>
          <w:szCs w:val="28"/>
          <w:highlight w:val="none"/>
        </w:rPr>
      </w:pPr>
    </w:p>
    <w:p w14:paraId="469C5993">
      <w:pPr>
        <w:spacing w:line="360" w:lineRule="auto"/>
        <w:rPr>
          <w:rFonts w:hint="eastAsia" w:ascii="宋体" w:hAnsi="宋体" w:cs="宋体"/>
          <w:color w:val="auto"/>
          <w:kern w:val="0"/>
          <w:sz w:val="28"/>
          <w:szCs w:val="28"/>
          <w:highlight w:val="none"/>
        </w:rPr>
      </w:pPr>
    </w:p>
    <w:p w14:paraId="6567F021">
      <w:pPr>
        <w:spacing w:line="360" w:lineRule="auto"/>
        <w:rPr>
          <w:rFonts w:hint="eastAsia" w:ascii="宋体" w:hAnsi="宋体" w:cs="宋体"/>
          <w:color w:val="auto"/>
          <w:kern w:val="0"/>
          <w:sz w:val="28"/>
          <w:szCs w:val="28"/>
          <w:highlight w:val="none"/>
        </w:rPr>
      </w:pPr>
    </w:p>
    <w:p w14:paraId="717E2AA2">
      <w:pPr>
        <w:spacing w:line="360" w:lineRule="auto"/>
        <w:rPr>
          <w:rFonts w:hint="eastAsia" w:ascii="宋体" w:hAnsi="宋体" w:cs="宋体"/>
          <w:color w:val="auto"/>
          <w:kern w:val="0"/>
          <w:sz w:val="28"/>
          <w:szCs w:val="28"/>
          <w:highlight w:val="none"/>
        </w:rPr>
      </w:pPr>
    </w:p>
    <w:p w14:paraId="1FE272A4">
      <w:pPr>
        <w:spacing w:line="360" w:lineRule="auto"/>
        <w:rPr>
          <w:rFonts w:hint="eastAsia" w:ascii="宋体" w:hAnsi="宋体" w:cs="宋体"/>
          <w:color w:val="auto"/>
          <w:kern w:val="0"/>
          <w:sz w:val="28"/>
          <w:szCs w:val="28"/>
          <w:highlight w:val="none"/>
        </w:rPr>
      </w:pPr>
    </w:p>
    <w:p w14:paraId="7EA5479A">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授权机构：            （公章）</w:t>
      </w:r>
    </w:p>
    <w:p w14:paraId="37767E45">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授权时间：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 xml:space="preserve"> 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62E19CCA">
      <w:pPr>
        <w:rPr>
          <w:rFonts w:hint="eastAsia" w:ascii="宋体" w:hAnsi="宋体" w:cs="宋体"/>
          <w:color w:val="auto"/>
          <w:kern w:val="0"/>
          <w:szCs w:val="20"/>
          <w:highlight w:val="none"/>
        </w:rPr>
      </w:pPr>
    </w:p>
    <w:p w14:paraId="3F78F1C1">
      <w:pPr>
        <w:rPr>
          <w:rFonts w:hint="eastAsia" w:ascii="宋体" w:hAnsi="宋体" w:cs="宋体"/>
          <w:b/>
          <w:color w:val="auto"/>
          <w:sz w:val="36"/>
          <w:szCs w:val="20"/>
          <w:highlight w:val="none"/>
        </w:rPr>
      </w:pPr>
      <w:r>
        <w:rPr>
          <w:rFonts w:hint="eastAsia" w:ascii="宋体" w:hAnsi="宋体" w:cs="宋体"/>
          <w:b/>
          <w:color w:val="auto"/>
          <w:spacing w:val="-6"/>
          <w:sz w:val="32"/>
          <w:szCs w:val="32"/>
          <w:highlight w:val="none"/>
        </w:rPr>
        <w:br w:type="page"/>
      </w:r>
    </w:p>
    <w:p w14:paraId="6523D0D3">
      <w:pPr>
        <w:adjustRightInd/>
        <w:spacing w:line="360" w:lineRule="auto"/>
        <w:jc w:val="center"/>
        <w:outlineLvl w:val="0"/>
        <w:rPr>
          <w:rStyle w:val="34"/>
          <w:rFonts w:hint="eastAsia"/>
          <w:color w:val="auto"/>
          <w:highlight w:val="none"/>
        </w:rPr>
      </w:pPr>
      <w:bookmarkStart w:id="436" w:name="_Toc31256"/>
      <w:r>
        <w:rPr>
          <w:rStyle w:val="34"/>
          <w:rFonts w:hint="eastAsia"/>
          <w:color w:val="auto"/>
          <w:highlight w:val="none"/>
        </w:rPr>
        <w:t>第六部分</w:t>
      </w:r>
      <w:bookmarkEnd w:id="422"/>
      <w:r>
        <w:rPr>
          <w:rStyle w:val="34"/>
          <w:rFonts w:hint="eastAsia"/>
          <w:color w:val="auto"/>
          <w:highlight w:val="none"/>
        </w:rPr>
        <w:t xml:space="preserve"> </w:t>
      </w:r>
      <w:bookmarkEnd w:id="423"/>
      <w:r>
        <w:rPr>
          <w:rStyle w:val="34"/>
          <w:rFonts w:hint="eastAsia"/>
          <w:color w:val="auto"/>
          <w:highlight w:val="none"/>
        </w:rPr>
        <w:t>应提交的有关格式范例</w:t>
      </w:r>
      <w:bookmarkEnd w:id="436"/>
    </w:p>
    <w:p w14:paraId="7D4A2499">
      <w:pPr>
        <w:spacing w:line="360" w:lineRule="auto"/>
        <w:jc w:val="center"/>
        <w:rPr>
          <w:rFonts w:ascii="宋体" w:hAnsi="宋体" w:cs="宋体"/>
          <w:b/>
          <w:color w:val="auto"/>
          <w:kern w:val="0"/>
          <w:sz w:val="36"/>
          <w:szCs w:val="36"/>
          <w:highlight w:val="none"/>
        </w:rPr>
      </w:pPr>
    </w:p>
    <w:p w14:paraId="058B101C">
      <w:pPr>
        <w:spacing w:line="360" w:lineRule="auto"/>
        <w:jc w:val="center"/>
        <w:outlineLvl w:val="1"/>
        <w:rPr>
          <w:rFonts w:ascii="宋体" w:hAnsi="宋体" w:cs="宋体"/>
          <w:b/>
          <w:color w:val="auto"/>
          <w:kern w:val="0"/>
          <w:sz w:val="36"/>
          <w:szCs w:val="36"/>
          <w:highlight w:val="none"/>
        </w:rPr>
      </w:pPr>
      <w:bookmarkStart w:id="437" w:name="_Toc5158"/>
      <w:r>
        <w:rPr>
          <w:rFonts w:hint="eastAsia" w:ascii="宋体" w:hAnsi="宋体" w:cs="宋体"/>
          <w:b/>
          <w:color w:val="auto"/>
          <w:kern w:val="0"/>
          <w:sz w:val="36"/>
          <w:szCs w:val="36"/>
          <w:highlight w:val="none"/>
        </w:rPr>
        <w:t>资格文件部分</w:t>
      </w:r>
      <w:bookmarkEnd w:id="437"/>
    </w:p>
    <w:p w14:paraId="7E11B5EA">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11CC4F38">
      <w:pPr>
        <w:spacing w:line="360" w:lineRule="auto"/>
        <w:jc w:val="center"/>
        <w:rPr>
          <w:rFonts w:ascii="宋体" w:hAnsi="宋体" w:cs="宋体"/>
          <w:b/>
          <w:color w:val="auto"/>
          <w:kern w:val="0"/>
          <w:sz w:val="36"/>
          <w:szCs w:val="36"/>
          <w:highlight w:val="none"/>
        </w:rPr>
      </w:pPr>
    </w:p>
    <w:p w14:paraId="3D8E245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（1）符合参加政府采购活动应当具备的一般条件的承诺函……………（页码）</w:t>
      </w:r>
    </w:p>
    <w:p w14:paraId="3644AEB6">
      <w:pPr>
        <w:snapToGrid w:val="0"/>
        <w:spacing w:line="360" w:lineRule="auto"/>
        <w:rPr>
          <w:rFonts w:ascii="宋体" w:hAnsi="宋体" w:cs="宋体"/>
          <w:color w:val="auto"/>
          <w:sz w:val="24"/>
          <w:highlight w:val="none"/>
        </w:rPr>
      </w:pPr>
      <w:r>
        <w:rPr>
          <w:rFonts w:hint="eastAsia" w:ascii="宋体" w:hAnsi="宋体" w:cs="宋体"/>
          <w:snapToGrid w:val="0"/>
          <w:color w:val="auto"/>
          <w:kern w:val="28"/>
          <w:sz w:val="24"/>
          <w:szCs w:val="20"/>
          <w:highlight w:val="none"/>
        </w:rPr>
        <w:t>（2）营业执照</w:t>
      </w:r>
      <w:r>
        <w:rPr>
          <w:rFonts w:hint="eastAsia" w:ascii="宋体" w:hAnsi="宋体" w:cs="宋体"/>
          <w:color w:val="auto"/>
          <w:sz w:val="24"/>
          <w:highlight w:val="none"/>
        </w:rPr>
        <w:t>………………………………………………………………（页码）</w:t>
      </w:r>
    </w:p>
    <w:p w14:paraId="69A8D464">
      <w:pPr>
        <w:snapToGrid w:val="0"/>
        <w:spacing w:line="360" w:lineRule="auto"/>
        <w:rPr>
          <w:rFonts w:ascii="宋体" w:hAnsi="宋体" w:cs="宋体"/>
          <w:color w:val="auto"/>
          <w:sz w:val="24"/>
          <w:highlight w:val="none"/>
        </w:rPr>
      </w:pPr>
      <w:r>
        <w:rPr>
          <w:rFonts w:hint="eastAsia" w:ascii="宋体" w:hAnsi="宋体" w:cs="宋体"/>
          <w:snapToGrid w:val="0"/>
          <w:color w:val="auto"/>
          <w:kern w:val="28"/>
          <w:sz w:val="24"/>
          <w:szCs w:val="20"/>
          <w:highlight w:val="none"/>
        </w:rPr>
        <w:t>（3）联合协议</w:t>
      </w:r>
      <w:r>
        <w:rPr>
          <w:rFonts w:hint="eastAsia" w:ascii="宋体" w:hAnsi="宋体" w:cs="宋体"/>
          <w:color w:val="auto"/>
          <w:sz w:val="24"/>
          <w:highlight w:val="none"/>
        </w:rPr>
        <w:t>………………………………………………………………（页码）</w:t>
      </w:r>
    </w:p>
    <w:p w14:paraId="33AD4275">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（4）本项目的特定资格要求………………………………………………（页码）</w:t>
      </w:r>
    </w:p>
    <w:p w14:paraId="600ABF8A">
      <w:pPr>
        <w:snapToGrid w:val="0"/>
        <w:spacing w:line="360" w:lineRule="auto"/>
        <w:rPr>
          <w:rFonts w:ascii="宋体" w:hAnsi="宋体" w:cs="宋体"/>
          <w:color w:val="auto"/>
          <w:sz w:val="24"/>
          <w:highlight w:val="none"/>
        </w:rPr>
      </w:pPr>
    </w:p>
    <w:p w14:paraId="355052B4">
      <w:pPr>
        <w:snapToGrid w:val="0"/>
        <w:spacing w:line="360" w:lineRule="auto"/>
        <w:ind w:firstLine="480" w:firstLineChars="200"/>
        <w:rPr>
          <w:rFonts w:ascii="宋体" w:hAnsi="宋体" w:cs="宋体"/>
          <w:color w:val="auto"/>
          <w:sz w:val="24"/>
          <w:highlight w:val="none"/>
        </w:rPr>
      </w:pPr>
    </w:p>
    <w:p w14:paraId="227D8165">
      <w:pPr>
        <w:spacing w:line="360" w:lineRule="auto"/>
        <w:ind w:firstLine="480" w:firstLineChars="200"/>
        <w:rPr>
          <w:rFonts w:ascii="宋体" w:hAnsi="宋体" w:cs="宋体"/>
          <w:color w:val="auto"/>
          <w:sz w:val="24"/>
          <w:highlight w:val="none"/>
        </w:rPr>
      </w:pPr>
    </w:p>
    <w:p w14:paraId="3EBFE3BA">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color w:val="auto"/>
          <w:kern w:val="0"/>
          <w:sz w:val="24"/>
          <w:highlight w:val="none"/>
        </w:rPr>
        <w:br w:type="page"/>
      </w:r>
      <w:r>
        <w:rPr>
          <w:rFonts w:hint="eastAsia" w:ascii="宋体" w:hAnsi="宋体" w:cs="宋体"/>
          <w:b/>
          <w:color w:val="auto"/>
          <w:kern w:val="0"/>
          <w:sz w:val="32"/>
          <w:szCs w:val="32"/>
          <w:highlight w:val="none"/>
        </w:rPr>
        <w:t xml:space="preserve">  一、 符合参加政府采购活动应当具备的一般条件的承诺函</w:t>
      </w:r>
    </w:p>
    <w:p w14:paraId="2D687C31">
      <w:pPr>
        <w:snapToGrid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p>
    <w:p w14:paraId="538C7F5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我方参与</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【招标编号：】政府采购活动，郑重承诺：</w:t>
      </w:r>
    </w:p>
    <w:p w14:paraId="36DD275F">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（一）具备《中华人民共和国政府采购法》第二十二条第一款规定的条件：</w:t>
      </w:r>
    </w:p>
    <w:p w14:paraId="18AC39D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398AD38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 </w:t>
      </w:r>
    </w:p>
    <w:p w14:paraId="6DA63F5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593D06A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215B68D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6760E0B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6、具有法律、行政法规规定的其他条件。</w:t>
      </w:r>
    </w:p>
    <w:p w14:paraId="0CC2E8C3">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（二）未被信用中国（www.creditchina.gov.cn)、中国政府采购网（www.ccgp.gov.cn）列入失信被执行人、重大税收违法案件当事人名单、政府采购严重违法失信行为记录名单。</w:t>
      </w:r>
    </w:p>
    <w:p w14:paraId="31AF0D4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（三）不存在以下情况：</w:t>
      </w:r>
    </w:p>
    <w:p w14:paraId="7809BD3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1、单位负责人为同一人或者存在直接控股、管理关系的不同供应商参加同一合同项下的政府采购活动的；</w:t>
      </w:r>
    </w:p>
    <w:p w14:paraId="14C5CF8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2、为采购项目提供整体设计、规范编制或者项目管理、监理、检测等服务后再参加该采购项目的其他采购活动的。</w:t>
      </w:r>
    </w:p>
    <w:p w14:paraId="5400E6FC">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5DF2F27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44B6EFE">
      <w:pPr>
        <w:snapToGrid w:val="0"/>
        <w:spacing w:line="360" w:lineRule="auto"/>
        <w:ind w:right="480"/>
        <w:jc w:val="center"/>
        <w:rPr>
          <w:rFonts w:ascii="宋体" w:hAnsi="宋体" w:cs="宋体"/>
          <w:b/>
          <w:color w:val="auto"/>
          <w:kern w:val="0"/>
          <w:sz w:val="32"/>
          <w:szCs w:val="32"/>
          <w:highlight w:val="none"/>
        </w:rPr>
      </w:pPr>
    </w:p>
    <w:p w14:paraId="275B204A">
      <w:pPr>
        <w:snapToGrid w:val="0"/>
        <w:spacing w:line="360" w:lineRule="auto"/>
        <w:ind w:right="480"/>
        <w:jc w:val="center"/>
        <w:rPr>
          <w:rFonts w:ascii="宋体" w:hAnsi="宋体" w:cs="宋体"/>
          <w:b/>
          <w:color w:val="auto"/>
          <w:kern w:val="0"/>
          <w:sz w:val="32"/>
          <w:szCs w:val="32"/>
          <w:highlight w:val="none"/>
        </w:rPr>
      </w:pPr>
    </w:p>
    <w:p w14:paraId="6E9CB828">
      <w:pPr>
        <w:snapToGrid w:val="0"/>
        <w:spacing w:line="360" w:lineRule="auto"/>
        <w:ind w:right="480"/>
        <w:jc w:val="center"/>
        <w:rPr>
          <w:rFonts w:ascii="宋体" w:hAnsi="宋体" w:cs="宋体"/>
          <w:b/>
          <w:color w:val="auto"/>
          <w:kern w:val="0"/>
          <w:sz w:val="32"/>
          <w:szCs w:val="32"/>
          <w:highlight w:val="none"/>
        </w:rPr>
      </w:pPr>
    </w:p>
    <w:p w14:paraId="2E64E818">
      <w:pPr>
        <w:rPr>
          <w:rFonts w:ascii="宋体" w:hAnsi="宋体" w:cs="宋体"/>
          <w:color w:val="auto"/>
          <w:highlight w:val="none"/>
        </w:rPr>
      </w:pPr>
    </w:p>
    <w:p w14:paraId="12787723">
      <w:pPr>
        <w:snapToGrid w:val="0"/>
        <w:spacing w:line="360" w:lineRule="auto"/>
        <w:ind w:right="480"/>
        <w:jc w:val="center"/>
        <w:rPr>
          <w:rFonts w:ascii="宋体" w:hAnsi="宋体" w:cs="宋体"/>
          <w:b/>
          <w:color w:val="auto"/>
          <w:kern w:val="0"/>
          <w:sz w:val="32"/>
          <w:szCs w:val="32"/>
          <w:highlight w:val="none"/>
        </w:rPr>
      </w:pPr>
    </w:p>
    <w:p w14:paraId="712E2BB0">
      <w:pPr>
        <w:snapToGrid w:val="0"/>
        <w:spacing w:line="360" w:lineRule="auto"/>
        <w:ind w:right="480"/>
        <w:jc w:val="center"/>
        <w:rPr>
          <w:rFonts w:ascii="宋体" w:hAnsi="宋体" w:cs="宋体"/>
          <w:b/>
          <w:color w:val="auto"/>
          <w:kern w:val="0"/>
          <w:sz w:val="32"/>
          <w:szCs w:val="32"/>
          <w:highlight w:val="none"/>
        </w:rPr>
      </w:pPr>
    </w:p>
    <w:p w14:paraId="171C21EF">
      <w:pPr>
        <w:snapToGrid w:val="0"/>
        <w:spacing w:line="360" w:lineRule="auto"/>
        <w:ind w:right="480"/>
        <w:jc w:val="center"/>
        <w:rPr>
          <w:rFonts w:ascii="宋体" w:hAnsi="宋体" w:cs="宋体"/>
          <w:b/>
          <w:color w:val="auto"/>
          <w:kern w:val="0"/>
          <w:sz w:val="32"/>
          <w:szCs w:val="32"/>
          <w:highlight w:val="none"/>
        </w:rPr>
      </w:pPr>
    </w:p>
    <w:p w14:paraId="11C987B6">
      <w:pPr>
        <w:widowControl/>
        <w:spacing w:line="360" w:lineRule="auto"/>
        <w:ind w:firstLine="643" w:firstLineChars="200"/>
        <w:jc w:val="center"/>
        <w:rPr>
          <w:rFonts w:ascii="宋体" w:hAnsi="宋体" w:cs="宋体"/>
          <w:b/>
          <w:color w:val="auto"/>
          <w:kern w:val="0"/>
          <w:sz w:val="32"/>
          <w:szCs w:val="32"/>
          <w:highlight w:val="none"/>
        </w:rPr>
      </w:pPr>
    </w:p>
    <w:p w14:paraId="16F86780">
      <w:pPr>
        <w:widowControl/>
        <w:spacing w:line="360" w:lineRule="auto"/>
        <w:ind w:firstLine="643" w:firstLineChars="20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二、联合协议（如果有）</w:t>
      </w:r>
    </w:p>
    <w:p w14:paraId="63167E69">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[以联合体形式投标的，提供联合协议（附件5）；本项目不接受联合体投标或者投标人不以联合体形式投标的，则不需要提供]</w:t>
      </w:r>
    </w:p>
    <w:p w14:paraId="79020D9C">
      <w:pPr>
        <w:snapToGrid w:val="0"/>
        <w:spacing w:line="360" w:lineRule="auto"/>
        <w:ind w:right="480"/>
        <w:jc w:val="center"/>
        <w:rPr>
          <w:rFonts w:ascii="宋体" w:hAnsi="宋体" w:cs="宋体"/>
          <w:b/>
          <w:color w:val="auto"/>
          <w:kern w:val="0"/>
          <w:sz w:val="32"/>
          <w:szCs w:val="32"/>
          <w:highlight w:val="none"/>
        </w:rPr>
      </w:pPr>
    </w:p>
    <w:p w14:paraId="1D058976">
      <w:pPr>
        <w:snapToGrid w:val="0"/>
        <w:spacing w:line="360" w:lineRule="auto"/>
        <w:ind w:right="480"/>
        <w:jc w:val="center"/>
        <w:rPr>
          <w:rFonts w:ascii="宋体" w:hAnsi="宋体" w:cs="宋体"/>
          <w:b/>
          <w:color w:val="auto"/>
          <w:kern w:val="0"/>
          <w:sz w:val="32"/>
          <w:szCs w:val="32"/>
          <w:highlight w:val="none"/>
        </w:rPr>
      </w:pPr>
    </w:p>
    <w:p w14:paraId="01E7A9A5">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三、落实政府采购政策需满足的资格要求</w:t>
      </w:r>
    </w:p>
    <w:p w14:paraId="2BB1F653">
      <w:pPr>
        <w:spacing w:line="360" w:lineRule="auto"/>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落实政府采购政策需满足的资格要求选择提供相应的材料；未要求的，无需提供）</w:t>
      </w:r>
    </w:p>
    <w:p w14:paraId="1A0ABFBB">
      <w:pPr>
        <w:snapToGrid w:val="0"/>
        <w:spacing w:before="50" w:after="50"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A</w:t>
      </w:r>
      <w:r>
        <w:rPr>
          <w:rFonts w:hint="eastAsia" w:ascii="宋体" w:hAnsi="宋体" w:cs="宋体"/>
          <w:color w:val="auto"/>
          <w:sz w:val="24"/>
          <w:highlight w:val="none"/>
        </w:rPr>
        <w:t>.专门面向中小企业，货物全部由符合政策要求的中小企业（或小微企业）制造的，提供相应的中小企业声明函（附件</w:t>
      </w:r>
      <w:r>
        <w:rPr>
          <w:rFonts w:ascii="宋体" w:hAnsi="宋体" w:cs="宋体"/>
          <w:color w:val="auto"/>
          <w:sz w:val="24"/>
          <w:highlight w:val="none"/>
        </w:rPr>
        <w:t>7</w:t>
      </w:r>
      <w:r>
        <w:rPr>
          <w:rFonts w:hint="eastAsia" w:ascii="宋体" w:hAnsi="宋体" w:cs="宋体"/>
          <w:color w:val="auto"/>
          <w:sz w:val="24"/>
          <w:highlight w:val="none"/>
        </w:rPr>
        <w:t xml:space="preserve">）。 </w:t>
      </w:r>
    </w:p>
    <w:p w14:paraId="542104C6">
      <w:pPr>
        <w:widowControl/>
        <w:spacing w:line="360" w:lineRule="auto"/>
        <w:ind w:firstLine="480"/>
        <w:jc w:val="left"/>
        <w:rPr>
          <w:rFonts w:ascii="宋体" w:hAnsi="宋体" w:cs="宋体"/>
          <w:color w:val="auto"/>
          <w:sz w:val="24"/>
          <w:highlight w:val="none"/>
        </w:rPr>
      </w:pPr>
    </w:p>
    <w:p w14:paraId="5ECF4B8E">
      <w:pPr>
        <w:widowControl/>
        <w:spacing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B.</w:t>
      </w:r>
      <w:r>
        <w:rPr>
          <w:rFonts w:hint="eastAsia" w:ascii="宋体" w:hAnsi="宋体" w:cs="宋体"/>
          <w:color w:val="auto"/>
          <w:sz w:val="24"/>
          <w:highlight w:val="none"/>
        </w:rPr>
        <w:t>要求以联合体形式参加的，提供联合协议（附件</w:t>
      </w:r>
      <w:r>
        <w:rPr>
          <w:rFonts w:ascii="宋体" w:hAnsi="宋体" w:cs="宋体"/>
          <w:color w:val="auto"/>
          <w:sz w:val="24"/>
          <w:highlight w:val="none"/>
        </w:rPr>
        <w:t>5</w:t>
      </w:r>
      <w:r>
        <w:rPr>
          <w:rFonts w:hint="eastAsia" w:ascii="宋体" w:hAnsi="宋体" w:cs="宋体"/>
          <w:color w:val="auto"/>
          <w:sz w:val="24"/>
          <w:highlight w:val="none"/>
        </w:rPr>
        <w:t>）和中小企业声明函（附件</w:t>
      </w:r>
      <w:r>
        <w:rPr>
          <w:rFonts w:ascii="宋体" w:hAnsi="宋体" w:cs="宋体"/>
          <w:color w:val="auto"/>
          <w:sz w:val="24"/>
          <w:highlight w:val="none"/>
        </w:rPr>
        <w:t>7</w:t>
      </w:r>
      <w:r>
        <w:rPr>
          <w:rFonts w:hint="eastAsia" w:ascii="宋体" w:hAnsi="宋体" w:cs="宋体"/>
          <w:color w:val="auto"/>
          <w:sz w:val="24"/>
          <w:highlight w:val="none"/>
        </w:rPr>
        <w:t>），联合协议中中小企业合同金额应当达到</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视同符合了资格条件，无需再与其他中小企业组成联合体参加政府采购活动，无需提供联合协议。</w:t>
      </w:r>
    </w:p>
    <w:p w14:paraId="19FC2ED9">
      <w:pPr>
        <w:snapToGrid w:val="0"/>
        <w:spacing w:before="50" w:after="50" w:line="360" w:lineRule="auto"/>
        <w:jc w:val="center"/>
        <w:rPr>
          <w:rFonts w:ascii="宋体" w:hAnsi="宋体" w:cs="宋体"/>
          <w:color w:val="auto"/>
          <w:sz w:val="24"/>
          <w:highlight w:val="none"/>
        </w:rPr>
      </w:pPr>
      <w:r>
        <w:rPr>
          <w:rFonts w:hint="eastAsia" w:ascii="宋体" w:hAnsi="宋体" w:cs="宋体"/>
          <w:b/>
          <w:color w:val="auto"/>
          <w:sz w:val="24"/>
          <w:highlight w:val="none"/>
        </w:rPr>
        <w:t xml:space="preserve">    </w:t>
      </w:r>
    </w:p>
    <w:p w14:paraId="29A578FA">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C、</w:t>
      </w:r>
      <w:r>
        <w:rPr>
          <w:rFonts w:hint="eastAsia" w:ascii="宋体" w:hAnsi="宋体" w:cs="宋体"/>
          <w:color w:val="auto"/>
          <w:sz w:val="24"/>
          <w:highlight w:val="none"/>
        </w:rPr>
        <w:t>要求合同分包的，提供分包意向协议（附件6）和中小企业声明函（附件</w:t>
      </w:r>
      <w:r>
        <w:rPr>
          <w:rFonts w:ascii="宋体" w:hAnsi="宋体" w:cs="宋体"/>
          <w:color w:val="auto"/>
          <w:sz w:val="24"/>
          <w:highlight w:val="none"/>
        </w:rPr>
        <w:t>7</w:t>
      </w:r>
      <w:r>
        <w:rPr>
          <w:rFonts w:hint="eastAsia" w:ascii="宋体" w:hAnsi="宋体" w:cs="宋体"/>
          <w:color w:val="auto"/>
          <w:sz w:val="24"/>
          <w:highlight w:val="none"/>
        </w:rPr>
        <w:t>），分包意向协议中中小企业合同金额应当达到</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视同符合了资格条件，无需再向中小企业分包，无需提供分包意向协议。</w:t>
      </w:r>
    </w:p>
    <w:p w14:paraId="6959A2DE">
      <w:pPr>
        <w:widowControl/>
        <w:adjustRightInd/>
        <w:jc w:val="left"/>
        <w:rPr>
          <w:rFonts w:ascii="宋体" w:hAnsi="宋体" w:cs="宋体"/>
          <w:b/>
          <w:color w:val="auto"/>
          <w:kern w:val="0"/>
          <w:sz w:val="32"/>
          <w:szCs w:val="32"/>
          <w:highlight w:val="none"/>
        </w:rPr>
      </w:pPr>
    </w:p>
    <w:p w14:paraId="284CEB36">
      <w:pPr>
        <w:spacing w:line="360" w:lineRule="auto"/>
        <w:rPr>
          <w:rFonts w:ascii="宋体" w:hAnsi="宋体" w:cs="宋体"/>
          <w:b/>
          <w:color w:val="auto"/>
          <w:spacing w:val="6"/>
          <w:sz w:val="32"/>
          <w:szCs w:val="32"/>
          <w:highlight w:val="none"/>
        </w:rPr>
      </w:pPr>
      <w:r>
        <w:rPr>
          <w:rFonts w:hint="eastAsia" w:ascii="宋体" w:hAnsi="宋体" w:cs="宋体"/>
          <w:b/>
          <w:color w:val="auto"/>
          <w:kern w:val="0"/>
          <w:sz w:val="44"/>
          <w:szCs w:val="44"/>
          <w:highlight w:val="none"/>
        </w:rPr>
        <w:br w:type="page"/>
      </w:r>
      <w:r>
        <w:rPr>
          <w:rFonts w:hint="eastAsia" w:ascii="宋体" w:hAnsi="宋体" w:cs="宋体"/>
          <w:b/>
          <w:color w:val="auto"/>
          <w:spacing w:val="6"/>
          <w:sz w:val="32"/>
          <w:szCs w:val="32"/>
          <w:highlight w:val="none"/>
        </w:rPr>
        <w:t>附件1：</w:t>
      </w:r>
    </w:p>
    <w:p w14:paraId="4195CDBB">
      <w:pPr>
        <w:spacing w:line="360" w:lineRule="auto"/>
        <w:jc w:val="center"/>
        <w:rPr>
          <w:rFonts w:ascii="宋体" w:hAnsi="宋体" w:cs="宋体"/>
          <w:b/>
          <w:color w:val="auto"/>
          <w:spacing w:val="6"/>
          <w:sz w:val="32"/>
          <w:szCs w:val="32"/>
          <w:highlight w:val="none"/>
        </w:rPr>
      </w:pPr>
      <w:bookmarkStart w:id="438" w:name="OLE_LINK13"/>
      <w:bookmarkStart w:id="439" w:name="OLE_LINK14"/>
      <w:r>
        <w:rPr>
          <w:rFonts w:hint="eastAsia" w:ascii="宋体" w:hAnsi="宋体" w:cs="宋体"/>
          <w:b/>
          <w:color w:val="auto"/>
          <w:spacing w:val="6"/>
          <w:sz w:val="32"/>
          <w:szCs w:val="32"/>
          <w:highlight w:val="none"/>
        </w:rPr>
        <w:t>残疾人福利性单位声明函</w:t>
      </w:r>
    </w:p>
    <w:bookmarkEnd w:id="438"/>
    <w:bookmarkEnd w:id="439"/>
    <w:p w14:paraId="0023A1D5">
      <w:pPr>
        <w:spacing w:line="360" w:lineRule="auto"/>
        <w:rPr>
          <w:rFonts w:ascii="宋体" w:hAnsi="宋体" w:cs="宋体"/>
          <w:b/>
          <w:color w:val="auto"/>
          <w:spacing w:val="6"/>
          <w:sz w:val="30"/>
          <w:szCs w:val="30"/>
          <w:highlight w:val="none"/>
        </w:rPr>
      </w:pPr>
    </w:p>
    <w:p w14:paraId="2EB4959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单位的</w:t>
      </w:r>
      <w:r>
        <w:rPr>
          <w:rFonts w:hint="eastAsia" w:ascii="宋体" w:hAnsi="宋体" w:cs="宋体"/>
          <w:color w:val="auto"/>
          <w:sz w:val="24"/>
          <w:highlight w:val="none"/>
          <w:u w:val="single"/>
          <w:lang w:eastAsia="zh-CN"/>
        </w:rPr>
        <w:t>杭州电子科技大学家具更新项目</w:t>
      </w:r>
      <w:r>
        <w:rPr>
          <w:rFonts w:hint="eastAsia" w:ascii="宋体" w:hAnsi="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2ABBD97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B210261">
      <w:pPr>
        <w:spacing w:line="360" w:lineRule="auto"/>
        <w:ind w:firstLine="480" w:firstLineChars="200"/>
        <w:rPr>
          <w:rFonts w:ascii="宋体" w:hAnsi="宋体" w:cs="宋体"/>
          <w:color w:val="auto"/>
          <w:sz w:val="24"/>
          <w:highlight w:val="none"/>
        </w:rPr>
      </w:pPr>
    </w:p>
    <w:p w14:paraId="3AA7A10C">
      <w:pPr>
        <w:spacing w:line="360" w:lineRule="auto"/>
        <w:ind w:firstLine="480" w:firstLineChars="200"/>
        <w:rPr>
          <w:rFonts w:ascii="宋体" w:hAnsi="宋体" w:cs="宋体"/>
          <w:color w:val="auto"/>
          <w:sz w:val="24"/>
          <w:highlight w:val="none"/>
        </w:rPr>
      </w:pPr>
    </w:p>
    <w:p w14:paraId="79395C67">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lang w:val="zh-CN"/>
        </w:rPr>
        <w:t>投标人名称（电子签名）</w:t>
      </w:r>
      <w:r>
        <w:rPr>
          <w:rFonts w:hint="eastAsia" w:ascii="宋体" w:hAnsi="宋体" w:cs="宋体"/>
          <w:color w:val="auto"/>
          <w:sz w:val="24"/>
          <w:highlight w:val="none"/>
        </w:rPr>
        <w:t>：</w:t>
      </w:r>
    </w:p>
    <w:p w14:paraId="75243E5D">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日  期：</w:t>
      </w:r>
    </w:p>
    <w:p w14:paraId="35D2885F">
      <w:pPr>
        <w:widowControl/>
        <w:spacing w:line="360" w:lineRule="auto"/>
        <w:ind w:left="150"/>
        <w:jc w:val="center"/>
        <w:rPr>
          <w:rFonts w:ascii="宋体" w:hAnsi="宋体" w:cs="宋体"/>
          <w:b/>
          <w:color w:val="auto"/>
          <w:kern w:val="0"/>
          <w:sz w:val="32"/>
          <w:szCs w:val="32"/>
          <w:highlight w:val="none"/>
        </w:rPr>
      </w:pPr>
    </w:p>
    <w:p w14:paraId="18F2C118">
      <w:pPr>
        <w:widowControl/>
        <w:spacing w:line="360" w:lineRule="auto"/>
        <w:ind w:left="15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四、本项目的特定资格要求</w:t>
      </w:r>
    </w:p>
    <w:p w14:paraId="27F8D4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本项目的特定资格要求提供相应的材料；未要求的，无需提供）</w:t>
      </w:r>
    </w:p>
    <w:p w14:paraId="1F34CBC1">
      <w:pPr>
        <w:rPr>
          <w:rFonts w:ascii="宋体" w:hAnsi="宋体" w:cs="宋体"/>
          <w:color w:val="auto"/>
          <w:highlight w:val="none"/>
        </w:rPr>
      </w:pPr>
    </w:p>
    <w:p w14:paraId="4B3ABB7A">
      <w:pPr>
        <w:widowControl/>
        <w:adjustRightInd/>
        <w:jc w:val="center"/>
        <w:outlineLvl w:val="1"/>
        <w:rPr>
          <w:rFonts w:ascii="宋体" w:hAnsi="宋体" w:cs="宋体"/>
          <w:b/>
          <w:color w:val="auto"/>
          <w:kern w:val="0"/>
          <w:sz w:val="36"/>
          <w:szCs w:val="36"/>
          <w:highlight w:val="none"/>
        </w:rPr>
      </w:pPr>
      <w:r>
        <w:rPr>
          <w:rFonts w:ascii="宋体" w:hAnsi="宋体" w:cs="宋体"/>
          <w:b/>
          <w:color w:val="auto"/>
          <w:kern w:val="0"/>
          <w:sz w:val="32"/>
          <w:szCs w:val="32"/>
          <w:highlight w:val="none"/>
        </w:rPr>
        <w:br w:type="page"/>
      </w:r>
      <w:bookmarkStart w:id="440" w:name="_Toc20879"/>
      <w:r>
        <w:rPr>
          <w:rFonts w:hint="eastAsia" w:ascii="宋体" w:hAnsi="宋体" w:cs="宋体"/>
          <w:b/>
          <w:color w:val="auto"/>
          <w:kern w:val="0"/>
          <w:sz w:val="36"/>
          <w:szCs w:val="36"/>
          <w:highlight w:val="none"/>
        </w:rPr>
        <w:t>商务技术文件部分</w:t>
      </w:r>
      <w:bookmarkEnd w:id="440"/>
    </w:p>
    <w:p w14:paraId="6F9AEBBD">
      <w:pPr>
        <w:spacing w:line="360" w:lineRule="auto"/>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目录</w:t>
      </w:r>
    </w:p>
    <w:p w14:paraId="33BCA3DE">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（1）投标函</w:t>
      </w:r>
      <w:r>
        <w:rPr>
          <w:rFonts w:hint="eastAsia" w:ascii="宋体" w:hAnsi="宋体" w:cs="宋体"/>
          <w:color w:val="auto"/>
          <w:highlight w:val="none"/>
        </w:rPr>
        <w:t>…………………………………………………………………………………（页码）</w:t>
      </w:r>
      <w:r>
        <w:rPr>
          <w:rFonts w:hint="eastAsia" w:ascii="宋体" w:hAnsi="宋体" w:cs="宋体"/>
          <w:color w:val="auto"/>
          <w:sz w:val="24"/>
          <w:highlight w:val="none"/>
        </w:rPr>
        <w:t>（2）授权委托书或法定代表人（单位负责人、自然人本人）身份证明</w:t>
      </w:r>
      <w:r>
        <w:rPr>
          <w:rFonts w:hint="eastAsia" w:ascii="宋体" w:hAnsi="宋体" w:cs="宋体"/>
          <w:color w:val="auto"/>
          <w:highlight w:val="none"/>
        </w:rPr>
        <w:t>………（页码）</w:t>
      </w:r>
    </w:p>
    <w:p w14:paraId="0ACA9284">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color w:val="auto"/>
          <w:highlight w:val="none"/>
        </w:rPr>
        <w:t>…………………………………………………………………………（页码）</w:t>
      </w:r>
    </w:p>
    <w:p w14:paraId="33DC9DE4">
      <w:pPr>
        <w:snapToGrid w:val="0"/>
        <w:spacing w:line="360" w:lineRule="auto"/>
        <w:ind w:firstLine="480" w:firstLineChars="200"/>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）符合性审查资料</w:t>
      </w:r>
      <w:r>
        <w:rPr>
          <w:rFonts w:hint="eastAsia" w:ascii="宋体" w:hAnsi="宋体" w:cs="宋体"/>
          <w:color w:val="auto"/>
          <w:highlight w:val="none"/>
        </w:rPr>
        <w:t>………………………………………………………………………（页码）</w:t>
      </w:r>
    </w:p>
    <w:p w14:paraId="1E44EA67">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）投标标的清单</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）商务技术偏离表</w:t>
      </w:r>
      <w:r>
        <w:rPr>
          <w:rFonts w:hint="eastAsia" w:ascii="宋体" w:hAnsi="宋体" w:cs="宋体"/>
          <w:color w:val="auto"/>
          <w:highlight w:val="none"/>
        </w:rPr>
        <w:t>………………………………………………………………………（页码）</w:t>
      </w:r>
    </w:p>
    <w:p w14:paraId="5ED981AC">
      <w:pPr>
        <w:snapToGrid w:val="0"/>
        <w:spacing w:line="360" w:lineRule="auto"/>
        <w:ind w:left="479" w:leftChars="228"/>
        <w:rPr>
          <w:rFonts w:ascii="宋体" w:hAnsi="宋体" w:cs="宋体"/>
          <w:b/>
          <w:color w:val="auto"/>
          <w:kern w:val="0"/>
          <w:sz w:val="32"/>
          <w:szCs w:val="32"/>
          <w:highlight w:val="none"/>
        </w:rPr>
      </w:pP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r>
        <w:rPr>
          <w:rFonts w:hint="eastAsia" w:ascii="宋体" w:hAnsi="宋体" w:cs="宋体"/>
          <w:color w:val="auto"/>
          <w:highlight w:val="none"/>
        </w:rPr>
        <w:t>…………………………………………………（页码）</w:t>
      </w:r>
    </w:p>
    <w:p w14:paraId="2770AA8E">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5CC1F299">
      <w:pPr>
        <w:snapToGrid w:val="0"/>
        <w:spacing w:line="360" w:lineRule="auto"/>
        <w:ind w:firstLine="3855" w:firstLineChars="1200"/>
        <w:rPr>
          <w:rFonts w:ascii="宋体" w:hAnsi="宋体" w:cs="宋体"/>
          <w:b/>
          <w:color w:val="auto"/>
          <w:sz w:val="32"/>
          <w:szCs w:val="32"/>
          <w:highlight w:val="none"/>
        </w:rPr>
      </w:pPr>
      <w:r>
        <w:rPr>
          <w:rFonts w:hint="eastAsia" w:ascii="宋体" w:hAnsi="宋体" w:cs="宋体"/>
          <w:b/>
          <w:color w:val="auto"/>
          <w:kern w:val="0"/>
          <w:sz w:val="32"/>
          <w:szCs w:val="32"/>
          <w:highlight w:val="none"/>
        </w:rPr>
        <w:t>一、投标</w:t>
      </w:r>
      <w:r>
        <w:rPr>
          <w:rFonts w:hint="eastAsia" w:ascii="宋体" w:hAnsi="宋体" w:cs="宋体"/>
          <w:b/>
          <w:color w:val="auto"/>
          <w:sz w:val="32"/>
          <w:szCs w:val="32"/>
          <w:highlight w:val="none"/>
        </w:rPr>
        <w:t>函</w:t>
      </w:r>
    </w:p>
    <w:p w14:paraId="3B5BF2E9">
      <w:pPr>
        <w:snapToGrid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p>
    <w:p w14:paraId="194DA1D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我方参加你方组织的</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【招标编号：】招标的有关活动，并对此项目进行投标。为此：</w:t>
      </w:r>
    </w:p>
    <w:p w14:paraId="39E2C122">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1、我方承诺投标有效期从提交投标文件的截止之日起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天（不少于90天）</w:t>
      </w:r>
      <w:r>
        <w:rPr>
          <w:rFonts w:hint="eastAsia" w:ascii="宋体" w:hAnsi="宋体" w:cs="宋体"/>
          <w:color w:val="auto"/>
          <w:highlight w:val="none"/>
        </w:rPr>
        <w:t>，</w:t>
      </w:r>
      <w:r>
        <w:rPr>
          <w:rFonts w:hint="eastAsia" w:ascii="宋体" w:hAnsi="宋体" w:cs="宋体"/>
          <w:color w:val="auto"/>
          <w:sz w:val="24"/>
          <w:highlight w:val="none"/>
        </w:rPr>
        <w:t>本投标文件在投标有效期满之前均具有约束力。</w:t>
      </w:r>
    </w:p>
    <w:p w14:paraId="580A625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2、我方的投标文件包括以下内容：</w:t>
      </w:r>
    </w:p>
    <w:p w14:paraId="6DF3402D">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2.1资格文件：</w:t>
      </w:r>
    </w:p>
    <w:p w14:paraId="600057A6">
      <w:pPr>
        <w:snapToGrid w:val="0"/>
        <w:spacing w:line="360" w:lineRule="auto"/>
        <w:ind w:left="210" w:leftChars="100" w:firstLine="480" w:firstLineChars="200"/>
        <w:rPr>
          <w:rFonts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7B5AC756">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3报价文件</w:t>
      </w:r>
    </w:p>
    <w:p w14:paraId="23CFC57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3、我方承诺除商务技术偏离表列出的偏离外，我方响应招标文件的全部要求。</w:t>
      </w:r>
    </w:p>
    <w:p w14:paraId="2095004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4、如我方中标，我方承诺：</w:t>
      </w:r>
    </w:p>
    <w:p w14:paraId="1A45CDE1">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4.1在收到中标通知书后，在中标通知书规定的期限内与你方签订合同； </w:t>
      </w:r>
    </w:p>
    <w:p w14:paraId="6BE71301">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4.2在签订合同时不向你方提出附加条件； </w:t>
      </w:r>
    </w:p>
    <w:p w14:paraId="5B864A1E">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4.3按照招标文件要求提交履约保证金； </w:t>
      </w:r>
    </w:p>
    <w:p w14:paraId="245E5FE8">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4.4在合同约定的期限内完成合同规定的全部义务。 </w:t>
      </w:r>
    </w:p>
    <w:p w14:paraId="4F7D1124">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5、其他补充说明: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03C3C07">
      <w:pPr>
        <w:spacing w:line="360" w:lineRule="auto"/>
        <w:ind w:firstLine="3600" w:firstLineChars="1500"/>
        <w:rPr>
          <w:rFonts w:ascii="宋体" w:hAnsi="宋体" w:cs="宋体"/>
          <w:color w:val="auto"/>
          <w:sz w:val="24"/>
          <w:highlight w:val="none"/>
        </w:rPr>
      </w:pPr>
      <w:r>
        <w:rPr>
          <w:rFonts w:hint="eastAsia" w:ascii="宋体" w:hAnsi="宋体" w:cs="宋体"/>
          <w:color w:val="auto"/>
          <w:sz w:val="24"/>
          <w:highlight w:val="none"/>
        </w:rPr>
        <w:t xml:space="preserve">投标人名称（电子签名）：                          </w:t>
      </w:r>
    </w:p>
    <w:p w14:paraId="12D995E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5FC4D6BA">
      <w:pPr>
        <w:snapToGrid w:val="0"/>
        <w:spacing w:line="360" w:lineRule="auto"/>
        <w:ind w:left="420" w:leftChars="200" w:firstLine="4200" w:firstLineChars="1750"/>
        <w:rPr>
          <w:rFonts w:ascii="宋体" w:hAnsi="宋体" w:cs="宋体"/>
          <w:color w:val="auto"/>
          <w:kern w:val="0"/>
          <w:sz w:val="24"/>
          <w:highlight w:val="none"/>
          <w:u w:val="single"/>
        </w:rPr>
      </w:pPr>
    </w:p>
    <w:p w14:paraId="69208BAD">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552D1BB7">
      <w:pPr>
        <w:snapToGrid w:val="0"/>
        <w:spacing w:line="360" w:lineRule="auto"/>
        <w:jc w:val="center"/>
        <w:rPr>
          <w:rFonts w:ascii="宋体" w:hAnsi="宋体" w:cs="宋体"/>
          <w:b/>
          <w:color w:val="auto"/>
          <w:kern w:val="0"/>
          <w:sz w:val="32"/>
          <w:szCs w:val="32"/>
          <w:highlight w:val="none"/>
        </w:rPr>
      </w:pPr>
    </w:p>
    <w:p w14:paraId="0EABBDF2">
      <w:pPr>
        <w:snapToGrid w:val="0"/>
        <w:spacing w:line="360" w:lineRule="auto"/>
        <w:rPr>
          <w:rFonts w:ascii="宋体" w:hAnsi="宋体" w:cs="宋体"/>
          <w:color w:val="auto"/>
          <w:sz w:val="24"/>
          <w:highlight w:val="none"/>
        </w:rPr>
      </w:pPr>
    </w:p>
    <w:p w14:paraId="71BC67B7">
      <w:pPr>
        <w:jc w:val="center"/>
        <w:rPr>
          <w:rFonts w:ascii="宋体" w:hAnsi="宋体" w:cs="宋体"/>
          <w:b/>
          <w:color w:val="auto"/>
          <w:kern w:val="0"/>
          <w:sz w:val="32"/>
          <w:szCs w:val="32"/>
          <w:highlight w:val="none"/>
        </w:rPr>
      </w:pPr>
    </w:p>
    <w:p w14:paraId="7EC859CC">
      <w:pPr>
        <w:jc w:val="center"/>
        <w:rPr>
          <w:rFonts w:ascii="宋体" w:hAnsi="宋体" w:cs="宋体"/>
          <w:b/>
          <w:color w:val="auto"/>
          <w:kern w:val="0"/>
          <w:sz w:val="32"/>
          <w:szCs w:val="32"/>
          <w:highlight w:val="none"/>
        </w:rPr>
      </w:pPr>
    </w:p>
    <w:p w14:paraId="5C4C1475">
      <w:pPr>
        <w:jc w:val="center"/>
        <w:rPr>
          <w:rFonts w:ascii="宋体" w:hAnsi="宋体" w:cs="宋体"/>
          <w:b/>
          <w:color w:val="auto"/>
          <w:kern w:val="0"/>
          <w:sz w:val="32"/>
          <w:szCs w:val="32"/>
          <w:highlight w:val="none"/>
        </w:rPr>
      </w:pPr>
    </w:p>
    <w:p w14:paraId="7F2537C1">
      <w:pPr>
        <w:jc w:val="center"/>
        <w:rPr>
          <w:rFonts w:ascii="宋体" w:hAnsi="宋体" w:cs="宋体"/>
          <w:b/>
          <w:color w:val="auto"/>
          <w:kern w:val="0"/>
          <w:sz w:val="32"/>
          <w:szCs w:val="32"/>
          <w:highlight w:val="none"/>
        </w:rPr>
      </w:pPr>
    </w:p>
    <w:p w14:paraId="5D379055">
      <w:pPr>
        <w:jc w:val="center"/>
        <w:rPr>
          <w:rFonts w:ascii="宋体" w:hAnsi="宋体" w:cs="宋体"/>
          <w:b/>
          <w:color w:val="auto"/>
          <w:kern w:val="0"/>
          <w:sz w:val="32"/>
          <w:szCs w:val="32"/>
          <w:highlight w:val="none"/>
        </w:rPr>
      </w:pPr>
    </w:p>
    <w:p w14:paraId="34B1C4BE">
      <w:pPr>
        <w:widowControl/>
        <w:adjustRightInd/>
        <w:jc w:val="left"/>
        <w:rPr>
          <w:rFonts w:ascii="宋体" w:hAnsi="宋体" w:cs="宋体"/>
          <w:b/>
          <w:color w:val="auto"/>
          <w:kern w:val="0"/>
          <w:sz w:val="32"/>
          <w:szCs w:val="32"/>
          <w:highlight w:val="none"/>
        </w:rPr>
      </w:pPr>
    </w:p>
    <w:p w14:paraId="4AC70685">
      <w:pPr>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二、授权委托书或法定代表人（单位负责人、自然人本人）身份证明</w:t>
      </w:r>
    </w:p>
    <w:p w14:paraId="7CC9ACA6">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4A8B6245">
      <w:pPr>
        <w:snapToGrid w:val="0"/>
        <w:spacing w:line="360" w:lineRule="auto"/>
        <w:ind w:firstLine="2872" w:firstLineChars="894"/>
        <w:rPr>
          <w:rFonts w:ascii="宋体" w:hAnsi="宋体" w:cs="宋体"/>
          <w:color w:val="auto"/>
          <w:highlight w:val="none"/>
        </w:rPr>
      </w:pPr>
      <w:r>
        <w:rPr>
          <w:rFonts w:hint="eastAsia" w:ascii="宋体" w:hAnsi="宋体" w:cs="宋体"/>
          <w:b/>
          <w:color w:val="auto"/>
          <w:kern w:val="0"/>
          <w:sz w:val="32"/>
          <w:szCs w:val="32"/>
          <w:highlight w:val="none"/>
          <w:lang w:val="zh-CN"/>
        </w:rPr>
        <w:t>授权委托书（适用于非联合体投标）</w:t>
      </w:r>
      <w:r>
        <w:rPr>
          <w:rFonts w:hint="eastAsia" w:ascii="宋体" w:hAnsi="宋体" w:cs="宋体"/>
          <w:color w:val="auto"/>
          <w:highlight w:val="none"/>
        </w:rPr>
        <w:t xml:space="preserve">                               </w:t>
      </w:r>
    </w:p>
    <w:p w14:paraId="28FFBEF2">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15E69C98">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政府采购投标的一切事项，其法律后果由我方承担。</w:t>
      </w:r>
    </w:p>
    <w:p w14:paraId="7B11A5C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19206ED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3281A53A">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投标人名称(电子签名)：</w:t>
      </w:r>
    </w:p>
    <w:p w14:paraId="64D4ED6E">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签发日期：  年  月   日</w:t>
      </w:r>
    </w:p>
    <w:p w14:paraId="7ECDDBF6">
      <w:pPr>
        <w:snapToGrid w:val="0"/>
        <w:spacing w:line="360" w:lineRule="auto"/>
        <w:rPr>
          <w:rFonts w:ascii="宋体" w:hAnsi="宋体" w:cs="宋体"/>
          <w:color w:val="auto"/>
          <w:sz w:val="24"/>
          <w:highlight w:val="none"/>
        </w:rPr>
      </w:pPr>
    </w:p>
    <w:p w14:paraId="7EBB0A66">
      <w:pPr>
        <w:snapToGrid w:val="0"/>
        <w:spacing w:line="360" w:lineRule="auto"/>
        <w:rPr>
          <w:rFonts w:ascii="宋体" w:hAnsi="宋体" w:cs="宋体"/>
          <w:color w:val="auto"/>
          <w:sz w:val="24"/>
          <w:highlight w:val="none"/>
        </w:rPr>
      </w:pPr>
    </w:p>
    <w:p w14:paraId="1CE07842">
      <w:pPr>
        <w:snapToGrid w:val="0"/>
        <w:spacing w:line="360" w:lineRule="auto"/>
        <w:rPr>
          <w:rFonts w:ascii="宋体" w:hAnsi="宋体" w:cs="宋体"/>
          <w:color w:val="auto"/>
          <w:sz w:val="24"/>
          <w:highlight w:val="none"/>
        </w:rPr>
      </w:pPr>
    </w:p>
    <w:p w14:paraId="75AE3807">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lang w:val="zh-CN"/>
        </w:rPr>
        <w:t xml:space="preserve">      </w:t>
      </w:r>
      <w:r>
        <w:rPr>
          <w:rFonts w:hint="eastAsia" w:ascii="宋体" w:hAnsi="宋体" w:cs="宋体"/>
          <w:b/>
          <w:color w:val="auto"/>
          <w:kern w:val="0"/>
          <w:sz w:val="32"/>
          <w:szCs w:val="32"/>
          <w:highlight w:val="none"/>
        </w:rPr>
        <w:t xml:space="preserve"> </w:t>
      </w:r>
      <w:r>
        <w:rPr>
          <w:rFonts w:hint="eastAsia" w:ascii="宋体" w:hAnsi="宋体" w:cs="宋体"/>
          <w:b/>
          <w:color w:val="auto"/>
          <w:kern w:val="0"/>
          <w:sz w:val="32"/>
          <w:szCs w:val="32"/>
          <w:highlight w:val="none"/>
          <w:lang w:val="zh-CN"/>
        </w:rPr>
        <w:t>授权委托书（适用于联合体投标）</w:t>
      </w:r>
    </w:p>
    <w:p w14:paraId="0F8BC9C0">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60466930">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政府采购投标的一切事项，其法律后果由我方承担。</w:t>
      </w:r>
    </w:p>
    <w:p w14:paraId="3A5016C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5AD165D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7E91B2BE">
      <w:pPr>
        <w:jc w:val="center"/>
        <w:rPr>
          <w:rFonts w:ascii="宋体" w:hAnsi="宋体" w:cs="宋体"/>
          <w:b/>
          <w:color w:val="auto"/>
          <w:kern w:val="0"/>
          <w:sz w:val="32"/>
          <w:szCs w:val="32"/>
          <w:highlight w:val="none"/>
        </w:rPr>
      </w:pPr>
    </w:p>
    <w:p w14:paraId="4895261A">
      <w:pPr>
        <w:jc w:val="center"/>
        <w:rPr>
          <w:rFonts w:ascii="宋体" w:hAnsi="宋体" w:cs="宋体"/>
          <w:b/>
          <w:color w:val="auto"/>
          <w:kern w:val="0"/>
          <w:sz w:val="32"/>
          <w:szCs w:val="32"/>
          <w:highlight w:val="none"/>
        </w:rPr>
      </w:pPr>
    </w:p>
    <w:p w14:paraId="639A51E6">
      <w:pPr>
        <w:jc w:val="center"/>
        <w:rPr>
          <w:rFonts w:ascii="宋体" w:hAnsi="宋体" w:cs="宋体"/>
          <w:b/>
          <w:color w:val="auto"/>
          <w:kern w:val="0"/>
          <w:sz w:val="32"/>
          <w:szCs w:val="32"/>
          <w:highlight w:val="none"/>
        </w:rPr>
      </w:pPr>
    </w:p>
    <w:p w14:paraId="37E6AD4E">
      <w:pPr>
        <w:rPr>
          <w:rFonts w:ascii="宋体" w:hAnsi="宋体" w:cs="宋体"/>
          <w:color w:val="auto"/>
          <w:highlight w:val="none"/>
        </w:rPr>
      </w:pPr>
    </w:p>
    <w:p w14:paraId="1C9B57E2">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56633286">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87D7CE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7D9C6678">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507BB312">
      <w:pPr>
        <w:autoSpaceDE w:val="0"/>
        <w:autoSpaceDN w:val="0"/>
        <w:spacing w:line="360" w:lineRule="auto"/>
        <w:jc w:val="center"/>
        <w:rPr>
          <w:rFonts w:ascii="宋体" w:hAnsi="宋体" w:cs="宋体"/>
          <w:b/>
          <w:color w:val="auto"/>
          <w:sz w:val="24"/>
          <w:highlight w:val="none"/>
        </w:rPr>
      </w:pPr>
      <w:r>
        <w:rPr>
          <w:rFonts w:hint="eastAsia" w:ascii="宋体" w:hAnsi="宋体" w:cs="宋体"/>
          <w:b/>
          <w:color w:val="auto"/>
          <w:kern w:val="0"/>
          <w:sz w:val="32"/>
          <w:szCs w:val="32"/>
          <w:highlight w:val="none"/>
          <w:lang w:val="zh-CN"/>
        </w:rPr>
        <w:t>法定代表人、单位负责人或自然人本人</w:t>
      </w:r>
      <w:r>
        <w:rPr>
          <w:rFonts w:hint="eastAsia" w:ascii="宋体" w:hAnsi="宋体" w:cs="宋体"/>
          <w:b/>
          <w:color w:val="auto"/>
          <w:sz w:val="30"/>
          <w:szCs w:val="30"/>
          <w:highlight w:val="none"/>
        </w:rPr>
        <w:t>的身份证明（适用于法定代表人、单位负责人或者自然人本人代表投标人参加投标）</w:t>
      </w:r>
    </w:p>
    <w:p w14:paraId="3EFB7F62">
      <w:pPr>
        <w:pStyle w:val="45"/>
        <w:spacing w:line="360" w:lineRule="auto"/>
        <w:rPr>
          <w:rFonts w:hAnsi="宋体" w:cs="宋体"/>
          <w:bCs/>
          <w:color w:val="auto"/>
          <w:sz w:val="24"/>
          <w:highlight w:val="none"/>
        </w:rPr>
      </w:pPr>
      <w:r>
        <w:rPr>
          <w:rFonts w:hint="eastAsia" w:hAnsi="宋体" w:cs="宋体"/>
          <w:bCs/>
          <w:color w:val="auto"/>
          <w:sz w:val="24"/>
          <w:highlight w:val="none"/>
        </w:rPr>
        <w:t>身份证件扫描件：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1F09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noWrap w:val="0"/>
            <w:vAlign w:val="top"/>
          </w:tcPr>
          <w:p w14:paraId="711DCF2F">
            <w:pPr>
              <w:pStyle w:val="45"/>
              <w:adjustRightInd w:val="0"/>
              <w:spacing w:line="360" w:lineRule="auto"/>
              <w:rPr>
                <w:rFonts w:hAnsi="宋体" w:cs="宋体"/>
                <w:bCs/>
                <w:color w:val="auto"/>
                <w:sz w:val="24"/>
                <w:highlight w:val="none"/>
              </w:rPr>
            </w:pPr>
            <w:r>
              <w:rPr>
                <w:rFonts w:hint="eastAsia" w:hAnsi="宋体" w:cs="宋体"/>
                <w:bCs/>
                <w:color w:val="auto"/>
                <w:sz w:val="24"/>
                <w:highlight w:val="none"/>
              </w:rPr>
              <w:t>正面：                                 反面：</w:t>
            </w:r>
          </w:p>
          <w:p w14:paraId="78D19C77">
            <w:pPr>
              <w:pStyle w:val="45"/>
              <w:adjustRightInd w:val="0"/>
              <w:spacing w:line="360" w:lineRule="auto"/>
              <w:rPr>
                <w:rFonts w:hAnsi="宋体" w:cs="宋体"/>
                <w:bCs/>
                <w:color w:val="auto"/>
                <w:sz w:val="24"/>
                <w:highlight w:val="none"/>
              </w:rPr>
            </w:pPr>
          </w:p>
        </w:tc>
      </w:tr>
    </w:tbl>
    <w:p w14:paraId="2F9DE67F">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7E5C6216">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                              </w:t>
      </w:r>
    </w:p>
    <w:p w14:paraId="79EBC942">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21FA32CE">
      <w:pPr>
        <w:jc w:val="center"/>
        <w:rPr>
          <w:rFonts w:ascii="宋体" w:hAnsi="宋体" w:cs="宋体"/>
          <w:b/>
          <w:color w:val="auto"/>
          <w:kern w:val="0"/>
          <w:sz w:val="32"/>
          <w:szCs w:val="32"/>
          <w:highlight w:val="none"/>
        </w:rPr>
      </w:pPr>
    </w:p>
    <w:p w14:paraId="28223246">
      <w:pPr>
        <w:jc w:val="center"/>
        <w:rPr>
          <w:rFonts w:ascii="宋体" w:hAnsi="宋体" w:cs="宋体"/>
          <w:b/>
          <w:color w:val="auto"/>
          <w:kern w:val="0"/>
          <w:sz w:val="32"/>
          <w:szCs w:val="32"/>
          <w:highlight w:val="none"/>
        </w:rPr>
      </w:pPr>
    </w:p>
    <w:p w14:paraId="6A5C1B71">
      <w:pPr>
        <w:jc w:val="center"/>
        <w:rPr>
          <w:rFonts w:ascii="宋体" w:hAnsi="宋体" w:cs="宋体"/>
          <w:b/>
          <w:color w:val="auto"/>
          <w:kern w:val="0"/>
          <w:sz w:val="32"/>
          <w:szCs w:val="32"/>
          <w:highlight w:val="none"/>
        </w:rPr>
      </w:pPr>
    </w:p>
    <w:p w14:paraId="2F2F3CBC">
      <w:pPr>
        <w:jc w:val="center"/>
        <w:rPr>
          <w:rFonts w:ascii="宋体" w:hAnsi="宋体" w:cs="宋体"/>
          <w:b/>
          <w:color w:val="auto"/>
          <w:kern w:val="0"/>
          <w:sz w:val="32"/>
          <w:szCs w:val="32"/>
          <w:highlight w:val="none"/>
        </w:rPr>
      </w:pPr>
    </w:p>
    <w:p w14:paraId="08407EAF">
      <w:pPr>
        <w:jc w:val="center"/>
        <w:rPr>
          <w:rFonts w:ascii="宋体" w:hAnsi="宋体" w:cs="宋体"/>
          <w:b/>
          <w:color w:val="auto"/>
          <w:kern w:val="0"/>
          <w:sz w:val="32"/>
          <w:szCs w:val="32"/>
          <w:highlight w:val="none"/>
        </w:rPr>
      </w:pPr>
    </w:p>
    <w:p w14:paraId="2BCF8EE0">
      <w:pPr>
        <w:jc w:val="center"/>
        <w:rPr>
          <w:rFonts w:ascii="宋体" w:hAnsi="宋体" w:cs="宋体"/>
          <w:b/>
          <w:color w:val="auto"/>
          <w:kern w:val="0"/>
          <w:sz w:val="32"/>
          <w:szCs w:val="32"/>
          <w:highlight w:val="none"/>
        </w:rPr>
      </w:pPr>
    </w:p>
    <w:p w14:paraId="72F8B5FC">
      <w:pPr>
        <w:jc w:val="center"/>
        <w:rPr>
          <w:rFonts w:ascii="宋体" w:hAnsi="宋体" w:cs="宋体"/>
          <w:b/>
          <w:color w:val="auto"/>
          <w:kern w:val="0"/>
          <w:sz w:val="32"/>
          <w:szCs w:val="32"/>
          <w:highlight w:val="none"/>
        </w:rPr>
      </w:pPr>
    </w:p>
    <w:p w14:paraId="437B514E">
      <w:pPr>
        <w:jc w:val="center"/>
        <w:rPr>
          <w:rFonts w:ascii="宋体" w:hAnsi="宋体" w:cs="宋体"/>
          <w:b/>
          <w:color w:val="auto"/>
          <w:kern w:val="0"/>
          <w:sz w:val="32"/>
          <w:szCs w:val="32"/>
          <w:highlight w:val="none"/>
        </w:rPr>
      </w:pPr>
    </w:p>
    <w:p w14:paraId="19E9249A">
      <w:pPr>
        <w:jc w:val="center"/>
        <w:rPr>
          <w:rFonts w:ascii="宋体" w:hAnsi="宋体" w:cs="宋体"/>
          <w:b/>
          <w:color w:val="auto"/>
          <w:kern w:val="0"/>
          <w:sz w:val="32"/>
          <w:szCs w:val="32"/>
          <w:highlight w:val="none"/>
        </w:rPr>
      </w:pPr>
    </w:p>
    <w:p w14:paraId="40C76D75">
      <w:pPr>
        <w:jc w:val="center"/>
        <w:rPr>
          <w:rFonts w:ascii="宋体" w:hAnsi="宋体" w:cs="宋体"/>
          <w:b/>
          <w:color w:val="auto"/>
          <w:kern w:val="0"/>
          <w:sz w:val="32"/>
          <w:szCs w:val="32"/>
          <w:highlight w:val="none"/>
        </w:rPr>
      </w:pPr>
    </w:p>
    <w:p w14:paraId="250E9CFF">
      <w:pPr>
        <w:snapToGrid w:val="0"/>
        <w:spacing w:line="360" w:lineRule="auto"/>
        <w:ind w:right="480"/>
        <w:rPr>
          <w:rFonts w:ascii="宋体" w:hAnsi="宋体" w:cs="宋体"/>
          <w:b/>
          <w:color w:val="auto"/>
          <w:kern w:val="0"/>
          <w:sz w:val="32"/>
          <w:szCs w:val="32"/>
          <w:highlight w:val="none"/>
        </w:rPr>
        <w:sectPr>
          <w:headerReference r:id="rId9" w:type="first"/>
          <w:footerReference r:id="rId11" w:type="first"/>
          <w:headerReference r:id="rId8" w:type="default"/>
          <w:footerReference r:id="rId10" w:type="default"/>
          <w:pgSz w:w="11906" w:h="16838"/>
          <w:pgMar w:top="1276" w:right="1418" w:bottom="1247" w:left="1418" w:header="851" w:footer="992" w:gutter="0"/>
          <w:cols w:space="720" w:num="1"/>
          <w:titlePg/>
          <w:docGrid w:linePitch="312" w:charSpace="0"/>
        </w:sectPr>
      </w:pPr>
    </w:p>
    <w:p w14:paraId="035739B4">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三、分包意向协议（如果有）</w:t>
      </w:r>
    </w:p>
    <w:p w14:paraId="18FBD1DB">
      <w:pPr>
        <w:widowControl/>
        <w:spacing w:line="360" w:lineRule="auto"/>
        <w:ind w:firstLine="120" w:firstLineChars="50"/>
        <w:jc w:val="left"/>
        <w:rPr>
          <w:rFonts w:ascii="宋体" w:hAnsi="宋体" w:cs="宋体"/>
          <w:color w:val="auto"/>
          <w:sz w:val="24"/>
          <w:highlight w:val="none"/>
        </w:rPr>
      </w:pPr>
      <w:bookmarkStart w:id="441" w:name="_Hlk101169080"/>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中标后以分包方式履行合同的，提供分包意向协议(附件6</w:t>
      </w:r>
      <w:r>
        <w:rPr>
          <w:rFonts w:ascii="宋体" w:hAnsi="宋体" w:cs="宋体"/>
          <w:b/>
          <w:color w:val="auto"/>
          <w:sz w:val="24"/>
          <w:highlight w:val="none"/>
        </w:rPr>
        <w:t>)</w:t>
      </w:r>
      <w:r>
        <w:rPr>
          <w:rFonts w:hint="eastAsia" w:ascii="宋体" w:hAnsi="宋体" w:cs="宋体"/>
          <w:b/>
          <w:color w:val="auto"/>
          <w:sz w:val="24"/>
          <w:highlight w:val="none"/>
        </w:rPr>
        <w:t>；采购人不同意分包或者投标人中标后不以分包方式履行合同的，则不需要提供。</w:t>
      </w:r>
      <w:r>
        <w:rPr>
          <w:rFonts w:hint="eastAsia" w:ascii="宋体" w:hAnsi="宋体" w:cs="宋体"/>
          <w:color w:val="auto"/>
          <w:sz w:val="24"/>
          <w:highlight w:val="none"/>
        </w:rPr>
        <w:t>]</w:t>
      </w:r>
    </w:p>
    <w:bookmarkEnd w:id="441"/>
    <w:p w14:paraId="7E19A2AF">
      <w:pPr>
        <w:tabs>
          <w:tab w:val="left" w:pos="432"/>
        </w:tabs>
        <w:rPr>
          <w:color w:val="auto"/>
          <w:highlight w:val="none"/>
        </w:rPr>
      </w:pPr>
    </w:p>
    <w:p w14:paraId="041C30A7">
      <w:pPr>
        <w:jc w:val="center"/>
        <w:rPr>
          <w:rFonts w:ascii="宋体" w:hAnsi="宋体" w:cs="宋体"/>
          <w:b/>
          <w:color w:val="auto"/>
          <w:kern w:val="0"/>
          <w:sz w:val="32"/>
          <w:szCs w:val="32"/>
          <w:highlight w:val="none"/>
        </w:rPr>
      </w:pPr>
    </w:p>
    <w:p w14:paraId="527B9868">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四、符合性审查资料</w:t>
      </w:r>
    </w:p>
    <w:p w14:paraId="00EB336E">
      <w:pPr>
        <w:jc w:val="center"/>
        <w:rPr>
          <w:rFonts w:ascii="宋体" w:hAnsi="宋体" w:cs="宋体"/>
          <w:b/>
          <w:color w:val="auto"/>
          <w:kern w:val="0"/>
          <w:sz w:val="32"/>
          <w:szCs w:val="3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4F31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05F5AD8D">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4991" w:type="dxa"/>
            <w:noWrap w:val="0"/>
            <w:vAlign w:val="center"/>
          </w:tcPr>
          <w:p w14:paraId="53DD513C">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实质性要求</w:t>
            </w:r>
          </w:p>
        </w:tc>
        <w:tc>
          <w:tcPr>
            <w:tcW w:w="2551" w:type="dxa"/>
            <w:noWrap w:val="0"/>
            <w:vAlign w:val="center"/>
          </w:tcPr>
          <w:p w14:paraId="24A13809">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需要提供的符合性审查资料</w:t>
            </w:r>
          </w:p>
        </w:tc>
        <w:tc>
          <w:tcPr>
            <w:tcW w:w="1418" w:type="dxa"/>
            <w:noWrap w:val="0"/>
            <w:vAlign w:val="center"/>
          </w:tcPr>
          <w:p w14:paraId="6EDCC69B">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投标文件中的</w:t>
            </w:r>
          </w:p>
          <w:p w14:paraId="55FBC6CF">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页码位置</w:t>
            </w:r>
          </w:p>
        </w:tc>
      </w:tr>
      <w:tr w14:paraId="492F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7B24189A">
            <w:pPr>
              <w:jc w:val="center"/>
              <w:rPr>
                <w:rFonts w:ascii="宋体" w:hAnsi="宋体" w:cs="宋体"/>
                <w:color w:val="auto"/>
                <w:sz w:val="24"/>
                <w:highlight w:val="none"/>
              </w:rPr>
            </w:pPr>
            <w:r>
              <w:rPr>
                <w:rFonts w:hint="eastAsia" w:ascii="宋体" w:hAnsi="宋体" w:cs="宋体"/>
                <w:color w:val="auto"/>
                <w:sz w:val="24"/>
                <w:highlight w:val="none"/>
              </w:rPr>
              <w:t>1</w:t>
            </w:r>
          </w:p>
        </w:tc>
        <w:tc>
          <w:tcPr>
            <w:tcW w:w="4991" w:type="dxa"/>
            <w:noWrap w:val="0"/>
            <w:vAlign w:val="top"/>
          </w:tcPr>
          <w:p w14:paraId="5A6962EE">
            <w:pPr>
              <w:spacing w:line="360" w:lineRule="auto"/>
              <w:rPr>
                <w:rFonts w:ascii="宋体" w:hAnsi="宋体" w:cs="宋体"/>
                <w:color w:val="auto"/>
                <w:sz w:val="24"/>
                <w:highlight w:val="none"/>
              </w:rPr>
            </w:pPr>
            <w:r>
              <w:rPr>
                <w:rFonts w:hint="eastAsia" w:ascii="宋体" w:hAnsi="宋体" w:cs="宋体"/>
                <w:color w:val="auto"/>
                <w:sz w:val="24"/>
                <w:highlight w:val="none"/>
              </w:rPr>
              <w:t>投标文件按照招标文件要求签署、盖章。</w:t>
            </w:r>
          </w:p>
        </w:tc>
        <w:tc>
          <w:tcPr>
            <w:tcW w:w="2551" w:type="dxa"/>
            <w:noWrap w:val="0"/>
            <w:vAlign w:val="center"/>
          </w:tcPr>
          <w:p w14:paraId="3CEED1FD">
            <w:pPr>
              <w:rPr>
                <w:rFonts w:ascii="宋体" w:hAnsi="宋体" w:cs="宋体"/>
                <w:color w:val="auto"/>
                <w:sz w:val="24"/>
                <w:highlight w:val="none"/>
              </w:rPr>
            </w:pPr>
            <w:r>
              <w:rPr>
                <w:rFonts w:hint="eastAsia" w:ascii="宋体" w:hAnsi="宋体" w:cs="宋体"/>
                <w:color w:val="auto"/>
                <w:sz w:val="24"/>
                <w:highlight w:val="none"/>
              </w:rPr>
              <w:t>需要使用电子签名或者签字盖章的投标文件的组成部分</w:t>
            </w:r>
          </w:p>
        </w:tc>
        <w:tc>
          <w:tcPr>
            <w:tcW w:w="1418" w:type="dxa"/>
            <w:noWrap w:val="0"/>
            <w:vAlign w:val="top"/>
          </w:tcPr>
          <w:p w14:paraId="2F4A4260">
            <w:pPr>
              <w:rPr>
                <w:rFonts w:ascii="宋体" w:hAnsi="宋体" w:cs="宋体"/>
                <w:color w:val="auto"/>
                <w:sz w:val="24"/>
                <w:highlight w:val="none"/>
              </w:rPr>
            </w:pPr>
          </w:p>
          <w:p w14:paraId="5E9BD52F">
            <w:pPr>
              <w:rPr>
                <w:rFonts w:ascii="宋体" w:hAnsi="宋体" w:cs="宋体"/>
                <w:color w:val="auto"/>
                <w:sz w:val="24"/>
                <w:highlight w:val="none"/>
              </w:rPr>
            </w:pPr>
            <w:r>
              <w:rPr>
                <w:rFonts w:hint="eastAsia" w:ascii="宋体" w:hAnsi="宋体" w:cs="宋体"/>
                <w:color w:val="auto"/>
                <w:sz w:val="24"/>
                <w:highlight w:val="none"/>
              </w:rPr>
              <w:t>见投标文件</w:t>
            </w:r>
          </w:p>
          <w:p w14:paraId="4201233F">
            <w:pPr>
              <w:rPr>
                <w:rFonts w:ascii="宋体" w:hAnsi="宋体" w:cs="宋体"/>
                <w:color w:val="auto"/>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661F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1C06E670">
            <w:pPr>
              <w:jc w:val="center"/>
              <w:rPr>
                <w:rFonts w:ascii="宋体" w:hAnsi="宋体" w:cs="宋体"/>
                <w:color w:val="auto"/>
                <w:sz w:val="24"/>
                <w:highlight w:val="none"/>
              </w:rPr>
            </w:pPr>
            <w:r>
              <w:rPr>
                <w:rFonts w:hint="eastAsia" w:ascii="宋体" w:hAnsi="宋体" w:cs="宋体"/>
                <w:color w:val="auto"/>
                <w:sz w:val="24"/>
                <w:highlight w:val="none"/>
              </w:rPr>
              <w:t>2</w:t>
            </w:r>
          </w:p>
        </w:tc>
        <w:tc>
          <w:tcPr>
            <w:tcW w:w="4991" w:type="dxa"/>
            <w:noWrap w:val="0"/>
            <w:vAlign w:val="top"/>
          </w:tcPr>
          <w:p w14:paraId="232672C9">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投标文件中承诺的投标有效期不少于招标文件中载明的投标有效期。</w:t>
            </w:r>
          </w:p>
        </w:tc>
        <w:tc>
          <w:tcPr>
            <w:tcW w:w="2551" w:type="dxa"/>
            <w:noWrap w:val="0"/>
            <w:vAlign w:val="center"/>
          </w:tcPr>
          <w:p w14:paraId="3C1F2626">
            <w:pPr>
              <w:rPr>
                <w:rFonts w:ascii="宋体" w:hAnsi="宋体" w:cs="宋体"/>
                <w:color w:val="auto"/>
                <w:sz w:val="24"/>
                <w:highlight w:val="none"/>
              </w:rPr>
            </w:pPr>
            <w:r>
              <w:rPr>
                <w:rFonts w:hint="eastAsia" w:ascii="宋体" w:hAnsi="宋体" w:cs="宋体"/>
                <w:color w:val="auto"/>
                <w:sz w:val="24"/>
                <w:highlight w:val="none"/>
              </w:rPr>
              <w:t>投标函</w:t>
            </w:r>
          </w:p>
        </w:tc>
        <w:tc>
          <w:tcPr>
            <w:tcW w:w="1418" w:type="dxa"/>
            <w:noWrap w:val="0"/>
            <w:vAlign w:val="top"/>
          </w:tcPr>
          <w:p w14:paraId="38BEEC82">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03B3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1A8535E8">
            <w:pPr>
              <w:jc w:val="center"/>
              <w:rPr>
                <w:rFonts w:ascii="宋体" w:hAnsi="宋体" w:cs="宋体"/>
                <w:color w:val="auto"/>
                <w:sz w:val="24"/>
                <w:highlight w:val="none"/>
              </w:rPr>
            </w:pPr>
            <w:r>
              <w:rPr>
                <w:rFonts w:hint="eastAsia" w:ascii="宋体" w:hAnsi="宋体" w:cs="宋体"/>
                <w:color w:val="auto"/>
                <w:sz w:val="24"/>
                <w:highlight w:val="none"/>
              </w:rPr>
              <w:t>3</w:t>
            </w:r>
          </w:p>
        </w:tc>
        <w:tc>
          <w:tcPr>
            <w:tcW w:w="4991" w:type="dxa"/>
            <w:noWrap w:val="0"/>
            <w:vAlign w:val="top"/>
          </w:tcPr>
          <w:p w14:paraId="4A17AAEB">
            <w:pPr>
              <w:spacing w:line="360" w:lineRule="auto"/>
              <w:rPr>
                <w:rFonts w:ascii="宋体" w:hAnsi="宋体" w:cs="宋体"/>
                <w:color w:val="auto"/>
                <w:sz w:val="24"/>
                <w:highlight w:val="none"/>
              </w:rPr>
            </w:pPr>
            <w:r>
              <w:rPr>
                <w:rFonts w:hint="eastAsia" w:ascii="宋体" w:hAnsi="宋体" w:cs="宋体"/>
                <w:color w:val="auto"/>
                <w:sz w:val="24"/>
                <w:highlight w:val="none"/>
              </w:rPr>
              <w:t>投标文件满足招标文件的其它实质性要求。</w:t>
            </w:r>
          </w:p>
        </w:tc>
        <w:tc>
          <w:tcPr>
            <w:tcW w:w="2551" w:type="dxa"/>
            <w:noWrap w:val="0"/>
            <w:vAlign w:val="center"/>
          </w:tcPr>
          <w:p w14:paraId="2A2EA189">
            <w:pPr>
              <w:rPr>
                <w:rFonts w:ascii="宋体" w:hAnsi="宋体" w:cs="宋体"/>
                <w:color w:val="auto"/>
                <w:sz w:val="24"/>
                <w:highlight w:val="none"/>
              </w:rPr>
            </w:pPr>
            <w:r>
              <w:rPr>
                <w:rFonts w:hint="eastAsia" w:ascii="宋体" w:hAnsi="宋体" w:cs="宋体"/>
                <w:color w:val="auto"/>
                <w:kern w:val="0"/>
                <w:sz w:val="24"/>
                <w:highlight w:val="none"/>
              </w:rPr>
              <w:t>招标文件其它实质性要求相应的材料（“▲” 系指实质性要求条款，招标文件无其它实质性要求的，无需提供）</w:t>
            </w:r>
          </w:p>
        </w:tc>
        <w:tc>
          <w:tcPr>
            <w:tcW w:w="1418" w:type="dxa"/>
            <w:noWrap w:val="0"/>
            <w:vAlign w:val="top"/>
          </w:tcPr>
          <w:p w14:paraId="752F516B">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bl>
    <w:p w14:paraId="1C204DCC">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3C816BC">
      <w:pPr>
        <w:jc w:val="center"/>
        <w:rPr>
          <w:rFonts w:ascii="宋体" w:hAnsi="宋体" w:cs="宋体"/>
          <w:b/>
          <w:color w:val="auto"/>
          <w:kern w:val="0"/>
          <w:sz w:val="32"/>
          <w:szCs w:val="32"/>
          <w:highlight w:val="none"/>
        </w:rPr>
      </w:pPr>
    </w:p>
    <w:p w14:paraId="3A51E8E8">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 xml:space="preserve">            </w:t>
      </w:r>
    </w:p>
    <w:p w14:paraId="44EA0BB0">
      <w:pPr>
        <w:jc w:val="center"/>
        <w:rPr>
          <w:rFonts w:ascii="宋体" w:hAnsi="宋体" w:cs="宋体"/>
          <w:b/>
          <w:color w:val="auto"/>
          <w:kern w:val="0"/>
          <w:sz w:val="32"/>
          <w:szCs w:val="32"/>
          <w:highlight w:val="none"/>
        </w:rPr>
      </w:pPr>
    </w:p>
    <w:p w14:paraId="7A08B553">
      <w:pPr>
        <w:jc w:val="center"/>
        <w:rPr>
          <w:rFonts w:ascii="宋体" w:hAnsi="宋体" w:cs="宋体"/>
          <w:b/>
          <w:color w:val="auto"/>
          <w:kern w:val="0"/>
          <w:sz w:val="32"/>
          <w:szCs w:val="32"/>
          <w:highlight w:val="none"/>
        </w:rPr>
      </w:pPr>
    </w:p>
    <w:p w14:paraId="38FD5147">
      <w:pPr>
        <w:jc w:val="center"/>
        <w:rPr>
          <w:rFonts w:ascii="宋体" w:hAnsi="宋体" w:cs="宋体"/>
          <w:b/>
          <w:color w:val="auto"/>
          <w:kern w:val="0"/>
          <w:sz w:val="32"/>
          <w:szCs w:val="32"/>
          <w:highlight w:val="none"/>
        </w:rPr>
      </w:pPr>
    </w:p>
    <w:p w14:paraId="11D78D0B">
      <w:pPr>
        <w:jc w:val="center"/>
        <w:rPr>
          <w:rFonts w:ascii="宋体" w:hAnsi="宋体" w:cs="宋体"/>
          <w:b/>
          <w:color w:val="auto"/>
          <w:kern w:val="0"/>
          <w:sz w:val="32"/>
          <w:szCs w:val="32"/>
          <w:highlight w:val="none"/>
        </w:rPr>
      </w:pPr>
    </w:p>
    <w:p w14:paraId="01EBCC22">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607896AF">
      <w:pPr>
        <w:jc w:val="center"/>
        <w:rPr>
          <w:rFonts w:ascii="宋体" w:hAnsi="宋体" w:cs="宋体"/>
          <w:color w:val="auto"/>
          <w:highlight w:val="none"/>
        </w:rPr>
      </w:pPr>
      <w:r>
        <w:rPr>
          <w:rFonts w:hint="eastAsia" w:ascii="宋体" w:hAnsi="宋体" w:cs="宋体"/>
          <w:b/>
          <w:color w:val="auto"/>
          <w:kern w:val="0"/>
          <w:sz w:val="32"/>
          <w:szCs w:val="32"/>
          <w:highlight w:val="none"/>
        </w:rPr>
        <w:t>五、评标标准相应的商务技术资料</w:t>
      </w:r>
    </w:p>
    <w:p w14:paraId="52C85910">
      <w:pPr>
        <w:snapToGrid w:val="0"/>
        <w:spacing w:line="360" w:lineRule="auto"/>
        <w:jc w:val="left"/>
        <w:rPr>
          <w:rFonts w:ascii="宋体" w:hAnsi="宋体" w:cs="宋体"/>
          <w:b/>
          <w:color w:val="auto"/>
          <w:sz w:val="24"/>
          <w:highlight w:val="none"/>
        </w:rPr>
      </w:pPr>
      <w:r>
        <w:rPr>
          <w:rFonts w:hint="eastAsia" w:ascii="宋体" w:hAnsi="宋体" w:cs="宋体"/>
          <w:b/>
          <w:color w:val="auto"/>
          <w:sz w:val="24"/>
          <w:highlight w:val="none"/>
        </w:rPr>
        <w:t>（按招标文件第四部分评标办法前附表中“投标文件中评标标准相应的商务技术资料目录”提供资料。）</w:t>
      </w:r>
    </w:p>
    <w:p w14:paraId="74A27C22">
      <w:pPr>
        <w:jc w:val="center"/>
        <w:rPr>
          <w:rFonts w:ascii="宋体" w:hAnsi="宋体" w:cs="宋体"/>
          <w:b/>
          <w:color w:val="auto"/>
          <w:kern w:val="0"/>
          <w:sz w:val="32"/>
          <w:szCs w:val="32"/>
          <w:highlight w:val="none"/>
        </w:rPr>
      </w:pPr>
    </w:p>
    <w:p w14:paraId="01AB0DCD">
      <w:pPr>
        <w:jc w:val="center"/>
        <w:rPr>
          <w:rFonts w:ascii="宋体" w:hAnsi="宋体" w:cs="宋体"/>
          <w:b/>
          <w:color w:val="auto"/>
          <w:kern w:val="0"/>
          <w:sz w:val="32"/>
          <w:szCs w:val="32"/>
          <w:highlight w:val="none"/>
        </w:rPr>
      </w:pPr>
    </w:p>
    <w:p w14:paraId="247EFB93">
      <w:pPr>
        <w:jc w:val="center"/>
        <w:rPr>
          <w:rFonts w:ascii="宋体" w:hAnsi="宋体" w:cs="宋体"/>
          <w:b/>
          <w:color w:val="auto"/>
          <w:kern w:val="0"/>
          <w:sz w:val="32"/>
          <w:szCs w:val="32"/>
          <w:highlight w:val="none"/>
        </w:rPr>
      </w:pPr>
    </w:p>
    <w:p w14:paraId="2E13D54B">
      <w:pPr>
        <w:ind w:firstLine="2891" w:firstLineChars="90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六、投标标的清单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4686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20CD4E4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51F656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noWrap w:val="0"/>
            <w:vAlign w:val="top"/>
          </w:tcPr>
          <w:p w14:paraId="2B74D849">
            <w:pPr>
              <w:spacing w:line="360" w:lineRule="auto"/>
              <w:jc w:val="center"/>
              <w:rPr>
                <w:rFonts w:ascii="宋体" w:hAnsi="宋体" w:cs="宋体"/>
                <w:b/>
                <w:color w:val="auto"/>
                <w:sz w:val="24"/>
                <w:highlight w:val="none"/>
              </w:rPr>
            </w:pPr>
          </w:p>
          <w:p w14:paraId="71C5B1EC">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9495AA0">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noWrap w:val="0"/>
            <w:vAlign w:val="center"/>
          </w:tcPr>
          <w:p w14:paraId="3D0E8EB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0EE342E">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备注</w:t>
            </w:r>
          </w:p>
        </w:tc>
      </w:tr>
      <w:tr w14:paraId="6625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E3B155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987332E">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3E14BD6F">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91E476B">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6DA1BFF8">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CFF5E57">
            <w:pPr>
              <w:spacing w:line="360" w:lineRule="auto"/>
              <w:jc w:val="center"/>
              <w:rPr>
                <w:rFonts w:ascii="宋体" w:hAnsi="宋体" w:cs="宋体"/>
                <w:color w:val="auto"/>
                <w:sz w:val="24"/>
                <w:highlight w:val="none"/>
              </w:rPr>
            </w:pPr>
          </w:p>
        </w:tc>
      </w:tr>
      <w:tr w14:paraId="74DC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2DAA2C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C343DFB">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20D8BF7B">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0D49161">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63F1CF6D">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C4CFE77">
            <w:pPr>
              <w:spacing w:line="360" w:lineRule="auto"/>
              <w:jc w:val="center"/>
              <w:rPr>
                <w:rFonts w:ascii="宋体" w:hAnsi="宋体" w:cs="宋体"/>
                <w:color w:val="auto"/>
                <w:sz w:val="24"/>
                <w:highlight w:val="none"/>
              </w:rPr>
            </w:pPr>
          </w:p>
        </w:tc>
      </w:tr>
      <w:tr w14:paraId="318C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2322A1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E2C2A6E">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2BC03847">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1B2C9E6">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1597A154">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8F69C26">
            <w:pPr>
              <w:spacing w:line="360" w:lineRule="auto"/>
              <w:jc w:val="center"/>
              <w:rPr>
                <w:rFonts w:ascii="宋体" w:hAnsi="宋体" w:cs="宋体"/>
                <w:color w:val="auto"/>
                <w:sz w:val="24"/>
                <w:highlight w:val="none"/>
              </w:rPr>
            </w:pPr>
          </w:p>
        </w:tc>
      </w:tr>
    </w:tbl>
    <w:p w14:paraId="33DBBB16">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A5D8683">
      <w:pPr>
        <w:jc w:val="center"/>
        <w:rPr>
          <w:rFonts w:ascii="宋体" w:hAnsi="宋体" w:cs="宋体"/>
          <w:b/>
          <w:color w:val="auto"/>
          <w:kern w:val="0"/>
          <w:sz w:val="32"/>
          <w:szCs w:val="32"/>
          <w:highlight w:val="none"/>
        </w:rPr>
      </w:pPr>
    </w:p>
    <w:p w14:paraId="5A6FF1B0">
      <w:pPr>
        <w:jc w:val="center"/>
        <w:rPr>
          <w:rFonts w:ascii="宋体" w:hAnsi="宋体" w:cs="宋体"/>
          <w:b/>
          <w:color w:val="auto"/>
          <w:kern w:val="0"/>
          <w:sz w:val="32"/>
          <w:szCs w:val="32"/>
          <w:highlight w:val="none"/>
        </w:rPr>
      </w:pPr>
    </w:p>
    <w:p w14:paraId="5997F23B">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r>
        <w:rPr>
          <w:rFonts w:hint="eastAsia" w:ascii="宋体" w:hAnsi="宋体" w:cs="宋体"/>
          <w:b/>
          <w:color w:val="auto"/>
          <w:kern w:val="0"/>
          <w:sz w:val="32"/>
          <w:szCs w:val="32"/>
          <w:highlight w:val="none"/>
        </w:rPr>
        <w:t>七、商务技术偏离表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336A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42BCAB48">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83" w:type="dxa"/>
            <w:noWrap w:val="0"/>
            <w:vAlign w:val="top"/>
          </w:tcPr>
          <w:p w14:paraId="03C2239E">
            <w:pPr>
              <w:jc w:val="center"/>
              <w:rPr>
                <w:rFonts w:ascii="宋体" w:hAnsi="宋体" w:cs="宋体"/>
                <w:b/>
                <w:bCs/>
                <w:color w:val="auto"/>
                <w:sz w:val="24"/>
                <w:highlight w:val="none"/>
              </w:rPr>
            </w:pPr>
            <w:r>
              <w:rPr>
                <w:rFonts w:hint="eastAsia" w:ascii="宋体" w:hAnsi="宋体" w:cs="宋体"/>
                <w:b/>
                <w:bCs/>
                <w:color w:val="auto"/>
                <w:sz w:val="24"/>
                <w:highlight w:val="none"/>
              </w:rPr>
              <w:t>招标文件章节及具体内容</w:t>
            </w:r>
          </w:p>
        </w:tc>
        <w:tc>
          <w:tcPr>
            <w:tcW w:w="3546" w:type="dxa"/>
            <w:noWrap w:val="0"/>
            <w:vAlign w:val="top"/>
          </w:tcPr>
          <w:p w14:paraId="422D8215">
            <w:pPr>
              <w:jc w:val="center"/>
              <w:rPr>
                <w:rFonts w:ascii="宋体" w:hAnsi="宋体" w:cs="宋体"/>
                <w:b/>
                <w:bCs/>
                <w:color w:val="auto"/>
                <w:sz w:val="24"/>
                <w:highlight w:val="none"/>
              </w:rPr>
            </w:pPr>
            <w:r>
              <w:rPr>
                <w:rFonts w:hint="eastAsia" w:ascii="宋体" w:hAnsi="宋体" w:cs="宋体"/>
                <w:b/>
                <w:bCs/>
                <w:color w:val="auto"/>
                <w:sz w:val="24"/>
                <w:highlight w:val="none"/>
              </w:rPr>
              <w:t>投标文件章节及具体内容</w:t>
            </w:r>
          </w:p>
        </w:tc>
        <w:tc>
          <w:tcPr>
            <w:tcW w:w="1276" w:type="dxa"/>
            <w:noWrap w:val="0"/>
            <w:vAlign w:val="top"/>
          </w:tcPr>
          <w:p w14:paraId="22D1EC62">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3A17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27C36EF5">
            <w:pPr>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3683" w:type="dxa"/>
            <w:noWrap w:val="0"/>
            <w:vAlign w:val="top"/>
          </w:tcPr>
          <w:p w14:paraId="767DD2CD">
            <w:pPr>
              <w:jc w:val="center"/>
              <w:rPr>
                <w:rFonts w:ascii="宋体" w:hAnsi="宋体" w:cs="宋体"/>
                <w:b/>
                <w:color w:val="auto"/>
                <w:kern w:val="0"/>
                <w:sz w:val="32"/>
                <w:szCs w:val="32"/>
                <w:highlight w:val="none"/>
              </w:rPr>
            </w:pPr>
          </w:p>
        </w:tc>
        <w:tc>
          <w:tcPr>
            <w:tcW w:w="3546" w:type="dxa"/>
            <w:noWrap w:val="0"/>
            <w:vAlign w:val="top"/>
          </w:tcPr>
          <w:p w14:paraId="5EA441A2">
            <w:pPr>
              <w:jc w:val="center"/>
              <w:rPr>
                <w:rFonts w:ascii="宋体" w:hAnsi="宋体" w:cs="宋体"/>
                <w:b/>
                <w:color w:val="auto"/>
                <w:kern w:val="0"/>
                <w:sz w:val="32"/>
                <w:szCs w:val="32"/>
                <w:highlight w:val="none"/>
              </w:rPr>
            </w:pPr>
          </w:p>
        </w:tc>
        <w:tc>
          <w:tcPr>
            <w:tcW w:w="1276" w:type="dxa"/>
            <w:noWrap w:val="0"/>
            <w:vAlign w:val="top"/>
          </w:tcPr>
          <w:p w14:paraId="39841278">
            <w:pPr>
              <w:jc w:val="center"/>
              <w:rPr>
                <w:rFonts w:ascii="宋体" w:hAnsi="宋体" w:cs="宋体"/>
                <w:b/>
                <w:color w:val="auto"/>
                <w:kern w:val="0"/>
                <w:sz w:val="32"/>
                <w:szCs w:val="32"/>
                <w:highlight w:val="none"/>
              </w:rPr>
            </w:pPr>
          </w:p>
        </w:tc>
      </w:tr>
      <w:tr w14:paraId="6AC7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2A3A5580">
            <w:pPr>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3683" w:type="dxa"/>
            <w:noWrap w:val="0"/>
            <w:vAlign w:val="top"/>
          </w:tcPr>
          <w:p w14:paraId="39CC63AC">
            <w:pPr>
              <w:jc w:val="center"/>
              <w:rPr>
                <w:rFonts w:ascii="宋体" w:hAnsi="宋体" w:cs="宋体"/>
                <w:b/>
                <w:color w:val="auto"/>
                <w:kern w:val="0"/>
                <w:sz w:val="32"/>
                <w:szCs w:val="32"/>
                <w:highlight w:val="none"/>
              </w:rPr>
            </w:pPr>
          </w:p>
        </w:tc>
        <w:tc>
          <w:tcPr>
            <w:tcW w:w="3546" w:type="dxa"/>
            <w:noWrap w:val="0"/>
            <w:vAlign w:val="top"/>
          </w:tcPr>
          <w:p w14:paraId="6F1249D1">
            <w:pPr>
              <w:jc w:val="center"/>
              <w:rPr>
                <w:rFonts w:ascii="宋体" w:hAnsi="宋体" w:cs="宋体"/>
                <w:b/>
                <w:color w:val="auto"/>
                <w:kern w:val="0"/>
                <w:sz w:val="32"/>
                <w:szCs w:val="32"/>
                <w:highlight w:val="none"/>
              </w:rPr>
            </w:pPr>
          </w:p>
        </w:tc>
        <w:tc>
          <w:tcPr>
            <w:tcW w:w="1276" w:type="dxa"/>
            <w:noWrap w:val="0"/>
            <w:vAlign w:val="top"/>
          </w:tcPr>
          <w:p w14:paraId="7B615855">
            <w:pPr>
              <w:jc w:val="center"/>
              <w:rPr>
                <w:rFonts w:ascii="宋体" w:hAnsi="宋体" w:cs="宋体"/>
                <w:b/>
                <w:color w:val="auto"/>
                <w:kern w:val="0"/>
                <w:sz w:val="32"/>
                <w:szCs w:val="32"/>
                <w:highlight w:val="none"/>
              </w:rPr>
            </w:pPr>
          </w:p>
        </w:tc>
      </w:tr>
      <w:tr w14:paraId="578D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1C1BDFF8">
            <w:pPr>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3683" w:type="dxa"/>
            <w:noWrap w:val="0"/>
            <w:vAlign w:val="top"/>
          </w:tcPr>
          <w:p w14:paraId="575D6949">
            <w:pPr>
              <w:jc w:val="center"/>
              <w:rPr>
                <w:rFonts w:ascii="宋体" w:hAnsi="宋体" w:cs="宋体"/>
                <w:b/>
                <w:color w:val="auto"/>
                <w:kern w:val="0"/>
                <w:sz w:val="32"/>
                <w:szCs w:val="32"/>
                <w:highlight w:val="none"/>
              </w:rPr>
            </w:pPr>
          </w:p>
        </w:tc>
        <w:tc>
          <w:tcPr>
            <w:tcW w:w="3546" w:type="dxa"/>
            <w:noWrap w:val="0"/>
            <w:vAlign w:val="top"/>
          </w:tcPr>
          <w:p w14:paraId="158B49A8">
            <w:pPr>
              <w:jc w:val="center"/>
              <w:rPr>
                <w:rFonts w:ascii="宋体" w:hAnsi="宋体" w:cs="宋体"/>
                <w:b/>
                <w:color w:val="auto"/>
                <w:kern w:val="0"/>
                <w:sz w:val="32"/>
                <w:szCs w:val="32"/>
                <w:highlight w:val="none"/>
              </w:rPr>
            </w:pPr>
          </w:p>
        </w:tc>
        <w:tc>
          <w:tcPr>
            <w:tcW w:w="1276" w:type="dxa"/>
            <w:noWrap w:val="0"/>
            <w:vAlign w:val="top"/>
          </w:tcPr>
          <w:p w14:paraId="0F434C89">
            <w:pPr>
              <w:jc w:val="center"/>
              <w:rPr>
                <w:rFonts w:ascii="宋体" w:hAnsi="宋体" w:cs="宋体"/>
                <w:b/>
                <w:color w:val="auto"/>
                <w:kern w:val="0"/>
                <w:sz w:val="32"/>
                <w:szCs w:val="32"/>
                <w:highlight w:val="none"/>
              </w:rPr>
            </w:pPr>
          </w:p>
        </w:tc>
      </w:tr>
    </w:tbl>
    <w:p w14:paraId="424D0A1E">
      <w:pPr>
        <w:jc w:val="left"/>
        <w:rPr>
          <w:rFonts w:ascii="宋体" w:hAnsi="宋体" w:cs="宋体"/>
          <w:color w:val="auto"/>
          <w:kern w:val="0"/>
          <w:sz w:val="24"/>
          <w:highlight w:val="none"/>
        </w:rPr>
      </w:pPr>
      <w:r>
        <w:rPr>
          <w:rFonts w:hint="eastAsia" w:ascii="宋体" w:hAnsi="宋体" w:cs="宋体"/>
          <w:color w:val="auto"/>
          <w:kern w:val="0"/>
          <w:sz w:val="24"/>
          <w:highlight w:val="none"/>
        </w:rPr>
        <w:t>投标人保证：除商务技术偏离表列出的偏离外，投标人响应招标文件的全部要求</w:t>
      </w:r>
    </w:p>
    <w:p w14:paraId="525556D2">
      <w:pPr>
        <w:jc w:val="center"/>
        <w:rPr>
          <w:rFonts w:ascii="宋体" w:hAnsi="宋体" w:cs="宋体"/>
          <w:b/>
          <w:color w:val="auto"/>
          <w:kern w:val="0"/>
          <w:sz w:val="32"/>
          <w:szCs w:val="32"/>
          <w:highlight w:val="none"/>
        </w:rPr>
      </w:pPr>
    </w:p>
    <w:p w14:paraId="60052A0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6D86C154">
      <w:pPr>
        <w:ind w:firstLine="1911" w:firstLineChars="595"/>
        <w:rPr>
          <w:rFonts w:ascii="宋体" w:hAnsi="宋体" w:cs="宋体"/>
          <w:b/>
          <w:bCs/>
          <w:color w:val="auto"/>
          <w:sz w:val="32"/>
          <w:szCs w:val="32"/>
          <w:highlight w:val="none"/>
        </w:rPr>
      </w:pPr>
    </w:p>
    <w:p w14:paraId="3069640D">
      <w:pPr>
        <w:pStyle w:val="8"/>
        <w:wordWrap w:val="0"/>
        <w:adjustRightInd/>
        <w:jc w:val="center"/>
        <w:rPr>
          <w:rFonts w:hint="eastAsia"/>
          <w:color w:val="auto"/>
          <w:highlight w:val="none"/>
        </w:rPr>
      </w:pPr>
      <w:r>
        <w:rPr>
          <w:rFonts w:hint="eastAsia"/>
          <w:color w:val="auto"/>
          <w:highlight w:val="none"/>
        </w:rPr>
        <w:t>附件：承诺函</w:t>
      </w:r>
    </w:p>
    <w:p w14:paraId="42D463B5">
      <w:pPr>
        <w:wordWrap w:val="0"/>
        <w:adjustRightInd/>
        <w:spacing w:line="360" w:lineRule="auto"/>
        <w:ind w:firstLine="480"/>
        <w:rPr>
          <w:rFonts w:cs="宋体"/>
          <w:color w:val="auto"/>
          <w:highlight w:val="none"/>
        </w:rPr>
      </w:pPr>
      <w:r>
        <w:rPr>
          <w:rFonts w:hint="eastAsia" w:cs="宋体"/>
          <w:color w:val="auto"/>
          <w:highlight w:val="none"/>
          <w:lang w:eastAsia="zh-CN"/>
        </w:rPr>
        <w:t>杭州电子科技大学</w:t>
      </w:r>
      <w:r>
        <w:rPr>
          <w:rFonts w:hint="eastAsia" w:cs="宋体"/>
          <w:color w:val="auto"/>
          <w:highlight w:val="none"/>
        </w:rPr>
        <w:t>、（采购代理机构）：</w:t>
      </w:r>
    </w:p>
    <w:p w14:paraId="552F62B1">
      <w:pPr>
        <w:wordWrap w:val="0"/>
        <w:adjustRightInd/>
        <w:spacing w:line="360" w:lineRule="auto"/>
        <w:ind w:firstLine="480"/>
        <w:rPr>
          <w:rFonts w:hint="eastAsia" w:cs="宋体"/>
          <w:color w:val="auto"/>
          <w:highlight w:val="none"/>
        </w:rPr>
      </w:pPr>
      <w:r>
        <w:rPr>
          <w:rFonts w:hint="eastAsia" w:cs="宋体"/>
          <w:color w:val="auto"/>
          <w:highlight w:val="none"/>
        </w:rPr>
        <w:t>我方参与</w:t>
      </w:r>
      <w:r>
        <w:rPr>
          <w:rFonts w:hint="eastAsia" w:cs="宋体"/>
          <w:color w:val="auto"/>
          <w:highlight w:val="none"/>
          <w:lang w:eastAsia="zh-CN"/>
        </w:rPr>
        <w:t>杭州电子科技大学家具更新项目</w:t>
      </w:r>
      <w:r>
        <w:rPr>
          <w:rFonts w:hint="eastAsia" w:cs="宋体"/>
          <w:color w:val="auto"/>
          <w:highlight w:val="none"/>
        </w:rPr>
        <w:t>【招标编号：（采购编号）】采购活动，郑重承诺：</w:t>
      </w:r>
    </w:p>
    <w:p w14:paraId="117B0344">
      <w:pPr>
        <w:wordWrap w:val="0"/>
        <w:adjustRightInd/>
        <w:spacing w:line="360" w:lineRule="auto"/>
        <w:ind w:firstLine="480"/>
        <w:rPr>
          <w:rFonts w:hint="eastAsia"/>
          <w:color w:val="auto"/>
          <w:highlight w:val="none"/>
        </w:rPr>
      </w:pPr>
      <w:r>
        <w:rPr>
          <w:rFonts w:hint="eastAsia"/>
          <w:color w:val="auto"/>
          <w:highlight w:val="none"/>
        </w:rPr>
        <w:t>投标(响应)文件中涉及客观分评审内容的（检测报告、认证证书等根据评分内容客观分部分自行填写内容）真实有效，不存在弄虚作假或提供虚假材料情形。</w:t>
      </w:r>
    </w:p>
    <w:p w14:paraId="7173F680">
      <w:pPr>
        <w:wordWrap w:val="0"/>
        <w:adjustRightInd/>
        <w:spacing w:line="360" w:lineRule="auto"/>
        <w:ind w:firstLine="480"/>
        <w:rPr>
          <w:rFonts w:hint="eastAsia"/>
          <w:color w:val="auto"/>
          <w:highlight w:val="none"/>
        </w:rPr>
      </w:pPr>
      <w:r>
        <w:rPr>
          <w:rFonts w:hint="eastAsia"/>
          <w:color w:val="auto"/>
          <w:highlight w:val="none"/>
        </w:rPr>
        <w:t>如</w:t>
      </w:r>
      <w:r>
        <w:rPr>
          <w:rFonts w:hint="eastAsia" w:cs="宋体"/>
          <w:color w:val="auto"/>
          <w:highlight w:val="none"/>
        </w:rPr>
        <w:t>采购人、采购代理机构对</w:t>
      </w:r>
      <w:r>
        <w:rPr>
          <w:rFonts w:hint="eastAsia"/>
          <w:color w:val="auto"/>
          <w:highlight w:val="none"/>
        </w:rPr>
        <w:t>投标(响应)文件中涉及客观分资料进行复核发现弄虚作假或提供虚假材料情形，我单位自愿放弃中标（成交）资格并接受有关部门处理（处罚），由此产生的风险由我方自行承担。</w:t>
      </w:r>
    </w:p>
    <w:p w14:paraId="0A9777FC">
      <w:pPr>
        <w:ind w:firstLine="480"/>
        <w:jc w:val="left"/>
        <w:rPr>
          <w:rFonts w:hint="eastAsia"/>
          <w:color w:val="auto"/>
          <w:highlight w:val="none"/>
        </w:rPr>
      </w:pPr>
    </w:p>
    <w:p w14:paraId="4D10B9F3">
      <w:pPr>
        <w:ind w:firstLine="480"/>
        <w:jc w:val="left"/>
        <w:rPr>
          <w:rFonts w:hint="eastAsia"/>
          <w:color w:val="auto"/>
          <w:highlight w:val="none"/>
        </w:rPr>
      </w:pPr>
    </w:p>
    <w:p w14:paraId="24E701C9">
      <w:pPr>
        <w:ind w:firstLine="480"/>
        <w:jc w:val="left"/>
        <w:rPr>
          <w:rFonts w:hint="eastAsia"/>
          <w:color w:val="auto"/>
          <w:highlight w:val="none"/>
        </w:rPr>
      </w:pPr>
    </w:p>
    <w:p w14:paraId="555EA9D9">
      <w:pPr>
        <w:ind w:firstLine="480"/>
        <w:jc w:val="left"/>
        <w:rPr>
          <w:rFonts w:hint="eastAsia"/>
          <w:color w:val="auto"/>
          <w:highlight w:val="none"/>
        </w:rPr>
      </w:pPr>
      <w:r>
        <w:rPr>
          <w:rFonts w:hint="eastAsia"/>
          <w:color w:val="auto"/>
          <w:highlight w:val="none"/>
        </w:rPr>
        <w:t>供应商（盖章）：</w:t>
      </w:r>
    </w:p>
    <w:p w14:paraId="07F49E81">
      <w:pPr>
        <w:ind w:firstLine="480"/>
        <w:jc w:val="left"/>
        <w:rPr>
          <w:rFonts w:hint="eastAsia"/>
          <w:color w:val="auto"/>
          <w:highlight w:val="none"/>
        </w:rPr>
      </w:pPr>
      <w:r>
        <w:rPr>
          <w:rFonts w:hint="eastAsia"/>
          <w:color w:val="auto"/>
          <w:highlight w:val="none"/>
        </w:rPr>
        <w:t>日期：</w:t>
      </w:r>
    </w:p>
    <w:p w14:paraId="513A400D">
      <w:pPr>
        <w:ind w:firstLine="480"/>
        <w:jc w:val="center"/>
        <w:rPr>
          <w:rFonts w:hint="eastAsia"/>
          <w:color w:val="auto"/>
          <w:highlight w:val="none"/>
        </w:rPr>
      </w:pPr>
    </w:p>
    <w:p w14:paraId="41B92487">
      <w:pPr>
        <w:ind w:firstLine="1911" w:firstLineChars="595"/>
        <w:rPr>
          <w:rFonts w:ascii="宋体" w:hAnsi="宋体" w:cs="宋体"/>
          <w:b/>
          <w:bCs/>
          <w:color w:val="auto"/>
          <w:sz w:val="32"/>
          <w:szCs w:val="32"/>
          <w:highlight w:val="none"/>
        </w:rPr>
      </w:pPr>
    </w:p>
    <w:p w14:paraId="4256B278">
      <w:pPr>
        <w:ind w:firstLine="1911" w:firstLineChars="595"/>
        <w:rPr>
          <w:rFonts w:ascii="宋体" w:hAnsi="宋体" w:cs="宋体"/>
          <w:b/>
          <w:bCs/>
          <w:color w:val="auto"/>
          <w:sz w:val="32"/>
          <w:szCs w:val="32"/>
          <w:highlight w:val="none"/>
        </w:rPr>
      </w:pPr>
    </w:p>
    <w:p w14:paraId="14133E2D">
      <w:pPr>
        <w:ind w:firstLine="1911" w:firstLineChars="595"/>
        <w:rPr>
          <w:rFonts w:ascii="宋体" w:hAnsi="宋体" w:cs="宋体"/>
          <w:b/>
          <w:bCs/>
          <w:color w:val="auto"/>
          <w:sz w:val="32"/>
          <w:szCs w:val="32"/>
          <w:highlight w:val="none"/>
        </w:rPr>
      </w:pPr>
    </w:p>
    <w:p w14:paraId="60C691A3">
      <w:pPr>
        <w:widowControl/>
        <w:adjustRightInd/>
        <w:jc w:val="left"/>
        <w:rPr>
          <w:rFonts w:ascii="宋体" w:hAnsi="宋体" w:cs="宋体"/>
          <w:b/>
          <w:bCs/>
          <w:color w:val="auto"/>
          <w:sz w:val="32"/>
          <w:szCs w:val="32"/>
          <w:highlight w:val="none"/>
        </w:rPr>
      </w:pPr>
      <w:r>
        <w:rPr>
          <w:rFonts w:ascii="宋体" w:hAnsi="宋体" w:cs="宋体"/>
          <w:b/>
          <w:bCs/>
          <w:color w:val="auto"/>
          <w:sz w:val="32"/>
          <w:szCs w:val="32"/>
          <w:highlight w:val="none"/>
        </w:rPr>
        <w:br w:type="page"/>
      </w:r>
    </w:p>
    <w:p w14:paraId="7783733F">
      <w:pPr>
        <w:ind w:firstLine="1911" w:firstLineChars="595"/>
        <w:rPr>
          <w:rFonts w:ascii="宋体" w:hAnsi="宋体" w:cs="宋体"/>
          <w:b/>
          <w:color w:val="auto"/>
          <w:kern w:val="0"/>
          <w:sz w:val="32"/>
          <w:szCs w:val="32"/>
          <w:highlight w:val="none"/>
        </w:rPr>
      </w:pPr>
      <w:r>
        <w:rPr>
          <w:rFonts w:hint="eastAsia" w:ascii="宋体" w:hAnsi="宋体" w:cs="宋体"/>
          <w:b/>
          <w:bCs/>
          <w:color w:val="auto"/>
          <w:sz w:val="32"/>
          <w:szCs w:val="32"/>
          <w:highlight w:val="none"/>
        </w:rPr>
        <w:t>八</w:t>
      </w:r>
      <w:r>
        <w:rPr>
          <w:rFonts w:hint="eastAsia" w:ascii="宋体" w:hAnsi="宋体" w:cs="宋体"/>
          <w:b/>
          <w:color w:val="auto"/>
          <w:kern w:val="0"/>
          <w:sz w:val="32"/>
          <w:szCs w:val="32"/>
          <w:highlight w:val="none"/>
        </w:rPr>
        <w:t>、</w:t>
      </w:r>
      <w:r>
        <w:rPr>
          <w:rFonts w:hint="eastAsia" w:ascii="宋体" w:hAnsi="宋体" w:cs="宋体"/>
          <w:b/>
          <w:color w:val="auto"/>
          <w:kern w:val="0"/>
          <w:sz w:val="32"/>
          <w:szCs w:val="32"/>
          <w:highlight w:val="none"/>
          <w:lang w:val="zh-CN"/>
        </w:rPr>
        <w:t>政府采购供应商廉洁自律承诺书</w:t>
      </w:r>
    </w:p>
    <w:p w14:paraId="19DC04E6">
      <w:pPr>
        <w:snapToGrid w:val="0"/>
        <w:spacing w:line="360" w:lineRule="auto"/>
        <w:rPr>
          <w:rFonts w:ascii="宋体" w:hAnsi="宋体" w:cs="宋体"/>
          <w:color w:val="auto"/>
          <w:sz w:val="24"/>
          <w:highlight w:val="none"/>
        </w:rPr>
      </w:pPr>
    </w:p>
    <w:p w14:paraId="02D0E2B4">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45A5B018">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我单位响应你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项目招标要求参加投标。在这次投标过程中和中标后，我们将严格遵守国家法律法规要求，并郑重承诺：</w:t>
      </w:r>
    </w:p>
    <w:p w14:paraId="7DD6F6D3">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一、不向项目有关人员及部门赠送礼金礼物、有价证券、回扣以及中介费、介绍费、咨询费等好处费； </w:t>
      </w:r>
    </w:p>
    <w:p w14:paraId="7A814998">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二、不为项目有关人员及部门报销应由你方单位或个人支付的费用； </w:t>
      </w:r>
    </w:p>
    <w:p w14:paraId="1421F070">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三、不向项目有关人员及部门提供有可能影响公正的宴请和健身娱乐等活动； </w:t>
      </w:r>
    </w:p>
    <w:p w14:paraId="2D0141AA">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四、不为项目有关人员及部门出国（境）、旅游等提供方便；</w:t>
      </w:r>
    </w:p>
    <w:p w14:paraId="5E4FD02B">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五、不为项目有关人员个人装修住房、婚丧嫁娶、配偶子女工作安排等提供</w:t>
      </w:r>
    </w:p>
    <w:p w14:paraId="1481371C">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好处；</w:t>
      </w:r>
    </w:p>
    <w:p w14:paraId="42B35FC4">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六、严格遵守《</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政府采购法》《</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招标投标</w:t>
      </w:r>
    </w:p>
    <w:p w14:paraId="7AF7052D">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法》</w:t>
      </w:r>
      <w:r>
        <w:rPr>
          <w:rFonts w:hint="eastAsia" w:ascii="宋体" w:hAnsi="宋体" w:cs="宋体"/>
          <w:color w:val="auto"/>
          <w:sz w:val="24"/>
          <w:highlight w:val="none"/>
          <w:lang w:val="zh-CN"/>
        </w:rPr>
        <w:t>《中华人民共和国民法典》</w:t>
      </w:r>
      <w:r>
        <w:rPr>
          <w:rFonts w:hint="eastAsia" w:ascii="宋体" w:hAnsi="宋体" w:cs="宋体"/>
          <w:color w:val="auto"/>
          <w:kern w:val="0"/>
          <w:sz w:val="24"/>
          <w:highlight w:val="none"/>
          <w:lang w:val="zh-CN"/>
        </w:rPr>
        <w:t xml:space="preserve">等法律法规，诚实守信，合法经营，坚决抵制各种违法违纪行为。 </w:t>
      </w:r>
    </w:p>
    <w:p w14:paraId="65843B3B">
      <w:pPr>
        <w:autoSpaceDE w:val="0"/>
        <w:autoSpaceDN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如违反上述承诺，你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有权立即取消我单位投标、中标或在建项目的建设资格，有权拒绝我单位在一定时期内进入你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进行项目建设或其他经营活动，并通报市财政局。由此引起的相应损失均由我单位承担。</w:t>
      </w:r>
    </w:p>
    <w:p w14:paraId="45018304">
      <w:pPr>
        <w:autoSpaceDE w:val="0"/>
        <w:autoSpaceDN w:val="0"/>
        <w:spacing w:line="360" w:lineRule="auto"/>
        <w:ind w:left="2"/>
        <w:jc w:val="left"/>
        <w:rPr>
          <w:rFonts w:ascii="宋体" w:hAnsi="宋体" w:cs="宋体"/>
          <w:color w:val="auto"/>
          <w:kern w:val="0"/>
          <w:sz w:val="24"/>
          <w:highlight w:val="none"/>
          <w:lang w:val="zh-CN"/>
        </w:rPr>
      </w:pPr>
    </w:p>
    <w:p w14:paraId="162A6978">
      <w:pPr>
        <w:autoSpaceDE w:val="0"/>
        <w:autoSpaceDN w:val="0"/>
        <w:spacing w:line="360" w:lineRule="auto"/>
        <w:ind w:left="2"/>
        <w:jc w:val="left"/>
        <w:rPr>
          <w:rFonts w:ascii="宋体" w:hAnsi="宋体" w:cs="宋体"/>
          <w:color w:val="auto"/>
          <w:kern w:val="0"/>
          <w:sz w:val="24"/>
          <w:highlight w:val="none"/>
          <w:lang w:val="zh-CN"/>
        </w:rPr>
      </w:pPr>
    </w:p>
    <w:p w14:paraId="4E00255D">
      <w:pPr>
        <w:autoSpaceDE w:val="0"/>
        <w:autoSpaceDN w:val="0"/>
        <w:spacing w:line="360" w:lineRule="auto"/>
        <w:ind w:left="2"/>
        <w:jc w:val="left"/>
        <w:rPr>
          <w:rFonts w:ascii="宋体" w:hAnsi="宋体" w:cs="宋体"/>
          <w:color w:val="auto"/>
          <w:kern w:val="0"/>
          <w:sz w:val="24"/>
          <w:highlight w:val="none"/>
          <w:lang w:val="zh-CN"/>
        </w:rPr>
      </w:pPr>
    </w:p>
    <w:p w14:paraId="527E69BA">
      <w:pPr>
        <w:autoSpaceDE w:val="0"/>
        <w:autoSpaceDN w:val="0"/>
        <w:spacing w:line="360" w:lineRule="auto"/>
        <w:ind w:left="2" w:leftChars="1" w:right="1120" w:firstLine="4560" w:firstLineChars="19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投标人名称（</w:t>
      </w:r>
      <w:r>
        <w:rPr>
          <w:rFonts w:hint="eastAsia" w:ascii="宋体" w:hAnsi="宋体" w:cs="宋体"/>
          <w:color w:val="auto"/>
          <w:sz w:val="24"/>
          <w:highlight w:val="none"/>
        </w:rPr>
        <w:t>电子签名</w:t>
      </w:r>
      <w:r>
        <w:rPr>
          <w:rFonts w:hint="eastAsia" w:ascii="宋体" w:hAnsi="宋体" w:cs="宋体"/>
          <w:color w:val="auto"/>
          <w:kern w:val="0"/>
          <w:sz w:val="24"/>
          <w:highlight w:val="none"/>
          <w:lang w:val="zh-CN"/>
        </w:rPr>
        <w:t xml:space="preserve">）：                                                                                                                                                                                                               </w:t>
      </w:r>
    </w:p>
    <w:p w14:paraId="1A5AB390">
      <w:pPr>
        <w:spacing w:line="360" w:lineRule="auto"/>
        <w:ind w:left="4620" w:leftChars="2200"/>
        <w:rPr>
          <w:rFonts w:ascii="宋体" w:hAnsi="宋体" w:cs="宋体"/>
          <w:color w:val="auto"/>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 xml:space="preserve">   年   月   日</w:t>
      </w:r>
    </w:p>
    <w:p w14:paraId="3A71199B">
      <w:pPr>
        <w:spacing w:line="360" w:lineRule="auto"/>
        <w:jc w:val="center"/>
        <w:rPr>
          <w:rFonts w:ascii="宋体" w:hAnsi="宋体" w:cs="宋体"/>
          <w:b/>
          <w:bCs/>
          <w:color w:val="auto"/>
          <w:sz w:val="24"/>
          <w:highlight w:val="none"/>
        </w:rPr>
      </w:pPr>
    </w:p>
    <w:p w14:paraId="1E8EEB39">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077B0F48">
      <w:pPr>
        <w:spacing w:line="360" w:lineRule="auto"/>
        <w:jc w:val="center"/>
        <w:rPr>
          <w:rFonts w:ascii="宋体" w:hAnsi="宋体" w:cs="宋体"/>
          <w:b/>
          <w:bCs/>
          <w:color w:val="auto"/>
          <w:sz w:val="24"/>
          <w:highlight w:val="none"/>
        </w:rPr>
        <w:sectPr>
          <w:headerReference r:id="rId13" w:type="first"/>
          <w:footerReference r:id="rId15" w:type="first"/>
          <w:headerReference r:id="rId12" w:type="default"/>
          <w:footerReference r:id="rId14" w:type="default"/>
          <w:pgSz w:w="11906" w:h="16838"/>
          <w:pgMar w:top="1276" w:right="1418" w:bottom="1247" w:left="1418" w:header="851" w:footer="992" w:gutter="0"/>
          <w:cols w:space="720" w:num="1"/>
          <w:titlePg/>
          <w:docGrid w:linePitch="312" w:charSpace="0"/>
        </w:sectPr>
      </w:pPr>
    </w:p>
    <w:p w14:paraId="134584CD">
      <w:pPr>
        <w:spacing w:line="360" w:lineRule="auto"/>
        <w:jc w:val="center"/>
        <w:outlineLvl w:val="1"/>
        <w:rPr>
          <w:rFonts w:ascii="宋体" w:hAnsi="宋体" w:cs="宋体"/>
          <w:b/>
          <w:color w:val="auto"/>
          <w:kern w:val="0"/>
          <w:sz w:val="36"/>
          <w:szCs w:val="36"/>
          <w:highlight w:val="none"/>
        </w:rPr>
      </w:pPr>
      <w:bookmarkStart w:id="442" w:name="_Toc1996"/>
      <w:r>
        <w:rPr>
          <w:rFonts w:hint="eastAsia" w:ascii="宋体" w:hAnsi="宋体" w:cs="宋体"/>
          <w:b/>
          <w:color w:val="auto"/>
          <w:kern w:val="0"/>
          <w:sz w:val="36"/>
          <w:szCs w:val="36"/>
          <w:highlight w:val="none"/>
        </w:rPr>
        <w:t>报价文件部分</w:t>
      </w:r>
      <w:bookmarkEnd w:id="442"/>
    </w:p>
    <w:p w14:paraId="12AA9A25">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3462531A">
      <w:pPr>
        <w:spacing w:line="360" w:lineRule="auto"/>
        <w:jc w:val="center"/>
        <w:rPr>
          <w:rFonts w:ascii="宋体" w:hAnsi="宋体" w:cs="宋体"/>
          <w:b/>
          <w:color w:val="auto"/>
          <w:kern w:val="0"/>
          <w:sz w:val="36"/>
          <w:szCs w:val="36"/>
          <w:highlight w:val="none"/>
        </w:rPr>
      </w:pPr>
    </w:p>
    <w:p w14:paraId="2D1D0BE8">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（1）开标一览表（报价表）………………………………………………………（页码）</w:t>
      </w:r>
    </w:p>
    <w:p w14:paraId="419F41B5">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（2）关于符合本国产品标准的声明函……………………………………………（页码）</w:t>
      </w:r>
    </w:p>
    <w:p w14:paraId="7E692524">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（3）关于符合本国产品标准的成本占比承诺函</w:t>
      </w:r>
      <w:r>
        <w:rPr>
          <w:rFonts w:hint="eastAsia" w:ascii="宋体" w:hAnsi="宋体" w:eastAsia="宋体" w:cs="宋体"/>
          <w:color w:val="auto"/>
          <w:sz w:val="24"/>
          <w:highlight w:val="none"/>
        </w:rPr>
        <w:t>…………………………………（页码）</w:t>
      </w:r>
    </w:p>
    <w:p w14:paraId="19620600">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）中小企业声明函………………………………………………………（页码）</w:t>
      </w:r>
    </w:p>
    <w:p w14:paraId="2F04670B">
      <w:pPr>
        <w:snapToGrid w:val="0"/>
        <w:spacing w:line="360" w:lineRule="auto"/>
        <w:ind w:right="480"/>
        <w:jc w:val="center"/>
        <w:rPr>
          <w:rFonts w:ascii="宋体" w:hAnsi="宋体" w:cs="宋体"/>
          <w:b/>
          <w:color w:val="auto"/>
          <w:kern w:val="0"/>
          <w:sz w:val="32"/>
          <w:szCs w:val="32"/>
          <w:highlight w:val="none"/>
        </w:rPr>
      </w:pPr>
    </w:p>
    <w:p w14:paraId="3169ED9D">
      <w:pPr>
        <w:snapToGrid w:val="0"/>
        <w:spacing w:line="360" w:lineRule="auto"/>
        <w:ind w:right="480"/>
        <w:jc w:val="center"/>
        <w:rPr>
          <w:rFonts w:ascii="宋体" w:hAnsi="宋体" w:cs="宋体"/>
          <w:b/>
          <w:color w:val="auto"/>
          <w:kern w:val="0"/>
          <w:sz w:val="32"/>
          <w:szCs w:val="32"/>
          <w:highlight w:val="none"/>
        </w:rPr>
      </w:pPr>
    </w:p>
    <w:p w14:paraId="310C43F0">
      <w:pPr>
        <w:snapToGrid w:val="0"/>
        <w:spacing w:line="360" w:lineRule="auto"/>
        <w:ind w:right="480"/>
        <w:jc w:val="center"/>
        <w:rPr>
          <w:rFonts w:ascii="宋体" w:hAnsi="宋体" w:cs="宋体"/>
          <w:b/>
          <w:color w:val="auto"/>
          <w:kern w:val="0"/>
          <w:sz w:val="32"/>
          <w:szCs w:val="32"/>
          <w:highlight w:val="none"/>
        </w:rPr>
      </w:pPr>
    </w:p>
    <w:p w14:paraId="4A20DC84">
      <w:pPr>
        <w:snapToGrid w:val="0"/>
        <w:spacing w:line="360" w:lineRule="auto"/>
        <w:ind w:right="480"/>
        <w:jc w:val="center"/>
        <w:rPr>
          <w:rFonts w:ascii="宋体" w:hAnsi="宋体" w:cs="宋体"/>
          <w:b/>
          <w:color w:val="auto"/>
          <w:kern w:val="0"/>
          <w:sz w:val="32"/>
          <w:szCs w:val="32"/>
          <w:highlight w:val="none"/>
        </w:rPr>
      </w:pPr>
    </w:p>
    <w:p w14:paraId="2E7CF091">
      <w:pPr>
        <w:snapToGrid w:val="0"/>
        <w:spacing w:line="360" w:lineRule="auto"/>
        <w:ind w:right="480"/>
        <w:jc w:val="center"/>
        <w:rPr>
          <w:rFonts w:ascii="宋体" w:hAnsi="宋体" w:cs="宋体"/>
          <w:b/>
          <w:color w:val="auto"/>
          <w:kern w:val="0"/>
          <w:sz w:val="32"/>
          <w:szCs w:val="32"/>
          <w:highlight w:val="none"/>
        </w:rPr>
      </w:pPr>
    </w:p>
    <w:p w14:paraId="16920965">
      <w:pPr>
        <w:snapToGrid w:val="0"/>
        <w:spacing w:line="360" w:lineRule="auto"/>
        <w:ind w:right="480"/>
        <w:jc w:val="center"/>
        <w:rPr>
          <w:rFonts w:ascii="宋体" w:hAnsi="宋体" w:cs="宋体"/>
          <w:b/>
          <w:color w:val="auto"/>
          <w:kern w:val="0"/>
          <w:sz w:val="32"/>
          <w:szCs w:val="32"/>
          <w:highlight w:val="none"/>
        </w:rPr>
      </w:pPr>
    </w:p>
    <w:p w14:paraId="6C2DC4CA">
      <w:pPr>
        <w:snapToGrid w:val="0"/>
        <w:spacing w:line="360" w:lineRule="auto"/>
        <w:ind w:right="480"/>
        <w:jc w:val="center"/>
        <w:rPr>
          <w:rFonts w:ascii="宋体" w:hAnsi="宋体" w:cs="宋体"/>
          <w:b/>
          <w:color w:val="auto"/>
          <w:kern w:val="0"/>
          <w:sz w:val="32"/>
          <w:szCs w:val="32"/>
          <w:highlight w:val="none"/>
        </w:rPr>
      </w:pPr>
    </w:p>
    <w:p w14:paraId="58058A90">
      <w:pPr>
        <w:snapToGrid w:val="0"/>
        <w:spacing w:line="360" w:lineRule="auto"/>
        <w:ind w:right="480"/>
        <w:jc w:val="center"/>
        <w:rPr>
          <w:rFonts w:ascii="宋体" w:hAnsi="宋体" w:cs="宋体"/>
          <w:b/>
          <w:color w:val="auto"/>
          <w:kern w:val="0"/>
          <w:sz w:val="32"/>
          <w:szCs w:val="32"/>
          <w:highlight w:val="none"/>
        </w:rPr>
      </w:pPr>
    </w:p>
    <w:p w14:paraId="66F3BDBB">
      <w:pPr>
        <w:snapToGrid w:val="0"/>
        <w:spacing w:line="360" w:lineRule="auto"/>
        <w:ind w:right="480"/>
        <w:jc w:val="center"/>
        <w:rPr>
          <w:rFonts w:ascii="宋体" w:hAnsi="宋体" w:cs="宋体"/>
          <w:b/>
          <w:color w:val="auto"/>
          <w:kern w:val="0"/>
          <w:sz w:val="32"/>
          <w:szCs w:val="32"/>
          <w:highlight w:val="none"/>
        </w:rPr>
      </w:pPr>
    </w:p>
    <w:p w14:paraId="650B607C">
      <w:pPr>
        <w:snapToGrid w:val="0"/>
        <w:spacing w:line="360" w:lineRule="auto"/>
        <w:ind w:right="480"/>
        <w:jc w:val="center"/>
        <w:rPr>
          <w:rFonts w:ascii="宋体" w:hAnsi="宋体" w:cs="宋体"/>
          <w:b/>
          <w:color w:val="auto"/>
          <w:kern w:val="0"/>
          <w:sz w:val="32"/>
          <w:szCs w:val="32"/>
          <w:highlight w:val="none"/>
        </w:rPr>
      </w:pPr>
    </w:p>
    <w:p w14:paraId="4DB69341">
      <w:pPr>
        <w:snapToGrid w:val="0"/>
        <w:spacing w:line="360" w:lineRule="auto"/>
        <w:ind w:right="480"/>
        <w:jc w:val="center"/>
        <w:rPr>
          <w:rFonts w:ascii="宋体" w:hAnsi="宋体" w:cs="宋体"/>
          <w:b/>
          <w:color w:val="auto"/>
          <w:kern w:val="0"/>
          <w:sz w:val="32"/>
          <w:szCs w:val="32"/>
          <w:highlight w:val="none"/>
        </w:rPr>
      </w:pPr>
    </w:p>
    <w:p w14:paraId="533A6E46">
      <w:pPr>
        <w:snapToGrid w:val="0"/>
        <w:spacing w:line="360" w:lineRule="auto"/>
        <w:ind w:right="480"/>
        <w:jc w:val="center"/>
        <w:rPr>
          <w:rFonts w:ascii="宋体" w:hAnsi="宋体" w:cs="宋体"/>
          <w:b/>
          <w:color w:val="auto"/>
          <w:kern w:val="0"/>
          <w:sz w:val="32"/>
          <w:szCs w:val="32"/>
          <w:highlight w:val="none"/>
        </w:rPr>
      </w:pPr>
    </w:p>
    <w:p w14:paraId="65E3927F">
      <w:pPr>
        <w:snapToGrid w:val="0"/>
        <w:spacing w:line="360" w:lineRule="auto"/>
        <w:ind w:right="480"/>
        <w:jc w:val="center"/>
        <w:rPr>
          <w:rFonts w:ascii="宋体" w:hAnsi="宋体" w:cs="宋体"/>
          <w:b/>
          <w:color w:val="auto"/>
          <w:kern w:val="0"/>
          <w:sz w:val="32"/>
          <w:szCs w:val="32"/>
          <w:highlight w:val="none"/>
        </w:rPr>
      </w:pPr>
    </w:p>
    <w:p w14:paraId="592690A7">
      <w:pPr>
        <w:pStyle w:val="46"/>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headerReference r:id="rId17" w:type="first"/>
          <w:footerReference r:id="rId19" w:type="first"/>
          <w:headerReference r:id="rId16" w:type="default"/>
          <w:footerReference r:id="rId18" w:type="default"/>
          <w:pgSz w:w="11906" w:h="16838"/>
          <w:pgMar w:top="1276" w:right="1418" w:bottom="1247" w:left="1418" w:header="851" w:footer="992" w:gutter="0"/>
          <w:cols w:space="720" w:num="1"/>
          <w:titlePg/>
          <w:docGrid w:linePitch="312" w:charSpace="0"/>
        </w:sectPr>
      </w:pPr>
    </w:p>
    <w:p w14:paraId="484C840E">
      <w:pPr>
        <w:pStyle w:val="46"/>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bookmarkStart w:id="443" w:name="_Toc9756"/>
      <w:r>
        <w:rPr>
          <w:rFonts w:hint="eastAsia" w:ascii="宋体" w:hAnsi="宋体" w:eastAsia="宋体" w:cs="宋体"/>
          <w:color w:val="auto"/>
          <w:kern w:val="2"/>
          <w:sz w:val="32"/>
          <w:szCs w:val="32"/>
          <w:highlight w:val="none"/>
        </w:rPr>
        <w:t>一、开标一览表（报价表）</w:t>
      </w:r>
      <w:bookmarkEnd w:id="443"/>
    </w:p>
    <w:p w14:paraId="13EA35AA">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21679445">
      <w:pPr>
        <w:snapToGrid w:val="0"/>
        <w:spacing w:line="360" w:lineRule="auto"/>
        <w:ind w:firstLine="482"/>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auto"/>
          <w:sz w:val="24"/>
          <w:highlight w:val="none"/>
          <w:lang w:eastAsia="zh-CN"/>
        </w:rPr>
        <w:t>杭州电子科技大学家具更新项目</w:t>
      </w:r>
      <w:r>
        <w:rPr>
          <w:rFonts w:hint="eastAsia" w:ascii="宋体" w:hAnsi="宋体" w:cs="宋体"/>
          <w:color w:val="auto"/>
          <w:kern w:val="0"/>
          <w:sz w:val="24"/>
          <w:highlight w:val="none"/>
          <w:lang w:val="zh-CN"/>
        </w:rPr>
        <w:t>【招标编号：</w:t>
      </w:r>
      <w:r>
        <w:rPr>
          <w:rFonts w:hint="eastAsia" w:ascii="宋体" w:hAnsi="宋体" w:cs="宋体"/>
          <w:color w:val="auto"/>
          <w:sz w:val="24"/>
          <w:highlight w:val="none"/>
        </w:rPr>
        <w:t>】的实施</w:t>
      </w:r>
      <w:r>
        <w:rPr>
          <w:rFonts w:hint="eastAsia" w:ascii="宋体" w:hAnsi="宋体" w:cs="宋体"/>
          <w:color w:val="auto"/>
          <w:kern w:val="0"/>
          <w:sz w:val="24"/>
          <w:highlight w:val="none"/>
          <w:lang w:val="zh-CN"/>
        </w:rPr>
        <w:t>。</w:t>
      </w:r>
    </w:p>
    <w:p w14:paraId="43C5986B">
      <w:pPr>
        <w:spacing w:line="360" w:lineRule="auto"/>
        <w:jc w:val="center"/>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开标一览表（报价表）(单位均为人民币元)</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85"/>
        <w:gridCol w:w="1156"/>
        <w:gridCol w:w="1971"/>
        <w:gridCol w:w="614"/>
        <w:gridCol w:w="975"/>
        <w:gridCol w:w="1246"/>
        <w:gridCol w:w="1976"/>
      </w:tblGrid>
      <w:tr w14:paraId="3943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457" w:type="dxa"/>
            <w:noWrap w:val="0"/>
            <w:vAlign w:val="center"/>
          </w:tcPr>
          <w:p w14:paraId="2151E54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885" w:type="dxa"/>
            <w:noWrap w:val="0"/>
            <w:vAlign w:val="center"/>
          </w:tcPr>
          <w:p w14:paraId="3EE0019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56" w:type="dxa"/>
            <w:noWrap w:val="0"/>
            <w:vAlign w:val="top"/>
          </w:tcPr>
          <w:p w14:paraId="500F063B">
            <w:pPr>
              <w:spacing w:line="360" w:lineRule="auto"/>
              <w:jc w:val="center"/>
              <w:rPr>
                <w:rFonts w:ascii="宋体" w:hAnsi="宋体" w:cs="宋体"/>
                <w:b/>
                <w:color w:val="auto"/>
                <w:sz w:val="24"/>
                <w:highlight w:val="none"/>
              </w:rPr>
            </w:pPr>
          </w:p>
          <w:p w14:paraId="2B9A56B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971" w:type="dxa"/>
            <w:noWrap w:val="0"/>
            <w:vAlign w:val="center"/>
          </w:tcPr>
          <w:p w14:paraId="79FFF46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614" w:type="dxa"/>
            <w:noWrap w:val="0"/>
            <w:vAlign w:val="center"/>
          </w:tcPr>
          <w:p w14:paraId="0E729D3A">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975" w:type="dxa"/>
            <w:noWrap w:val="0"/>
            <w:vAlign w:val="center"/>
          </w:tcPr>
          <w:p w14:paraId="5971FAF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单价</w:t>
            </w:r>
          </w:p>
        </w:tc>
        <w:tc>
          <w:tcPr>
            <w:tcW w:w="1246" w:type="dxa"/>
            <w:noWrap w:val="0"/>
            <w:vAlign w:val="center"/>
          </w:tcPr>
          <w:p w14:paraId="4B649EC5">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合计</w:t>
            </w:r>
          </w:p>
        </w:tc>
        <w:tc>
          <w:tcPr>
            <w:tcW w:w="1976" w:type="dxa"/>
            <w:noWrap w:val="0"/>
            <w:vAlign w:val="center"/>
          </w:tcPr>
          <w:p w14:paraId="0DDFC90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产地</w:t>
            </w:r>
          </w:p>
        </w:tc>
      </w:tr>
      <w:tr w14:paraId="46C1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57" w:type="dxa"/>
            <w:noWrap w:val="0"/>
            <w:vAlign w:val="center"/>
          </w:tcPr>
          <w:p w14:paraId="445ACE8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85" w:type="dxa"/>
            <w:noWrap w:val="0"/>
            <w:vAlign w:val="center"/>
          </w:tcPr>
          <w:p w14:paraId="1D437692">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noWrap w:val="0"/>
            <w:vAlign w:val="center"/>
          </w:tcPr>
          <w:p w14:paraId="5AB4C30B">
            <w:pPr>
              <w:snapToGrid w:val="0"/>
              <w:spacing w:line="360" w:lineRule="auto"/>
              <w:jc w:val="center"/>
              <w:rPr>
                <w:rFonts w:ascii="宋体" w:hAnsi="宋体" w:cs="宋体"/>
                <w:color w:val="auto"/>
                <w:sz w:val="24"/>
                <w:highlight w:val="none"/>
              </w:rPr>
            </w:pPr>
          </w:p>
        </w:tc>
        <w:tc>
          <w:tcPr>
            <w:tcW w:w="1971" w:type="dxa"/>
            <w:noWrap w:val="0"/>
            <w:vAlign w:val="center"/>
          </w:tcPr>
          <w:p w14:paraId="5B297346">
            <w:pPr>
              <w:snapToGrid w:val="0"/>
              <w:spacing w:line="360" w:lineRule="auto"/>
              <w:jc w:val="center"/>
              <w:rPr>
                <w:rFonts w:ascii="宋体" w:hAnsi="宋体" w:cs="宋体"/>
                <w:color w:val="auto"/>
                <w:sz w:val="24"/>
                <w:highlight w:val="none"/>
              </w:rPr>
            </w:pPr>
          </w:p>
        </w:tc>
        <w:tc>
          <w:tcPr>
            <w:tcW w:w="614" w:type="dxa"/>
            <w:noWrap w:val="0"/>
            <w:vAlign w:val="center"/>
          </w:tcPr>
          <w:p w14:paraId="5399F6A8">
            <w:pPr>
              <w:snapToGrid w:val="0"/>
              <w:spacing w:line="360" w:lineRule="auto"/>
              <w:jc w:val="center"/>
              <w:rPr>
                <w:rFonts w:ascii="宋体" w:hAnsi="宋体" w:cs="宋体"/>
                <w:color w:val="auto"/>
                <w:sz w:val="24"/>
                <w:highlight w:val="none"/>
              </w:rPr>
            </w:pPr>
          </w:p>
        </w:tc>
        <w:tc>
          <w:tcPr>
            <w:tcW w:w="975" w:type="dxa"/>
            <w:noWrap w:val="0"/>
            <w:vAlign w:val="center"/>
          </w:tcPr>
          <w:p w14:paraId="4E3F25CF">
            <w:pPr>
              <w:spacing w:line="360" w:lineRule="auto"/>
              <w:jc w:val="center"/>
              <w:rPr>
                <w:rFonts w:ascii="宋体" w:hAnsi="宋体" w:cs="宋体"/>
                <w:color w:val="auto"/>
                <w:sz w:val="24"/>
                <w:highlight w:val="none"/>
              </w:rPr>
            </w:pPr>
          </w:p>
        </w:tc>
        <w:tc>
          <w:tcPr>
            <w:tcW w:w="1246" w:type="dxa"/>
            <w:noWrap w:val="0"/>
            <w:vAlign w:val="center"/>
          </w:tcPr>
          <w:p w14:paraId="793BB936">
            <w:pPr>
              <w:spacing w:line="360" w:lineRule="auto"/>
              <w:jc w:val="center"/>
              <w:rPr>
                <w:rFonts w:ascii="宋体" w:hAnsi="宋体" w:cs="宋体"/>
                <w:color w:val="auto"/>
                <w:sz w:val="24"/>
                <w:highlight w:val="none"/>
              </w:rPr>
            </w:pPr>
          </w:p>
        </w:tc>
        <w:tc>
          <w:tcPr>
            <w:tcW w:w="1976" w:type="dxa"/>
            <w:noWrap w:val="0"/>
            <w:vAlign w:val="center"/>
          </w:tcPr>
          <w:p w14:paraId="1F4C1EA1">
            <w:pPr>
              <w:spacing w:line="360" w:lineRule="auto"/>
              <w:jc w:val="center"/>
              <w:rPr>
                <w:rFonts w:ascii="宋体" w:hAnsi="宋体" w:cs="宋体"/>
                <w:color w:val="auto"/>
                <w:sz w:val="24"/>
                <w:highlight w:val="none"/>
              </w:rPr>
            </w:pPr>
          </w:p>
        </w:tc>
      </w:tr>
      <w:tr w14:paraId="685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77260FB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85" w:type="dxa"/>
            <w:noWrap w:val="0"/>
            <w:vAlign w:val="center"/>
          </w:tcPr>
          <w:p w14:paraId="1D386EB1">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noWrap w:val="0"/>
            <w:vAlign w:val="center"/>
          </w:tcPr>
          <w:p w14:paraId="3948FF3C">
            <w:pPr>
              <w:snapToGrid w:val="0"/>
              <w:spacing w:line="360" w:lineRule="auto"/>
              <w:jc w:val="center"/>
              <w:rPr>
                <w:rFonts w:ascii="宋体" w:hAnsi="宋体" w:cs="宋体"/>
                <w:color w:val="auto"/>
                <w:sz w:val="24"/>
                <w:highlight w:val="none"/>
              </w:rPr>
            </w:pPr>
          </w:p>
        </w:tc>
        <w:tc>
          <w:tcPr>
            <w:tcW w:w="1971" w:type="dxa"/>
            <w:noWrap w:val="0"/>
            <w:vAlign w:val="center"/>
          </w:tcPr>
          <w:p w14:paraId="79A12CDA">
            <w:pPr>
              <w:snapToGrid w:val="0"/>
              <w:spacing w:line="360" w:lineRule="auto"/>
              <w:jc w:val="center"/>
              <w:rPr>
                <w:rFonts w:ascii="宋体" w:hAnsi="宋体" w:cs="宋体"/>
                <w:color w:val="auto"/>
                <w:sz w:val="24"/>
                <w:highlight w:val="none"/>
              </w:rPr>
            </w:pPr>
          </w:p>
        </w:tc>
        <w:tc>
          <w:tcPr>
            <w:tcW w:w="614" w:type="dxa"/>
            <w:noWrap w:val="0"/>
            <w:vAlign w:val="center"/>
          </w:tcPr>
          <w:p w14:paraId="76F6416F">
            <w:pPr>
              <w:snapToGrid w:val="0"/>
              <w:spacing w:line="360" w:lineRule="auto"/>
              <w:jc w:val="center"/>
              <w:rPr>
                <w:rFonts w:ascii="宋体" w:hAnsi="宋体" w:cs="宋体"/>
                <w:color w:val="auto"/>
                <w:sz w:val="24"/>
                <w:highlight w:val="none"/>
              </w:rPr>
            </w:pPr>
          </w:p>
        </w:tc>
        <w:tc>
          <w:tcPr>
            <w:tcW w:w="975" w:type="dxa"/>
            <w:noWrap w:val="0"/>
            <w:vAlign w:val="center"/>
          </w:tcPr>
          <w:p w14:paraId="52C4D517">
            <w:pPr>
              <w:spacing w:line="360" w:lineRule="auto"/>
              <w:jc w:val="center"/>
              <w:rPr>
                <w:rFonts w:ascii="宋体" w:hAnsi="宋体" w:cs="宋体"/>
                <w:color w:val="auto"/>
                <w:sz w:val="24"/>
                <w:highlight w:val="none"/>
              </w:rPr>
            </w:pPr>
          </w:p>
        </w:tc>
        <w:tc>
          <w:tcPr>
            <w:tcW w:w="1246" w:type="dxa"/>
            <w:noWrap w:val="0"/>
            <w:vAlign w:val="center"/>
          </w:tcPr>
          <w:p w14:paraId="743D7817">
            <w:pPr>
              <w:spacing w:line="360" w:lineRule="auto"/>
              <w:jc w:val="center"/>
              <w:rPr>
                <w:rFonts w:ascii="宋体" w:hAnsi="宋体" w:cs="宋体"/>
                <w:color w:val="auto"/>
                <w:sz w:val="24"/>
                <w:highlight w:val="none"/>
              </w:rPr>
            </w:pPr>
          </w:p>
        </w:tc>
        <w:tc>
          <w:tcPr>
            <w:tcW w:w="1976" w:type="dxa"/>
            <w:noWrap w:val="0"/>
            <w:vAlign w:val="center"/>
          </w:tcPr>
          <w:p w14:paraId="1B23449A">
            <w:pPr>
              <w:spacing w:line="360" w:lineRule="auto"/>
              <w:jc w:val="center"/>
              <w:rPr>
                <w:rFonts w:ascii="宋体" w:hAnsi="宋体" w:cs="宋体"/>
                <w:color w:val="auto"/>
                <w:sz w:val="24"/>
                <w:highlight w:val="none"/>
              </w:rPr>
            </w:pPr>
          </w:p>
        </w:tc>
      </w:tr>
      <w:tr w14:paraId="685E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50DECF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85" w:type="dxa"/>
            <w:noWrap w:val="0"/>
            <w:vAlign w:val="center"/>
          </w:tcPr>
          <w:p w14:paraId="074D3697">
            <w:pPr>
              <w:snapToGrid w:val="0"/>
              <w:spacing w:line="360" w:lineRule="auto"/>
              <w:jc w:val="center"/>
              <w:rPr>
                <w:rFonts w:ascii="宋体" w:hAnsi="宋体" w:cs="宋体"/>
                <w:color w:val="auto"/>
                <w:sz w:val="24"/>
                <w:highlight w:val="none"/>
              </w:rPr>
            </w:pPr>
          </w:p>
        </w:tc>
        <w:tc>
          <w:tcPr>
            <w:tcW w:w="1156" w:type="dxa"/>
            <w:noWrap w:val="0"/>
            <w:vAlign w:val="center"/>
          </w:tcPr>
          <w:p w14:paraId="1F22908F">
            <w:pPr>
              <w:snapToGrid w:val="0"/>
              <w:spacing w:line="360" w:lineRule="auto"/>
              <w:jc w:val="center"/>
              <w:rPr>
                <w:rFonts w:ascii="宋体" w:hAnsi="宋体" w:cs="宋体"/>
                <w:color w:val="auto"/>
                <w:sz w:val="24"/>
                <w:highlight w:val="none"/>
              </w:rPr>
            </w:pPr>
          </w:p>
        </w:tc>
        <w:tc>
          <w:tcPr>
            <w:tcW w:w="1971" w:type="dxa"/>
            <w:noWrap w:val="0"/>
            <w:vAlign w:val="center"/>
          </w:tcPr>
          <w:p w14:paraId="2978DE14">
            <w:pPr>
              <w:snapToGrid w:val="0"/>
              <w:spacing w:line="360" w:lineRule="auto"/>
              <w:jc w:val="center"/>
              <w:rPr>
                <w:rFonts w:ascii="宋体" w:hAnsi="宋体" w:cs="宋体"/>
                <w:color w:val="auto"/>
                <w:sz w:val="24"/>
                <w:highlight w:val="none"/>
              </w:rPr>
            </w:pPr>
          </w:p>
        </w:tc>
        <w:tc>
          <w:tcPr>
            <w:tcW w:w="614" w:type="dxa"/>
            <w:noWrap w:val="0"/>
            <w:vAlign w:val="center"/>
          </w:tcPr>
          <w:p w14:paraId="119B9ECD">
            <w:pPr>
              <w:snapToGrid w:val="0"/>
              <w:spacing w:line="360" w:lineRule="auto"/>
              <w:jc w:val="center"/>
              <w:rPr>
                <w:rFonts w:ascii="宋体" w:hAnsi="宋体" w:cs="宋体"/>
                <w:color w:val="auto"/>
                <w:sz w:val="24"/>
                <w:highlight w:val="none"/>
              </w:rPr>
            </w:pPr>
          </w:p>
        </w:tc>
        <w:tc>
          <w:tcPr>
            <w:tcW w:w="975" w:type="dxa"/>
            <w:noWrap w:val="0"/>
            <w:vAlign w:val="center"/>
          </w:tcPr>
          <w:p w14:paraId="176E2127">
            <w:pPr>
              <w:spacing w:line="360" w:lineRule="auto"/>
              <w:jc w:val="center"/>
              <w:rPr>
                <w:rFonts w:ascii="宋体" w:hAnsi="宋体" w:cs="宋体"/>
                <w:color w:val="auto"/>
                <w:sz w:val="24"/>
                <w:highlight w:val="none"/>
              </w:rPr>
            </w:pPr>
          </w:p>
        </w:tc>
        <w:tc>
          <w:tcPr>
            <w:tcW w:w="1246" w:type="dxa"/>
            <w:noWrap w:val="0"/>
            <w:vAlign w:val="center"/>
          </w:tcPr>
          <w:p w14:paraId="2EA5B79C">
            <w:pPr>
              <w:spacing w:line="360" w:lineRule="auto"/>
              <w:jc w:val="center"/>
              <w:rPr>
                <w:rFonts w:ascii="宋体" w:hAnsi="宋体" w:cs="宋体"/>
                <w:color w:val="auto"/>
                <w:sz w:val="24"/>
                <w:highlight w:val="none"/>
              </w:rPr>
            </w:pPr>
          </w:p>
        </w:tc>
        <w:tc>
          <w:tcPr>
            <w:tcW w:w="1976" w:type="dxa"/>
            <w:noWrap w:val="0"/>
            <w:vAlign w:val="center"/>
          </w:tcPr>
          <w:p w14:paraId="12F760FD">
            <w:pPr>
              <w:spacing w:line="360" w:lineRule="auto"/>
              <w:jc w:val="center"/>
              <w:rPr>
                <w:rFonts w:ascii="宋体" w:hAnsi="宋体" w:cs="宋体"/>
                <w:color w:val="auto"/>
                <w:sz w:val="24"/>
                <w:highlight w:val="none"/>
              </w:rPr>
            </w:pPr>
          </w:p>
        </w:tc>
      </w:tr>
      <w:tr w14:paraId="3DDB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457" w:type="dxa"/>
            <w:noWrap w:val="0"/>
            <w:vAlign w:val="center"/>
          </w:tcPr>
          <w:p w14:paraId="782449D2">
            <w:pPr>
              <w:spacing w:line="360" w:lineRule="auto"/>
              <w:jc w:val="center"/>
              <w:rPr>
                <w:rFonts w:ascii="宋体" w:hAnsi="宋体" w:cs="宋体"/>
                <w:color w:val="auto"/>
                <w:sz w:val="24"/>
                <w:highlight w:val="none"/>
              </w:rPr>
            </w:pPr>
          </w:p>
        </w:tc>
        <w:tc>
          <w:tcPr>
            <w:tcW w:w="885" w:type="dxa"/>
            <w:noWrap w:val="0"/>
            <w:vAlign w:val="center"/>
          </w:tcPr>
          <w:p w14:paraId="2AF8B2CC">
            <w:pPr>
              <w:snapToGrid w:val="0"/>
              <w:spacing w:line="360" w:lineRule="auto"/>
              <w:jc w:val="center"/>
              <w:rPr>
                <w:rFonts w:ascii="宋体" w:hAnsi="宋体" w:cs="宋体"/>
                <w:color w:val="auto"/>
                <w:sz w:val="24"/>
                <w:highlight w:val="none"/>
              </w:rPr>
            </w:pPr>
          </w:p>
        </w:tc>
        <w:tc>
          <w:tcPr>
            <w:tcW w:w="1156" w:type="dxa"/>
            <w:noWrap w:val="0"/>
            <w:vAlign w:val="center"/>
          </w:tcPr>
          <w:p w14:paraId="5B31E28C">
            <w:pPr>
              <w:snapToGrid w:val="0"/>
              <w:spacing w:line="360" w:lineRule="auto"/>
              <w:jc w:val="center"/>
              <w:rPr>
                <w:rFonts w:ascii="宋体" w:hAnsi="宋体" w:cs="宋体"/>
                <w:color w:val="auto"/>
                <w:sz w:val="24"/>
                <w:highlight w:val="none"/>
              </w:rPr>
            </w:pPr>
          </w:p>
        </w:tc>
        <w:tc>
          <w:tcPr>
            <w:tcW w:w="1971" w:type="dxa"/>
            <w:noWrap w:val="0"/>
            <w:vAlign w:val="center"/>
          </w:tcPr>
          <w:p w14:paraId="607733D9">
            <w:pPr>
              <w:snapToGrid w:val="0"/>
              <w:spacing w:line="360" w:lineRule="auto"/>
              <w:jc w:val="center"/>
              <w:rPr>
                <w:rFonts w:ascii="宋体" w:hAnsi="宋体" w:cs="宋体"/>
                <w:color w:val="auto"/>
                <w:sz w:val="24"/>
                <w:highlight w:val="none"/>
              </w:rPr>
            </w:pPr>
          </w:p>
        </w:tc>
        <w:tc>
          <w:tcPr>
            <w:tcW w:w="614" w:type="dxa"/>
            <w:noWrap w:val="0"/>
            <w:vAlign w:val="center"/>
          </w:tcPr>
          <w:p w14:paraId="06D29B95">
            <w:pPr>
              <w:snapToGrid w:val="0"/>
              <w:spacing w:line="360" w:lineRule="auto"/>
              <w:jc w:val="center"/>
              <w:rPr>
                <w:rFonts w:ascii="宋体" w:hAnsi="宋体" w:cs="宋体"/>
                <w:color w:val="auto"/>
                <w:sz w:val="24"/>
                <w:highlight w:val="none"/>
              </w:rPr>
            </w:pPr>
          </w:p>
        </w:tc>
        <w:tc>
          <w:tcPr>
            <w:tcW w:w="975" w:type="dxa"/>
            <w:noWrap w:val="0"/>
            <w:vAlign w:val="center"/>
          </w:tcPr>
          <w:p w14:paraId="321E0092">
            <w:pPr>
              <w:spacing w:line="360" w:lineRule="auto"/>
              <w:jc w:val="center"/>
              <w:rPr>
                <w:rFonts w:ascii="宋体" w:hAnsi="宋体" w:cs="宋体"/>
                <w:color w:val="auto"/>
                <w:sz w:val="24"/>
                <w:highlight w:val="none"/>
              </w:rPr>
            </w:pPr>
          </w:p>
        </w:tc>
        <w:tc>
          <w:tcPr>
            <w:tcW w:w="1246" w:type="dxa"/>
            <w:noWrap w:val="0"/>
            <w:vAlign w:val="center"/>
          </w:tcPr>
          <w:p w14:paraId="57E8D925">
            <w:pPr>
              <w:spacing w:line="360" w:lineRule="auto"/>
              <w:jc w:val="center"/>
              <w:rPr>
                <w:rFonts w:ascii="宋体" w:hAnsi="宋体" w:cs="宋体"/>
                <w:color w:val="auto"/>
                <w:sz w:val="24"/>
                <w:highlight w:val="none"/>
              </w:rPr>
            </w:pPr>
          </w:p>
        </w:tc>
        <w:tc>
          <w:tcPr>
            <w:tcW w:w="1976" w:type="dxa"/>
            <w:noWrap w:val="0"/>
            <w:vAlign w:val="center"/>
          </w:tcPr>
          <w:p w14:paraId="17ED63A4">
            <w:pPr>
              <w:spacing w:line="360" w:lineRule="auto"/>
              <w:jc w:val="center"/>
              <w:rPr>
                <w:rFonts w:ascii="宋体" w:hAnsi="宋体" w:cs="宋体"/>
                <w:color w:val="auto"/>
                <w:sz w:val="24"/>
                <w:highlight w:val="none"/>
              </w:rPr>
            </w:pPr>
          </w:p>
        </w:tc>
      </w:tr>
      <w:tr w14:paraId="395F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280FFC8A">
            <w:pPr>
              <w:spacing w:line="360" w:lineRule="auto"/>
              <w:jc w:val="center"/>
              <w:rPr>
                <w:rFonts w:ascii="宋体" w:hAnsi="宋体" w:cs="宋体"/>
                <w:color w:val="auto"/>
                <w:sz w:val="24"/>
                <w:highlight w:val="none"/>
              </w:rPr>
            </w:pPr>
          </w:p>
        </w:tc>
        <w:tc>
          <w:tcPr>
            <w:tcW w:w="885" w:type="dxa"/>
            <w:noWrap w:val="0"/>
            <w:vAlign w:val="center"/>
          </w:tcPr>
          <w:p w14:paraId="0FEBC51B">
            <w:pPr>
              <w:snapToGrid w:val="0"/>
              <w:spacing w:line="360" w:lineRule="auto"/>
              <w:jc w:val="center"/>
              <w:rPr>
                <w:rFonts w:ascii="宋体" w:hAnsi="宋体" w:cs="宋体"/>
                <w:color w:val="auto"/>
                <w:sz w:val="24"/>
                <w:highlight w:val="none"/>
              </w:rPr>
            </w:pPr>
          </w:p>
        </w:tc>
        <w:tc>
          <w:tcPr>
            <w:tcW w:w="1156" w:type="dxa"/>
            <w:noWrap w:val="0"/>
            <w:vAlign w:val="center"/>
          </w:tcPr>
          <w:p w14:paraId="170EC9D0">
            <w:pPr>
              <w:snapToGrid w:val="0"/>
              <w:spacing w:line="360" w:lineRule="auto"/>
              <w:jc w:val="center"/>
              <w:rPr>
                <w:rFonts w:ascii="宋体" w:hAnsi="宋体" w:cs="宋体"/>
                <w:color w:val="auto"/>
                <w:sz w:val="24"/>
                <w:highlight w:val="none"/>
              </w:rPr>
            </w:pPr>
          </w:p>
        </w:tc>
        <w:tc>
          <w:tcPr>
            <w:tcW w:w="1971" w:type="dxa"/>
            <w:noWrap w:val="0"/>
            <w:vAlign w:val="center"/>
          </w:tcPr>
          <w:p w14:paraId="31F35922">
            <w:pPr>
              <w:snapToGrid w:val="0"/>
              <w:spacing w:line="360" w:lineRule="auto"/>
              <w:jc w:val="center"/>
              <w:rPr>
                <w:rFonts w:ascii="宋体" w:hAnsi="宋体" w:cs="宋体"/>
                <w:color w:val="auto"/>
                <w:sz w:val="24"/>
                <w:highlight w:val="none"/>
              </w:rPr>
            </w:pPr>
          </w:p>
        </w:tc>
        <w:tc>
          <w:tcPr>
            <w:tcW w:w="614" w:type="dxa"/>
            <w:noWrap w:val="0"/>
            <w:vAlign w:val="center"/>
          </w:tcPr>
          <w:p w14:paraId="7C5F72B7">
            <w:pPr>
              <w:snapToGrid w:val="0"/>
              <w:spacing w:line="360" w:lineRule="auto"/>
              <w:jc w:val="center"/>
              <w:rPr>
                <w:rFonts w:ascii="宋体" w:hAnsi="宋体" w:cs="宋体"/>
                <w:color w:val="auto"/>
                <w:sz w:val="24"/>
                <w:highlight w:val="none"/>
              </w:rPr>
            </w:pPr>
          </w:p>
        </w:tc>
        <w:tc>
          <w:tcPr>
            <w:tcW w:w="975" w:type="dxa"/>
            <w:noWrap w:val="0"/>
            <w:vAlign w:val="center"/>
          </w:tcPr>
          <w:p w14:paraId="62FEB635">
            <w:pPr>
              <w:spacing w:line="360" w:lineRule="auto"/>
              <w:jc w:val="center"/>
              <w:rPr>
                <w:rFonts w:ascii="宋体" w:hAnsi="宋体" w:cs="宋体"/>
                <w:color w:val="auto"/>
                <w:sz w:val="24"/>
                <w:highlight w:val="none"/>
              </w:rPr>
            </w:pPr>
          </w:p>
        </w:tc>
        <w:tc>
          <w:tcPr>
            <w:tcW w:w="1246" w:type="dxa"/>
            <w:noWrap w:val="0"/>
            <w:vAlign w:val="center"/>
          </w:tcPr>
          <w:p w14:paraId="01B61F50">
            <w:pPr>
              <w:spacing w:line="360" w:lineRule="auto"/>
              <w:jc w:val="center"/>
              <w:rPr>
                <w:rFonts w:ascii="宋体" w:hAnsi="宋体" w:cs="宋体"/>
                <w:color w:val="auto"/>
                <w:sz w:val="24"/>
                <w:highlight w:val="none"/>
              </w:rPr>
            </w:pPr>
          </w:p>
        </w:tc>
        <w:tc>
          <w:tcPr>
            <w:tcW w:w="1976" w:type="dxa"/>
            <w:noWrap w:val="0"/>
            <w:vAlign w:val="center"/>
          </w:tcPr>
          <w:p w14:paraId="015C3C93">
            <w:pPr>
              <w:spacing w:line="360" w:lineRule="auto"/>
              <w:jc w:val="center"/>
              <w:rPr>
                <w:rFonts w:ascii="宋体" w:hAnsi="宋体" w:cs="宋体"/>
                <w:color w:val="auto"/>
                <w:sz w:val="24"/>
                <w:highlight w:val="none"/>
              </w:rPr>
            </w:pPr>
          </w:p>
        </w:tc>
      </w:tr>
      <w:tr w14:paraId="5866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4469" w:type="dxa"/>
            <w:gridSpan w:val="4"/>
            <w:noWrap w:val="0"/>
            <w:vAlign w:val="center"/>
          </w:tcPr>
          <w:p w14:paraId="32019C13">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投标报价（小写）</w:t>
            </w:r>
          </w:p>
        </w:tc>
        <w:tc>
          <w:tcPr>
            <w:tcW w:w="4811" w:type="dxa"/>
            <w:gridSpan w:val="4"/>
            <w:noWrap w:val="0"/>
            <w:vAlign w:val="center"/>
          </w:tcPr>
          <w:p w14:paraId="111CBA00">
            <w:pPr>
              <w:spacing w:line="360" w:lineRule="auto"/>
              <w:jc w:val="center"/>
              <w:rPr>
                <w:rFonts w:ascii="宋体" w:hAnsi="宋体" w:cs="宋体"/>
                <w:color w:val="auto"/>
                <w:sz w:val="24"/>
                <w:highlight w:val="none"/>
              </w:rPr>
            </w:pPr>
          </w:p>
        </w:tc>
      </w:tr>
      <w:tr w14:paraId="49C8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469" w:type="dxa"/>
            <w:gridSpan w:val="4"/>
            <w:noWrap w:val="0"/>
            <w:vAlign w:val="center"/>
          </w:tcPr>
          <w:p w14:paraId="3867B6C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投标报价（大写）</w:t>
            </w:r>
          </w:p>
        </w:tc>
        <w:tc>
          <w:tcPr>
            <w:tcW w:w="4811" w:type="dxa"/>
            <w:gridSpan w:val="4"/>
            <w:noWrap w:val="0"/>
            <w:vAlign w:val="center"/>
          </w:tcPr>
          <w:p w14:paraId="2F82DBC8">
            <w:pPr>
              <w:spacing w:line="360" w:lineRule="auto"/>
              <w:jc w:val="center"/>
              <w:rPr>
                <w:rFonts w:ascii="宋体" w:hAnsi="宋体" w:cs="宋体"/>
                <w:color w:val="auto"/>
                <w:sz w:val="24"/>
                <w:highlight w:val="none"/>
              </w:rPr>
            </w:pPr>
          </w:p>
        </w:tc>
      </w:tr>
    </w:tbl>
    <w:p w14:paraId="4595A6E4">
      <w:pPr>
        <w:snapToGrid w:val="0"/>
        <w:spacing w:line="360" w:lineRule="auto"/>
        <w:ind w:left="480"/>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注：</w:t>
      </w:r>
    </w:p>
    <w:p w14:paraId="684B24C3">
      <w:pPr>
        <w:spacing w:line="360" w:lineRule="auto"/>
        <w:ind w:left="-2" w:leftChars="-1"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1、投标人需按本表格式填写</w:t>
      </w: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color w:val="auto"/>
          <w:kern w:val="0"/>
          <w:sz w:val="24"/>
          <w:highlight w:val="none"/>
          <w:lang w:val="zh-CN"/>
        </w:rPr>
        <w:t>。</w:t>
      </w:r>
    </w:p>
    <w:p w14:paraId="2AB6B70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zh-CN"/>
        </w:rPr>
        <w:t>2、有关本项目实施所涉及的一切费用均计入报价。</w:t>
      </w:r>
      <w:r>
        <w:rPr>
          <w:rFonts w:hint="eastAsia" w:ascii="宋体" w:hAnsi="宋体" w:cs="宋体"/>
          <w:b/>
          <w:color w:val="auto"/>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不得出现“0元”“免费赠送”等形式的无偿报价，</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b/>
          <w:color w:val="auto"/>
          <w:kern w:val="0"/>
          <w:sz w:val="24"/>
          <w:highlight w:val="none"/>
          <w:lang w:val="zh-CN"/>
        </w:rPr>
        <w:t>；采购内容未包含在《开标一览表（报价表）》名称栏中，投标人不能作出合理解释的，</w:t>
      </w:r>
      <w:r>
        <w:rPr>
          <w:rFonts w:hint="eastAsia" w:ascii="宋体" w:hAnsi="宋体" w:cs="宋体"/>
          <w:b/>
          <w:color w:val="auto"/>
          <w:kern w:val="0"/>
          <w:sz w:val="24"/>
          <w:highlight w:val="none"/>
        </w:rPr>
        <w:t>视为</w:t>
      </w:r>
      <w:r>
        <w:rPr>
          <w:rFonts w:hint="eastAsia" w:ascii="宋体" w:hAnsi="宋体" w:cs="宋体"/>
          <w:b/>
          <w:color w:val="auto"/>
          <w:sz w:val="24"/>
          <w:highlight w:val="none"/>
        </w:rPr>
        <w:t>投标文件含有采购人不能接受的附加条件的，投标无效。</w:t>
      </w:r>
    </w:p>
    <w:p w14:paraId="701AD6AD">
      <w:pPr>
        <w:snapToGrid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3、特别提示：采购代理机构将对项目名称和项目编号，中标供应商名称、地址和中标金额，主要中标标的名称、品牌（如果有）、规格型号、数量、单价等予以公示。</w:t>
      </w:r>
    </w:p>
    <w:p w14:paraId="1F8CE8BA">
      <w:pPr>
        <w:snapToGrid w:val="0"/>
        <w:spacing w:line="360" w:lineRule="auto"/>
        <w:ind w:firstLine="480" w:firstLineChars="200"/>
        <w:jc w:val="left"/>
        <w:rPr>
          <w:rFonts w:ascii="宋体" w:hAnsi="宋体" w:cs="宋体"/>
          <w:color w:val="auto"/>
          <w:kern w:val="0"/>
          <w:sz w:val="24"/>
          <w:highlight w:val="none"/>
          <w:lang w:val="zh-CN"/>
        </w:rPr>
      </w:pPr>
      <w:r>
        <w:rPr>
          <w:rFonts w:ascii="宋体" w:hAnsi="宋体" w:cs="宋体"/>
          <w:color w:val="auto"/>
          <w:kern w:val="0"/>
          <w:sz w:val="24"/>
          <w:szCs w:val="22"/>
          <w:highlight w:val="none"/>
          <w:lang w:val="zh-CN"/>
        </w:rPr>
        <w:t>4</w:t>
      </w:r>
      <w:r>
        <w:rPr>
          <w:rFonts w:hint="eastAsia" w:ascii="宋体" w:hAnsi="宋体" w:cs="宋体"/>
          <w:color w:val="auto"/>
          <w:kern w:val="0"/>
          <w:sz w:val="24"/>
          <w:szCs w:val="22"/>
          <w:highlight w:val="none"/>
          <w:lang w:val="zh-CN"/>
        </w:rPr>
        <w:t>、</w:t>
      </w:r>
      <w:r>
        <w:rPr>
          <w:rFonts w:hint="eastAsia" w:ascii="宋体" w:hAnsi="宋体" w:cs="宋体"/>
          <w:color w:val="auto"/>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09D3F61F">
      <w:pPr>
        <w:spacing w:line="360" w:lineRule="auto"/>
        <w:ind w:firstLine="482" w:firstLineChars="200"/>
        <w:rPr>
          <w:rFonts w:hint="eastAsia" w:ascii="宋体" w:hAnsi="宋体" w:cs="宋体"/>
          <w:b/>
          <w:color w:val="auto"/>
          <w:kern w:val="0"/>
          <w:sz w:val="24"/>
          <w:highlight w:val="none"/>
        </w:rPr>
      </w:pPr>
      <w:r>
        <w:rPr>
          <w:rFonts w:hint="eastAsia" w:ascii="宋体" w:hAnsi="宋体" w:eastAsia="宋体" w:cs="宋体"/>
          <w:b/>
          <w:color w:val="auto"/>
          <w:kern w:val="0"/>
          <w:sz w:val="24"/>
          <w:highlight w:val="none"/>
        </w:rPr>
        <w:t>▲</w:t>
      </w:r>
      <w:r>
        <w:rPr>
          <w:rFonts w:hint="eastAsia" w:ascii="宋体" w:hAnsi="宋体" w:cs="宋体"/>
          <w:b/>
          <w:color w:val="auto"/>
          <w:kern w:val="0"/>
          <w:sz w:val="24"/>
          <w:highlight w:val="none"/>
        </w:rPr>
        <w:t>二、</w:t>
      </w:r>
      <w:r>
        <w:rPr>
          <w:rStyle w:val="41"/>
          <w:rFonts w:hint="eastAsia" w:ascii="宋体" w:hAnsi="宋体" w:eastAsia="宋体" w:cs="宋体"/>
          <w:b/>
          <w:bCs/>
          <w:color w:val="auto"/>
          <w:kern w:val="0"/>
          <w:sz w:val="24"/>
          <w:highlight w:val="none"/>
          <w:lang w:val="zh-TW" w:eastAsia="zh-TW"/>
        </w:rPr>
        <w:t>按</w:t>
      </w:r>
      <w:r>
        <w:rPr>
          <w:rStyle w:val="41"/>
          <w:rFonts w:hint="eastAsia" w:ascii="宋体" w:hAnsi="宋体" w:eastAsia="宋体" w:cs="宋体"/>
          <w:b/>
          <w:bCs/>
          <w:color w:val="auto"/>
          <w:kern w:val="0"/>
          <w:sz w:val="24"/>
          <w:highlight w:val="none"/>
          <w:lang w:val="en-US" w:eastAsia="zh-CN"/>
        </w:rPr>
        <w:t>采购</w:t>
      </w:r>
      <w:r>
        <w:rPr>
          <w:rStyle w:val="41"/>
          <w:rFonts w:hint="eastAsia" w:ascii="宋体" w:hAnsi="宋体" w:eastAsia="宋体" w:cs="宋体"/>
          <w:b/>
          <w:bCs/>
          <w:color w:val="auto"/>
          <w:kern w:val="0"/>
          <w:sz w:val="24"/>
          <w:highlight w:val="none"/>
          <w:lang w:val="zh-TW" w:eastAsia="zh-TW"/>
        </w:rPr>
        <w:t>文件要求提供报价低于采购项目最高限价</w:t>
      </w:r>
      <w:r>
        <w:rPr>
          <w:rStyle w:val="41"/>
          <w:rFonts w:hint="eastAsia" w:ascii="宋体" w:hAnsi="宋体" w:eastAsia="宋体" w:cs="宋体"/>
          <w:b/>
          <w:bCs/>
          <w:color w:val="auto"/>
          <w:kern w:val="0"/>
          <w:sz w:val="24"/>
          <w:highlight w:val="none"/>
          <w:lang w:val="zh-TW" w:eastAsia="zh-CN"/>
        </w:rPr>
        <w:t>（</w:t>
      </w:r>
      <w:r>
        <w:rPr>
          <w:rStyle w:val="41"/>
          <w:rFonts w:hint="eastAsia" w:ascii="宋体" w:hAnsi="宋体" w:eastAsia="宋体" w:cs="宋体"/>
          <w:b/>
          <w:bCs/>
          <w:color w:val="auto"/>
          <w:kern w:val="0"/>
          <w:sz w:val="24"/>
          <w:highlight w:val="none"/>
          <w:lang w:val="en-US" w:eastAsia="zh-CN"/>
        </w:rPr>
        <w:t>65</w:t>
      </w:r>
      <w:r>
        <w:rPr>
          <w:rStyle w:val="41"/>
          <w:rFonts w:hint="eastAsia" w:ascii="宋体" w:hAnsi="宋体" w:eastAsia="宋体" w:cs="宋体"/>
          <w:b/>
          <w:bCs/>
          <w:color w:val="auto"/>
          <w:kern w:val="0"/>
          <w:sz w:val="24"/>
          <w:highlight w:val="none"/>
          <w:lang w:val="zh-TW" w:eastAsia="zh-CN"/>
        </w:rPr>
        <w:t>）</w:t>
      </w:r>
      <w:r>
        <w:rPr>
          <w:rStyle w:val="41"/>
          <w:rFonts w:hint="eastAsia" w:ascii="宋体" w:hAnsi="宋体" w:eastAsia="宋体" w:cs="宋体"/>
          <w:b/>
          <w:bCs/>
          <w:color w:val="auto"/>
          <w:kern w:val="0"/>
          <w:sz w:val="24"/>
          <w:highlight w:val="none"/>
          <w:lang w:val="zh-TW" w:eastAsia="zh-TW"/>
        </w:rPr>
        <w:t>%的相关书面材料（如需）</w:t>
      </w:r>
      <w:r>
        <w:rPr>
          <w:rStyle w:val="41"/>
          <w:rFonts w:hint="eastAsia" w:ascii="宋体" w:hAnsi="宋体" w:eastAsia="宋体" w:cs="宋体"/>
          <w:b/>
          <w:bCs/>
          <w:color w:val="auto"/>
          <w:kern w:val="0"/>
          <w:sz w:val="24"/>
          <w:highlight w:val="none"/>
          <w:lang w:val="zh-TW"/>
        </w:rPr>
        <w:t>。</w:t>
      </w:r>
    </w:p>
    <w:p w14:paraId="6D3007D4">
      <w:pPr>
        <w:spacing w:line="360" w:lineRule="auto"/>
        <w:rPr>
          <w:rFonts w:hint="eastAsia" w:ascii="宋体" w:hAnsi="宋体"/>
          <w:b/>
          <w:color w:val="auto"/>
          <w:sz w:val="24"/>
          <w:highlight w:val="none"/>
        </w:rPr>
      </w:pPr>
      <w:r>
        <w:rPr>
          <w:rFonts w:hint="eastAsia"/>
          <w:b/>
          <w:color w:val="auto"/>
          <w:sz w:val="24"/>
          <w:highlight w:val="none"/>
        </w:rPr>
        <w:t>三、关于符合本国产品标准的声明函</w:t>
      </w:r>
    </w:p>
    <w:p w14:paraId="43050952">
      <w:pPr>
        <w:spacing w:line="360" w:lineRule="auto"/>
        <w:rPr>
          <w:rFonts w:ascii="宋体" w:hAnsi="宋体"/>
          <w:color w:val="auto"/>
          <w:sz w:val="24"/>
          <w:highlight w:val="none"/>
        </w:rPr>
      </w:pPr>
    </w:p>
    <w:p w14:paraId="3418DC56">
      <w:pPr>
        <w:pStyle w:val="24"/>
        <w:rPr>
          <w:rFonts w:hint="eastAsia"/>
          <w:color w:val="auto"/>
          <w:sz w:val="30"/>
          <w:szCs w:val="30"/>
          <w:highlight w:val="none"/>
        </w:rPr>
      </w:pPr>
      <w:r>
        <w:rPr>
          <w:rFonts w:hint="eastAsia"/>
          <w:color w:val="auto"/>
          <w:sz w:val="30"/>
          <w:szCs w:val="30"/>
          <w:highlight w:val="none"/>
        </w:rPr>
        <w:t>关于符合本国产品标准的声明函</w:t>
      </w:r>
    </w:p>
    <w:p w14:paraId="78E7689A">
      <w:pPr>
        <w:spacing w:line="360" w:lineRule="auto"/>
        <w:rPr>
          <w:rFonts w:ascii="宋体" w:hAnsi="宋体"/>
          <w:color w:val="auto"/>
          <w:sz w:val="24"/>
          <w:highlight w:val="none"/>
        </w:rPr>
      </w:pPr>
    </w:p>
    <w:p w14:paraId="22B8EFC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1E4A9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i/>
          <w:color w:val="auto"/>
          <w:sz w:val="24"/>
          <w:highlight w:val="none"/>
          <w:u w:val="single"/>
        </w:rPr>
        <w:t>（产品名称1）</w:t>
      </w:r>
      <w:r>
        <w:rPr>
          <w:rFonts w:hint="eastAsia" w:ascii="宋体" w:hAnsi="宋体"/>
          <w:color w:val="auto"/>
          <w:sz w:val="24"/>
          <w:highlight w:val="none"/>
          <w:vertAlign w:val="superscript"/>
        </w:rPr>
        <w:t>1</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vertAlign w:val="superscript"/>
        </w:rPr>
        <w:t>2</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vertAlign w:val="superscript"/>
        </w:rPr>
        <w:t>3</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vertAlign w:val="superscript"/>
        </w:rPr>
        <w:t>4</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vertAlign w:val="superscript"/>
        </w:rPr>
        <w:t>5</w:t>
      </w:r>
      <w:r>
        <w:rPr>
          <w:rFonts w:hint="eastAsia" w:ascii="宋体" w:hAnsi="宋体"/>
          <w:color w:val="auto"/>
          <w:sz w:val="24"/>
          <w:highlight w:val="none"/>
        </w:rPr>
        <w:t>在中国境内完成。</w:t>
      </w:r>
    </w:p>
    <w:p w14:paraId="2501834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i/>
          <w:color w:val="auto"/>
          <w:sz w:val="24"/>
          <w:highlight w:val="none"/>
          <w:u w:val="single"/>
        </w:rPr>
        <w:t>（产品名称2）</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rPr>
        <w:t>在中国境内完成。</w:t>
      </w:r>
    </w:p>
    <w:p w14:paraId="621091C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p>
    <w:p w14:paraId="761FCD8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本公司（单位）对上述声明内容的真实性负责。如有虚假，愿承担相应法律责任。</w:t>
      </w:r>
    </w:p>
    <w:p w14:paraId="21DFA055">
      <w:pPr>
        <w:spacing w:line="360" w:lineRule="auto"/>
        <w:rPr>
          <w:rFonts w:ascii="宋体" w:hAnsi="宋体"/>
          <w:color w:val="auto"/>
          <w:sz w:val="24"/>
          <w:highlight w:val="none"/>
        </w:rPr>
      </w:pPr>
    </w:p>
    <w:p w14:paraId="448ECED5">
      <w:pPr>
        <w:spacing w:line="360" w:lineRule="auto"/>
        <w:rPr>
          <w:rFonts w:ascii="宋体" w:hAnsi="宋体"/>
          <w:color w:val="auto"/>
          <w:sz w:val="24"/>
          <w:highlight w:val="none"/>
        </w:rPr>
      </w:pPr>
    </w:p>
    <w:p w14:paraId="70A756F1">
      <w:pPr>
        <w:spacing w:line="360" w:lineRule="auto"/>
        <w:ind w:left="2940" w:firstLine="420"/>
        <w:rPr>
          <w:rFonts w:ascii="宋体" w:hAnsi="宋体"/>
          <w:color w:val="auto"/>
          <w:sz w:val="24"/>
          <w:highlight w:val="none"/>
        </w:rPr>
      </w:pPr>
      <w:r>
        <w:rPr>
          <w:rFonts w:hint="eastAsia" w:ascii="宋体" w:hAnsi="宋体"/>
          <w:color w:val="auto"/>
          <w:sz w:val="24"/>
          <w:highlight w:val="none"/>
        </w:rPr>
        <w:t>公司（单位）名称（盖章）：　</w:t>
      </w:r>
      <w:r>
        <w:rPr>
          <w:rFonts w:ascii="宋体" w:hAnsi="宋体"/>
          <w:color w:val="auto"/>
          <w:sz w:val="24"/>
          <w:highlight w:val="none"/>
        </w:rPr>
        <w:t>        </w:t>
      </w:r>
    </w:p>
    <w:p w14:paraId="296F886F">
      <w:pPr>
        <w:spacing w:line="360" w:lineRule="auto"/>
        <w:ind w:left="2940" w:firstLine="420"/>
        <w:rPr>
          <w:rFonts w:ascii="宋体" w:hAnsi="宋体"/>
          <w:color w:val="auto"/>
          <w:sz w:val="24"/>
          <w:highlight w:val="none"/>
        </w:rPr>
      </w:pPr>
      <w:r>
        <w:rPr>
          <w:rFonts w:hint="eastAsia" w:ascii="宋体" w:hAnsi="宋体"/>
          <w:color w:val="auto"/>
          <w:sz w:val="24"/>
          <w:highlight w:val="none"/>
        </w:rPr>
        <w:t>日期：　</w:t>
      </w:r>
      <w:r>
        <w:rPr>
          <w:rFonts w:ascii="宋体" w:hAnsi="宋体"/>
          <w:color w:val="auto"/>
          <w:sz w:val="24"/>
          <w:highlight w:val="none"/>
        </w:rPr>
        <w:t>     </w:t>
      </w:r>
      <w:r>
        <w:rPr>
          <w:rFonts w:hint="eastAsia" w:ascii="宋体" w:hAnsi="宋体"/>
          <w:color w:val="auto"/>
          <w:sz w:val="24"/>
          <w:highlight w:val="none"/>
        </w:rPr>
        <w:t>年　</w:t>
      </w:r>
      <w:r>
        <w:rPr>
          <w:rFonts w:ascii="宋体" w:hAnsi="宋体"/>
          <w:color w:val="auto"/>
          <w:sz w:val="24"/>
          <w:highlight w:val="none"/>
        </w:rPr>
        <w:t>  </w:t>
      </w:r>
      <w:r>
        <w:rPr>
          <w:rFonts w:hint="eastAsia" w:ascii="宋体" w:hAnsi="宋体"/>
          <w:color w:val="auto"/>
          <w:sz w:val="24"/>
          <w:highlight w:val="none"/>
        </w:rPr>
        <w:t>月　</w:t>
      </w:r>
      <w:r>
        <w:rPr>
          <w:rFonts w:ascii="宋体" w:hAnsi="宋体"/>
          <w:color w:val="auto"/>
          <w:sz w:val="24"/>
          <w:highlight w:val="none"/>
        </w:rPr>
        <w:t>  </w:t>
      </w:r>
      <w:r>
        <w:rPr>
          <w:rFonts w:hint="eastAsia" w:ascii="宋体" w:hAnsi="宋体"/>
          <w:color w:val="auto"/>
          <w:sz w:val="24"/>
          <w:highlight w:val="none"/>
        </w:rPr>
        <w:t xml:space="preserve">日 </w:t>
      </w:r>
      <w:r>
        <w:rPr>
          <w:rFonts w:ascii="宋体" w:hAnsi="宋体"/>
          <w:color w:val="auto"/>
          <w:sz w:val="24"/>
          <w:highlight w:val="none"/>
        </w:rPr>
        <w:t>   </w:t>
      </w:r>
    </w:p>
    <w:p w14:paraId="1AAB9EC9">
      <w:pPr>
        <w:spacing w:line="360" w:lineRule="auto"/>
        <w:rPr>
          <w:rFonts w:ascii="宋体" w:hAnsi="宋体"/>
          <w:color w:val="auto"/>
          <w:sz w:val="24"/>
          <w:highlight w:val="none"/>
        </w:rPr>
      </w:pPr>
    </w:p>
    <w:p w14:paraId="1D52385A">
      <w:pPr>
        <w:spacing w:line="360" w:lineRule="auto"/>
        <w:rPr>
          <w:rFonts w:ascii="宋体" w:hAnsi="宋体"/>
          <w:color w:val="auto"/>
          <w:sz w:val="24"/>
          <w:highlight w:val="none"/>
        </w:rPr>
      </w:pPr>
      <w:r>
        <w:rPr>
          <w:rFonts w:ascii="宋体" w:hAnsi="宋体"/>
          <w:color w:val="auto"/>
          <w:sz w:val="24"/>
          <w:highlight w:val="none"/>
        </w:rPr>
        <w:t>__________________</w:t>
      </w:r>
    </w:p>
    <w:p w14:paraId="6D6803C3">
      <w:pPr>
        <w:spacing w:line="360" w:lineRule="auto"/>
        <w:rPr>
          <w:rFonts w:hint="eastAsia" w:ascii="宋体" w:hAnsi="宋体"/>
          <w:color w:val="auto"/>
          <w:sz w:val="24"/>
          <w:highlight w:val="none"/>
        </w:rPr>
      </w:pPr>
      <w:r>
        <w:rPr>
          <w:rFonts w:hint="eastAsia" w:ascii="宋体" w:hAnsi="宋体"/>
          <w:color w:val="auto"/>
          <w:sz w:val="24"/>
          <w:highlight w:val="none"/>
        </w:rPr>
        <w:t>1.产品如有型号，请在“产品名称”栏一并填写。</w:t>
      </w:r>
    </w:p>
    <w:p w14:paraId="7CF2FA96">
      <w:pPr>
        <w:spacing w:line="360" w:lineRule="auto"/>
        <w:rPr>
          <w:rFonts w:hint="eastAsia" w:ascii="宋体" w:hAnsi="宋体"/>
          <w:color w:val="auto"/>
          <w:sz w:val="24"/>
          <w:highlight w:val="none"/>
        </w:rPr>
      </w:pPr>
      <w:r>
        <w:rPr>
          <w:rFonts w:hint="eastAsia" w:ascii="宋体" w:hAnsi="宋体"/>
          <w:color w:val="auto"/>
          <w:sz w:val="24"/>
          <w:highlight w:val="none"/>
        </w:rPr>
        <w:t>2.生产厂名与厂址应与生产厂营业执照载明的相关信息保持一致。</w:t>
      </w:r>
    </w:p>
    <w:p w14:paraId="4376EED0">
      <w:pPr>
        <w:spacing w:line="360" w:lineRule="auto"/>
        <w:rPr>
          <w:rFonts w:hint="eastAsia" w:ascii="宋体" w:hAnsi="宋体"/>
          <w:color w:val="auto"/>
          <w:sz w:val="24"/>
          <w:highlight w:val="none"/>
        </w:rPr>
      </w:pPr>
      <w:r>
        <w:rPr>
          <w:rFonts w:hint="eastAsia" w:ascii="宋体" w:hAnsi="宋体"/>
          <w:color w:val="auto"/>
          <w:sz w:val="24"/>
          <w:highlight w:val="none"/>
        </w:rPr>
        <w:t>3.该产品的中国境内生产的组件成本占比相关要求实施前，“规定比例”栏可不填，下同。</w:t>
      </w:r>
    </w:p>
    <w:p w14:paraId="2C33A7FB">
      <w:pPr>
        <w:spacing w:line="360" w:lineRule="auto"/>
        <w:rPr>
          <w:rFonts w:hint="eastAsia" w:ascii="宋体" w:hAnsi="宋体"/>
          <w:color w:val="auto"/>
          <w:sz w:val="24"/>
          <w:highlight w:val="none"/>
        </w:rPr>
      </w:pPr>
      <w:r>
        <w:rPr>
          <w:rFonts w:hint="eastAsia" w:ascii="宋体" w:hAnsi="宋体"/>
          <w:color w:val="auto"/>
          <w:sz w:val="24"/>
          <w:highlight w:val="none"/>
        </w:rPr>
        <w:t>4.该产品的关键组件要求实施前，“关键组件”栏可不填，下同。</w:t>
      </w:r>
    </w:p>
    <w:p w14:paraId="63B3A92A">
      <w:pPr>
        <w:spacing w:line="360" w:lineRule="auto"/>
        <w:rPr>
          <w:rFonts w:hint="eastAsia" w:ascii="宋体" w:hAnsi="宋体"/>
          <w:color w:val="auto"/>
          <w:sz w:val="24"/>
          <w:highlight w:val="none"/>
        </w:rPr>
      </w:pPr>
      <w:r>
        <w:rPr>
          <w:rFonts w:hint="eastAsia" w:ascii="宋体" w:hAnsi="宋体"/>
          <w:color w:val="auto"/>
          <w:sz w:val="24"/>
          <w:highlight w:val="none"/>
        </w:rPr>
        <w:t>5.该产品的关键工序要求实施前，“关键工序”栏可不填，下同。</w:t>
      </w:r>
    </w:p>
    <w:p w14:paraId="061FE1C4">
      <w:pPr>
        <w:spacing w:line="360" w:lineRule="auto"/>
        <w:jc w:val="center"/>
        <w:rPr>
          <w:rFonts w:hint="eastAsia"/>
          <w:b/>
          <w:color w:val="auto"/>
          <w:sz w:val="24"/>
          <w:highlight w:val="none"/>
          <w:lang w:val="en-US" w:eastAsia="zh-CN"/>
        </w:rPr>
      </w:pPr>
      <w:r>
        <w:rPr>
          <w:rFonts w:hint="eastAsia" w:ascii="宋体" w:hAnsi="宋体"/>
          <w:color w:val="auto"/>
          <w:sz w:val="24"/>
          <w:highlight w:val="none"/>
        </w:rPr>
        <w:br w:type="page"/>
      </w:r>
      <w:r>
        <w:rPr>
          <w:rFonts w:hint="eastAsia" w:ascii="Times New Roman" w:hAnsi="Times New Roman" w:eastAsia="宋体" w:cs="Times New Roman"/>
          <w:b/>
          <w:color w:val="auto"/>
          <w:kern w:val="0"/>
          <w:sz w:val="30"/>
          <w:szCs w:val="30"/>
          <w:highlight w:val="none"/>
          <w:lang w:val="en-US" w:eastAsia="zh-CN" w:bidi="ar-SA"/>
        </w:rPr>
        <w:t>关于符合本国产品标准的成本占比承诺函</w:t>
      </w:r>
    </w:p>
    <w:p w14:paraId="25BF5483">
      <w:pPr>
        <w:pStyle w:val="26"/>
        <w:rPr>
          <w:rFonts w:hint="eastAsia"/>
          <w:color w:val="auto"/>
          <w:highlight w:val="none"/>
          <w:lang w:val="en-US" w:eastAsia="zh-CN"/>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6"/>
        <w:gridCol w:w="2110"/>
      </w:tblGrid>
      <w:tr w14:paraId="5944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4" w:type="dxa"/>
            <w:tcBorders>
              <w:top w:val="single" w:color="auto" w:sz="4" w:space="0"/>
              <w:left w:val="single" w:color="auto" w:sz="4" w:space="0"/>
              <w:bottom w:val="single" w:color="auto" w:sz="4" w:space="0"/>
              <w:right w:val="single" w:color="auto" w:sz="4" w:space="0"/>
            </w:tcBorders>
            <w:noWrap w:val="0"/>
            <w:vAlign w:val="center"/>
          </w:tcPr>
          <w:p w14:paraId="15D02B4F">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b/>
                <w:bCs/>
                <w:color w:val="auto"/>
                <w:highlight w:val="none"/>
                <w:vertAlign w:val="baseline"/>
                <w:lang w:val="en-US" w:eastAsia="zh-CN"/>
              </w:rPr>
            </w:pPr>
            <w:r>
              <w:rPr>
                <w:rFonts w:hint="eastAsia"/>
                <w:b/>
                <w:bCs/>
                <w:color w:val="auto"/>
                <w:highlight w:val="none"/>
                <w:vertAlign w:val="baseline"/>
                <w:lang w:val="en-US" w:eastAsia="zh-CN"/>
              </w:rPr>
              <w:t>项目</w:t>
            </w:r>
          </w:p>
        </w:tc>
        <w:tc>
          <w:tcPr>
            <w:tcW w:w="2112" w:type="dxa"/>
            <w:tcBorders>
              <w:top w:val="single" w:color="auto" w:sz="4" w:space="0"/>
              <w:left w:val="single" w:color="auto" w:sz="4" w:space="0"/>
              <w:bottom w:val="single" w:color="auto" w:sz="4" w:space="0"/>
              <w:right w:val="single" w:color="auto" w:sz="4" w:space="0"/>
            </w:tcBorders>
            <w:noWrap w:val="0"/>
            <w:vAlign w:val="center"/>
          </w:tcPr>
          <w:p w14:paraId="14DC15FB">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b/>
                <w:bCs/>
                <w:color w:val="auto"/>
                <w:highlight w:val="none"/>
                <w:vertAlign w:val="baseline"/>
                <w:lang w:val="en-US" w:eastAsia="zh-CN"/>
              </w:rPr>
            </w:pPr>
            <w:r>
              <w:rPr>
                <w:rFonts w:hint="eastAsia"/>
                <w:b/>
                <w:bCs/>
                <w:color w:val="auto"/>
                <w:highlight w:val="none"/>
                <w:vertAlign w:val="baseline"/>
                <w:lang w:val="en-US" w:eastAsia="zh-CN"/>
              </w:rPr>
              <w:t>填写内容</w:t>
            </w:r>
          </w:p>
        </w:tc>
      </w:tr>
      <w:tr w14:paraId="744A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1" w:hRule="atLeast"/>
        </w:trPr>
        <w:tc>
          <w:tcPr>
            <w:tcW w:w="7174" w:type="dxa"/>
            <w:tcBorders>
              <w:top w:val="single" w:color="auto" w:sz="4" w:space="0"/>
              <w:left w:val="single" w:color="auto" w:sz="4" w:space="0"/>
              <w:bottom w:val="single" w:color="auto" w:sz="4" w:space="0"/>
              <w:right w:val="single" w:color="auto" w:sz="4" w:space="0"/>
            </w:tcBorders>
            <w:noWrap w:val="0"/>
            <w:vAlign w:val="center"/>
          </w:tcPr>
          <w:p w14:paraId="38E4E66D">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color w:val="auto"/>
                <w:highlight w:val="none"/>
                <w:vertAlign w:val="baseline"/>
              </w:rPr>
            </w:pPr>
            <w:r>
              <w:rPr>
                <w:color w:val="auto"/>
                <w:highlight w:val="none"/>
              </w:rPr>
              <w:drawing>
                <wp:inline distT="0" distB="0" distL="114300" distR="114300">
                  <wp:extent cx="4418330" cy="960755"/>
                  <wp:effectExtent l="0" t="0" r="1270" b="10795"/>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pic:cNvPicPr>
                            <a:picLocks noChangeAspect="1"/>
                          </pic:cNvPicPr>
                        </pic:nvPicPr>
                        <pic:blipFill>
                          <a:blip r:embed="rId35"/>
                          <a:stretch>
                            <a:fillRect/>
                          </a:stretch>
                        </pic:blipFill>
                        <pic:spPr>
                          <a:xfrm>
                            <a:off x="0" y="0"/>
                            <a:ext cx="4418330" cy="960755"/>
                          </a:xfrm>
                          <a:prstGeom prst="rect">
                            <a:avLst/>
                          </a:prstGeom>
                          <a:noFill/>
                          <a:ln>
                            <a:noFill/>
                          </a:ln>
                        </pic:spPr>
                      </pic:pic>
                    </a:graphicData>
                  </a:graphic>
                </wp:inline>
              </w:drawing>
            </w:r>
          </w:p>
        </w:tc>
        <w:tc>
          <w:tcPr>
            <w:tcW w:w="2112" w:type="dxa"/>
            <w:tcBorders>
              <w:top w:val="single" w:color="auto" w:sz="4" w:space="0"/>
              <w:left w:val="single" w:color="auto" w:sz="4" w:space="0"/>
              <w:bottom w:val="single" w:color="auto" w:sz="4" w:space="0"/>
              <w:right w:val="single" w:color="auto" w:sz="4" w:space="0"/>
            </w:tcBorders>
            <w:noWrap w:val="0"/>
            <w:vAlign w:val="center"/>
          </w:tcPr>
          <w:p w14:paraId="04097DEC">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color w:val="auto"/>
                <w:highlight w:val="none"/>
                <w:vertAlign w:val="baseline"/>
                <w:lang w:val="en-US" w:eastAsia="zh-CN"/>
              </w:rPr>
            </w:pPr>
            <w:r>
              <w:rPr>
                <w:rFonts w:hint="eastAsia"/>
                <w:color w:val="auto"/>
                <w:highlight w:val="none"/>
                <w:u w:val="single"/>
                <w:vertAlign w:val="baseline"/>
                <w:lang w:val="en-US" w:eastAsia="zh-CN"/>
              </w:rPr>
              <w:t xml:space="preserve">      </w:t>
            </w:r>
            <w:r>
              <w:rPr>
                <w:rFonts w:hint="eastAsia"/>
                <w:color w:val="auto"/>
                <w:highlight w:val="none"/>
                <w:vertAlign w:val="baseline"/>
                <w:lang w:val="en-US" w:eastAsia="zh-CN"/>
              </w:rPr>
              <w:t>%</w:t>
            </w:r>
          </w:p>
        </w:tc>
      </w:tr>
    </w:tbl>
    <w:p w14:paraId="3B5FFA36">
      <w:pPr>
        <w:pStyle w:val="26"/>
        <w:rPr>
          <w:rFonts w:hint="eastAsia"/>
          <w:color w:val="auto"/>
          <w:highlight w:val="none"/>
        </w:rPr>
      </w:pPr>
    </w:p>
    <w:p w14:paraId="5C76645D">
      <w:pPr>
        <w:pStyle w:val="46"/>
        <w:keepNext w:val="0"/>
        <w:pageBreakBefore w:val="0"/>
        <w:tabs>
          <w:tab w:val="clear" w:pos="720"/>
        </w:tabs>
        <w:snapToGrid w:val="0"/>
        <w:spacing w:before="120" w:after="120"/>
        <w:ind w:firstLine="643"/>
        <w:jc w:val="left"/>
        <w:outlineLvl w:val="9"/>
        <w:rPr>
          <w:rFonts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rPr>
        <w:t>本公司(单位)填写、盖章与签署，即视</w:t>
      </w:r>
      <w:r>
        <w:rPr>
          <w:rFonts w:hint="eastAsia" w:ascii="宋体" w:hAnsi="宋体" w:eastAsia="宋体" w:cs="宋体"/>
          <w:b w:val="0"/>
          <w:bCs/>
          <w:color w:val="auto"/>
          <w:kern w:val="2"/>
          <w:sz w:val="24"/>
          <w:szCs w:val="24"/>
          <w:highlight w:val="none"/>
          <w:lang w:val="en-US" w:eastAsia="zh-CN"/>
        </w:rPr>
        <w:t>为表</w:t>
      </w:r>
      <w:r>
        <w:rPr>
          <w:rFonts w:hint="eastAsia" w:ascii="宋体" w:hAnsi="宋体" w:eastAsia="宋体" w:cs="宋体"/>
          <w:b w:val="0"/>
          <w:bCs/>
          <w:color w:val="auto"/>
          <w:kern w:val="2"/>
          <w:sz w:val="24"/>
          <w:szCs w:val="24"/>
          <w:highlight w:val="none"/>
        </w:rPr>
        <w:t>格内容真实、准确、完整的正式承诺。如存任何虚假、误导性陈述或重大遗漏，本公司(单位)愿承担由此产生的一切法律后果及责任。</w:t>
      </w:r>
    </w:p>
    <w:p w14:paraId="20C33C04">
      <w:pPr>
        <w:pStyle w:val="46"/>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1DFB7065">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3A87B57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4EA0847A">
      <w:pPr>
        <w:spacing w:line="360" w:lineRule="auto"/>
        <w:rPr>
          <w:rFonts w:hint="eastAsia" w:ascii="宋体" w:hAnsi="宋体"/>
          <w:color w:val="auto"/>
          <w:sz w:val="24"/>
          <w:highlight w:val="none"/>
        </w:rPr>
      </w:pPr>
    </w:p>
    <w:p w14:paraId="5C26A17D">
      <w:pPr>
        <w:pStyle w:val="46"/>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40095747">
      <w:pPr>
        <w:pStyle w:val="46"/>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pgSz w:w="11906" w:h="16838"/>
          <w:pgMar w:top="1247" w:right="1418" w:bottom="1276" w:left="1418" w:header="851" w:footer="992" w:gutter="0"/>
          <w:cols w:space="720" w:num="1"/>
          <w:titlePg/>
          <w:docGrid w:linePitch="312" w:charSpace="0"/>
        </w:sectPr>
      </w:pPr>
    </w:p>
    <w:p w14:paraId="381CAF10">
      <w:pPr>
        <w:pStyle w:val="3"/>
        <w:keepNext w:val="0"/>
        <w:keepLines w:val="0"/>
        <w:pageBreakBefore/>
        <w:widowControl/>
        <w:spacing w:before="100" w:beforeAutospacing="1" w:after="100" w:afterAutospacing="1" w:line="360" w:lineRule="auto"/>
        <w:ind w:left="1290" w:firstLine="3092" w:firstLineChars="700"/>
        <w:rPr>
          <w:rFonts w:ascii="宋体" w:hAnsi="宋体" w:cs="宋体"/>
          <w:color w:val="auto"/>
          <w:highlight w:val="none"/>
        </w:rPr>
      </w:pPr>
      <w:bookmarkStart w:id="444" w:name="_Toc465665161"/>
      <w:bookmarkStart w:id="445" w:name="_Toc5606"/>
      <w:r>
        <w:rPr>
          <w:rFonts w:hint="eastAsia" w:ascii="宋体" w:hAnsi="宋体" w:cs="宋体"/>
          <w:color w:val="auto"/>
          <w:highlight w:val="none"/>
        </w:rPr>
        <w:t>附件</w:t>
      </w:r>
      <w:bookmarkEnd w:id="444"/>
      <w:bookmarkEnd w:id="445"/>
    </w:p>
    <w:p w14:paraId="47DFC0C2">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附件2：质疑函范本及制作说明</w:t>
      </w:r>
    </w:p>
    <w:p w14:paraId="473B01C7">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质疑函范本</w:t>
      </w:r>
    </w:p>
    <w:p w14:paraId="6FCF86E1">
      <w:pPr>
        <w:snapToGrid w:val="0"/>
        <w:spacing w:before="240" w:beforeLines="100" w:line="360" w:lineRule="auto"/>
        <w:rPr>
          <w:rFonts w:ascii="宋体" w:hAnsi="宋体" w:cs="宋体"/>
          <w:bCs/>
          <w:color w:val="auto"/>
          <w:sz w:val="24"/>
          <w:highlight w:val="none"/>
        </w:rPr>
      </w:pPr>
      <w:r>
        <w:rPr>
          <w:rFonts w:hint="eastAsia" w:ascii="宋体" w:hAnsi="宋体" w:cs="宋体"/>
          <w:bCs/>
          <w:color w:val="auto"/>
          <w:sz w:val="24"/>
          <w:highlight w:val="none"/>
        </w:rPr>
        <w:t>一、质疑供应商基本信息</w:t>
      </w:r>
    </w:p>
    <w:p w14:paraId="0787C84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质疑供应商：</w:t>
      </w:r>
      <w:r>
        <w:rPr>
          <w:rFonts w:hint="eastAsia" w:ascii="宋体" w:hAnsi="宋体" w:cs="宋体"/>
          <w:color w:val="auto"/>
          <w:sz w:val="24"/>
          <w:highlight w:val="none"/>
          <w:u w:val="dotted"/>
        </w:rPr>
        <w:t xml:space="preserve">                                        </w:t>
      </w:r>
    </w:p>
    <w:p w14:paraId="3C8316D8">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233FB6B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74C120E1">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p>
    <w:p w14:paraId="15AC884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7BAE2F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318A8944">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二、质疑项目基本情况</w:t>
      </w:r>
    </w:p>
    <w:p w14:paraId="32AEC7A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质疑项目的名称：</w:t>
      </w:r>
      <w:r>
        <w:rPr>
          <w:rFonts w:hint="eastAsia" w:ascii="宋体" w:hAnsi="宋体" w:cs="宋体"/>
          <w:color w:val="auto"/>
          <w:sz w:val="24"/>
          <w:highlight w:val="none"/>
          <w:u w:val="dotted"/>
        </w:rPr>
        <w:t xml:space="preserve">                                      </w:t>
      </w:r>
    </w:p>
    <w:p w14:paraId="6701E9AA">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BEAC800">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p>
    <w:p w14:paraId="7789A7AC">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dotted"/>
        </w:rPr>
        <w:t xml:space="preserve">                                           </w:t>
      </w:r>
    </w:p>
    <w:p w14:paraId="660B8429">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三、质疑事项具体内容</w:t>
      </w:r>
    </w:p>
    <w:p w14:paraId="0D79953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质疑事项1：</w:t>
      </w:r>
      <w:r>
        <w:rPr>
          <w:rFonts w:hint="eastAsia" w:ascii="宋体" w:hAnsi="宋体" w:cs="宋体"/>
          <w:color w:val="auto"/>
          <w:sz w:val="24"/>
          <w:highlight w:val="none"/>
          <w:u w:val="dotted"/>
        </w:rPr>
        <w:t xml:space="preserve">                                         </w:t>
      </w:r>
    </w:p>
    <w:p w14:paraId="334EE812">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6DDDEAE8">
      <w:pPr>
        <w:snapToGrid w:val="0"/>
        <w:spacing w:line="360" w:lineRule="auto"/>
        <w:rPr>
          <w:rFonts w:ascii="宋体" w:hAnsi="宋体" w:cs="宋体"/>
          <w:color w:val="auto"/>
          <w:sz w:val="24"/>
          <w:highlight w:val="none"/>
        </w:rPr>
      </w:pPr>
      <w:r>
        <w:rPr>
          <w:rFonts w:hint="eastAsia" w:ascii="宋体" w:hAnsi="宋体" w:cs="宋体"/>
          <w:color w:val="auto"/>
          <w:sz w:val="24"/>
          <w:highlight w:val="none"/>
          <w:u w:val="dotted"/>
        </w:rPr>
        <w:t xml:space="preserve">                                                       </w:t>
      </w:r>
    </w:p>
    <w:p w14:paraId="38D46734">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10EC3B89">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6F1B7353">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质疑事项2</w:t>
      </w:r>
    </w:p>
    <w:p w14:paraId="0B55EE30">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p>
    <w:p w14:paraId="46C3F543">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四、与质疑事项相关的质疑请求</w:t>
      </w:r>
    </w:p>
    <w:p w14:paraId="79ED32D5">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p>
    <w:p w14:paraId="4BCA9457">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5F78A45C">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725CAF30">
      <w:pPr>
        <w:spacing w:line="360" w:lineRule="auto"/>
        <w:jc w:val="center"/>
        <w:rPr>
          <w:rFonts w:ascii="宋体" w:hAnsi="宋体" w:cs="宋体"/>
          <w:b/>
          <w:bCs/>
          <w:color w:val="auto"/>
          <w:sz w:val="24"/>
          <w:highlight w:val="none"/>
        </w:rPr>
      </w:pPr>
    </w:p>
    <w:p w14:paraId="501399C0">
      <w:pPr>
        <w:spacing w:line="360" w:lineRule="auto"/>
        <w:rPr>
          <w:rFonts w:ascii="宋体" w:hAnsi="宋体" w:cs="宋体"/>
          <w:b/>
          <w:color w:val="auto"/>
          <w:sz w:val="24"/>
          <w:highlight w:val="none"/>
        </w:rPr>
      </w:pPr>
      <w:r>
        <w:rPr>
          <w:rFonts w:hint="eastAsia" w:ascii="宋体" w:hAnsi="宋体" w:cs="宋体"/>
          <w:b/>
          <w:color w:val="auto"/>
          <w:sz w:val="24"/>
          <w:highlight w:val="none"/>
        </w:rPr>
        <w:t>质疑函制作说明：</w:t>
      </w:r>
    </w:p>
    <w:p w14:paraId="48288E8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56A7759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highlight w:val="none"/>
        </w:rPr>
        <w:t>供应商签署的授权委托书。授权委托书应载明代理人的姓名或者名称、代理事项、具体权限、期限和相关事项。</w:t>
      </w:r>
    </w:p>
    <w:p w14:paraId="097142A0">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69E14371">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6BA4990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3E54CC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7C2C83BB">
      <w:pPr>
        <w:widowControl/>
        <w:spacing w:line="360" w:lineRule="auto"/>
        <w:ind w:firstLine="600" w:firstLineChars="200"/>
        <w:jc w:val="left"/>
        <w:rPr>
          <w:rFonts w:ascii="宋体" w:hAnsi="宋体" w:cs="宋体"/>
          <w:color w:val="auto"/>
          <w:sz w:val="30"/>
          <w:szCs w:val="30"/>
          <w:highlight w:val="none"/>
        </w:rPr>
      </w:pPr>
    </w:p>
    <w:p w14:paraId="6825B92C">
      <w:pPr>
        <w:spacing w:line="360" w:lineRule="auto"/>
        <w:jc w:val="center"/>
        <w:rPr>
          <w:rFonts w:ascii="宋体" w:hAnsi="宋体" w:cs="宋体"/>
          <w:b/>
          <w:color w:val="auto"/>
          <w:spacing w:val="6"/>
          <w:sz w:val="32"/>
          <w:szCs w:val="32"/>
          <w:highlight w:val="none"/>
        </w:rPr>
      </w:pPr>
    </w:p>
    <w:p w14:paraId="367547D6">
      <w:pPr>
        <w:spacing w:line="360" w:lineRule="auto"/>
        <w:jc w:val="center"/>
        <w:rPr>
          <w:rFonts w:ascii="宋体" w:hAnsi="宋体" w:cs="宋体"/>
          <w:b/>
          <w:color w:val="auto"/>
          <w:spacing w:val="6"/>
          <w:sz w:val="32"/>
          <w:szCs w:val="32"/>
          <w:highlight w:val="none"/>
        </w:rPr>
      </w:pPr>
    </w:p>
    <w:p w14:paraId="2A4CFD77">
      <w:pPr>
        <w:spacing w:line="360" w:lineRule="auto"/>
        <w:jc w:val="center"/>
        <w:rPr>
          <w:rFonts w:ascii="宋体" w:hAnsi="宋体" w:cs="宋体"/>
          <w:b/>
          <w:color w:val="auto"/>
          <w:spacing w:val="6"/>
          <w:sz w:val="32"/>
          <w:szCs w:val="32"/>
          <w:highlight w:val="none"/>
        </w:rPr>
      </w:pPr>
    </w:p>
    <w:p w14:paraId="4C28995F">
      <w:pPr>
        <w:spacing w:line="360" w:lineRule="auto"/>
        <w:jc w:val="center"/>
        <w:rPr>
          <w:rFonts w:ascii="宋体" w:hAnsi="宋体" w:cs="宋体"/>
          <w:b/>
          <w:color w:val="auto"/>
          <w:spacing w:val="6"/>
          <w:sz w:val="32"/>
          <w:szCs w:val="32"/>
          <w:highlight w:val="none"/>
        </w:rPr>
      </w:pPr>
    </w:p>
    <w:p w14:paraId="608D4379">
      <w:pPr>
        <w:spacing w:line="360" w:lineRule="auto"/>
        <w:jc w:val="center"/>
        <w:rPr>
          <w:rFonts w:ascii="宋体" w:hAnsi="宋体" w:cs="宋体"/>
          <w:b/>
          <w:color w:val="auto"/>
          <w:spacing w:val="6"/>
          <w:sz w:val="32"/>
          <w:szCs w:val="32"/>
          <w:highlight w:val="none"/>
        </w:rPr>
      </w:pPr>
    </w:p>
    <w:p w14:paraId="1C18F7CA">
      <w:pPr>
        <w:spacing w:line="360" w:lineRule="auto"/>
        <w:jc w:val="center"/>
        <w:rPr>
          <w:rFonts w:ascii="宋体" w:hAnsi="宋体" w:cs="宋体"/>
          <w:b/>
          <w:color w:val="auto"/>
          <w:spacing w:val="6"/>
          <w:sz w:val="32"/>
          <w:szCs w:val="32"/>
          <w:highlight w:val="none"/>
        </w:rPr>
      </w:pPr>
    </w:p>
    <w:p w14:paraId="7E627171">
      <w:pPr>
        <w:spacing w:line="360" w:lineRule="auto"/>
        <w:jc w:val="center"/>
        <w:rPr>
          <w:rFonts w:ascii="宋体" w:hAnsi="宋体" w:cs="宋体"/>
          <w:b/>
          <w:color w:val="auto"/>
          <w:spacing w:val="6"/>
          <w:sz w:val="32"/>
          <w:szCs w:val="32"/>
          <w:highlight w:val="none"/>
        </w:rPr>
      </w:pPr>
    </w:p>
    <w:p w14:paraId="1E23F8E5">
      <w:pPr>
        <w:spacing w:line="360" w:lineRule="auto"/>
        <w:jc w:val="center"/>
        <w:rPr>
          <w:rFonts w:ascii="宋体" w:hAnsi="宋体" w:cs="宋体"/>
          <w:b/>
          <w:color w:val="auto"/>
          <w:spacing w:val="6"/>
          <w:sz w:val="32"/>
          <w:szCs w:val="32"/>
          <w:highlight w:val="none"/>
        </w:rPr>
      </w:pPr>
    </w:p>
    <w:p w14:paraId="0060B211">
      <w:pPr>
        <w:spacing w:line="360" w:lineRule="auto"/>
        <w:jc w:val="center"/>
        <w:rPr>
          <w:rFonts w:ascii="宋体" w:hAnsi="宋体" w:cs="宋体"/>
          <w:b/>
          <w:color w:val="auto"/>
          <w:spacing w:val="6"/>
          <w:sz w:val="32"/>
          <w:szCs w:val="32"/>
          <w:highlight w:val="none"/>
        </w:rPr>
      </w:pPr>
    </w:p>
    <w:p w14:paraId="4034B9E7">
      <w:pPr>
        <w:spacing w:line="360" w:lineRule="auto"/>
        <w:jc w:val="center"/>
        <w:rPr>
          <w:rFonts w:ascii="宋体" w:hAnsi="宋体" w:cs="宋体"/>
          <w:b/>
          <w:color w:val="auto"/>
          <w:spacing w:val="6"/>
          <w:sz w:val="32"/>
          <w:szCs w:val="32"/>
          <w:highlight w:val="none"/>
        </w:rPr>
      </w:pPr>
    </w:p>
    <w:p w14:paraId="721714DE">
      <w:pPr>
        <w:spacing w:line="360" w:lineRule="auto"/>
        <w:jc w:val="center"/>
        <w:rPr>
          <w:rFonts w:ascii="宋体" w:hAnsi="宋体" w:cs="宋体"/>
          <w:b/>
          <w:color w:val="auto"/>
          <w:spacing w:val="6"/>
          <w:sz w:val="32"/>
          <w:szCs w:val="32"/>
          <w:highlight w:val="none"/>
        </w:rPr>
      </w:pPr>
    </w:p>
    <w:p w14:paraId="63F670BE">
      <w:pPr>
        <w:spacing w:line="360" w:lineRule="auto"/>
        <w:jc w:val="center"/>
        <w:rPr>
          <w:rFonts w:ascii="宋体" w:hAnsi="宋体" w:cs="宋体"/>
          <w:b/>
          <w:color w:val="auto"/>
          <w:spacing w:val="6"/>
          <w:sz w:val="32"/>
          <w:szCs w:val="32"/>
          <w:highlight w:val="none"/>
        </w:rPr>
      </w:pPr>
    </w:p>
    <w:p w14:paraId="4B2A15ED">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br w:type="page"/>
      </w:r>
      <w:r>
        <w:rPr>
          <w:rFonts w:hint="eastAsia" w:ascii="宋体" w:hAnsi="宋体" w:cs="宋体"/>
          <w:b/>
          <w:color w:val="auto"/>
          <w:spacing w:val="6"/>
          <w:sz w:val="32"/>
          <w:szCs w:val="32"/>
          <w:highlight w:val="none"/>
        </w:rPr>
        <w:t>附件3：投诉书范本及制作说明</w:t>
      </w:r>
    </w:p>
    <w:p w14:paraId="23F0AD63">
      <w:pPr>
        <w:spacing w:line="360" w:lineRule="auto"/>
        <w:jc w:val="center"/>
        <w:rPr>
          <w:rFonts w:ascii="宋体" w:hAnsi="宋体" w:cs="宋体"/>
          <w:b/>
          <w:color w:val="auto"/>
          <w:sz w:val="24"/>
          <w:highlight w:val="none"/>
        </w:rPr>
      </w:pPr>
    </w:p>
    <w:p w14:paraId="781AB499">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投诉书范本</w:t>
      </w:r>
    </w:p>
    <w:p w14:paraId="3C56D168">
      <w:pPr>
        <w:spacing w:line="360" w:lineRule="auto"/>
        <w:rPr>
          <w:rFonts w:ascii="宋体" w:hAnsi="宋体" w:cs="宋体"/>
          <w:color w:val="auto"/>
          <w:sz w:val="24"/>
          <w:highlight w:val="none"/>
        </w:rPr>
      </w:pPr>
      <w:r>
        <w:rPr>
          <w:rFonts w:hint="eastAsia" w:ascii="宋体" w:hAnsi="宋体" w:cs="宋体"/>
          <w:color w:val="auto"/>
          <w:sz w:val="24"/>
          <w:highlight w:val="none"/>
        </w:rPr>
        <w:t>一、投诉相关主体基本情况</w:t>
      </w:r>
    </w:p>
    <w:p w14:paraId="130823B0">
      <w:pPr>
        <w:spacing w:line="360" w:lineRule="auto"/>
        <w:rPr>
          <w:rFonts w:ascii="宋体" w:hAnsi="宋体" w:cs="宋体"/>
          <w:color w:val="auto"/>
          <w:sz w:val="24"/>
          <w:highlight w:val="none"/>
          <w:u w:val="dotted"/>
        </w:rPr>
      </w:pPr>
      <w:r>
        <w:rPr>
          <w:rFonts w:hint="eastAsia" w:ascii="宋体" w:hAnsi="宋体" w:cs="宋体"/>
          <w:color w:val="auto"/>
          <w:sz w:val="24"/>
          <w:highlight w:val="none"/>
        </w:rPr>
        <w:t>投诉人：</w:t>
      </w:r>
      <w:r>
        <w:rPr>
          <w:rFonts w:hint="eastAsia" w:ascii="宋体" w:hAnsi="宋体" w:cs="宋体"/>
          <w:color w:val="auto"/>
          <w:sz w:val="24"/>
          <w:highlight w:val="none"/>
          <w:u w:val="dotted"/>
        </w:rPr>
        <w:t xml:space="preserve">                                               </w:t>
      </w:r>
    </w:p>
    <w:p w14:paraId="0C9A9ED8">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56F60A2E">
      <w:pPr>
        <w:tabs>
          <w:tab w:val="left" w:pos="6510"/>
        </w:tabs>
        <w:spacing w:line="360" w:lineRule="auto"/>
        <w:jc w:val="left"/>
        <w:rPr>
          <w:rFonts w:ascii="宋体" w:hAnsi="宋体" w:cs="宋体"/>
          <w:color w:val="auto"/>
          <w:sz w:val="24"/>
          <w:highlight w:val="none"/>
        </w:rPr>
      </w:pPr>
      <w:r>
        <w:rPr>
          <w:rFonts w:hint="eastAsia" w:ascii="宋体" w:hAnsi="宋体" w:cs="宋体"/>
          <w:color w:val="auto"/>
          <w:sz w:val="24"/>
          <w:highlight w:val="none"/>
        </w:rPr>
        <w:t>法定代表人/主要负责人：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C943BFB">
      <w:pPr>
        <w:tabs>
          <w:tab w:val="left" w:pos="6510"/>
        </w:tabs>
        <w:spacing w:line="360" w:lineRule="auto"/>
        <w:rPr>
          <w:rFonts w:ascii="宋体" w:hAnsi="宋体" w:cs="宋体"/>
          <w:color w:val="auto"/>
          <w:sz w:val="24"/>
          <w:highlight w:val="none"/>
          <w:u w:val="dotted"/>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6E55C6C6">
      <w:pPr>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21658EA0">
      <w:pPr>
        <w:spacing w:line="360" w:lineRule="auto"/>
        <w:rPr>
          <w:rFonts w:ascii="宋体" w:hAnsi="宋体" w:cs="宋体"/>
          <w:color w:val="auto"/>
          <w:sz w:val="24"/>
          <w:highlight w:val="none"/>
          <w:u w:val="dotted"/>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dotted"/>
        </w:rPr>
        <w:t xml:space="preserve">                   </w:t>
      </w:r>
    </w:p>
    <w:p w14:paraId="1DD72235">
      <w:pPr>
        <w:spacing w:line="360" w:lineRule="auto"/>
        <w:rPr>
          <w:rFonts w:ascii="宋体" w:hAnsi="宋体" w:cs="宋体"/>
          <w:color w:val="auto"/>
          <w:sz w:val="24"/>
          <w:highlight w:val="none"/>
          <w:u w:val="single"/>
        </w:rPr>
      </w:pPr>
      <w:r>
        <w:rPr>
          <w:rFonts w:hint="eastAsia" w:ascii="宋体" w:hAnsi="宋体" w:cs="宋体"/>
          <w:color w:val="auto"/>
          <w:sz w:val="24"/>
          <w:highlight w:val="none"/>
        </w:rPr>
        <w:t>被投诉人1：</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720FEABE">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406593BA">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11F3905">
      <w:pPr>
        <w:spacing w:line="360" w:lineRule="auto"/>
        <w:rPr>
          <w:rFonts w:ascii="宋体" w:hAnsi="宋体" w:cs="宋体"/>
          <w:color w:val="auto"/>
          <w:sz w:val="24"/>
          <w:highlight w:val="none"/>
        </w:rPr>
      </w:pPr>
      <w:r>
        <w:rPr>
          <w:rFonts w:hint="eastAsia" w:ascii="宋体" w:hAnsi="宋体" w:cs="宋体"/>
          <w:color w:val="auto"/>
          <w:sz w:val="24"/>
          <w:highlight w:val="none"/>
        </w:rPr>
        <w:t>被投诉人2</w:t>
      </w:r>
    </w:p>
    <w:p w14:paraId="549C4365">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74D07516">
      <w:pPr>
        <w:spacing w:line="360" w:lineRule="auto"/>
        <w:rPr>
          <w:rFonts w:ascii="宋体" w:hAnsi="宋体" w:cs="宋体"/>
          <w:color w:val="auto"/>
          <w:sz w:val="24"/>
          <w:highlight w:val="none"/>
          <w:u w:val="single"/>
        </w:rPr>
      </w:pPr>
      <w:r>
        <w:rPr>
          <w:rFonts w:hint="eastAsia" w:ascii="宋体" w:hAnsi="宋体" w:cs="宋体"/>
          <w:color w:val="auto"/>
          <w:sz w:val="24"/>
          <w:highlight w:val="none"/>
        </w:rPr>
        <w:t>相关供应商：</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606B0311">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270A241D">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F854F8B">
      <w:pPr>
        <w:spacing w:line="360" w:lineRule="auto"/>
        <w:rPr>
          <w:rFonts w:ascii="宋体" w:hAnsi="宋体" w:cs="宋体"/>
          <w:color w:val="auto"/>
          <w:sz w:val="24"/>
          <w:highlight w:val="none"/>
        </w:rPr>
      </w:pPr>
      <w:r>
        <w:rPr>
          <w:rFonts w:hint="eastAsia" w:ascii="宋体" w:hAnsi="宋体" w:cs="宋体"/>
          <w:color w:val="auto"/>
          <w:sz w:val="24"/>
          <w:highlight w:val="none"/>
        </w:rPr>
        <w:t>二、投诉项目基本情况</w:t>
      </w:r>
    </w:p>
    <w:p w14:paraId="0E0B45BB">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采购项目名称：</w:t>
      </w:r>
      <w:r>
        <w:rPr>
          <w:rFonts w:hint="eastAsia" w:ascii="宋体" w:hAnsi="宋体" w:cs="宋体"/>
          <w:color w:val="auto"/>
          <w:sz w:val="24"/>
          <w:highlight w:val="none"/>
          <w:u w:val="dotted"/>
        </w:rPr>
        <w:t xml:space="preserve">                                        </w:t>
      </w:r>
    </w:p>
    <w:p w14:paraId="23EC80D8">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采购项目编号：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FA7942C">
      <w:pPr>
        <w:spacing w:line="360" w:lineRule="auto"/>
        <w:rPr>
          <w:rFonts w:ascii="宋体" w:hAnsi="宋体" w:cs="宋体"/>
          <w:color w:val="auto"/>
          <w:sz w:val="24"/>
          <w:highlight w:val="none"/>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35608A79">
      <w:pPr>
        <w:spacing w:line="360" w:lineRule="auto"/>
        <w:rPr>
          <w:rFonts w:ascii="宋体" w:hAnsi="宋体" w:cs="宋体"/>
          <w:color w:val="auto"/>
          <w:sz w:val="24"/>
          <w:highlight w:val="none"/>
          <w:u w:val="single"/>
        </w:rPr>
      </w:pPr>
      <w:r>
        <w:rPr>
          <w:rFonts w:hint="eastAsia" w:ascii="宋体" w:hAnsi="宋体" w:cs="宋体"/>
          <w:color w:val="auto"/>
          <w:sz w:val="24"/>
          <w:highlight w:val="none"/>
        </w:rPr>
        <w:t>代理机构名称：</w:t>
      </w:r>
      <w:r>
        <w:rPr>
          <w:rFonts w:hint="eastAsia" w:ascii="宋体" w:hAnsi="宋体" w:cs="宋体"/>
          <w:color w:val="auto"/>
          <w:sz w:val="24"/>
          <w:highlight w:val="none"/>
          <w:u w:val="dotted"/>
        </w:rPr>
        <w:t xml:space="preserve">                                         </w:t>
      </w:r>
    </w:p>
    <w:p w14:paraId="2D53E878">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采购文件公告: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347C6BF5">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采购结果公告: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77E3B215">
      <w:pPr>
        <w:spacing w:line="360" w:lineRule="auto"/>
        <w:rPr>
          <w:rFonts w:ascii="宋体" w:hAnsi="宋体" w:cs="宋体"/>
          <w:color w:val="auto"/>
          <w:sz w:val="24"/>
          <w:highlight w:val="none"/>
        </w:rPr>
      </w:pPr>
      <w:r>
        <w:rPr>
          <w:rFonts w:hint="eastAsia" w:ascii="宋体" w:hAnsi="宋体" w:cs="宋体"/>
          <w:color w:val="auto"/>
          <w:sz w:val="24"/>
          <w:highlight w:val="none"/>
        </w:rPr>
        <w:t>三、质疑基本情况</w:t>
      </w:r>
    </w:p>
    <w:p w14:paraId="1B8872C2">
      <w:pPr>
        <w:spacing w:line="360" w:lineRule="auto"/>
        <w:ind w:firstLine="480" w:firstLineChars="200"/>
        <w:rPr>
          <w:rFonts w:ascii="宋体" w:hAnsi="宋体" w:cs="宋体"/>
          <w:color w:val="auto"/>
          <w:sz w:val="24"/>
          <w:highlight w:val="none"/>
          <w:u w:val="dotted"/>
        </w:rPr>
      </w:pPr>
      <w:r>
        <w:rPr>
          <w:rFonts w:hint="eastAsia" w:ascii="宋体" w:hAnsi="宋体" w:cs="宋体"/>
          <w:color w:val="auto"/>
          <w:sz w:val="24"/>
          <w:highlight w:val="none"/>
        </w:rPr>
        <w:t>投诉人于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日,向</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提出质疑，质疑事项为：</w:t>
      </w:r>
      <w:r>
        <w:rPr>
          <w:rFonts w:hint="eastAsia" w:ascii="宋体" w:hAnsi="宋体" w:cs="宋体"/>
          <w:color w:val="auto"/>
          <w:sz w:val="24"/>
          <w:highlight w:val="none"/>
          <w:u w:val="dotted"/>
        </w:rPr>
        <w:t xml:space="preserve">                                </w:t>
      </w:r>
    </w:p>
    <w:p w14:paraId="409B9315">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0098E9A1">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u w:val="dotted"/>
        </w:rPr>
        <w:t>采购人/代理机构</w:t>
      </w:r>
      <w:r>
        <w:rPr>
          <w:rFonts w:hint="eastAsia" w:ascii="宋体" w:hAnsi="宋体" w:cs="宋体"/>
          <w:color w:val="auto"/>
          <w:sz w:val="24"/>
          <w:highlight w:val="none"/>
        </w:rPr>
        <w:t>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日,就质疑事项作出了答复/没有在法定期限内作出答复。</w:t>
      </w:r>
    </w:p>
    <w:p w14:paraId="133E5B4C">
      <w:pPr>
        <w:spacing w:line="360" w:lineRule="auto"/>
        <w:rPr>
          <w:rFonts w:ascii="宋体" w:hAnsi="宋体" w:cs="宋体"/>
          <w:color w:val="auto"/>
          <w:sz w:val="24"/>
          <w:highlight w:val="none"/>
        </w:rPr>
      </w:pPr>
      <w:r>
        <w:rPr>
          <w:rFonts w:hint="eastAsia" w:ascii="宋体" w:hAnsi="宋体" w:cs="宋体"/>
          <w:color w:val="auto"/>
          <w:sz w:val="24"/>
          <w:highlight w:val="none"/>
        </w:rPr>
        <w:t>四、投诉事项具体内容</w:t>
      </w:r>
    </w:p>
    <w:p w14:paraId="6E710F6A">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投诉事项 1：</w:t>
      </w:r>
      <w:r>
        <w:rPr>
          <w:rFonts w:hint="eastAsia" w:ascii="宋体" w:hAnsi="宋体" w:cs="宋体"/>
          <w:color w:val="auto"/>
          <w:sz w:val="24"/>
          <w:highlight w:val="none"/>
          <w:u w:val="dotted"/>
        </w:rPr>
        <w:t xml:space="preserve">                                       </w:t>
      </w:r>
    </w:p>
    <w:p w14:paraId="4B0882CB">
      <w:pPr>
        <w:spacing w:line="360" w:lineRule="auto"/>
        <w:rPr>
          <w:rFonts w:ascii="宋体" w:hAnsi="宋体" w:cs="宋体"/>
          <w:color w:val="auto"/>
          <w:sz w:val="24"/>
          <w:highlight w:val="none"/>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3D29B4A5">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3E87634C">
      <w:pPr>
        <w:spacing w:line="360" w:lineRule="auto"/>
        <w:rPr>
          <w:rFonts w:ascii="宋体" w:hAnsi="宋体" w:cs="宋体"/>
          <w:color w:val="auto"/>
          <w:sz w:val="24"/>
          <w:highlight w:val="none"/>
          <w:u w:val="single"/>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24896BE9">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04C27D9D">
      <w:pPr>
        <w:spacing w:line="360" w:lineRule="auto"/>
        <w:rPr>
          <w:rFonts w:ascii="宋体" w:hAnsi="宋体" w:cs="宋体"/>
          <w:color w:val="auto"/>
          <w:sz w:val="24"/>
          <w:highlight w:val="none"/>
        </w:rPr>
      </w:pPr>
      <w:r>
        <w:rPr>
          <w:rFonts w:hint="eastAsia" w:ascii="宋体" w:hAnsi="宋体" w:cs="宋体"/>
          <w:color w:val="auto"/>
          <w:sz w:val="24"/>
          <w:highlight w:val="none"/>
        </w:rPr>
        <w:t>投诉事项2</w:t>
      </w:r>
    </w:p>
    <w:p w14:paraId="3FD894A0">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20E793B6">
      <w:pPr>
        <w:spacing w:line="360" w:lineRule="auto"/>
        <w:rPr>
          <w:rFonts w:ascii="宋体" w:hAnsi="宋体" w:cs="宋体"/>
          <w:color w:val="auto"/>
          <w:sz w:val="24"/>
          <w:highlight w:val="none"/>
        </w:rPr>
      </w:pPr>
      <w:r>
        <w:rPr>
          <w:rFonts w:hint="eastAsia" w:ascii="宋体" w:hAnsi="宋体" w:cs="宋体"/>
          <w:color w:val="auto"/>
          <w:sz w:val="24"/>
          <w:highlight w:val="none"/>
        </w:rPr>
        <w:t>五、与投诉事项相关的投诉请求</w:t>
      </w:r>
    </w:p>
    <w:p w14:paraId="74ED0FE0">
      <w:pPr>
        <w:spacing w:line="360" w:lineRule="auto"/>
        <w:rPr>
          <w:rFonts w:ascii="宋体" w:hAnsi="宋体" w:cs="宋体"/>
          <w:color w:val="auto"/>
          <w:sz w:val="24"/>
          <w:highlight w:val="none"/>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127D630">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w:t>
      </w:r>
    </w:p>
    <w:p w14:paraId="7C4BDC0D">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5A7C94AA">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7E8BA945">
      <w:pPr>
        <w:spacing w:line="360" w:lineRule="auto"/>
        <w:rPr>
          <w:rFonts w:ascii="宋体" w:hAnsi="宋体" w:cs="宋体"/>
          <w:b/>
          <w:color w:val="auto"/>
          <w:sz w:val="24"/>
          <w:highlight w:val="none"/>
        </w:rPr>
      </w:pPr>
    </w:p>
    <w:p w14:paraId="05F36749">
      <w:pPr>
        <w:spacing w:line="360" w:lineRule="auto"/>
        <w:rPr>
          <w:rFonts w:ascii="宋体" w:hAnsi="宋体" w:cs="宋体"/>
          <w:b/>
          <w:color w:val="auto"/>
          <w:sz w:val="24"/>
          <w:highlight w:val="none"/>
        </w:rPr>
      </w:pPr>
    </w:p>
    <w:p w14:paraId="6FD93C2F">
      <w:pPr>
        <w:spacing w:line="360" w:lineRule="auto"/>
        <w:rPr>
          <w:rFonts w:ascii="宋体" w:hAnsi="宋体" w:cs="宋体"/>
          <w:b/>
          <w:color w:val="auto"/>
          <w:sz w:val="24"/>
          <w:highlight w:val="none"/>
        </w:rPr>
      </w:pPr>
      <w:r>
        <w:rPr>
          <w:rFonts w:hint="eastAsia" w:ascii="宋体" w:hAnsi="宋体" w:cs="宋体"/>
          <w:b/>
          <w:color w:val="auto"/>
          <w:sz w:val="24"/>
          <w:highlight w:val="none"/>
        </w:rPr>
        <w:t>投诉书制作说明：</w:t>
      </w:r>
    </w:p>
    <w:p w14:paraId="014A585D">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1.投诉人提起投诉时，应当提交投诉书和必要的证明材料，并按照被投诉人和与投诉事项有关的供应商数量提供投诉书副本。</w:t>
      </w:r>
    </w:p>
    <w:p w14:paraId="4D7AEBC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2.投诉人若委托代理人进行投诉的，投诉书应按照要求列明“授权代表”的有关内容，并在附件中提交由</w:t>
      </w:r>
      <w:r>
        <w:rPr>
          <w:rFonts w:hint="eastAsia" w:ascii="宋体" w:hAnsi="宋体" w:cs="宋体"/>
          <w:color w:val="auto"/>
          <w:kern w:val="0"/>
          <w:sz w:val="24"/>
          <w:highlight w:val="none"/>
        </w:rPr>
        <w:t>投诉人签署的授权委托书。授权委托书应当载明代理人的姓名或者名称、代理事项、具体权限、期限和相关事项。</w:t>
      </w:r>
    </w:p>
    <w:p w14:paraId="321CC54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3.投诉人若对项目的某一分包进行投诉，投诉书应列明具体分包号。</w:t>
      </w:r>
    </w:p>
    <w:p w14:paraId="0EBC1B0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4.投诉书应简要列明质疑事项，质疑函、质疑答复等作为附件材料提供。</w:t>
      </w:r>
    </w:p>
    <w:p w14:paraId="5C9500F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5.投诉书的投诉事项应具体、明确，并有必要的事实依据和法律依据。</w:t>
      </w:r>
    </w:p>
    <w:p w14:paraId="5B4EC16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6.投诉书的投诉请求应与投诉事项相关。</w:t>
      </w:r>
    </w:p>
    <w:p w14:paraId="57BB5F3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14:paraId="15EC4AA6">
      <w:pPr>
        <w:spacing w:line="360" w:lineRule="auto"/>
        <w:rPr>
          <w:rFonts w:ascii="宋体" w:hAnsi="宋体" w:cs="宋体"/>
          <w:b/>
          <w:color w:val="auto"/>
          <w:sz w:val="24"/>
          <w:highlight w:val="none"/>
        </w:rPr>
      </w:pPr>
    </w:p>
    <w:p w14:paraId="6D2F6095">
      <w:pPr>
        <w:autoSpaceDE w:val="0"/>
        <w:autoSpaceDN w:val="0"/>
        <w:jc w:val="center"/>
        <w:rPr>
          <w:rFonts w:ascii="宋体" w:hAnsi="宋体" w:cs="宋体"/>
          <w:b/>
          <w:color w:val="auto"/>
          <w:spacing w:val="6"/>
          <w:sz w:val="32"/>
          <w:szCs w:val="32"/>
          <w:highlight w:val="none"/>
        </w:rPr>
      </w:pPr>
    </w:p>
    <w:p w14:paraId="707A96E5">
      <w:pPr>
        <w:autoSpaceDE w:val="0"/>
        <w:autoSpaceDN w:val="0"/>
        <w:jc w:val="center"/>
        <w:rPr>
          <w:rFonts w:ascii="宋体" w:hAnsi="宋体" w:cs="宋体"/>
          <w:b/>
          <w:color w:val="auto"/>
          <w:spacing w:val="6"/>
          <w:sz w:val="32"/>
          <w:szCs w:val="32"/>
          <w:highlight w:val="none"/>
        </w:rPr>
      </w:pPr>
    </w:p>
    <w:p w14:paraId="05533D3A">
      <w:pPr>
        <w:autoSpaceDE w:val="0"/>
        <w:autoSpaceDN w:val="0"/>
        <w:jc w:val="center"/>
        <w:rPr>
          <w:rFonts w:ascii="宋体" w:hAnsi="宋体" w:cs="宋体"/>
          <w:b/>
          <w:bCs/>
          <w:color w:val="auto"/>
          <w:sz w:val="32"/>
          <w:szCs w:val="32"/>
          <w:highlight w:val="none"/>
        </w:rPr>
      </w:pPr>
      <w:r>
        <w:rPr>
          <w:rFonts w:hint="eastAsia" w:ascii="宋体" w:hAnsi="宋体" w:cs="宋体"/>
          <w:b/>
          <w:color w:val="auto"/>
          <w:spacing w:val="6"/>
          <w:sz w:val="32"/>
          <w:szCs w:val="32"/>
          <w:highlight w:val="none"/>
        </w:rPr>
        <w:t>附件4：</w:t>
      </w:r>
      <w:r>
        <w:rPr>
          <w:rFonts w:hint="eastAsia" w:ascii="宋体" w:hAnsi="宋体" w:cs="宋体"/>
          <w:b/>
          <w:bCs/>
          <w:color w:val="auto"/>
          <w:sz w:val="32"/>
          <w:szCs w:val="32"/>
          <w:highlight w:val="none"/>
        </w:rPr>
        <w:t>业务专用章使用说明函</w:t>
      </w:r>
    </w:p>
    <w:p w14:paraId="40AC9DA2">
      <w:pPr>
        <w:spacing w:line="360" w:lineRule="auto"/>
        <w:rPr>
          <w:rFonts w:ascii="宋体" w:hAnsi="宋体" w:cs="宋体"/>
          <w:color w:val="auto"/>
          <w:sz w:val="24"/>
          <w:highlight w:val="none"/>
          <w:u w:val="single"/>
        </w:rPr>
      </w:pPr>
    </w:p>
    <w:p w14:paraId="33C66B1D">
      <w:pPr>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u w:val="single"/>
        </w:rPr>
        <w:t>、浙江致信招标代理有限公司：</w:t>
      </w:r>
    </w:p>
    <w:p w14:paraId="61BEBC3C">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lang w:val="zh-CN"/>
        </w:rPr>
        <w:t>我方</w:t>
      </w:r>
      <w:r>
        <w:rPr>
          <w:rFonts w:hint="eastAsia" w:ascii="宋体" w:hAnsi="宋体" w:cs="宋体"/>
          <w:color w:val="auto"/>
          <w:kern w:val="0"/>
          <w:sz w:val="24"/>
          <w:highlight w:val="none"/>
          <w:u w:val="single"/>
          <w:lang w:val="zh-CN"/>
        </w:rPr>
        <w:t xml:space="preserve">                         </w:t>
      </w:r>
      <w:r>
        <w:rPr>
          <w:rFonts w:hint="eastAsia" w:ascii="宋体" w:hAnsi="宋体" w:cs="宋体"/>
          <w:color w:val="auto"/>
          <w:sz w:val="24"/>
          <w:highlight w:val="none"/>
        </w:rPr>
        <w:t>(投标人全称)是中华人民共和国依法登记注册的合法企业，</w:t>
      </w:r>
      <w:r>
        <w:rPr>
          <w:rFonts w:hint="eastAsia" w:ascii="宋体" w:hAnsi="宋体" w:cs="宋体"/>
          <w:bCs/>
          <w:color w:val="auto"/>
          <w:sz w:val="24"/>
          <w:highlight w:val="none"/>
        </w:rPr>
        <w:t>在参加</w:t>
      </w:r>
      <w:r>
        <w:rPr>
          <w:rFonts w:hint="eastAsia" w:ascii="宋体" w:hAnsi="宋体" w:cs="宋体"/>
          <w:color w:val="auto"/>
          <w:sz w:val="24"/>
          <w:highlight w:val="none"/>
        </w:rPr>
        <w:t>你方组织的</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w:t>
      </w:r>
      <w:r>
        <w:rPr>
          <w:rFonts w:hint="eastAsia" w:ascii="宋体" w:hAnsi="宋体" w:cs="宋体"/>
          <w:bCs/>
          <w:color w:val="auto"/>
          <w:sz w:val="24"/>
          <w:highlight w:val="none"/>
        </w:rPr>
        <w:t>投标活动中作如下说明：</w:t>
      </w:r>
      <w:r>
        <w:rPr>
          <w:rFonts w:hint="eastAsia" w:ascii="宋体" w:hAnsi="宋体" w:cs="宋体"/>
          <w:color w:val="auto"/>
          <w:sz w:val="24"/>
          <w:highlight w:val="none"/>
        </w:rPr>
        <w:t xml:space="preserve">我方所使用的“XX专用章”与法定名称章具有同等的法律效力，对使用“XX专用章”的行为予以完全承认，并愿意承担相应责任。   </w:t>
      </w:r>
    </w:p>
    <w:p w14:paraId="6BBFE5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特此说明。</w:t>
      </w:r>
    </w:p>
    <w:p w14:paraId="2B226CFE">
      <w:pPr>
        <w:spacing w:line="360" w:lineRule="auto"/>
        <w:ind w:firstLine="494"/>
        <w:rPr>
          <w:rFonts w:ascii="宋体" w:hAnsi="宋体" w:cs="宋体"/>
          <w:color w:val="auto"/>
          <w:sz w:val="24"/>
          <w:highlight w:val="none"/>
        </w:rPr>
      </w:pPr>
    </w:p>
    <w:p w14:paraId="188F0813">
      <w:pPr>
        <w:spacing w:line="360" w:lineRule="auto"/>
        <w:ind w:firstLine="494"/>
        <w:rPr>
          <w:rFonts w:ascii="宋体" w:hAnsi="宋体" w:cs="宋体"/>
          <w:color w:val="auto"/>
          <w:sz w:val="24"/>
          <w:highlight w:val="none"/>
        </w:rPr>
      </w:pPr>
    </w:p>
    <w:p w14:paraId="3A920381">
      <w:pPr>
        <w:spacing w:line="360" w:lineRule="auto"/>
        <w:ind w:firstLine="494"/>
        <w:rPr>
          <w:rFonts w:ascii="宋体" w:hAnsi="宋体" w:cs="宋体"/>
          <w:color w:val="auto"/>
          <w:sz w:val="24"/>
          <w:highlight w:val="none"/>
        </w:rPr>
      </w:pPr>
    </w:p>
    <w:p w14:paraId="651A6362">
      <w:pPr>
        <w:spacing w:line="360" w:lineRule="auto"/>
        <w:ind w:right="480" w:firstLine="4080" w:firstLineChars="1700"/>
        <w:rPr>
          <w:rFonts w:ascii="宋体" w:hAnsi="宋体" w:cs="宋体"/>
          <w:color w:val="auto"/>
          <w:sz w:val="24"/>
          <w:highlight w:val="none"/>
        </w:rPr>
      </w:pPr>
      <w:r>
        <w:rPr>
          <w:rFonts w:hint="eastAsia" w:ascii="宋体" w:hAnsi="宋体" w:cs="宋体"/>
          <w:color w:val="auto"/>
          <w:sz w:val="24"/>
          <w:highlight w:val="none"/>
        </w:rPr>
        <w:t>投标单位（法定名称章）：</w:t>
      </w:r>
    </w:p>
    <w:p w14:paraId="26787685">
      <w:pPr>
        <w:ind w:right="1440" w:firstLine="494"/>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1EB1202B">
      <w:pPr>
        <w:rPr>
          <w:rFonts w:ascii="宋体" w:hAnsi="宋体" w:cs="宋体"/>
          <w:color w:val="auto"/>
          <w:sz w:val="24"/>
          <w:highlight w:val="none"/>
        </w:rPr>
      </w:pPr>
      <w:r>
        <w:rPr>
          <w:rFonts w:hint="eastAsia" w:ascii="宋体" w:hAnsi="宋体" w:cs="宋体"/>
          <w:b/>
          <w:bCs/>
          <w:color w:val="auto"/>
          <w:sz w:val="24"/>
          <w:highlight w:val="none"/>
        </w:rPr>
        <w:t>附：</w:t>
      </w:r>
    </w:p>
    <w:p w14:paraId="443BA240">
      <w:pPr>
        <w:spacing w:line="360" w:lineRule="auto"/>
        <w:rPr>
          <w:rFonts w:ascii="宋体" w:hAnsi="宋体" w:cs="宋体"/>
          <w:bCs/>
          <w:color w:val="auto"/>
          <w:sz w:val="24"/>
          <w:highlight w:val="none"/>
        </w:rPr>
      </w:pPr>
      <w:r>
        <w:rPr>
          <w:rFonts w:hint="eastAsia" w:ascii="宋体" w:hAnsi="宋体" w:cs="宋体"/>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26" name="矩形 3"/>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3"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14P0q+QBAADeAwAADgAAAGRycy9lMm9Eb2MueG1srVPN&#10;jtMwEL4j8Q6W7zRpdlsgaroHqnJBsNLCA7iO01jyHzNu0z4NEjcegsdBvAZjJ5TdhcMe8MGZscff&#10;zPfNZHVzsoYdFaD2ruHzWcmZctK32u0b/unj9sUrzjAK1wrjnWr4WSG/WT9/thpCrSrfe9MqYATi&#10;sB5Cw/sYQ10UKHtlBc58UI4uOw9WRHJhX7QgBkK3pqjKclkMHtoAXipEOt2Ml3xChKcA+q7TUm28&#10;PFjl4ogKyohIlLDXAfk6V9t1SsYPXYcqMtNwYhrzTknI3qW9WK9EvQcRei2nEsRTSnjEyQrtKOkF&#10;aiOiYAfQf0FZLcGj7+JMeluMRLIixGJePtLmrhdBZS4kNYaL6Pj/YOX74y0w3dIklNWSMycs9fzn&#10;l28/vn9lV0meIWBNUXfhFiYPyUxcTx3Y9CUW7JQlPV8kVafIJB1WL8vr6+WCM0l3VbW4Ws4XCbX4&#10;8zwAxrfKW5aMhgP1LEspju8wjqG/Q1I29Ea3W21MdmC/e2OAHQX1d5vXhP4gzDg2NPz1okqFCBra&#10;joaFTBuIOLp9zvfgBd4HLvP6F3AqbCOwHwvICClM1FZHBWPxxqUDlYdxYpQ0HVVM1s63Z2rCQFNI&#10;1Xw+CFA5V7qjtmexphFNc3XfJ/v+b7n+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HP+MHYAAAA&#10;CgEAAA8AAAAAAAAAAQAgAAAAIgAAAGRycy9kb3ducmV2LnhtbFBLAQIUABQAAAAIAIdO4kDXg/Sr&#10;5AEAAN4DAAAOAAAAAAAAAAEAIAAAACcBAABkcnMvZTJvRG9jLnhtbFBLBQYAAAAABgAGAFkBAAB9&#10;BQAAAAA=&#10;">
                <v:fill on="t" focussize="0,0"/>
                <v:stroke color="#000000" joinstyle="miter"/>
                <v:imagedata o:title=""/>
                <o:lock v:ext="edit" aspectratio="f"/>
              </v:rect>
            </w:pict>
          </mc:Fallback>
        </mc:AlternateContent>
      </w:r>
      <w:r>
        <w:rPr>
          <w:rFonts w:hint="eastAsia" w:ascii="宋体" w:hAnsi="宋体" w:cs="宋体"/>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27" name="矩形 4"/>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4"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iVQrruUBAADeAwAADgAAAGRycy9lMm9Eb2MueG1srVPN&#10;jtMwEL4j8Q6W7zRp2HbZqOkeqMoFwUq7PIDr2Ikl/+Fxm/ZpkLjxEDwO4jUYO6F0Fw57wAdnxh5/&#10;M983k9Xt0WhyEAGUsw2dz0pKhOWuVbZr6KeH7as3lEBktmXaWdHQkwB6u375YjX4WlSud7oVgSCI&#10;hXrwDe1j9HVRAO+FYTBzXli8lC4YFtENXdEGNiC60UVVlsticKH1wXEBgKeb8ZJOiOE5gE5KxcXG&#10;8b0RNo6oQWgWkRL0ygNd52qlFDx+lBJEJLqhyDTmHZOgvUt7sV6xugvM94pPJbDnlPCEk2HKYtIz&#10;1IZFRvZB/QVlFA8OnIwz7kwxEsmKIIt5+USb+555kbmg1ODPosP/g+UfDneBqBYnoayuKbHMYM9/&#10;fvn24/tXcpXkGTzUGHXv78LkAZqJ61EGk77IghyzpKezpOIYCcfDanl1fbNAtTneVdXi9XK+SKjF&#10;n+c+QHwnnCHJaGjAnmUp2eE9xDH0d0jKBk6rdqu0zk7odm91IAeG/d3mNaE/CtOWDA29WVQLLITh&#10;0EocFjSNR+Jgu5zv0Qu4BC7z+hdwKmzDoB8LyAgpjNVGRRHG4rVNByIP48QoaTqqmKyda0/YhAGn&#10;EKv5vGdB5FzpDtuexZpGNM3VpY/25W+5/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d07BY2AAA&#10;AAoBAAAPAAAAAAAAAAEAIAAAACIAAABkcnMvZG93bnJldi54bWxQSwECFAAUAAAACACHTuJAiVQr&#10;ruUBAADeAwAADgAAAAAAAAABACAAAAAnAQAAZHJzL2Uyb0RvYy54bWxQSwUGAAAAAAYABgBZAQAA&#10;fgUAAAAA&#10;">
                <v:fill on="t" focussize="0,0"/>
                <v:stroke color="#000000" joinstyle="miter"/>
                <v:imagedata o:title=""/>
                <o:lock v:ext="edit" aspectratio="f"/>
              </v:rect>
            </w:pict>
          </mc:Fallback>
        </mc:AlternateContent>
      </w:r>
      <w:r>
        <w:rPr>
          <w:rFonts w:hint="eastAsia" w:ascii="宋体" w:hAnsi="宋体" w:cs="宋体"/>
          <w:color w:val="auto"/>
          <w:sz w:val="24"/>
          <w:highlight w:val="none"/>
        </w:rPr>
        <w:t>投标单位法定名称章（印模）                投标单位“XX专用章”（印模）</w:t>
      </w:r>
    </w:p>
    <w:p w14:paraId="196C92DB">
      <w:pPr>
        <w:autoSpaceDE w:val="0"/>
        <w:autoSpaceDN w:val="0"/>
        <w:jc w:val="center"/>
        <w:rPr>
          <w:rFonts w:ascii="宋体" w:hAnsi="宋体" w:cs="宋体"/>
          <w:b/>
          <w:color w:val="auto"/>
          <w:spacing w:val="6"/>
          <w:sz w:val="32"/>
          <w:szCs w:val="32"/>
          <w:highlight w:val="none"/>
        </w:rPr>
      </w:pPr>
    </w:p>
    <w:p w14:paraId="10689D0B">
      <w:pPr>
        <w:autoSpaceDE w:val="0"/>
        <w:autoSpaceDN w:val="0"/>
        <w:jc w:val="center"/>
        <w:rPr>
          <w:rFonts w:ascii="宋体" w:hAnsi="宋体" w:cs="宋体"/>
          <w:b/>
          <w:color w:val="auto"/>
          <w:spacing w:val="6"/>
          <w:sz w:val="32"/>
          <w:szCs w:val="32"/>
          <w:highlight w:val="none"/>
        </w:rPr>
      </w:pPr>
    </w:p>
    <w:p w14:paraId="5E578156">
      <w:pPr>
        <w:autoSpaceDE w:val="0"/>
        <w:autoSpaceDN w:val="0"/>
        <w:jc w:val="center"/>
        <w:rPr>
          <w:rFonts w:ascii="宋体" w:hAnsi="宋体" w:cs="宋体"/>
          <w:b/>
          <w:color w:val="auto"/>
          <w:spacing w:val="6"/>
          <w:sz w:val="32"/>
          <w:szCs w:val="32"/>
          <w:highlight w:val="none"/>
        </w:rPr>
      </w:pPr>
    </w:p>
    <w:p w14:paraId="5313EF55">
      <w:pPr>
        <w:autoSpaceDE w:val="0"/>
        <w:autoSpaceDN w:val="0"/>
        <w:jc w:val="center"/>
        <w:rPr>
          <w:rFonts w:ascii="宋体" w:hAnsi="宋体" w:cs="宋体"/>
          <w:b/>
          <w:color w:val="auto"/>
          <w:spacing w:val="6"/>
          <w:sz w:val="32"/>
          <w:szCs w:val="32"/>
          <w:highlight w:val="none"/>
        </w:rPr>
      </w:pPr>
    </w:p>
    <w:p w14:paraId="0FF8CD0D">
      <w:pPr>
        <w:autoSpaceDE w:val="0"/>
        <w:autoSpaceDN w:val="0"/>
        <w:jc w:val="center"/>
        <w:rPr>
          <w:rFonts w:ascii="宋体" w:hAnsi="宋体" w:cs="宋体"/>
          <w:b/>
          <w:color w:val="auto"/>
          <w:spacing w:val="6"/>
          <w:sz w:val="32"/>
          <w:szCs w:val="32"/>
          <w:highlight w:val="none"/>
        </w:rPr>
      </w:pPr>
    </w:p>
    <w:p w14:paraId="0D1A89D9">
      <w:pPr>
        <w:autoSpaceDE w:val="0"/>
        <w:autoSpaceDN w:val="0"/>
        <w:jc w:val="center"/>
        <w:rPr>
          <w:rFonts w:ascii="宋体" w:hAnsi="宋体" w:cs="宋体"/>
          <w:b/>
          <w:color w:val="auto"/>
          <w:spacing w:val="6"/>
          <w:sz w:val="32"/>
          <w:szCs w:val="32"/>
          <w:highlight w:val="none"/>
        </w:rPr>
      </w:pPr>
    </w:p>
    <w:p w14:paraId="5BF57EDD">
      <w:pPr>
        <w:autoSpaceDE w:val="0"/>
        <w:autoSpaceDN w:val="0"/>
        <w:jc w:val="center"/>
        <w:rPr>
          <w:rFonts w:ascii="宋体" w:hAnsi="宋体" w:cs="宋体"/>
          <w:b/>
          <w:color w:val="auto"/>
          <w:spacing w:val="6"/>
          <w:sz w:val="32"/>
          <w:szCs w:val="32"/>
          <w:highlight w:val="none"/>
        </w:rPr>
      </w:pPr>
    </w:p>
    <w:p w14:paraId="1656EB86">
      <w:pPr>
        <w:autoSpaceDE w:val="0"/>
        <w:autoSpaceDN w:val="0"/>
        <w:jc w:val="center"/>
        <w:rPr>
          <w:rFonts w:ascii="宋体" w:hAnsi="宋体" w:cs="宋体"/>
          <w:b/>
          <w:color w:val="auto"/>
          <w:spacing w:val="6"/>
          <w:sz w:val="32"/>
          <w:szCs w:val="32"/>
          <w:highlight w:val="none"/>
        </w:rPr>
      </w:pPr>
    </w:p>
    <w:p w14:paraId="2F0FAF31">
      <w:pPr>
        <w:autoSpaceDE w:val="0"/>
        <w:autoSpaceDN w:val="0"/>
        <w:jc w:val="center"/>
        <w:rPr>
          <w:rFonts w:ascii="宋体" w:hAnsi="宋体" w:cs="宋体"/>
          <w:b/>
          <w:color w:val="auto"/>
          <w:spacing w:val="6"/>
          <w:sz w:val="32"/>
          <w:szCs w:val="32"/>
          <w:highlight w:val="none"/>
        </w:rPr>
      </w:pPr>
    </w:p>
    <w:p w14:paraId="45EA6C75">
      <w:pPr>
        <w:autoSpaceDE w:val="0"/>
        <w:autoSpaceDN w:val="0"/>
        <w:jc w:val="center"/>
        <w:rPr>
          <w:rFonts w:ascii="宋体" w:hAnsi="宋体" w:cs="宋体"/>
          <w:b/>
          <w:color w:val="auto"/>
          <w:spacing w:val="6"/>
          <w:sz w:val="32"/>
          <w:szCs w:val="32"/>
          <w:highlight w:val="none"/>
        </w:rPr>
      </w:pPr>
    </w:p>
    <w:p w14:paraId="58634E4B">
      <w:pPr>
        <w:autoSpaceDE w:val="0"/>
        <w:autoSpaceDN w:val="0"/>
        <w:jc w:val="center"/>
        <w:rPr>
          <w:rFonts w:ascii="宋体" w:hAnsi="宋体" w:cs="宋体"/>
          <w:b/>
          <w:color w:val="auto"/>
          <w:spacing w:val="6"/>
          <w:sz w:val="32"/>
          <w:szCs w:val="32"/>
          <w:highlight w:val="none"/>
        </w:rPr>
      </w:pPr>
    </w:p>
    <w:p w14:paraId="4009A288">
      <w:pPr>
        <w:autoSpaceDE w:val="0"/>
        <w:autoSpaceDN w:val="0"/>
        <w:jc w:val="center"/>
        <w:rPr>
          <w:rFonts w:ascii="宋体" w:hAnsi="宋体" w:cs="宋体"/>
          <w:b/>
          <w:color w:val="auto"/>
          <w:spacing w:val="6"/>
          <w:sz w:val="32"/>
          <w:szCs w:val="32"/>
          <w:highlight w:val="none"/>
        </w:rPr>
      </w:pPr>
    </w:p>
    <w:p w14:paraId="1A371586">
      <w:pPr>
        <w:autoSpaceDE w:val="0"/>
        <w:autoSpaceDN w:val="0"/>
        <w:jc w:val="center"/>
        <w:rPr>
          <w:rFonts w:ascii="宋体" w:hAnsi="宋体" w:cs="宋体"/>
          <w:b/>
          <w:color w:val="auto"/>
          <w:spacing w:val="6"/>
          <w:sz w:val="32"/>
          <w:szCs w:val="32"/>
          <w:highlight w:val="none"/>
        </w:rPr>
      </w:pPr>
    </w:p>
    <w:p w14:paraId="2ED49610">
      <w:pPr>
        <w:autoSpaceDE w:val="0"/>
        <w:autoSpaceDN w:val="0"/>
        <w:jc w:val="center"/>
        <w:rPr>
          <w:rFonts w:ascii="宋体" w:hAnsi="宋体" w:cs="宋体"/>
          <w:b/>
          <w:color w:val="auto"/>
          <w:spacing w:val="6"/>
          <w:sz w:val="32"/>
          <w:szCs w:val="32"/>
          <w:highlight w:val="none"/>
        </w:rPr>
      </w:pPr>
    </w:p>
    <w:p w14:paraId="653F37BA">
      <w:pPr>
        <w:autoSpaceDE w:val="0"/>
        <w:autoSpaceDN w:val="0"/>
        <w:jc w:val="center"/>
        <w:rPr>
          <w:rFonts w:ascii="宋体" w:hAnsi="宋体" w:cs="宋体"/>
          <w:b/>
          <w:color w:val="auto"/>
          <w:spacing w:val="6"/>
          <w:sz w:val="32"/>
          <w:szCs w:val="32"/>
          <w:highlight w:val="none"/>
        </w:rPr>
      </w:pPr>
    </w:p>
    <w:p w14:paraId="2C4E9425">
      <w:pPr>
        <w:autoSpaceDE w:val="0"/>
        <w:autoSpaceDN w:val="0"/>
        <w:jc w:val="center"/>
        <w:rPr>
          <w:rFonts w:ascii="宋体" w:hAnsi="宋体" w:cs="宋体"/>
          <w:b/>
          <w:color w:val="auto"/>
          <w:spacing w:val="6"/>
          <w:sz w:val="32"/>
          <w:szCs w:val="32"/>
          <w:highlight w:val="none"/>
        </w:rPr>
      </w:pPr>
    </w:p>
    <w:p w14:paraId="155315EE">
      <w:pPr>
        <w:autoSpaceDE w:val="0"/>
        <w:autoSpaceDN w:val="0"/>
        <w:jc w:val="center"/>
        <w:rPr>
          <w:rFonts w:ascii="宋体" w:hAnsi="宋体" w:cs="宋体"/>
          <w:b/>
          <w:color w:val="auto"/>
          <w:spacing w:val="6"/>
          <w:sz w:val="32"/>
          <w:szCs w:val="32"/>
          <w:highlight w:val="none"/>
        </w:rPr>
      </w:pPr>
    </w:p>
    <w:p w14:paraId="21C02860">
      <w:pPr>
        <w:autoSpaceDE w:val="0"/>
        <w:autoSpaceDN w:val="0"/>
        <w:jc w:val="center"/>
        <w:rPr>
          <w:rFonts w:ascii="宋体" w:hAnsi="宋体" w:cs="宋体"/>
          <w:b/>
          <w:color w:val="auto"/>
          <w:spacing w:val="6"/>
          <w:sz w:val="32"/>
          <w:szCs w:val="32"/>
          <w:highlight w:val="none"/>
        </w:rPr>
      </w:pPr>
    </w:p>
    <w:p w14:paraId="5D39CCF1">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附件5：联合协议</w:t>
      </w:r>
    </w:p>
    <w:p w14:paraId="21B68684">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（以联合体形式投标的，提供联合协议；本项目不接受联合体投标或者投标人不以联合体形式投标的，则不需要提供）</w:t>
      </w:r>
    </w:p>
    <w:p w14:paraId="517657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 xml:space="preserve">投标。 </w:t>
      </w:r>
    </w:p>
    <w:p w14:paraId="120C4DE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7576BC8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592178C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754AEC4D">
      <w:pPr>
        <w:snapToGrid w:val="0"/>
        <w:spacing w:line="360" w:lineRule="auto"/>
        <w:ind w:firstLine="576"/>
        <w:rPr>
          <w:rFonts w:ascii="宋体" w:hAnsi="宋体" w:cs="宋体"/>
          <w:color w:val="auto"/>
          <w:kern w:val="0"/>
          <w:sz w:val="24"/>
          <w:highlight w:val="none"/>
          <w:lang w:val="zh-CN"/>
        </w:rPr>
      </w:pPr>
      <w:bookmarkStart w:id="446"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732895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36A6622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446"/>
    <w:p w14:paraId="78E9C3E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715F0D6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25B080A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w:t>
      </w:r>
      <w:r>
        <w:rPr>
          <w:rFonts w:hint="eastAsia" w:ascii="宋体" w:hAnsi="宋体" w:cs="宋体"/>
          <w:b/>
          <w:bCs/>
          <w:color w:val="auto"/>
          <w:sz w:val="24"/>
          <w:highlight w:val="none"/>
          <w:lang w:eastAsia="zh-CN"/>
        </w:rPr>
        <w:t>投标邀请</w:t>
      </w:r>
      <w:r>
        <w:rPr>
          <w:rFonts w:hint="eastAsia" w:ascii="宋体" w:hAnsi="宋体" w:cs="宋体"/>
          <w:b/>
          <w:bCs/>
          <w:color w:val="auto"/>
          <w:sz w:val="24"/>
          <w:highlight w:val="none"/>
        </w:rPr>
        <w:t>申请人的资格要求中规定的联合协议中中小企业、小微企业合同金额应当达到的比例要求填写。</w:t>
      </w:r>
      <w:r>
        <w:rPr>
          <w:rFonts w:hint="eastAsia" w:ascii="宋体" w:hAnsi="宋体" w:cs="宋体"/>
          <w:b/>
          <w:bCs/>
          <w:color w:val="auto"/>
          <w:kern w:val="0"/>
          <w:sz w:val="24"/>
          <w:highlight w:val="none"/>
          <w:lang w:val="zh-CN"/>
        </w:rPr>
        <w:t>）</w:t>
      </w:r>
    </w:p>
    <w:p w14:paraId="273BFDD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联合体各成员方共同与采购人签订合同，并就采购合同约定的事项对采购人承担连带责任。</w:t>
      </w:r>
    </w:p>
    <w:p w14:paraId="2E65945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3CF6DF5C">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0F207C0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10F6BC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140BE4A">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1D7D7E02">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4060ADF">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2B777183">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5A911765">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2BE35A9E">
      <w:pPr>
        <w:autoSpaceDE w:val="0"/>
        <w:autoSpaceDN w:val="0"/>
        <w:jc w:val="center"/>
        <w:rPr>
          <w:rFonts w:ascii="宋体" w:hAnsi="宋体" w:cs="宋体"/>
          <w:b/>
          <w:color w:val="auto"/>
          <w:spacing w:val="6"/>
          <w:sz w:val="32"/>
          <w:szCs w:val="32"/>
          <w:highlight w:val="none"/>
        </w:rPr>
      </w:pPr>
    </w:p>
    <w:p w14:paraId="454F9609">
      <w:pPr>
        <w:autoSpaceDE w:val="0"/>
        <w:autoSpaceDN w:val="0"/>
        <w:jc w:val="center"/>
        <w:rPr>
          <w:rFonts w:ascii="宋体" w:hAnsi="宋体" w:cs="宋体"/>
          <w:b/>
          <w:color w:val="auto"/>
          <w:spacing w:val="6"/>
          <w:sz w:val="32"/>
          <w:szCs w:val="32"/>
          <w:highlight w:val="none"/>
        </w:rPr>
      </w:pPr>
    </w:p>
    <w:p w14:paraId="6F3C6FF1">
      <w:pPr>
        <w:autoSpaceDE w:val="0"/>
        <w:autoSpaceDN w:val="0"/>
        <w:jc w:val="center"/>
        <w:rPr>
          <w:rFonts w:ascii="宋体" w:hAnsi="宋体" w:cs="宋体"/>
          <w:b/>
          <w:color w:val="auto"/>
          <w:spacing w:val="6"/>
          <w:sz w:val="32"/>
          <w:szCs w:val="32"/>
          <w:highlight w:val="none"/>
        </w:rPr>
      </w:pPr>
    </w:p>
    <w:p w14:paraId="5BA2BF01">
      <w:pPr>
        <w:autoSpaceDE w:val="0"/>
        <w:autoSpaceDN w:val="0"/>
        <w:jc w:val="center"/>
        <w:rPr>
          <w:rFonts w:ascii="宋体" w:hAnsi="宋体" w:cs="宋体"/>
          <w:b/>
          <w:color w:val="auto"/>
          <w:spacing w:val="6"/>
          <w:sz w:val="32"/>
          <w:szCs w:val="32"/>
          <w:highlight w:val="none"/>
        </w:rPr>
      </w:pPr>
    </w:p>
    <w:p w14:paraId="08A435EC">
      <w:pPr>
        <w:autoSpaceDE w:val="0"/>
        <w:autoSpaceDN w:val="0"/>
        <w:jc w:val="center"/>
        <w:rPr>
          <w:rFonts w:ascii="宋体" w:hAnsi="宋体" w:cs="宋体"/>
          <w:b/>
          <w:color w:val="auto"/>
          <w:spacing w:val="6"/>
          <w:sz w:val="32"/>
          <w:szCs w:val="32"/>
          <w:highlight w:val="none"/>
        </w:rPr>
      </w:pPr>
    </w:p>
    <w:p w14:paraId="2564B5D9">
      <w:pPr>
        <w:autoSpaceDE w:val="0"/>
        <w:autoSpaceDN w:val="0"/>
        <w:jc w:val="center"/>
        <w:rPr>
          <w:rFonts w:ascii="宋体" w:hAnsi="宋体" w:cs="宋体"/>
          <w:b/>
          <w:color w:val="auto"/>
          <w:spacing w:val="6"/>
          <w:sz w:val="32"/>
          <w:szCs w:val="32"/>
          <w:highlight w:val="none"/>
        </w:rPr>
      </w:pPr>
    </w:p>
    <w:p w14:paraId="4FD658AD">
      <w:pPr>
        <w:autoSpaceDE w:val="0"/>
        <w:autoSpaceDN w:val="0"/>
        <w:jc w:val="center"/>
        <w:rPr>
          <w:rFonts w:ascii="宋体" w:hAnsi="宋体" w:cs="宋体"/>
          <w:b/>
          <w:color w:val="auto"/>
          <w:spacing w:val="6"/>
          <w:sz w:val="32"/>
          <w:szCs w:val="32"/>
          <w:highlight w:val="none"/>
        </w:rPr>
      </w:pPr>
    </w:p>
    <w:p w14:paraId="0CDFBDC0">
      <w:pPr>
        <w:autoSpaceDE w:val="0"/>
        <w:autoSpaceDN w:val="0"/>
        <w:jc w:val="center"/>
        <w:rPr>
          <w:rFonts w:ascii="宋体" w:hAnsi="宋体" w:cs="宋体"/>
          <w:b/>
          <w:color w:val="auto"/>
          <w:spacing w:val="6"/>
          <w:sz w:val="32"/>
          <w:szCs w:val="32"/>
          <w:highlight w:val="none"/>
        </w:rPr>
      </w:pPr>
    </w:p>
    <w:p w14:paraId="3E9F18FB">
      <w:pPr>
        <w:autoSpaceDE w:val="0"/>
        <w:autoSpaceDN w:val="0"/>
        <w:jc w:val="center"/>
        <w:rPr>
          <w:rFonts w:ascii="宋体" w:hAnsi="宋体" w:cs="宋体"/>
          <w:b/>
          <w:color w:val="auto"/>
          <w:spacing w:val="6"/>
          <w:sz w:val="32"/>
          <w:szCs w:val="32"/>
          <w:highlight w:val="none"/>
        </w:rPr>
      </w:pPr>
    </w:p>
    <w:p w14:paraId="192AE61B">
      <w:pPr>
        <w:autoSpaceDE w:val="0"/>
        <w:autoSpaceDN w:val="0"/>
        <w:jc w:val="center"/>
        <w:rPr>
          <w:rFonts w:ascii="宋体" w:hAnsi="宋体" w:cs="宋体"/>
          <w:b/>
          <w:color w:val="auto"/>
          <w:spacing w:val="6"/>
          <w:sz w:val="32"/>
          <w:szCs w:val="32"/>
          <w:highlight w:val="none"/>
        </w:rPr>
      </w:pPr>
    </w:p>
    <w:p w14:paraId="67D0383B">
      <w:pPr>
        <w:autoSpaceDE w:val="0"/>
        <w:autoSpaceDN w:val="0"/>
        <w:jc w:val="center"/>
        <w:rPr>
          <w:rFonts w:ascii="宋体" w:hAnsi="宋体" w:cs="宋体"/>
          <w:b/>
          <w:color w:val="auto"/>
          <w:spacing w:val="6"/>
          <w:sz w:val="32"/>
          <w:szCs w:val="32"/>
          <w:highlight w:val="none"/>
        </w:rPr>
      </w:pPr>
    </w:p>
    <w:p w14:paraId="6249E5DF">
      <w:pPr>
        <w:autoSpaceDE w:val="0"/>
        <w:autoSpaceDN w:val="0"/>
        <w:jc w:val="center"/>
        <w:rPr>
          <w:rFonts w:ascii="宋体" w:hAnsi="宋体" w:cs="宋体"/>
          <w:b/>
          <w:color w:val="auto"/>
          <w:spacing w:val="6"/>
          <w:sz w:val="32"/>
          <w:szCs w:val="32"/>
          <w:highlight w:val="none"/>
        </w:rPr>
      </w:pPr>
    </w:p>
    <w:p w14:paraId="35C6A7D7">
      <w:pPr>
        <w:autoSpaceDE w:val="0"/>
        <w:autoSpaceDN w:val="0"/>
        <w:jc w:val="center"/>
        <w:rPr>
          <w:rFonts w:ascii="宋体" w:hAnsi="宋体" w:cs="宋体"/>
          <w:b/>
          <w:color w:val="auto"/>
          <w:spacing w:val="6"/>
          <w:sz w:val="32"/>
          <w:szCs w:val="32"/>
          <w:highlight w:val="none"/>
        </w:rPr>
      </w:pPr>
    </w:p>
    <w:p w14:paraId="44382851">
      <w:pPr>
        <w:autoSpaceDE w:val="0"/>
        <w:autoSpaceDN w:val="0"/>
        <w:jc w:val="center"/>
        <w:rPr>
          <w:rFonts w:ascii="宋体" w:hAnsi="宋体" w:cs="宋体"/>
          <w:b/>
          <w:color w:val="auto"/>
          <w:spacing w:val="6"/>
          <w:sz w:val="32"/>
          <w:szCs w:val="32"/>
          <w:highlight w:val="none"/>
        </w:rPr>
      </w:pPr>
    </w:p>
    <w:p w14:paraId="71567927">
      <w:pPr>
        <w:autoSpaceDE w:val="0"/>
        <w:autoSpaceDN w:val="0"/>
        <w:jc w:val="center"/>
        <w:rPr>
          <w:rFonts w:ascii="宋体" w:hAnsi="宋体" w:cs="宋体"/>
          <w:b/>
          <w:color w:val="auto"/>
          <w:spacing w:val="6"/>
          <w:sz w:val="32"/>
          <w:szCs w:val="32"/>
          <w:highlight w:val="none"/>
        </w:rPr>
      </w:pPr>
    </w:p>
    <w:p w14:paraId="088499DB">
      <w:pPr>
        <w:autoSpaceDE w:val="0"/>
        <w:autoSpaceDN w:val="0"/>
        <w:jc w:val="center"/>
        <w:rPr>
          <w:rFonts w:ascii="宋体" w:hAnsi="宋体" w:cs="宋体"/>
          <w:b/>
          <w:color w:val="auto"/>
          <w:spacing w:val="6"/>
          <w:sz w:val="32"/>
          <w:szCs w:val="32"/>
          <w:highlight w:val="none"/>
        </w:rPr>
      </w:pPr>
    </w:p>
    <w:p w14:paraId="73F3C28B">
      <w:pPr>
        <w:autoSpaceDE w:val="0"/>
        <w:autoSpaceDN w:val="0"/>
        <w:jc w:val="center"/>
        <w:rPr>
          <w:rFonts w:ascii="宋体" w:hAnsi="宋体" w:cs="宋体"/>
          <w:b/>
          <w:color w:val="auto"/>
          <w:spacing w:val="6"/>
          <w:sz w:val="32"/>
          <w:szCs w:val="32"/>
          <w:highlight w:val="none"/>
        </w:rPr>
      </w:pPr>
    </w:p>
    <w:p w14:paraId="5D749A75">
      <w:pPr>
        <w:autoSpaceDE w:val="0"/>
        <w:autoSpaceDN w:val="0"/>
        <w:jc w:val="center"/>
        <w:rPr>
          <w:rFonts w:ascii="宋体" w:hAnsi="宋体" w:cs="宋体"/>
          <w:b/>
          <w:color w:val="auto"/>
          <w:spacing w:val="6"/>
          <w:sz w:val="32"/>
          <w:szCs w:val="32"/>
          <w:highlight w:val="none"/>
        </w:rPr>
      </w:pPr>
    </w:p>
    <w:p w14:paraId="6E92B877">
      <w:pPr>
        <w:autoSpaceDE w:val="0"/>
        <w:autoSpaceDN w:val="0"/>
        <w:jc w:val="center"/>
        <w:rPr>
          <w:rFonts w:ascii="宋体" w:hAnsi="宋体" w:cs="宋体"/>
          <w:b/>
          <w:color w:val="auto"/>
          <w:spacing w:val="6"/>
          <w:sz w:val="32"/>
          <w:szCs w:val="32"/>
          <w:highlight w:val="none"/>
        </w:rPr>
      </w:pPr>
    </w:p>
    <w:p w14:paraId="47A47A8C">
      <w:pPr>
        <w:autoSpaceDE w:val="0"/>
        <w:autoSpaceDN w:val="0"/>
        <w:jc w:val="center"/>
        <w:rPr>
          <w:rFonts w:ascii="宋体" w:hAnsi="宋体" w:cs="宋体"/>
          <w:b/>
          <w:color w:val="auto"/>
          <w:spacing w:val="6"/>
          <w:sz w:val="32"/>
          <w:szCs w:val="32"/>
          <w:highlight w:val="none"/>
        </w:rPr>
      </w:pPr>
    </w:p>
    <w:p w14:paraId="05900FE9">
      <w:pPr>
        <w:autoSpaceDE w:val="0"/>
        <w:autoSpaceDN w:val="0"/>
        <w:jc w:val="center"/>
        <w:rPr>
          <w:rFonts w:ascii="宋体" w:hAnsi="宋体" w:cs="宋体"/>
          <w:b/>
          <w:color w:val="auto"/>
          <w:spacing w:val="6"/>
          <w:sz w:val="32"/>
          <w:szCs w:val="32"/>
          <w:highlight w:val="none"/>
        </w:rPr>
      </w:pPr>
    </w:p>
    <w:p w14:paraId="050CC2C4">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47E89053">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附件6：分包意向协议</w:t>
      </w:r>
    </w:p>
    <w:p w14:paraId="13D76C6C">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auto"/>
          <w:sz w:val="24"/>
          <w:highlight w:val="none"/>
        </w:rPr>
        <w:t>）</w:t>
      </w:r>
    </w:p>
    <w:p w14:paraId="1AF4D3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lang w:eastAsia="zh-CN"/>
        </w:rPr>
        <w:t>杭州电子科技大学家具更新项目</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ascii="宋体" w:hAnsi="宋体" w:cs="宋体"/>
          <w:color w:val="auto"/>
          <w:kern w:val="0"/>
          <w:sz w:val="24"/>
          <w:highlight w:val="none"/>
          <w:lang w:val="zh-CN"/>
        </w:rPr>
        <w:t xml:space="preserve">。 </w:t>
      </w:r>
    </w:p>
    <w:p w14:paraId="617DD6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1E9BC7C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B512592">
      <w:pPr>
        <w:tabs>
          <w:tab w:val="left" w:pos="432"/>
        </w:tabs>
        <w:ind w:left="664" w:leftChars="316" w:firstLine="228" w:firstLineChars="95"/>
        <w:rPr>
          <w:rFonts w:ascii="宋体" w:hAnsi="宋体" w:cs="宋体"/>
          <w:color w:val="auto"/>
          <w:kern w:val="0"/>
          <w:sz w:val="24"/>
          <w:highlight w:val="none"/>
        </w:rPr>
      </w:pPr>
      <w:r>
        <w:rPr>
          <w:rFonts w:hint="eastAsia" w:ascii="宋体" w:hAnsi="宋体" w:cs="宋体"/>
          <w:color w:val="auto"/>
          <w:kern w:val="0"/>
          <w:sz w:val="24"/>
          <w:highlight w:val="none"/>
        </w:rPr>
        <w:t>……</w:t>
      </w:r>
    </w:p>
    <w:p w14:paraId="158A8B9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59691F9">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4A03976A">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447"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w:t>
      </w:r>
      <w:r>
        <w:rPr>
          <w:rFonts w:hint="eastAsia" w:ascii="宋体" w:hAnsi="宋体" w:cs="宋体"/>
          <w:b/>
          <w:bCs/>
          <w:color w:val="auto"/>
          <w:sz w:val="24"/>
          <w:highlight w:val="none"/>
          <w:lang w:eastAsia="zh-CN"/>
        </w:rPr>
        <w:t>投标邀请</w:t>
      </w:r>
      <w:r>
        <w:rPr>
          <w:rFonts w:hint="eastAsia" w:ascii="宋体" w:hAnsi="宋体" w:cs="宋体"/>
          <w:b/>
          <w:bCs/>
          <w:color w:val="auto"/>
          <w:sz w:val="24"/>
          <w:highlight w:val="none"/>
        </w:rPr>
        <w:t>申请人的资格要求中规定的</w:t>
      </w:r>
      <w:r>
        <w:rPr>
          <w:rFonts w:hint="eastAsia" w:ascii="宋体" w:hAnsi="宋体" w:cs="宋体"/>
          <w:b/>
          <w:color w:val="auto"/>
          <w:kern w:val="0"/>
          <w:sz w:val="24"/>
          <w:highlight w:val="none"/>
          <w:lang w:val="zh-CN"/>
        </w:rPr>
        <w:t>分包意向协议</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447"/>
    </w:p>
    <w:p w14:paraId="5BAB78E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609688F4">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67F9306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04AB962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76787DD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2A5465C">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FD1C1B4">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41BD4A9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6D8C17D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230254F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09AD140">
      <w:pPr>
        <w:snapToGrid w:val="0"/>
        <w:spacing w:line="360" w:lineRule="auto"/>
        <w:ind w:left="5758"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w:t>
      </w:r>
    </w:p>
    <w:p w14:paraId="2E2FC61A">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分包供应商名称(电子签名/公章)：</w:t>
      </w:r>
    </w:p>
    <w:p w14:paraId="2692C7C0">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37784B3F">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01A882A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4F7F789E">
      <w:pPr>
        <w:autoSpaceDE w:val="0"/>
        <w:autoSpaceDN w:val="0"/>
        <w:jc w:val="center"/>
        <w:rPr>
          <w:rFonts w:ascii="宋体" w:hAnsi="宋体" w:cs="宋体"/>
          <w:b/>
          <w:color w:val="auto"/>
          <w:spacing w:val="6"/>
          <w:sz w:val="32"/>
          <w:szCs w:val="32"/>
          <w:highlight w:val="none"/>
        </w:rPr>
      </w:pPr>
    </w:p>
    <w:p w14:paraId="605C34CE">
      <w:pPr>
        <w:snapToGrid w:val="0"/>
        <w:spacing w:line="360" w:lineRule="auto"/>
        <w:jc w:val="center"/>
        <w:rPr>
          <w:rFonts w:ascii="宋体" w:hAnsi="宋体" w:cs="宋体"/>
          <w:b/>
          <w:color w:val="auto"/>
          <w:kern w:val="0"/>
          <w:sz w:val="44"/>
          <w:szCs w:val="44"/>
          <w:highlight w:val="none"/>
        </w:rPr>
      </w:pPr>
      <w:r>
        <w:rPr>
          <w:rFonts w:hAnsi="宋体" w:cs="宋体"/>
          <w:b/>
          <w:color w:val="auto"/>
          <w:sz w:val="32"/>
          <w:szCs w:val="32"/>
          <w:highlight w:val="none"/>
        </w:rPr>
        <w:br w:type="page"/>
      </w:r>
      <w:r>
        <w:rPr>
          <w:rFonts w:hint="eastAsia" w:ascii="宋体" w:hAnsi="宋体" w:eastAsia="宋体" w:cs="宋体"/>
          <w:b/>
          <w:color w:val="auto"/>
          <w:kern w:val="0"/>
          <w:sz w:val="32"/>
          <w:szCs w:val="32"/>
          <w:highlight w:val="none"/>
        </w:rPr>
        <w:t>附件7：中小企业声明函</w:t>
      </w:r>
    </w:p>
    <w:p w14:paraId="733AA6A4">
      <w:pPr>
        <w:spacing w:line="360" w:lineRule="auto"/>
        <w:jc w:val="center"/>
        <w:rPr>
          <w:rFonts w:ascii="宋体" w:hAnsi="宋体" w:cs="宋体"/>
          <w:color w:val="auto"/>
          <w:sz w:val="24"/>
          <w:highlight w:val="none"/>
          <w:u w:val="single"/>
        </w:rPr>
      </w:pPr>
    </w:p>
    <w:p w14:paraId="2A6A1C48">
      <w:pPr>
        <w:spacing w:line="360" w:lineRule="auto"/>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中小企业声明函（货物）</w:t>
      </w:r>
      <w:r>
        <w:rPr>
          <w:rFonts w:hint="eastAsia" w:ascii="宋体" w:hAnsi="宋体" w:cs="宋体"/>
          <w:b/>
          <w:color w:val="auto"/>
          <w:sz w:val="32"/>
          <w:szCs w:val="32"/>
          <w:highlight w:val="none"/>
          <w:lang w:val="en-US" w:eastAsia="zh-CN"/>
        </w:rPr>
        <w:t>(标项一、标项二、标项三）</w:t>
      </w:r>
    </w:p>
    <w:p w14:paraId="40A48C1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的</w:t>
      </w:r>
      <w:r>
        <w:rPr>
          <w:rFonts w:hint="eastAsia" w:ascii="宋体" w:hAnsi="宋体" w:cs="宋体"/>
          <w:color w:val="auto"/>
          <w:sz w:val="24"/>
          <w:highlight w:val="none"/>
          <w:u w:val="single"/>
          <w:lang w:eastAsia="zh-CN"/>
        </w:rPr>
        <w:t>杭州电子科技大学家具更新项目</w:t>
      </w:r>
      <w:r>
        <w:rPr>
          <w:rFonts w:hint="eastAsia" w:ascii="宋体" w:hAnsi="宋体" w:cs="宋体"/>
          <w:color w:val="auto"/>
          <w:sz w:val="24"/>
          <w:highlight w:val="none"/>
        </w:rPr>
        <w:t>采购活动，提供的货物全部由符合政策要求的中小企业制造。相关企业（含联合体中的中小企业、签订分包意向协议的中小企业）的具体情况如下：</w:t>
      </w:r>
    </w:p>
    <w:p w14:paraId="0E1E63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highlight w:val="none"/>
        </w:rPr>
        <w:t xml:space="preserve"> </w:t>
      </w:r>
      <w:r>
        <w:rPr>
          <w:rFonts w:hint="eastAsia" w:ascii="宋体" w:hAnsi="宋体" w:cs="宋体"/>
          <w:color w:val="auto"/>
          <w:sz w:val="24"/>
          <w:highlight w:val="none"/>
          <w:u w:val="single"/>
        </w:rPr>
        <w:t>三人位公寓组合床 （五人间）加长床</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414BF3C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highlight w:val="none"/>
        </w:rPr>
        <w:t xml:space="preserve"> </w:t>
      </w:r>
      <w:r>
        <w:rPr>
          <w:rFonts w:hint="eastAsia" w:ascii="宋体" w:hAnsi="宋体" w:cs="宋体"/>
          <w:color w:val="auto"/>
          <w:sz w:val="24"/>
          <w:highlight w:val="none"/>
          <w:u w:val="single"/>
        </w:rPr>
        <w:t>二人位公寓组合床（五人间）</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44CD6E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highlight w:val="none"/>
        </w:rPr>
        <w:t xml:space="preserve"> </w:t>
      </w:r>
      <w:r>
        <w:rPr>
          <w:rFonts w:hint="eastAsia" w:ascii="宋体" w:hAnsi="宋体" w:cs="宋体"/>
          <w:color w:val="auto"/>
          <w:sz w:val="24"/>
          <w:highlight w:val="none"/>
          <w:u w:val="single"/>
        </w:rPr>
        <w:t>四人衣柜（五人间）</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01894C8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highlight w:val="none"/>
        </w:rPr>
        <w:t xml:space="preserve"> </w:t>
      </w:r>
      <w:r>
        <w:rPr>
          <w:rFonts w:hint="eastAsia" w:ascii="宋体" w:hAnsi="宋体" w:cs="宋体"/>
          <w:color w:val="auto"/>
          <w:sz w:val="24"/>
          <w:highlight w:val="none"/>
          <w:u w:val="single"/>
        </w:rPr>
        <w:t>公寓椅（五人间）</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6F075AE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558833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B46E329">
      <w:pPr>
        <w:snapToGrid w:val="0"/>
        <w:spacing w:line="360" w:lineRule="auto"/>
        <w:ind w:firstLine="5160" w:firstLineChars="215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7B76FDCC">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257FF118">
      <w:pPr>
        <w:spacing w:line="360" w:lineRule="auto"/>
        <w:jc w:val="left"/>
        <w:rPr>
          <w:rFonts w:ascii="宋体" w:hAnsi="宋体" w:cs="宋体"/>
          <w:color w:val="auto"/>
          <w:sz w:val="18"/>
          <w:szCs w:val="18"/>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32062CD3">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7EA56729">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121B939B">
      <w:pPr>
        <w:spacing w:line="360" w:lineRule="auto"/>
        <w:ind w:right="420" w:firstLine="480" w:firstLineChars="200"/>
        <w:rPr>
          <w:rFonts w:ascii="宋体" w:hAnsi="宋体" w:cs="宋体"/>
          <w:bCs/>
          <w:color w:val="auto"/>
          <w:sz w:val="24"/>
          <w:highlight w:val="none"/>
        </w:rPr>
      </w:pPr>
      <w:r>
        <w:rPr>
          <w:rFonts w:hint="eastAsia" w:ascii="宋体" w:hAnsi="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53F987C6">
      <w:pPr>
        <w:spacing w:line="360" w:lineRule="auto"/>
        <w:jc w:val="center"/>
        <w:rPr>
          <w:rFonts w:hint="eastAsia" w:ascii="宋体" w:hAnsi="宋体" w:cs="宋体"/>
          <w:b/>
          <w:color w:val="auto"/>
          <w:sz w:val="32"/>
          <w:szCs w:val="32"/>
          <w:highlight w:val="none"/>
        </w:rPr>
      </w:pPr>
    </w:p>
    <w:p w14:paraId="2A4F7063">
      <w:pPr>
        <w:spacing w:line="360" w:lineRule="auto"/>
        <w:jc w:val="center"/>
        <w:rPr>
          <w:rFonts w:hint="eastAsia" w:ascii="宋体" w:hAnsi="宋体" w:cs="宋体"/>
          <w:b/>
          <w:color w:val="auto"/>
          <w:sz w:val="32"/>
          <w:szCs w:val="32"/>
          <w:highlight w:val="none"/>
        </w:rPr>
      </w:pPr>
    </w:p>
    <w:p w14:paraId="0E126B36">
      <w:pPr>
        <w:spacing w:line="360" w:lineRule="auto"/>
        <w:jc w:val="center"/>
        <w:rPr>
          <w:rFonts w:hint="eastAsia" w:ascii="宋体" w:hAnsi="宋体" w:cs="宋体"/>
          <w:b/>
          <w:color w:val="auto"/>
          <w:sz w:val="32"/>
          <w:szCs w:val="32"/>
          <w:highlight w:val="none"/>
        </w:rPr>
      </w:pPr>
    </w:p>
    <w:p w14:paraId="69742FEC">
      <w:pPr>
        <w:spacing w:line="360" w:lineRule="auto"/>
        <w:jc w:val="center"/>
        <w:rPr>
          <w:rFonts w:hint="eastAsia" w:ascii="宋体" w:hAnsi="宋体" w:cs="宋体"/>
          <w:b/>
          <w:color w:val="auto"/>
          <w:sz w:val="32"/>
          <w:szCs w:val="32"/>
          <w:highlight w:val="none"/>
        </w:rPr>
      </w:pPr>
    </w:p>
    <w:p w14:paraId="55BAEC70">
      <w:pPr>
        <w:spacing w:line="360" w:lineRule="auto"/>
        <w:jc w:val="center"/>
        <w:rPr>
          <w:rFonts w:hint="eastAsia" w:ascii="宋体" w:hAnsi="宋体" w:cs="宋体"/>
          <w:b/>
          <w:color w:val="auto"/>
          <w:sz w:val="32"/>
          <w:szCs w:val="32"/>
          <w:highlight w:val="none"/>
        </w:rPr>
      </w:pPr>
    </w:p>
    <w:p w14:paraId="18573770">
      <w:pPr>
        <w:spacing w:line="360" w:lineRule="auto"/>
        <w:jc w:val="center"/>
        <w:rPr>
          <w:rFonts w:hint="eastAsia" w:ascii="宋体" w:hAnsi="宋体" w:cs="宋体"/>
          <w:b/>
          <w:color w:val="auto"/>
          <w:sz w:val="32"/>
          <w:szCs w:val="32"/>
          <w:highlight w:val="none"/>
        </w:rPr>
      </w:pPr>
    </w:p>
    <w:p w14:paraId="4F41C2C7">
      <w:pPr>
        <w:spacing w:line="360" w:lineRule="auto"/>
        <w:jc w:val="center"/>
        <w:rPr>
          <w:rFonts w:hint="eastAsia" w:ascii="宋体" w:hAnsi="宋体" w:cs="宋体"/>
          <w:b/>
          <w:color w:val="auto"/>
          <w:sz w:val="32"/>
          <w:szCs w:val="32"/>
          <w:highlight w:val="none"/>
        </w:rPr>
      </w:pPr>
    </w:p>
    <w:p w14:paraId="35E0CDBB">
      <w:pPr>
        <w:spacing w:line="360" w:lineRule="auto"/>
        <w:jc w:val="center"/>
        <w:rPr>
          <w:rFonts w:hint="eastAsia" w:ascii="宋体" w:hAnsi="宋体" w:cs="宋体"/>
          <w:b/>
          <w:color w:val="auto"/>
          <w:sz w:val="32"/>
          <w:szCs w:val="32"/>
          <w:highlight w:val="none"/>
        </w:rPr>
      </w:pPr>
    </w:p>
    <w:p w14:paraId="555CA7B6">
      <w:pPr>
        <w:spacing w:line="360" w:lineRule="auto"/>
        <w:jc w:val="center"/>
        <w:rPr>
          <w:rFonts w:hint="eastAsia" w:ascii="宋体" w:hAnsi="宋体" w:cs="宋体"/>
          <w:b/>
          <w:color w:val="auto"/>
          <w:sz w:val="32"/>
          <w:szCs w:val="32"/>
          <w:highlight w:val="none"/>
        </w:rPr>
      </w:pPr>
    </w:p>
    <w:p w14:paraId="0A730A00">
      <w:pPr>
        <w:spacing w:line="360" w:lineRule="auto"/>
        <w:jc w:val="center"/>
        <w:rPr>
          <w:rFonts w:hint="eastAsia" w:ascii="宋体" w:hAnsi="宋体" w:cs="宋体"/>
          <w:b/>
          <w:color w:val="auto"/>
          <w:sz w:val="32"/>
          <w:szCs w:val="32"/>
          <w:highlight w:val="none"/>
        </w:rPr>
      </w:pPr>
    </w:p>
    <w:p w14:paraId="756FE6C6">
      <w:pPr>
        <w:spacing w:line="360" w:lineRule="auto"/>
        <w:jc w:val="center"/>
        <w:rPr>
          <w:rFonts w:hint="eastAsia" w:ascii="宋体" w:hAnsi="宋体" w:cs="宋体"/>
          <w:b/>
          <w:color w:val="auto"/>
          <w:sz w:val="32"/>
          <w:szCs w:val="32"/>
          <w:highlight w:val="none"/>
        </w:rPr>
      </w:pPr>
    </w:p>
    <w:p w14:paraId="6E0D01E8">
      <w:pPr>
        <w:spacing w:line="360" w:lineRule="auto"/>
        <w:jc w:val="center"/>
        <w:rPr>
          <w:rFonts w:hint="eastAsia" w:ascii="宋体" w:hAnsi="宋体" w:cs="宋体"/>
          <w:b/>
          <w:color w:val="auto"/>
          <w:sz w:val="32"/>
          <w:szCs w:val="32"/>
          <w:highlight w:val="none"/>
        </w:rPr>
      </w:pPr>
    </w:p>
    <w:p w14:paraId="06F36B7E">
      <w:pPr>
        <w:spacing w:line="360" w:lineRule="auto"/>
        <w:jc w:val="center"/>
        <w:rPr>
          <w:rFonts w:hint="eastAsia" w:ascii="宋体" w:hAnsi="宋体" w:cs="宋体"/>
          <w:b/>
          <w:color w:val="auto"/>
          <w:sz w:val="32"/>
          <w:szCs w:val="32"/>
          <w:highlight w:val="none"/>
        </w:rPr>
      </w:pPr>
    </w:p>
    <w:p w14:paraId="49B0960C">
      <w:pPr>
        <w:spacing w:line="360" w:lineRule="auto"/>
        <w:jc w:val="center"/>
        <w:rPr>
          <w:rFonts w:hint="eastAsia" w:ascii="宋体" w:hAnsi="宋体" w:cs="宋体"/>
          <w:b/>
          <w:color w:val="auto"/>
          <w:sz w:val="32"/>
          <w:szCs w:val="32"/>
          <w:highlight w:val="none"/>
        </w:rPr>
      </w:pPr>
    </w:p>
    <w:p w14:paraId="3CD6C7CF">
      <w:pPr>
        <w:spacing w:line="360" w:lineRule="auto"/>
        <w:jc w:val="center"/>
        <w:rPr>
          <w:rFonts w:hint="eastAsia" w:ascii="宋体" w:hAnsi="宋体" w:cs="宋体"/>
          <w:b/>
          <w:color w:val="auto"/>
          <w:sz w:val="32"/>
          <w:szCs w:val="32"/>
          <w:highlight w:val="none"/>
        </w:rPr>
      </w:pPr>
    </w:p>
    <w:p w14:paraId="0836B576">
      <w:pPr>
        <w:spacing w:line="360" w:lineRule="auto"/>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中小企业声明函（货物）</w:t>
      </w:r>
      <w:r>
        <w:rPr>
          <w:rFonts w:hint="eastAsia" w:ascii="宋体" w:hAnsi="宋体" w:cs="宋体"/>
          <w:b/>
          <w:color w:val="auto"/>
          <w:sz w:val="32"/>
          <w:szCs w:val="32"/>
          <w:highlight w:val="none"/>
          <w:lang w:val="en-US" w:eastAsia="zh-CN"/>
        </w:rPr>
        <w:t>(标项四）</w:t>
      </w:r>
    </w:p>
    <w:p w14:paraId="2B49E0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的</w:t>
      </w:r>
      <w:r>
        <w:rPr>
          <w:rFonts w:hint="eastAsia" w:ascii="宋体" w:hAnsi="宋体" w:cs="宋体"/>
          <w:color w:val="auto"/>
          <w:sz w:val="24"/>
          <w:highlight w:val="none"/>
          <w:u w:val="single"/>
          <w:lang w:eastAsia="zh-CN"/>
        </w:rPr>
        <w:t>杭州电子科技大学家具更新项目</w:t>
      </w:r>
      <w:r>
        <w:rPr>
          <w:rFonts w:hint="eastAsia" w:ascii="宋体" w:hAnsi="宋体" w:cs="宋体"/>
          <w:color w:val="auto"/>
          <w:sz w:val="24"/>
          <w:highlight w:val="none"/>
        </w:rPr>
        <w:t>采购活动，提供的货物全部由符合政策要求的中小企业制造。相关企业（含联合体中的中小企业、签订分包意向协议的中小企业）的具体情况如下：</w:t>
      </w:r>
    </w:p>
    <w:p w14:paraId="2B901AF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highlight w:val="none"/>
        </w:rPr>
        <w:t xml:space="preserve"> </w:t>
      </w:r>
      <w:r>
        <w:rPr>
          <w:rFonts w:hint="eastAsia" w:ascii="宋体" w:hAnsi="宋体" w:cs="宋体"/>
          <w:color w:val="auto"/>
          <w:sz w:val="24"/>
          <w:highlight w:val="none"/>
          <w:u w:val="single"/>
        </w:rPr>
        <w:t>二人位公寓组合床加长床（四人间）</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6B8496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highlight w:val="none"/>
        </w:rPr>
        <w:t xml:space="preserve"> </w:t>
      </w:r>
      <w:r>
        <w:rPr>
          <w:rFonts w:hint="eastAsia" w:ascii="宋体" w:hAnsi="宋体" w:cs="宋体"/>
          <w:color w:val="auto"/>
          <w:sz w:val="24"/>
          <w:highlight w:val="none"/>
          <w:u w:val="single"/>
        </w:rPr>
        <w:t>二人位公寓组合床（四人间）</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795CF6B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highlight w:val="none"/>
        </w:rPr>
        <w:t xml:space="preserve"> </w:t>
      </w:r>
      <w:r>
        <w:rPr>
          <w:rFonts w:hint="eastAsia" w:ascii="宋体" w:hAnsi="宋体" w:cs="宋体"/>
          <w:color w:val="auto"/>
          <w:sz w:val="24"/>
          <w:highlight w:val="none"/>
          <w:u w:val="single"/>
        </w:rPr>
        <w:t>四人置物柜（四人间）</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56E341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highlight w:val="none"/>
        </w:rPr>
        <w:t xml:space="preserve"> </w:t>
      </w:r>
      <w:r>
        <w:rPr>
          <w:rFonts w:hint="eastAsia" w:ascii="宋体" w:hAnsi="宋体" w:cs="宋体"/>
          <w:color w:val="auto"/>
          <w:sz w:val="24"/>
          <w:highlight w:val="none"/>
          <w:u w:val="single"/>
        </w:rPr>
        <w:t>公寓椅（四人间）</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7CB04EF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4993301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078C8065">
      <w:pPr>
        <w:snapToGrid w:val="0"/>
        <w:spacing w:line="360" w:lineRule="auto"/>
        <w:ind w:firstLine="5160" w:firstLineChars="215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4A734635">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75EE052D">
      <w:pPr>
        <w:spacing w:line="360" w:lineRule="auto"/>
        <w:jc w:val="left"/>
        <w:rPr>
          <w:rFonts w:ascii="宋体" w:hAnsi="宋体" w:cs="宋体"/>
          <w:color w:val="auto"/>
          <w:sz w:val="18"/>
          <w:szCs w:val="18"/>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14D1A347">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2655D643">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66E3547F">
      <w:pPr>
        <w:snapToGrid w:val="0"/>
        <w:spacing w:line="360" w:lineRule="auto"/>
        <w:jc w:val="center"/>
        <w:rPr>
          <w:rFonts w:hint="eastAsia" w:hAnsi="宋体" w:cs="宋体"/>
          <w:b/>
          <w:bCs/>
          <w:color w:val="auto"/>
          <w:sz w:val="24"/>
          <w:szCs w:val="24"/>
          <w:highlight w:val="none"/>
        </w:rPr>
      </w:pPr>
      <w:r>
        <w:rPr>
          <w:rFonts w:hint="eastAsia" w:ascii="宋体" w:hAnsi="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r>
        <w:rPr>
          <w:rFonts w:hint="eastAsia" w:ascii="宋体" w:hAnsi="宋体" w:cs="宋体"/>
          <w:b/>
          <w:color w:val="auto"/>
          <w:spacing w:val="6"/>
          <w:sz w:val="32"/>
          <w:szCs w:val="32"/>
          <w:highlight w:val="none"/>
        </w:rPr>
        <w:br w:type="page"/>
      </w:r>
      <w:r>
        <w:rPr>
          <w:rFonts w:hint="eastAsia" w:ascii="宋体" w:hAnsi="宋体" w:eastAsia="宋体" w:cs="宋体"/>
          <w:b/>
          <w:color w:val="auto"/>
          <w:kern w:val="0"/>
          <w:sz w:val="32"/>
          <w:szCs w:val="32"/>
          <w:highlight w:val="none"/>
          <w:lang w:val="en-US" w:eastAsia="zh-CN"/>
        </w:rPr>
        <w:t>附件8</w:t>
      </w:r>
      <w:r>
        <w:rPr>
          <w:rFonts w:hint="eastAsia" w:ascii="宋体" w:hAnsi="宋体" w:eastAsia="宋体" w:cs="宋体"/>
          <w:b/>
          <w:color w:val="auto"/>
          <w:kern w:val="0"/>
          <w:sz w:val="32"/>
          <w:szCs w:val="32"/>
          <w:highlight w:val="none"/>
        </w:rPr>
        <w:t>缴纳采购代理服务费承诺书</w:t>
      </w:r>
    </w:p>
    <w:p w14:paraId="1A36EC26">
      <w:pPr>
        <w:pStyle w:val="47"/>
        <w:spacing w:line="360" w:lineRule="auto"/>
        <w:ind w:firstLine="482"/>
        <w:jc w:val="center"/>
        <w:rPr>
          <w:rFonts w:hint="eastAsia" w:ascii="宋体" w:hAnsi="宋体" w:eastAsia="宋体" w:cs="宋体"/>
          <w:b/>
          <w:bCs/>
          <w:color w:val="auto"/>
          <w:sz w:val="24"/>
          <w:szCs w:val="24"/>
          <w:highlight w:val="none"/>
        </w:rPr>
      </w:pPr>
    </w:p>
    <w:p w14:paraId="1866A9EB">
      <w:pPr>
        <w:adjustRightIn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浙江致信招标代理有限公司</w:t>
      </w:r>
      <w:r>
        <w:rPr>
          <w:rFonts w:hint="eastAsia" w:ascii="宋体" w:hAnsi="宋体" w:eastAsia="宋体" w:cs="宋体"/>
          <w:color w:val="auto"/>
          <w:sz w:val="24"/>
          <w:szCs w:val="24"/>
          <w:highlight w:val="none"/>
        </w:rPr>
        <w:t>：</w:t>
      </w:r>
    </w:p>
    <w:p w14:paraId="60EE9C30">
      <w:pPr>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我方在你公司组织的</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330000263030150000343</w:t>
      </w:r>
      <w:r>
        <w:rPr>
          <w:rFonts w:hint="eastAsia" w:ascii="宋体" w:hAnsi="宋体" w:cs="宋体"/>
          <w:color w:val="auto"/>
          <w:sz w:val="24"/>
          <w:szCs w:val="24"/>
          <w:highlight w:val="none"/>
          <w:u w:val="single"/>
          <w:lang w:val="en-US" w:eastAsia="zh-CN"/>
        </w:rPr>
        <w:t>-ZXZB-HD-202602G</w:t>
      </w:r>
      <w:r>
        <w:rPr>
          <w:rFonts w:hint="eastAsia" w:ascii="宋体" w:hAnsi="宋体" w:eastAsia="宋体" w:cs="宋体"/>
          <w:color w:val="auto"/>
          <w:sz w:val="24"/>
          <w:szCs w:val="24"/>
          <w:highlight w:val="none"/>
        </w:rPr>
        <w:t>的采购活动中若获成交，我方保证于中标后[具体时间]，按采购文件</w:t>
      </w:r>
      <w:r>
        <w:rPr>
          <w:rFonts w:hint="eastAsia" w:ascii="宋体" w:hAnsi="宋体" w:eastAsia="宋体" w:cs="宋体"/>
          <w:b/>
          <w:color w:val="auto"/>
          <w:sz w:val="24"/>
          <w:szCs w:val="24"/>
          <w:highlight w:val="none"/>
        </w:rPr>
        <w:t>“响应/投标人须知前附表”</w:t>
      </w:r>
      <w:r>
        <w:rPr>
          <w:rFonts w:hint="eastAsia" w:ascii="宋体" w:hAnsi="宋体" w:eastAsia="宋体" w:cs="宋体"/>
          <w:color w:val="auto"/>
          <w:sz w:val="24"/>
          <w:szCs w:val="24"/>
          <w:highlight w:val="none"/>
        </w:rPr>
        <w:t>规定的采购代理服务费缴纳标准及方式，向你公司支付采购代理服务费。</w:t>
      </w:r>
    </w:p>
    <w:p w14:paraId="0EBFFE36">
      <w:pPr>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我方理解并承诺，若未能按时缴纳采购代理服务费将被视为放弃中标资格，由此产生的法律责任我方自行承担。我方承诺，本承诺书一旦签署，即具有法律效力，我方将严格按照承诺书的内容执行。</w:t>
      </w:r>
    </w:p>
    <w:p w14:paraId="4B844E7C">
      <w:pPr>
        <w:pStyle w:val="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05293BBB">
      <w:pPr>
        <w:pStyle w:val="47"/>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响应/投标人全称（盖单位公章）：</w:t>
      </w:r>
    </w:p>
    <w:p w14:paraId="1E0E4F4E">
      <w:pPr>
        <w:pStyle w:val="47"/>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年  月  日</w:t>
      </w:r>
    </w:p>
    <w:p w14:paraId="21CC6CB0">
      <w:pPr>
        <w:spacing w:line="360" w:lineRule="auto"/>
        <w:ind w:right="420" w:firstLine="480" w:firstLineChars="200"/>
        <w:rPr>
          <w:rFonts w:hint="eastAsia" w:ascii="宋体" w:hAnsi="宋体" w:eastAsia="宋体" w:cs="宋体"/>
          <w:bCs/>
          <w:color w:val="auto"/>
          <w:sz w:val="24"/>
          <w:szCs w:val="24"/>
          <w:highlight w:val="none"/>
        </w:rPr>
      </w:pPr>
    </w:p>
    <w:p w14:paraId="1103537A">
      <w:pPr>
        <w:pStyle w:val="47"/>
        <w:keepNext w:val="0"/>
        <w:keepLines w:val="0"/>
        <w:pageBreakBefore w:val="0"/>
        <w:widowControl w:val="0"/>
        <w:kinsoku/>
        <w:wordWrap/>
        <w:overflowPunct/>
        <w:topLinePunct w:val="0"/>
        <w:autoSpaceDE/>
        <w:autoSpaceDN/>
        <w:bidi w:val="0"/>
        <w:adjustRightInd/>
        <w:snapToGrid/>
        <w:spacing w:line="360" w:lineRule="auto"/>
        <w:ind w:firstLine="402"/>
        <w:jc w:val="both"/>
        <w:textAlignment w:val="auto"/>
        <w:rPr>
          <w:rStyle w:val="41"/>
          <w:rFonts w:hint="eastAsia" w:ascii="宋体" w:hAnsi="宋体" w:eastAsia="宋体" w:cs="宋体"/>
          <w:color w:val="auto"/>
          <w:kern w:val="2"/>
          <w:sz w:val="32"/>
          <w:szCs w:val="32"/>
          <w:highlight w:val="none"/>
          <w:u w:val="none" w:color="000000"/>
          <w:lang w:val="en-US" w:eastAsia="zh-CN" w:bidi="ar-SA"/>
        </w:rPr>
      </w:pPr>
      <w:r>
        <w:rPr>
          <w:color w:val="auto"/>
          <w:highlight w:val="none"/>
        </w:rPr>
        <w:br w:type="page"/>
      </w:r>
      <w:r>
        <w:rPr>
          <w:rStyle w:val="41"/>
          <w:rFonts w:hint="eastAsia" w:ascii="宋体" w:hAnsi="宋体" w:eastAsia="宋体" w:cs="宋体"/>
          <w:color w:val="auto"/>
          <w:kern w:val="2"/>
          <w:sz w:val="32"/>
          <w:szCs w:val="32"/>
          <w:highlight w:val="none"/>
          <w:u w:val="none" w:color="000000"/>
          <w:lang w:val="en-US" w:eastAsia="zh-CN" w:bidi="ar-SA"/>
        </w:rPr>
        <w:t>附件9</w:t>
      </w:r>
    </w:p>
    <w:p w14:paraId="5BB3902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询问函范本</w:t>
      </w:r>
    </w:p>
    <w:p w14:paraId="5F4A61A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一、供应商基本信息</w:t>
      </w:r>
    </w:p>
    <w:p w14:paraId="5C3DE4F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dotted"/>
        </w:rPr>
        <w:t xml:space="preserve">                                        </w:t>
      </w:r>
    </w:p>
    <w:p w14:paraId="317891FF">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58A88BC3">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402B8B9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14:paraId="23524AEE">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334C76E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4E19EA0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二、项目基本情况</w:t>
      </w:r>
    </w:p>
    <w:p w14:paraId="123B1A1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dotted"/>
        </w:rPr>
        <w:t xml:space="preserve">                                      </w:t>
      </w:r>
    </w:p>
    <w:p w14:paraId="4378EB8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64DE2E97">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14:paraId="046AC77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14:paraId="64746B1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三、询问事项具体内容</w:t>
      </w:r>
    </w:p>
    <w:p w14:paraId="6967405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bCs/>
          <w:color w:val="auto"/>
          <w:sz w:val="24"/>
          <w:szCs w:val="24"/>
          <w:highlight w:val="none"/>
        </w:rPr>
        <w:t>询问</w:t>
      </w:r>
      <w:r>
        <w:rPr>
          <w:rFonts w:hint="eastAsia" w:ascii="宋体" w:hAnsi="宋体" w:eastAsia="宋体" w:cs="宋体"/>
          <w:color w:val="auto"/>
          <w:sz w:val="24"/>
          <w:szCs w:val="24"/>
          <w:highlight w:val="none"/>
        </w:rPr>
        <w:t>事项1：</w:t>
      </w:r>
      <w:r>
        <w:rPr>
          <w:rFonts w:hint="eastAsia" w:ascii="宋体" w:hAnsi="宋体" w:eastAsia="宋体" w:cs="宋体"/>
          <w:color w:val="auto"/>
          <w:sz w:val="24"/>
          <w:szCs w:val="24"/>
          <w:highlight w:val="none"/>
          <w:u w:val="dotted"/>
        </w:rPr>
        <w:t xml:space="preserve">                                         </w:t>
      </w:r>
    </w:p>
    <w:p w14:paraId="78C2B47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bCs/>
          <w:color w:val="auto"/>
          <w:sz w:val="24"/>
          <w:szCs w:val="24"/>
          <w:highlight w:val="none"/>
        </w:rPr>
        <w:t>询问</w:t>
      </w:r>
      <w:r>
        <w:rPr>
          <w:rFonts w:hint="eastAsia" w:ascii="宋体" w:hAnsi="宋体" w:eastAsia="宋体" w:cs="宋体"/>
          <w:color w:val="auto"/>
          <w:sz w:val="24"/>
          <w:szCs w:val="24"/>
          <w:highlight w:val="none"/>
        </w:rPr>
        <w:t>事项2：</w:t>
      </w:r>
      <w:r>
        <w:rPr>
          <w:rFonts w:hint="eastAsia" w:ascii="宋体" w:hAnsi="宋体" w:eastAsia="宋体" w:cs="宋体"/>
          <w:color w:val="auto"/>
          <w:sz w:val="24"/>
          <w:szCs w:val="24"/>
          <w:highlight w:val="none"/>
          <w:u w:val="dotted"/>
        </w:rPr>
        <w:t xml:space="preserve">                                         </w:t>
      </w:r>
    </w:p>
    <w:p w14:paraId="4803CF1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D17F382">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四、与询问事项相关的请求</w:t>
      </w:r>
    </w:p>
    <w:p w14:paraId="142D467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14:paraId="1BA951E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p>
    <w:p w14:paraId="068FF34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签名（签章）：                   公章：                 </w:t>
      </w:r>
    </w:p>
    <w:p w14:paraId="443EDF2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sectPr>
      <w:headerReference r:id="rId21" w:type="first"/>
      <w:footerReference r:id="rId24" w:type="first"/>
      <w:headerReference r:id="rId20" w:type="default"/>
      <w:footerReference r:id="rId22" w:type="default"/>
      <w:footerReference r:id="rId23"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7A"/>
    <w:family w:val="auto"/>
    <w:pitch w:val="default"/>
    <w:sig w:usb0="800002BF" w:usb1="38CF7CFA" w:usb2="00000016" w:usb3="00000000" w:csb0="00040001" w:csb1="00000000"/>
  </w:font>
  <w:font w:name="Arial Unicode MS">
    <w:altName w:val="Arial"/>
    <w:panose1 w:val="020B0604020002020204"/>
    <w:charset w:val="7A"/>
    <w:family w:val="roman"/>
    <w:pitch w:val="default"/>
    <w:sig w:usb0="00000000" w:usb1="00000000" w:usb2="0000003F" w:usb3="00000000" w:csb0="603F01FF" w:csb1="FFFF0000"/>
  </w:font>
  <w:font w:name="Wingdings 2">
    <w:altName w:val="Wingdings"/>
    <w:panose1 w:val="05020102010507070707"/>
    <w:charset w:val="02"/>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085AC">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9884C">
    <w:pPr>
      <w:pStyle w:val="15"/>
      <w:framePr w:wrap="around" w:vAnchor="text" w:hAnchor="margin" w:xAlign="right" w:y="1"/>
      <w:rPr>
        <w:rStyle w:val="31"/>
      </w:rPr>
    </w:pPr>
    <w:r>
      <w:fldChar w:fldCharType="begin"/>
    </w:r>
    <w:r>
      <w:rPr>
        <w:rStyle w:val="31"/>
      </w:rPr>
      <w:instrText xml:space="preserve">PAGE  </w:instrText>
    </w:r>
    <w:r>
      <w:fldChar w:fldCharType="end"/>
    </w:r>
  </w:p>
  <w:p w14:paraId="3319142C">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C8786">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F650">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459E139">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B8FD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2CE340E">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DFC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786E83CD">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75B06">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D51004B">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665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67F8E5C">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207AF">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2BFB8456">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D22EC">
    <w:pPr>
      <w:pStyle w:val="15"/>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69578">
    <w:pPr>
      <w:pStyle w:val="15"/>
      <w:framePr w:wrap="around" w:vAnchor="text" w:hAnchor="margin" w:xAlign="right" w:y="1"/>
      <w:rPr>
        <w:rStyle w:val="31"/>
      </w:rPr>
    </w:pPr>
    <w:r>
      <w:fldChar w:fldCharType="begin"/>
    </w:r>
    <w:r>
      <w:rPr>
        <w:rStyle w:val="31"/>
      </w:rPr>
      <w:instrText xml:space="preserve">PAGE  </w:instrText>
    </w:r>
    <w:r>
      <w:fldChar w:fldCharType="end"/>
    </w:r>
  </w:p>
  <w:p w14:paraId="3FAD0E2E">
    <w:pPr>
      <w:pStyle w:val="15"/>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01F06">
    <w:pPr>
      <w:pStyle w:val="15"/>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bookmarkStart w:id="448" w:name="_Toc164085800"/>
    <w:bookmarkStart w:id="449" w:name="_Toc91899912"/>
    <w:bookmarkStart w:id="450" w:name="_Toc36110187"/>
    <w:bookmarkStart w:id="451" w:name="_Toc131845147"/>
    <w:r>
      <w:rPr>
        <w:rFonts w:hint="eastAsia" w:ascii="仿宋_GB2312" w:eastAsia="仿宋_GB2312"/>
        <w:kern w:val="0"/>
        <w:szCs w:val="21"/>
      </w:rPr>
      <w:t xml:space="preserve"> 页</w:t>
    </w:r>
    <w:bookmarkEnd w:id="448"/>
    <w:bookmarkEnd w:id="449"/>
    <w:bookmarkEnd w:id="450"/>
    <w:bookmarkEnd w:id="451"/>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7430">
    <w:pPr>
      <w:pStyle w:val="17"/>
      <w:pBdr>
        <w:bottom w:val="single" w:color="auto" w:sz="6" w:space="4"/>
      </w:pBdr>
      <w:jc w:val="right"/>
    </w:pPr>
    <w:r>
      <w:t></w:t>
    </w:r>
    <w:r>
      <w:rPr>
        <w:rFonts w:hint="eastAsia"/>
        <w:lang w:val="en-US" w:eastAsia="zh-CN"/>
      </w:rPr>
      <w:t>浙江致信招标代理有限公司</w:t>
    </w:r>
  </w:p>
  <w:p w14:paraId="004F93C3">
    <w:pPr>
      <w:pStyle w:val="24"/>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0EA12">
    <w:pPr>
      <w:pStyle w:val="17"/>
      <w:pBdr>
        <w:bottom w:val="single" w:color="auto" w:sz="6" w:space="0"/>
      </w:pBdr>
      <w:tabs>
        <w:tab w:val="clear" w:pos="4153"/>
        <w:tab w:val="clear" w:pos="8306"/>
      </w:tabs>
      <w:jc w:val="right"/>
    </w:pPr>
    <w:r>
      <w:rPr>
        <w:lang w:val="zh-CN"/>
      </w:rPr>
      <w:t></w:t>
    </w:r>
    <w:r>
      <w:tab/>
    </w:r>
    <w:r>
      <w:rPr>
        <w:rFonts w:hint="eastAsia"/>
        <w:lang w:val="en-US" w:eastAsia="zh-CN"/>
      </w:rPr>
      <w:t>浙江致信招标代理有限公司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FECEA">
    <w:pPr>
      <w:pStyle w:val="17"/>
      <w:jc w:val="right"/>
      <w:rPr>
        <w:rFonts w:ascii="仿宋_GB2312" w:eastAsia="仿宋_GB2312"/>
        <w:b/>
        <w:i/>
        <w:u w:val="single"/>
      </w:rPr>
    </w:pPr>
    <w: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58E47">
    <w:pPr>
      <w:pStyle w:val="17"/>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5310">
    <w:pPr>
      <w:pStyle w:val="17"/>
      <w:rPr>
        <w:rFonts w:ascii="仿宋_GB2312" w:eastAsia="仿宋_GB2312"/>
        <w:b/>
        <w:i/>
        <w:u w:val="single"/>
      </w:rPr>
    </w:pPr>
    <w:r>
      <w:t></w:t>
    </w:r>
    <w:r>
      <w:rPr>
        <w:rFonts w:hint="eastAsia"/>
      </w:rPr>
      <w:t xml:space="preserve">                                                </w:t>
    </w:r>
    <w:r>
      <w:t xml:space="preserve"> 杭州市政府采购公开招标文件</w:t>
    </w:r>
  </w:p>
  <w:p w14:paraId="484FC1A6">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A938D">
    <w:pPr>
      <w:pStyle w:val="17"/>
      <w:jc w:val="right"/>
    </w:pPr>
    <w:r>
      <w:t></w:t>
    </w:r>
    <w:r>
      <w:rPr>
        <w:rFonts w:hint="eastAsia"/>
      </w:rPr>
      <w:t xml:space="preserve">                                                                    </w:t>
    </w:r>
    <w:r>
      <w:t>杭州市政府采购公开招标文件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7BB4B">
    <w:pPr>
      <w:rPr>
        <w:rFonts w:ascii="仿宋_GB2312" w:eastAsia="仿宋_GB2312"/>
        <w:b/>
        <w:i/>
        <w:sz w:val="18"/>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6A09F">
    <w:pPr>
      <w:pStyle w:val="17"/>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E39AC">
    <w:pPr>
      <w:pStyle w:val="17"/>
      <w:jc w:val="right"/>
      <w:rPr>
        <w:rFonts w:ascii="仿宋_GB2312" w:eastAsia="仿宋_GB2312"/>
        <w:b/>
        <w:i/>
        <w:iCs/>
        <w:u w:val="single"/>
      </w:rPr>
    </w:pP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9726">
    <w:pPr>
      <w:pStyle w:val="17"/>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ECFA8C"/>
    <w:multiLevelType w:val="singleLevel"/>
    <w:tmpl w:val="DCECFA8C"/>
    <w:lvl w:ilvl="0" w:tentative="0">
      <w:start w:val="1"/>
      <w:numFmt w:val="decimal"/>
      <w:lvlText w:val="%1."/>
      <w:lvlJc w:val="left"/>
      <w:pPr>
        <w:tabs>
          <w:tab w:val="left" w:pos="312"/>
        </w:tabs>
      </w:pPr>
    </w:lvl>
  </w:abstractNum>
  <w:abstractNum w:abstractNumId="1">
    <w:nsid w:val="F2919A5F"/>
    <w:multiLevelType w:val="singleLevel"/>
    <w:tmpl w:val="F2919A5F"/>
    <w:lvl w:ilvl="0" w:tentative="0">
      <w:start w:val="1"/>
      <w:numFmt w:val="decimal"/>
      <w:lvlText w:val="%1."/>
      <w:lvlJc w:val="left"/>
      <w:pPr>
        <w:tabs>
          <w:tab w:val="left" w:pos="312"/>
        </w:tabs>
      </w:pPr>
    </w:lvl>
  </w:abstractNum>
  <w:abstractNum w:abstractNumId="2">
    <w:nsid w:val="00000001"/>
    <w:multiLevelType w:val="singleLevel"/>
    <w:tmpl w:val="00000001"/>
    <w:lvl w:ilvl="0" w:tentative="0">
      <w:start w:val="1"/>
      <w:numFmt w:val="decimal"/>
      <w:lvlText w:val="%1."/>
      <w:lvlJc w:val="left"/>
      <w:pPr>
        <w:tabs>
          <w:tab w:val="left" w:pos="312"/>
        </w:tabs>
      </w:pPr>
    </w:lvl>
  </w:abstractNum>
  <w:abstractNum w:abstractNumId="3">
    <w:nsid w:val="2A1E0E11"/>
    <w:multiLevelType w:val="singleLevel"/>
    <w:tmpl w:val="2A1E0E11"/>
    <w:lvl w:ilvl="0" w:tentative="0">
      <w:start w:val="1"/>
      <w:numFmt w:val="decimal"/>
      <w:lvlText w:val="%1."/>
      <w:lvlJc w:val="left"/>
      <w:pPr>
        <w:tabs>
          <w:tab w:val="left" w:pos="312"/>
        </w:tabs>
      </w:pPr>
    </w:lvl>
  </w:abstractNum>
  <w:abstractNum w:abstractNumId="4">
    <w:nsid w:val="7BC7FF44"/>
    <w:multiLevelType w:val="singleLevel"/>
    <w:tmpl w:val="7BC7FF44"/>
    <w:lvl w:ilvl="0" w:tentative="0">
      <w:start w:val="1"/>
      <w:numFmt w:val="decimal"/>
      <w:lvlText w:val="%1."/>
      <w:lvlJc w:val="left"/>
      <w:pPr>
        <w:tabs>
          <w:tab w:val="left" w:pos="312"/>
        </w:tabs>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D6E0B"/>
    <w:rsid w:val="00411CE6"/>
    <w:rsid w:val="0055221D"/>
    <w:rsid w:val="00D37D6D"/>
    <w:rsid w:val="00D51086"/>
    <w:rsid w:val="019A4919"/>
    <w:rsid w:val="04874344"/>
    <w:rsid w:val="049B24AD"/>
    <w:rsid w:val="050C0B5D"/>
    <w:rsid w:val="0563090D"/>
    <w:rsid w:val="06214431"/>
    <w:rsid w:val="08583483"/>
    <w:rsid w:val="086E5BE3"/>
    <w:rsid w:val="08A2065C"/>
    <w:rsid w:val="08B33507"/>
    <w:rsid w:val="0A340D7D"/>
    <w:rsid w:val="0AC823D3"/>
    <w:rsid w:val="0B957346"/>
    <w:rsid w:val="0C884A9F"/>
    <w:rsid w:val="0D4340F6"/>
    <w:rsid w:val="0D5E6B0F"/>
    <w:rsid w:val="0DB10A78"/>
    <w:rsid w:val="0DD82A6D"/>
    <w:rsid w:val="0FD3668F"/>
    <w:rsid w:val="10036F74"/>
    <w:rsid w:val="105326F5"/>
    <w:rsid w:val="10727854"/>
    <w:rsid w:val="11133066"/>
    <w:rsid w:val="11B37538"/>
    <w:rsid w:val="12B33B9E"/>
    <w:rsid w:val="13082AF4"/>
    <w:rsid w:val="13BB6B96"/>
    <w:rsid w:val="13E470BD"/>
    <w:rsid w:val="156A35F2"/>
    <w:rsid w:val="160C585F"/>
    <w:rsid w:val="164821F7"/>
    <w:rsid w:val="167C182F"/>
    <w:rsid w:val="173C5EF3"/>
    <w:rsid w:val="180D6A8C"/>
    <w:rsid w:val="194A1837"/>
    <w:rsid w:val="1958493C"/>
    <w:rsid w:val="1AF66E30"/>
    <w:rsid w:val="1BCD5D94"/>
    <w:rsid w:val="1CFA5BD6"/>
    <w:rsid w:val="1D7B2B20"/>
    <w:rsid w:val="1EB12291"/>
    <w:rsid w:val="1F707A57"/>
    <w:rsid w:val="20F758C6"/>
    <w:rsid w:val="22863269"/>
    <w:rsid w:val="22EB640D"/>
    <w:rsid w:val="235F050E"/>
    <w:rsid w:val="2460453E"/>
    <w:rsid w:val="24616DCD"/>
    <w:rsid w:val="24B2529A"/>
    <w:rsid w:val="250F7D12"/>
    <w:rsid w:val="25952431"/>
    <w:rsid w:val="25BA7C7E"/>
    <w:rsid w:val="27564889"/>
    <w:rsid w:val="280478D6"/>
    <w:rsid w:val="291930C1"/>
    <w:rsid w:val="291D2C77"/>
    <w:rsid w:val="29736AC1"/>
    <w:rsid w:val="298E067A"/>
    <w:rsid w:val="2A5A1A2F"/>
    <w:rsid w:val="2B567F0C"/>
    <w:rsid w:val="2BCF54EE"/>
    <w:rsid w:val="2C256D4E"/>
    <w:rsid w:val="2C3A1B18"/>
    <w:rsid w:val="2C466071"/>
    <w:rsid w:val="2C950AFD"/>
    <w:rsid w:val="2D1103C5"/>
    <w:rsid w:val="2DCB6359"/>
    <w:rsid w:val="2E9E584B"/>
    <w:rsid w:val="2FDC05D5"/>
    <w:rsid w:val="322176DA"/>
    <w:rsid w:val="323425A2"/>
    <w:rsid w:val="3251196A"/>
    <w:rsid w:val="35131158"/>
    <w:rsid w:val="35141C21"/>
    <w:rsid w:val="357E7AB5"/>
    <w:rsid w:val="365E28A7"/>
    <w:rsid w:val="369F5A4C"/>
    <w:rsid w:val="36C62A73"/>
    <w:rsid w:val="381712B9"/>
    <w:rsid w:val="38D52C89"/>
    <w:rsid w:val="39074B30"/>
    <w:rsid w:val="39E851FB"/>
    <w:rsid w:val="3A6B53FF"/>
    <w:rsid w:val="3AF45588"/>
    <w:rsid w:val="3B282A1B"/>
    <w:rsid w:val="3D8D000C"/>
    <w:rsid w:val="3EA751C6"/>
    <w:rsid w:val="3FF530B4"/>
    <w:rsid w:val="3FFA44EC"/>
    <w:rsid w:val="401A7E3C"/>
    <w:rsid w:val="401C35B7"/>
    <w:rsid w:val="405214DD"/>
    <w:rsid w:val="4068307E"/>
    <w:rsid w:val="414C7ECC"/>
    <w:rsid w:val="41851E0F"/>
    <w:rsid w:val="422449A5"/>
    <w:rsid w:val="4417106B"/>
    <w:rsid w:val="449C1FF2"/>
    <w:rsid w:val="44F7014F"/>
    <w:rsid w:val="44F91348"/>
    <w:rsid w:val="45A572B0"/>
    <w:rsid w:val="45AB7CCE"/>
    <w:rsid w:val="47391BBA"/>
    <w:rsid w:val="48216ABC"/>
    <w:rsid w:val="48377AE3"/>
    <w:rsid w:val="488A12DA"/>
    <w:rsid w:val="490E6239"/>
    <w:rsid w:val="495E3D52"/>
    <w:rsid w:val="49883A6B"/>
    <w:rsid w:val="49B605D8"/>
    <w:rsid w:val="49C20808"/>
    <w:rsid w:val="4AD66A58"/>
    <w:rsid w:val="4C8E75EA"/>
    <w:rsid w:val="4D901140"/>
    <w:rsid w:val="52111E19"/>
    <w:rsid w:val="53915C12"/>
    <w:rsid w:val="54517B83"/>
    <w:rsid w:val="545E28CC"/>
    <w:rsid w:val="549026DE"/>
    <w:rsid w:val="57580F21"/>
    <w:rsid w:val="57AE50CE"/>
    <w:rsid w:val="580B5F93"/>
    <w:rsid w:val="58AF298D"/>
    <w:rsid w:val="58CB6A3A"/>
    <w:rsid w:val="59605737"/>
    <w:rsid w:val="59BD6028"/>
    <w:rsid w:val="59C1328B"/>
    <w:rsid w:val="5A5E2AE7"/>
    <w:rsid w:val="5ADF54B5"/>
    <w:rsid w:val="5B6B3EA3"/>
    <w:rsid w:val="5C9F54B5"/>
    <w:rsid w:val="5CA93474"/>
    <w:rsid w:val="5D3F1973"/>
    <w:rsid w:val="5D9657BB"/>
    <w:rsid w:val="5DAD14BC"/>
    <w:rsid w:val="5DAD189A"/>
    <w:rsid w:val="5E731884"/>
    <w:rsid w:val="615F6AF9"/>
    <w:rsid w:val="64733A58"/>
    <w:rsid w:val="64D938D4"/>
    <w:rsid w:val="66B3297C"/>
    <w:rsid w:val="686B65DA"/>
    <w:rsid w:val="68790CF7"/>
    <w:rsid w:val="68C44E48"/>
    <w:rsid w:val="68C57409"/>
    <w:rsid w:val="6A025978"/>
    <w:rsid w:val="6BAF4235"/>
    <w:rsid w:val="6BC93D43"/>
    <w:rsid w:val="6C272818"/>
    <w:rsid w:val="6E5507E5"/>
    <w:rsid w:val="6FF16241"/>
    <w:rsid w:val="706C288C"/>
    <w:rsid w:val="71145A61"/>
    <w:rsid w:val="71163298"/>
    <w:rsid w:val="71752277"/>
    <w:rsid w:val="71C5580B"/>
    <w:rsid w:val="72964D8C"/>
    <w:rsid w:val="732301DD"/>
    <w:rsid w:val="73881A17"/>
    <w:rsid w:val="73B9408D"/>
    <w:rsid w:val="73BC69EE"/>
    <w:rsid w:val="73D3037C"/>
    <w:rsid w:val="740A173B"/>
    <w:rsid w:val="78671A99"/>
    <w:rsid w:val="78E24244"/>
    <w:rsid w:val="79410486"/>
    <w:rsid w:val="79572514"/>
    <w:rsid w:val="798821EF"/>
    <w:rsid w:val="7A0F3269"/>
    <w:rsid w:val="7B677CD3"/>
    <w:rsid w:val="7B9652C4"/>
    <w:rsid w:val="7C10241D"/>
    <w:rsid w:val="7D2E7EAA"/>
    <w:rsid w:val="7D6869EF"/>
    <w:rsid w:val="7F4C2568"/>
    <w:rsid w:val="7FBA0013"/>
    <w:rsid w:val="7FDB50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uiPriority w:val="0"/>
    <w:pPr>
      <w:keepNext/>
      <w:keepLines/>
      <w:tabs>
        <w:tab w:val="left" w:pos="432"/>
      </w:tabs>
      <w:spacing w:before="340" w:after="330" w:line="578" w:lineRule="auto"/>
      <w:ind w:left="432" w:hanging="432"/>
      <w:outlineLvl w:val="0"/>
    </w:pPr>
    <w:rPr>
      <w:rFonts w:ascii="Times New Roman" w:hAnsi="Times New Roman" w:eastAsia="宋体" w:cs="Times New Roman"/>
      <w:b/>
      <w:bCs/>
      <w:kern w:val="44"/>
      <w:sz w:val="44"/>
      <w:szCs w:val="44"/>
    </w:rPr>
  </w:style>
  <w:style w:type="paragraph" w:styleId="4">
    <w:name w:val="heading 2"/>
    <w:basedOn w:val="1"/>
    <w:next w:val="1"/>
    <w:qFormat/>
    <w:uiPriority w:val="0"/>
    <w:pPr>
      <w:keepNext/>
      <w:keepLines/>
      <w:spacing w:before="260" w:beforeAutospacing="0" w:after="260" w:afterAutospacing="0" w:line="413" w:lineRule="auto"/>
      <w:outlineLvl w:val="1"/>
    </w:pPr>
    <w:rPr>
      <w:rFonts w:ascii="Arial" w:hAnsi="Arial" w:eastAsia="黑体" w:cs="Times New Roman"/>
      <w:b/>
      <w:sz w:val="32"/>
    </w:rPr>
  </w:style>
  <w:style w:type="character" w:default="1" w:styleId="29">
    <w:name w:val="Default Paragraph Font"/>
    <w:uiPriority w:val="0"/>
    <w:rPr>
      <w:rFonts w:ascii="Times New Roman" w:hAnsi="Times New Roman" w:eastAsia="宋体" w:cs="Times New Roman"/>
    </w:rPr>
  </w:style>
  <w:style w:type="table" w:default="1" w:styleId="27">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eastAsia="宋体" w:cs="Arial"/>
      <w:snapToGrid w:val="0"/>
      <w:szCs w:val="21"/>
    </w:rPr>
  </w:style>
  <w:style w:type="paragraph" w:styleId="5">
    <w:name w:val="toc 7"/>
    <w:basedOn w:val="1"/>
    <w:next w:val="1"/>
    <w:qFormat/>
    <w:uiPriority w:val="0"/>
    <w:pPr>
      <w:ind w:left="2520" w:leftChars="1200"/>
    </w:pPr>
    <w:rPr>
      <w:rFonts w:ascii="Times New Roman" w:hAnsi="Times New Roman" w:eastAsia="宋体" w:cs="Times New Roman"/>
    </w:rPr>
  </w:style>
  <w:style w:type="paragraph" w:styleId="6">
    <w:name w:val="Normal Indent"/>
    <w:basedOn w:val="1"/>
    <w:next w:val="1"/>
    <w:qFormat/>
    <w:uiPriority w:val="0"/>
    <w:pPr>
      <w:widowControl/>
      <w:snapToGrid w:val="0"/>
      <w:spacing w:line="480" w:lineRule="exact"/>
      <w:ind w:firstLine="567"/>
    </w:pPr>
    <w:rPr>
      <w:rFonts w:ascii="宋体" w:hAnsi="Times New Roman" w:eastAsia="宋体" w:cs="Times New Roman"/>
      <w:snapToGrid w:val="0"/>
      <w:color w:val="000000"/>
      <w:kern w:val="28"/>
      <w:sz w:val="28"/>
      <w:szCs w:val="20"/>
    </w:rPr>
  </w:style>
  <w:style w:type="paragraph" w:styleId="7">
    <w:name w:val="annotation text"/>
    <w:basedOn w:val="1"/>
    <w:link w:val="35"/>
    <w:qFormat/>
    <w:uiPriority w:val="0"/>
    <w:pPr>
      <w:jc w:val="left"/>
    </w:pPr>
    <w:rPr>
      <w:rFonts w:ascii="Times New Roman" w:hAnsi="Times New Roman" w:eastAsia="宋体" w:cs="Times New Roman"/>
    </w:rPr>
  </w:style>
  <w:style w:type="paragraph" w:styleId="8">
    <w:name w:val="Body Text"/>
    <w:basedOn w:val="1"/>
    <w:next w:val="9"/>
    <w:qFormat/>
    <w:uiPriority w:val="0"/>
    <w:pPr>
      <w:autoSpaceDE w:val="0"/>
      <w:autoSpaceDN w:val="0"/>
      <w:spacing w:line="360" w:lineRule="auto"/>
    </w:pPr>
    <w:rPr>
      <w:rFonts w:ascii="宋体" w:hAnsi="Arial" w:eastAsia="宋体" w:cs="Arial"/>
      <w:snapToGrid w:val="0"/>
      <w:sz w:val="24"/>
      <w:szCs w:val="21"/>
      <w:lang w:val="zh-CN"/>
    </w:rPr>
  </w:style>
  <w:style w:type="paragraph" w:styleId="9">
    <w:name w:val="Body Text First Indent"/>
    <w:basedOn w:val="8"/>
    <w:next w:val="1"/>
    <w:qFormat/>
    <w:uiPriority w:val="0"/>
    <w:pPr>
      <w:ind w:firstLine="420"/>
    </w:pPr>
    <w:rPr>
      <w:rFonts w:ascii="Times New Roman" w:hAnsi="Times New Roman" w:eastAsia="宋体" w:cs="Times New Roman"/>
      <w:sz w:val="21"/>
      <w:szCs w:val="21"/>
    </w:rPr>
  </w:style>
  <w:style w:type="paragraph" w:styleId="10">
    <w:name w:val="Body Text Indent"/>
    <w:basedOn w:val="1"/>
    <w:next w:val="1"/>
    <w:qFormat/>
    <w:uiPriority w:val="0"/>
    <w:pPr>
      <w:spacing w:line="480" w:lineRule="exact"/>
      <w:ind w:firstLine="480" w:firstLineChars="200"/>
    </w:pPr>
    <w:rPr>
      <w:rFonts w:ascii="宋体" w:hAnsi="宋体" w:eastAsia="宋体" w:cs="Times New Roman"/>
      <w:sz w:val="24"/>
    </w:rPr>
  </w:style>
  <w:style w:type="paragraph" w:styleId="11">
    <w:name w:val="toc 5"/>
    <w:basedOn w:val="1"/>
    <w:next w:val="1"/>
    <w:qFormat/>
    <w:uiPriority w:val="0"/>
    <w:pPr>
      <w:ind w:left="1680" w:leftChars="800"/>
    </w:pPr>
    <w:rPr>
      <w:rFonts w:ascii="Times New Roman" w:hAnsi="Times New Roman" w:eastAsia="宋体" w:cs="Times New Roman"/>
    </w:rPr>
  </w:style>
  <w:style w:type="paragraph" w:styleId="12">
    <w:name w:val="toc 3"/>
    <w:basedOn w:val="1"/>
    <w:next w:val="1"/>
    <w:qFormat/>
    <w:uiPriority w:val="0"/>
    <w:pPr>
      <w:ind w:left="840" w:leftChars="400"/>
    </w:pPr>
    <w:rPr>
      <w:rFonts w:ascii="Times New Roman" w:hAnsi="Times New Roman" w:eastAsia="宋体" w:cs="Times New Roman"/>
    </w:rPr>
  </w:style>
  <w:style w:type="paragraph" w:styleId="13">
    <w:name w:val="toc 8"/>
    <w:basedOn w:val="1"/>
    <w:next w:val="1"/>
    <w:qFormat/>
    <w:uiPriority w:val="0"/>
    <w:pPr>
      <w:ind w:left="2940" w:leftChars="1400"/>
    </w:pPr>
    <w:rPr>
      <w:rFonts w:ascii="Times New Roman" w:hAnsi="Times New Roman" w:eastAsia="宋体" w:cs="Times New Roman"/>
    </w:rPr>
  </w:style>
  <w:style w:type="paragraph" w:styleId="14">
    <w:name w:val="Balloon Text"/>
    <w:basedOn w:val="1"/>
    <w:link w:val="36"/>
    <w:qFormat/>
    <w:uiPriority w:val="0"/>
    <w:rPr>
      <w:rFonts w:ascii="Times New Roman" w:hAnsi="Times New Roman" w:eastAsia="宋体" w:cs="Times New Roman"/>
      <w:sz w:val="18"/>
      <w:szCs w:val="18"/>
    </w:rPr>
  </w:style>
  <w:style w:type="paragraph" w:styleId="15">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6">
    <w:name w:val="envelope return"/>
    <w:basedOn w:val="1"/>
    <w:qFormat/>
    <w:uiPriority w:val="0"/>
    <w:pPr>
      <w:snapToGrid w:val="0"/>
    </w:pPr>
    <w:rPr>
      <w:rFonts w:ascii="Arial" w:hAnsi="Arial" w:eastAsia="宋体" w:cs="Times New Roman"/>
    </w:rPr>
  </w:style>
  <w:style w:type="paragraph" w:styleId="1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8">
    <w:name w:val="toc 1"/>
    <w:basedOn w:val="1"/>
    <w:next w:val="1"/>
    <w:qFormat/>
    <w:uiPriority w:val="0"/>
    <w:rPr>
      <w:rFonts w:ascii="Times New Roman" w:hAnsi="Times New Roman" w:eastAsia="宋体" w:cs="Times New Roman"/>
    </w:rPr>
  </w:style>
  <w:style w:type="paragraph" w:styleId="19">
    <w:name w:val="toc 4"/>
    <w:basedOn w:val="1"/>
    <w:next w:val="1"/>
    <w:qFormat/>
    <w:uiPriority w:val="0"/>
    <w:pPr>
      <w:ind w:left="1260" w:leftChars="600"/>
    </w:pPr>
    <w:rPr>
      <w:rFonts w:ascii="Times New Roman" w:hAnsi="Times New Roman" w:eastAsia="宋体" w:cs="Times New Roman"/>
    </w:rPr>
  </w:style>
  <w:style w:type="paragraph" w:styleId="20">
    <w:name w:val="toc 6"/>
    <w:basedOn w:val="1"/>
    <w:next w:val="1"/>
    <w:qFormat/>
    <w:uiPriority w:val="0"/>
    <w:pPr>
      <w:ind w:left="2100" w:leftChars="1000"/>
    </w:pPr>
    <w:rPr>
      <w:rFonts w:ascii="Times New Roman" w:hAnsi="Times New Roman" w:eastAsia="宋体" w:cs="Times New Roman"/>
    </w:rPr>
  </w:style>
  <w:style w:type="paragraph" w:styleId="21">
    <w:name w:val="toc 2"/>
    <w:basedOn w:val="1"/>
    <w:next w:val="1"/>
    <w:qFormat/>
    <w:uiPriority w:val="0"/>
    <w:pPr>
      <w:ind w:left="420" w:leftChars="200"/>
    </w:pPr>
    <w:rPr>
      <w:rFonts w:ascii="Times New Roman" w:hAnsi="Times New Roman" w:eastAsia="宋体" w:cs="Times New Roman"/>
    </w:rPr>
  </w:style>
  <w:style w:type="paragraph" w:styleId="22">
    <w:name w:val="toc 9"/>
    <w:basedOn w:val="1"/>
    <w:next w:val="1"/>
    <w:qFormat/>
    <w:uiPriority w:val="0"/>
    <w:pPr>
      <w:ind w:left="3360" w:leftChars="1600"/>
    </w:pPr>
    <w:rPr>
      <w:rFonts w:ascii="Times New Roman" w:hAnsi="Times New Roman" w:eastAsia="宋体" w:cs="Times New Roman"/>
    </w:rPr>
  </w:style>
  <w:style w:type="paragraph" w:styleId="2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24">
    <w:name w:val="Title"/>
    <w:basedOn w:val="1"/>
    <w:next w:val="1"/>
    <w:qFormat/>
    <w:uiPriority w:val="0"/>
    <w:pPr>
      <w:widowControl/>
      <w:overflowPunct w:val="0"/>
      <w:autoSpaceDE w:val="0"/>
      <w:autoSpaceDN w:val="0"/>
      <w:jc w:val="center"/>
      <w:textAlignment w:val="baseline"/>
    </w:pPr>
    <w:rPr>
      <w:rFonts w:ascii="Times New Roman" w:hAnsi="Times New Roman" w:eastAsia="宋体" w:cs="Times New Roman"/>
      <w:b/>
      <w:kern w:val="0"/>
      <w:sz w:val="24"/>
      <w:szCs w:val="20"/>
      <w:lang w:val="en-GB"/>
    </w:rPr>
  </w:style>
  <w:style w:type="paragraph" w:styleId="25">
    <w:name w:val="annotation subject"/>
    <w:basedOn w:val="7"/>
    <w:next w:val="7"/>
    <w:link w:val="37"/>
    <w:qFormat/>
    <w:uiPriority w:val="0"/>
    <w:rPr>
      <w:rFonts w:ascii="Times New Roman" w:hAnsi="Times New Roman" w:eastAsia="宋体" w:cs="Times New Roman"/>
      <w:b/>
      <w:bCs/>
    </w:rPr>
  </w:style>
  <w:style w:type="paragraph" w:styleId="26">
    <w:name w:val="Body Text First Indent 2"/>
    <w:basedOn w:val="10"/>
    <w:next w:val="1"/>
    <w:qFormat/>
    <w:uiPriority w:val="0"/>
    <w:pPr>
      <w:adjustRightInd/>
      <w:spacing w:after="120" w:line="240" w:lineRule="auto"/>
      <w:ind w:left="420" w:leftChars="200" w:firstLine="210"/>
    </w:pPr>
    <w:rPr>
      <w:rFonts w:ascii="Times New Roman" w:hAnsi="Times New Roman" w:eastAsia="宋体" w:cs="Times New Roman"/>
      <w:sz w:val="21"/>
    </w:rPr>
  </w:style>
  <w:style w:type="table" w:styleId="28">
    <w:name w:val="Table Grid"/>
    <w:basedOn w:val="27"/>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rFonts w:ascii="Times New Roman" w:hAnsi="Times New Roman" w:eastAsia="宋体" w:cs="Times New Roman"/>
      <w:b/>
    </w:rPr>
  </w:style>
  <w:style w:type="character" w:styleId="31">
    <w:name w:val="page number"/>
    <w:qFormat/>
    <w:uiPriority w:val="0"/>
    <w:rPr>
      <w:rFonts w:ascii="Arial" w:hAnsi="Arial" w:eastAsia="黑体" w:cs="Arial"/>
      <w:snapToGrid w:val="0"/>
      <w:kern w:val="0"/>
      <w:szCs w:val="21"/>
    </w:rPr>
  </w:style>
  <w:style w:type="character" w:styleId="32">
    <w:name w:val="Hyperlink"/>
    <w:qFormat/>
    <w:uiPriority w:val="0"/>
    <w:rPr>
      <w:rFonts w:ascii="Arial" w:hAnsi="Arial" w:eastAsia="黑体" w:cs="Arial"/>
      <w:snapToGrid w:val="0"/>
      <w:color w:val="000000"/>
      <w:kern w:val="0"/>
      <w:sz w:val="18"/>
      <w:szCs w:val="18"/>
      <w:u w:val="none"/>
    </w:rPr>
  </w:style>
  <w:style w:type="character" w:styleId="33">
    <w:name w:val="annotation reference"/>
    <w:qFormat/>
    <w:uiPriority w:val="0"/>
    <w:rPr>
      <w:rFonts w:ascii="Times New Roman" w:hAnsi="Times New Roman" w:eastAsia="宋体" w:cs="Times New Roman"/>
      <w:sz w:val="21"/>
      <w:szCs w:val="21"/>
    </w:rPr>
  </w:style>
  <w:style w:type="character" w:customStyle="1" w:styleId="34">
    <w:name w:val="标题 1 字符"/>
    <w:link w:val="3"/>
    <w:qFormat/>
    <w:uiPriority w:val="0"/>
    <w:rPr>
      <w:rFonts w:ascii="Times New Roman" w:hAnsi="Times New Roman" w:eastAsia="宋体" w:cs="Times New Roman"/>
      <w:b/>
      <w:bCs/>
      <w:kern w:val="44"/>
      <w:sz w:val="44"/>
      <w:szCs w:val="44"/>
    </w:rPr>
  </w:style>
  <w:style w:type="character" w:customStyle="1" w:styleId="35">
    <w:name w:val="批注文字 字符"/>
    <w:link w:val="7"/>
    <w:qFormat/>
    <w:uiPriority w:val="0"/>
    <w:rPr>
      <w:rFonts w:ascii="Times New Roman" w:hAnsi="Times New Roman" w:eastAsia="宋体" w:cs="Times New Roman"/>
      <w:kern w:val="2"/>
      <w:sz w:val="21"/>
      <w:szCs w:val="24"/>
    </w:rPr>
  </w:style>
  <w:style w:type="character" w:customStyle="1" w:styleId="36">
    <w:name w:val="批注框文本 字符"/>
    <w:link w:val="14"/>
    <w:qFormat/>
    <w:uiPriority w:val="0"/>
    <w:rPr>
      <w:rFonts w:ascii="Times New Roman" w:hAnsi="Times New Roman" w:eastAsia="宋体" w:cs="Times New Roman"/>
      <w:kern w:val="2"/>
      <w:sz w:val="18"/>
      <w:szCs w:val="18"/>
    </w:rPr>
  </w:style>
  <w:style w:type="character" w:customStyle="1" w:styleId="37">
    <w:name w:val="批注主题 字符"/>
    <w:link w:val="25"/>
    <w:qFormat/>
    <w:uiPriority w:val="0"/>
    <w:rPr>
      <w:rFonts w:ascii="Times New Roman" w:hAnsi="Times New Roman" w:eastAsia="宋体" w:cs="Times New Roman"/>
      <w:b/>
      <w:bCs/>
      <w:kern w:val="2"/>
      <w:sz w:val="21"/>
      <w:szCs w:val="24"/>
    </w:rPr>
  </w:style>
  <w:style w:type="paragraph" w:customStyle="1" w:styleId="3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39">
    <w:name w:val="Default"/>
    <w:next w:val="3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40">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character" w:customStyle="1" w:styleId="41">
    <w:name w:val="无"/>
    <w:qFormat/>
    <w:uiPriority w:val="0"/>
    <w:rPr>
      <w:rFonts w:ascii="Times New Roman" w:hAnsi="Times New Roman" w:eastAsia="Arial Unicode MS" w:cs="Times New Roman"/>
    </w:rPr>
  </w:style>
  <w:style w:type="paragraph" w:customStyle="1" w:styleId="42">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43">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纯文本_0_0"/>
    <w:basedOn w:val="44"/>
    <w:qFormat/>
    <w:uiPriority w:val="0"/>
    <w:rPr>
      <w:rFonts w:ascii="宋体" w:hAnsi="Courier New" w:eastAsia="宋体" w:cs="Times New Roman"/>
      <w:szCs w:val="21"/>
    </w:rPr>
  </w:style>
  <w:style w:type="paragraph" w:customStyle="1" w:styleId="46">
    <w:name w:val="部分1"/>
    <w:basedOn w:val="1"/>
    <w:qFormat/>
    <w:uiPriority w:val="0"/>
    <w:pPr>
      <w:keepNext/>
      <w:pageBreakBefore/>
      <w:tabs>
        <w:tab w:val="left" w:pos="720"/>
      </w:tabs>
      <w:spacing w:line="360" w:lineRule="auto"/>
      <w:jc w:val="center"/>
      <w:outlineLvl w:val="0"/>
    </w:pPr>
    <w:rPr>
      <w:rFonts w:ascii="Times New Roman" w:hAnsi="Times New Roman" w:eastAsia="黑体" w:cs="Times New Roman"/>
      <w:b/>
      <w:kern w:val="44"/>
      <w:sz w:val="36"/>
      <w:szCs w:val="20"/>
    </w:rPr>
  </w:style>
  <w:style w:type="paragraph" w:customStyle="1" w:styleId="47">
    <w:name w:val="纯文本1"/>
    <w:basedOn w:val="1"/>
    <w:qFormat/>
    <w:uiPriority w:val="0"/>
    <w:pPr>
      <w:adjustRightInd/>
    </w:pPr>
    <w:rPr>
      <w:rFonts w:ascii="宋体" w:hAnsi="Courier New" w:eastAsia="宋体" w:cs="Times New Roman"/>
      <w:kern w:val="0"/>
      <w:sz w:val="20"/>
      <w:szCs w:val="20"/>
    </w:rPr>
  </w:style>
  <w:style w:type="paragraph" w:customStyle="1" w:styleId="4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50">
    <w:name w:val="正文1"/>
    <w:basedOn w:val="12"/>
    <w:qFormat/>
    <w:uiPriority w:val="0"/>
    <w:pPr>
      <w:tabs>
        <w:tab w:val="right" w:leader="dot" w:pos="8268"/>
      </w:tabs>
      <w:ind w:left="0" w:leftChars="0" w:firstLine="480" w:firstLineChars="200"/>
    </w:pPr>
    <w:rPr>
      <w:rFonts w:ascii="仿宋_GB2312" w:hAnsi="Courier New" w:eastAsia="仿宋_GB2312" w:cs="Times New Roman"/>
      <w:kern w:val="28"/>
      <w:sz w:val="24"/>
    </w:rPr>
  </w:style>
  <w:style w:type="paragraph" w:customStyle="1" w:styleId="51">
    <w:name w:val="样式 表格正文 + 两端对齐"/>
    <w:basedOn w:val="1"/>
    <w:next w:val="50"/>
    <w:qFormat/>
    <w:uiPriority w:val="0"/>
    <w:pPr>
      <w:spacing w:line="300" w:lineRule="auto"/>
    </w:pPr>
    <w:rPr>
      <w:rFonts w:ascii="Times New Roman" w:hAnsi="Times New Roman" w:eastAsia="宋体" w:cs="Times New Roman"/>
    </w:rPr>
  </w:style>
  <w:style w:type="paragraph" w:customStyle="1" w:styleId="52">
    <w:name w:val="trs_editor"/>
    <w:basedOn w:val="1"/>
    <w:qFormat/>
    <w:uiPriority w:val="0"/>
    <w:pPr>
      <w:widowControl/>
      <w:adjustRightInd/>
      <w:spacing w:before="100" w:beforeAutospacing="1" w:after="100" w:afterAutospacing="1"/>
      <w:jc w:val="left"/>
    </w:pPr>
    <w:rPr>
      <w:rFonts w:ascii="宋体" w:hAnsi="宋体" w:eastAsia="宋体" w:cs="宋体"/>
      <w:kern w:val="0"/>
      <w:sz w:val="24"/>
    </w:rPr>
  </w:style>
  <w:style w:type="paragraph" w:customStyle="1" w:styleId="53">
    <w:name w:val="*正文"/>
    <w:basedOn w:val="1"/>
    <w:qFormat/>
    <w:uiPriority w:val="0"/>
    <w:pPr>
      <w:snapToGrid w:val="0"/>
      <w:spacing w:line="360" w:lineRule="auto"/>
      <w:ind w:firstLine="482"/>
      <w:jc w:val="left"/>
    </w:pPr>
    <w:rPr>
      <w:rFonts w:ascii="宋体" w:hAnsi="宋体" w:eastAsia="宋体" w:cs="Times New Roman"/>
      <w:kern w:val="0"/>
      <w:sz w:val="24"/>
      <w:szCs w:val="20"/>
    </w:rPr>
  </w:style>
  <w:style w:type="character" w:customStyle="1" w:styleId="54">
    <w:name w:val="Hyperlink.3"/>
    <w:qFormat/>
    <w:uiPriority w:val="0"/>
    <w:rPr>
      <w:rFonts w:ascii="宋体" w:hAnsi="宋体" w:eastAsia="Arial Unicode MS" w:cs="Times New Roman"/>
      <w:color w:val="000000"/>
      <w:kern w:val="0"/>
      <w:sz w:val="24"/>
      <w:szCs w:val="24"/>
      <w:u w:val="none" w:color="000000"/>
      <w:lang w:val="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10.png"/><Relationship Id="rId34" Type="http://schemas.openxmlformats.org/officeDocument/2006/relationships/image" Target="media/image9.jpeg"/><Relationship Id="rId33" Type="http://schemas.openxmlformats.org/officeDocument/2006/relationships/image" Target="media/image8.jpeg"/><Relationship Id="rId32" Type="http://schemas.openxmlformats.org/officeDocument/2006/relationships/image" Target="media/image7.jpeg"/><Relationship Id="rId31" Type="http://schemas.openxmlformats.org/officeDocument/2006/relationships/image" Target="media/image6.png"/><Relationship Id="rId30" Type="http://schemas.openxmlformats.org/officeDocument/2006/relationships/image" Target="media/image5.jpeg"/><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jpeg"/><Relationship Id="rId27" Type="http://schemas.openxmlformats.org/officeDocument/2006/relationships/image" Target="media/image2.jpe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11842</Words>
  <Characters>12909</Characters>
  <Lines>309</Lines>
  <Paragraphs>87</Paragraphs>
  <TotalTime>17</TotalTime>
  <ScaleCrop>false</ScaleCrop>
  <LinksUpToDate>false</LinksUpToDate>
  <CharactersWithSpaces>13049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2026-03-25T10:29:00Z</dcterms:created>
  <dc:creator>小猫</dc:creator>
  <cp:lastModifiedBy>fr</cp:lastModifiedBy>
  <dcterms:modified xsi:type="dcterms:W3CDTF">2026-06-06T08:34:09Z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2D4BF8A68D4441ABB80396AA3D048465_13</vt:lpwstr>
  </property>
  <property fmtid="{D5CDD505-2E9C-101B-9397-08002B2CF9AE}" pid="4" name="KSOTemplateDocerSaveRecord">
    <vt:lpwstr>eyJoZGlkIjoiNzljNTVmNDkzZThmN2ZlODM0NDhiNzcxNDdhMWY2ZmUiLCJ1c2VySWQiOiI0NDI0NjEyMzkifQ==</vt:lpwstr>
  </property>
</Properties>
</file>