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量子计算原型教学机和量子通信实验教学系统仪器设备采购</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量子计算原型教学机和量子通信实验教学系统仪器设备采购</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QSZBB250291ZHGK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[2025]66726号、[2025]66727号、[2025]66728号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量子计算原型教学机和量子通信实验教学系统仪器设备采购</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2025年11月6日</w:t>
      </w:r>
      <w:r>
        <w:rPr>
          <w:rFonts w:hint="eastAsia" w:ascii="宋体" w:hAnsi="宋体" w:eastAsia="宋体" w:cs="Times New Roman"/>
          <w:b/>
          <w:color w:val="auto"/>
          <w:szCs w:val="21"/>
          <w:highlight w:val="none"/>
          <w:u w:val="single"/>
        </w:rPr>
        <w:t>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790"/>
      <w:bookmarkStart w:id="1" w:name="_Toc28359079"/>
      <w:bookmarkStart w:id="2" w:name="_Toc35393621"/>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QSZBB250291ZHGK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量子计算原型教学机和量子通信实验教学系统仪器设备采购</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1175000元</w:t>
      </w:r>
    </w:p>
    <w:p w14:paraId="11D1D498">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.最高限价：1175000元</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其中：量子计算原型教学机517000元，量子通信实验教学系统658000元</w:t>
      </w:r>
      <w:r>
        <w:rPr>
          <w:rFonts w:hint="eastAsia" w:ascii="宋体" w:hAnsi="宋体" w:eastAsia="宋体" w:cs="Times New Roman"/>
          <w:color w:val="auto"/>
          <w:szCs w:val="21"/>
          <w:highlight w:val="none"/>
          <w:lang w:eastAsia="zh-CN"/>
        </w:rPr>
        <w:t>）</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自合同签订之日起20个工作日</w:t>
      </w:r>
      <w:bookmarkStart w:id="76" w:name="_GoBack"/>
      <w:bookmarkEnd w:id="76"/>
      <w:r>
        <w:rPr>
          <w:rFonts w:hint="eastAsia" w:ascii="宋体" w:hAnsi="宋体" w:eastAsia="宋体" w:cs="Times New Roman"/>
          <w:color w:val="auto"/>
          <w:szCs w:val="21"/>
          <w:highlight w:val="none"/>
          <w:lang w:val="en-US" w:eastAsia="zh-CN"/>
        </w:rPr>
        <w:t>内交付。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量子计算原型教学机和量子通信实验教学系统仪器设备采购</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14:paraId="0D505C25">
      <w:pPr>
        <w:adjustRightInd w:val="0"/>
        <w:snapToGrid w:val="0"/>
        <w:spacing w:line="288" w:lineRule="auto"/>
        <w:rPr>
          <w:rFonts w:ascii="宋体" w:hAnsi="宋体" w:eastAsia="宋体" w:cs="宋体"/>
          <w:b/>
          <w:color w:val="auto"/>
          <w:szCs w:val="21"/>
          <w:highlight w:val="none"/>
        </w:rPr>
      </w:pPr>
      <w:bookmarkStart w:id="5" w:name="_Toc28359003"/>
      <w:bookmarkStart w:id="6" w:name="_Toc35393622"/>
      <w:bookmarkStart w:id="7" w:name="_Toc35393791"/>
      <w:bookmarkStart w:id="8" w:name="_Toc28359080"/>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13</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2025年11月6日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2025年11月6日</w:t>
      </w:r>
      <w:r>
        <w:rPr>
          <w:rFonts w:hint="eastAsia" w:ascii="宋体" w:hAnsi="宋体" w:eastAsia="宋体" w:cs="Times New Roman"/>
          <w:bCs/>
          <w:color w:val="auto"/>
          <w:szCs w:val="21"/>
          <w:highlight w:val="none"/>
        </w:rPr>
        <w:t>9:00:00（北京时间）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2025年11月6日</w:t>
      </w:r>
      <w:r>
        <w:rPr>
          <w:rFonts w:hint="eastAsia" w:ascii="宋体" w:hAnsi="宋体" w:eastAsia="宋体" w:cs="Times New Roman"/>
          <w:bCs/>
          <w:color w:val="auto"/>
          <w:szCs w:val="21"/>
          <w:highlight w:val="none"/>
        </w:rPr>
        <w:t>9:00:00（北京时间）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/杭州市西湖区玉古路173号中田大厦21楼（求是招标会议室1）</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07"/>
      <w:bookmarkStart w:id="20" w:name="_Toc28359084"/>
      <w:bookmarkStart w:id="21" w:name="_Toc35393794"/>
      <w:bookmarkStart w:id="22" w:name="_Toc35393625"/>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627"/>
      <w:bookmarkStart w:id="30" w:name="_Toc28359008"/>
      <w:bookmarkStart w:id="31" w:name="_Toc28359085"/>
      <w:bookmarkStart w:id="32" w:name="_Toc35393796"/>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0DD2A55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项目联系人（询问）：李老师</w:t>
      </w:r>
    </w:p>
    <w:p w14:paraId="32E80010">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项目联系方式（询问）：0571-86873886</w:t>
      </w:r>
    </w:p>
    <w:p w14:paraId="209040C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01C5F21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2BDFC67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6B0C6D75">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联系人：匡老师</w:t>
      </w:r>
    </w:p>
    <w:p w14:paraId="4D7CAC43">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监督投诉电话：0571-87807798</w:t>
      </w:r>
    </w:p>
    <w:p w14:paraId="6555F44C">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599CCC13">
            <w:pPr>
              <w:adjustRightInd w:val="0"/>
              <w:snapToGrid w:val="0"/>
              <w:spacing w:line="288" w:lineRule="auto"/>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3AC9518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w:t>
            </w:r>
          </w:p>
          <w:p w14:paraId="6A61382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w:t>
            </w:r>
          </w:p>
          <w:p w14:paraId="3A5A8805">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3.在签订合同时，供应商明确表示无需预付款或者主动要求降低预付款比例的，可降低预付款比例（预付款保函同步调整）。</w:t>
            </w:r>
          </w:p>
          <w:p w14:paraId="138609F3">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4.若供应商收取预付款，要求预付款保函有效期覆盖项目验收合格时间；提供了预付款保函则供应商无需再缴纳履约保证金。</w:t>
            </w:r>
          </w:p>
          <w:p w14:paraId="63D1CFF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5.签订合同时中标人明确表示无需预付款的，可以采用以下付款方式：</w:t>
            </w:r>
          </w:p>
          <w:p w14:paraId="0513036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0CACFF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②货到一次性支付：全部货物送达安装调试完毕，经采购人验收合格，收到发票后10个工作日内，采购人向中标人支付全部合同价款。</w:t>
            </w:r>
          </w:p>
          <w:p w14:paraId="770A510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134B41B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自合同签订之日起</w:t>
            </w:r>
            <w:r>
              <w:rPr>
                <w:rFonts w:hint="eastAsia" w:ascii="宋体" w:hAnsi="宋体" w:eastAsia="宋体" w:cs="宋体"/>
                <w:color w:val="auto"/>
                <w:szCs w:val="21"/>
                <w:highlight w:val="none"/>
                <w:lang w:val="en-US" w:eastAsia="zh-CN"/>
              </w:rPr>
              <w:t>20个工作</w:t>
            </w:r>
            <w:r>
              <w:rPr>
                <w:rFonts w:hint="eastAsia" w:ascii="宋体" w:hAnsi="宋体" w:eastAsia="宋体" w:cs="宋体"/>
                <w:color w:val="auto"/>
                <w:szCs w:val="21"/>
                <w:highlight w:val="none"/>
              </w:rPr>
              <w:t>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远程技术支持：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应具有稳定的技术支持队伍和完善的服务支持网络，提供7×24小时技术支持服务，及时响应</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的技术服务支持需求，提出有效的解决方案，解决</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在货物使用过程中遇到的实际问题。</w:t>
            </w:r>
          </w:p>
          <w:p w14:paraId="69B52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如在使用过程中发生质量问题，供应商维修响应时间：1小时以内；</w:t>
            </w:r>
          </w:p>
          <w:p w14:paraId="02E37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344AF96C">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12小时内派遣相关人员赶赴现场，24小时内维修完毕；发生紧急抢修事故的，供应商应在接到采购人通知后4小时内到达现场抢修，并于到达现场8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highlight w:val="none"/>
                <w:u w:val="single"/>
              </w:rPr>
              <w:t>；</w:t>
            </w:r>
          </w:p>
          <w:p w14:paraId="379AE75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6.安装完成24小时内完成单机自检，并提交《安装报告》签字。</w:t>
            </w:r>
          </w:p>
          <w:p w14:paraId="453E65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lang w:val="en-US" w:eastAsia="zh-CN"/>
              </w:rPr>
              <w:t>7.供应商应提供详细的</w:t>
            </w:r>
            <w:r>
              <w:rPr>
                <w:rFonts w:hint="eastAsia" w:ascii="宋体" w:hAnsi="宋体" w:eastAsia="宋体" w:cs="宋体"/>
                <w:color w:val="auto"/>
                <w:szCs w:val="21"/>
                <w:highlight w:val="none"/>
              </w:rPr>
              <w:t>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供应商应按招标文件规定向采购人提供全新</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原装合格产品，</w:t>
            </w:r>
            <w:r>
              <w:rPr>
                <w:rFonts w:hint="eastAsia" w:ascii="宋体" w:hAnsi="宋体" w:eastAsia="宋体" w:cs="宋体"/>
                <w:color w:val="auto"/>
                <w:szCs w:val="21"/>
                <w:highlight w:val="none"/>
                <w:lang w:val="en-US" w:eastAsia="zh-CN"/>
              </w:rPr>
              <w:t>产品应</w:t>
            </w:r>
            <w:r>
              <w:rPr>
                <w:rFonts w:hint="eastAsia" w:ascii="宋体" w:hAnsi="宋体" w:eastAsia="宋体" w:cs="宋体"/>
                <w:color w:val="auto"/>
                <w:szCs w:val="21"/>
                <w:highlight w:val="none"/>
              </w:rPr>
              <w:t>符合国家法律法规规定。</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供应商应</w:t>
            </w:r>
            <w:r>
              <w:rPr>
                <w:rFonts w:hint="eastAsia" w:ascii="宋体" w:hAnsi="宋体" w:eastAsia="宋体" w:cs="宋体"/>
                <w:color w:val="auto"/>
                <w:szCs w:val="21"/>
                <w:highlight w:val="none"/>
              </w:rPr>
              <w:t>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w:t>
            </w:r>
            <w:r>
              <w:rPr>
                <w:rFonts w:hint="eastAsia" w:ascii="宋体" w:hAnsi="宋体" w:eastAsia="宋体" w:cs="宋体"/>
                <w:color w:val="auto"/>
                <w:szCs w:val="21"/>
                <w:highlight w:val="none"/>
                <w:lang w:val="en-US" w:eastAsia="zh-CN"/>
              </w:rPr>
              <w:t>和安装调试方案</w:t>
            </w:r>
            <w:r>
              <w:rPr>
                <w:rFonts w:hint="eastAsia" w:ascii="宋体" w:hAnsi="宋体" w:eastAsia="宋体" w:cs="宋体"/>
                <w:color w:val="auto"/>
                <w:szCs w:val="21"/>
                <w:highlight w:val="none"/>
              </w:rPr>
              <w:t>。</w:t>
            </w:r>
          </w:p>
          <w:p w14:paraId="48874C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.技术支持：</w:t>
            </w:r>
          </w:p>
          <w:p w14:paraId="4560E7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.供应商应提供质保期满后主要零部件报价单、质保期满后维护费、软件升级及其相关服务内容；</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产品相关配件、附件、备品备件及耗材的准备和保障措施、消耗水平和成本</w:t>
            </w:r>
            <w:r>
              <w:rPr>
                <w:rFonts w:hint="eastAsia" w:ascii="宋体" w:hAnsi="宋体" w:eastAsia="宋体" w:cs="宋体"/>
                <w:color w:val="auto"/>
                <w:szCs w:val="21"/>
                <w:highlight w:val="none"/>
                <w:lang w:val="en-US" w:eastAsia="zh-CN"/>
              </w:rPr>
              <w:t>方案</w:t>
            </w:r>
            <w:r>
              <w:rPr>
                <w:rFonts w:hint="eastAsia" w:ascii="宋体" w:hAnsi="宋体" w:eastAsia="宋体" w:cs="宋体"/>
                <w:color w:val="auto"/>
                <w:szCs w:val="21"/>
                <w:highlight w:val="none"/>
              </w:rPr>
              <w:t>。</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2.培训</w:t>
            </w:r>
            <w:r>
              <w:rPr>
                <w:rFonts w:hint="eastAsia" w:ascii="宋体" w:hAnsi="宋体" w:eastAsia="宋体" w:cs="宋体"/>
                <w:color w:val="auto"/>
                <w:szCs w:val="21"/>
                <w:highlight w:val="none"/>
              </w:rPr>
              <w:t>实现方式、时间、地点、人数应在投标文件中详细说明</w:t>
            </w:r>
            <w:r>
              <w:rPr>
                <w:rFonts w:hint="eastAsia" w:ascii="宋体" w:hAnsi="宋体" w:eastAsia="宋体" w:cs="宋体"/>
                <w:color w:val="auto"/>
                <w:szCs w:val="21"/>
                <w:highlight w:val="none"/>
                <w:lang w:eastAsia="zh-CN"/>
              </w:rPr>
              <w:t>；</w:t>
            </w:r>
          </w:p>
          <w:p w14:paraId="6BD745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供应商应提供相应的培训计划、培训范围，实施方案</w:t>
            </w:r>
            <w:r>
              <w:rPr>
                <w:rFonts w:hint="eastAsia" w:ascii="宋体" w:hAnsi="宋体" w:eastAsia="宋体" w:cs="宋体"/>
                <w:color w:val="auto"/>
                <w:szCs w:val="21"/>
                <w:highlight w:val="none"/>
                <w:lang w:eastAsia="zh-CN"/>
              </w:rPr>
              <w:t>；</w:t>
            </w:r>
          </w:p>
          <w:p w14:paraId="3D36B1A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4.每场现场培训不少于4小时，覆盖开关机、校准、日常维护、故障报警，提供中文操作手册纸质2套+PDF文件1份。</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14:paraId="190978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119E3A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2A04049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1EBC289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3C959A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46C6C0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3C65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1DFD823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32DEFB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14:paraId="5103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14:paraId="7F978AE1">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满足量子计算原型教学机、量子通信实验教学系统的使用需求。</w:t>
      </w:r>
    </w:p>
    <w:p w14:paraId="052E21C8">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10" w:type="dxa"/>
            <w:vAlign w:val="center"/>
          </w:tcPr>
          <w:p w14:paraId="3B9DB4B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1" w:type="dxa"/>
            <w:vAlign w:val="center"/>
          </w:tcPr>
          <w:p w14:paraId="601BB2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61" w:type="dxa"/>
            <w:vAlign w:val="center"/>
          </w:tcPr>
          <w:p w14:paraId="302F457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6269" w:type="dxa"/>
            <w:vAlign w:val="center"/>
          </w:tcPr>
          <w:p w14:paraId="7F7ED6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1810" w:type="dxa"/>
            <w:vAlign w:val="center"/>
          </w:tcPr>
          <w:p w14:paraId="2F9DD2F4">
            <w:pPr>
              <w:adjustRightInd w:val="0"/>
              <w:snapToGrid w:val="0"/>
              <w:spacing w:line="288" w:lineRule="auto"/>
              <w:jc w:val="center"/>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量子计算原型教学机</w:t>
            </w:r>
          </w:p>
        </w:tc>
        <w:tc>
          <w:tcPr>
            <w:tcW w:w="661" w:type="dxa"/>
            <w:vAlign w:val="center"/>
          </w:tcPr>
          <w:p w14:paraId="77DC8DC0">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14:paraId="66A5AD68">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14:paraId="6F414C5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光源亮度参数：</w:t>
            </w:r>
          </w:p>
          <w:p w14:paraId="0B31DA1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单路光子亮度：≥80000cps；</w:t>
            </w:r>
          </w:p>
          <w:p w14:paraId="2C74A10B">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关联光子对：≥8000cps；</w:t>
            </w:r>
          </w:p>
          <w:p w14:paraId="21F0F7D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单光子探测器参数：</w:t>
            </w:r>
          </w:p>
          <w:p w14:paraId="4FD19AB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探测器暗计数：≤500cps；</w:t>
            </w:r>
          </w:p>
          <w:p w14:paraId="105844A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探测效率@810nm：≥65%；</w:t>
            </w:r>
          </w:p>
          <w:p w14:paraId="13E425A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死时间≤100ns；</w:t>
            </w:r>
          </w:p>
          <w:p w14:paraId="7466BCE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最大计数率6MHz。</w:t>
            </w:r>
          </w:p>
          <w:p w14:paraId="1BEEFCB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泵浦光参数：</w:t>
            </w:r>
          </w:p>
          <w:p w14:paraId="57E9038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中心波长：405±1nm；</w:t>
            </w:r>
          </w:p>
          <w:p w14:paraId="7CF8C77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出光功率：≥30 mW；</w:t>
            </w:r>
          </w:p>
          <w:p w14:paraId="4413A5C1">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可调偏振方向：垂直偏振；</w:t>
            </w:r>
          </w:p>
          <w:p w14:paraId="1A8551F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线宽：≤2nm；</w:t>
            </w:r>
          </w:p>
          <w:p w14:paraId="24BFA2E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BBO晶体参数：Type II，theta=41.9°</w:t>
            </w:r>
            <w:r>
              <w:rPr>
                <w:rFonts w:hint="eastAsia" w:ascii="宋体" w:hAnsi="宋体" w:eastAsia="宋体" w:cs="宋体"/>
                <w:color w:val="auto"/>
                <w:szCs w:val="21"/>
                <w:highlight w:val="none"/>
                <w:lang w:val="en-US" w:eastAsia="zh-CN"/>
              </w:rPr>
              <w:t>；</w:t>
            </w:r>
          </w:p>
          <w:p w14:paraId="742381B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符合计数系统：</w:t>
            </w:r>
          </w:p>
          <w:p w14:paraId="30A5FD6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符合通道数：2个；</w:t>
            </w:r>
          </w:p>
          <w:p w14:paraId="307D63F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符合门宽：8ns；</w:t>
            </w:r>
          </w:p>
          <w:p w14:paraId="6C7D545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干涉对比度：1：3～1：5；</w:t>
            </w:r>
          </w:p>
          <w:p w14:paraId="58DDDA51">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态转化效率：≥45%；</w:t>
            </w:r>
          </w:p>
          <w:p w14:paraId="65F9E25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软件功能：计数显示、符合计数、数据采集与保存、实验选择、演示视频；</w:t>
            </w:r>
          </w:p>
          <w:p w14:paraId="206184F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可支持实验：</w:t>
            </w:r>
          </w:p>
          <w:p w14:paraId="7EFACB8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9.1光路的搭建与调节；</w:t>
            </w:r>
          </w:p>
          <w:p w14:paraId="553E37A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9.2极化关联光子对制备；</w:t>
            </w:r>
          </w:p>
          <w:p w14:paraId="618FB32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9.3单比特量子逻辑门实验；</w:t>
            </w:r>
          </w:p>
          <w:p w14:paraId="7A6A801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9.4两比特量子逻辑门实验；</w:t>
            </w:r>
          </w:p>
          <w:p w14:paraId="79F8787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9.5 D-J算法演示实验；</w:t>
            </w:r>
          </w:p>
          <w:p w14:paraId="43AEBE5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量子计算虚拟仿真实验平台：</w:t>
            </w:r>
          </w:p>
          <w:p w14:paraId="7094B58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量子纠缠实验：</w:t>
            </w:r>
          </w:p>
          <w:p w14:paraId="569E042C">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）光路的搭建与调节；</w:t>
            </w:r>
          </w:p>
          <w:p w14:paraId="13AEF9B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）偏振极化纠缠光子对制备；</w:t>
            </w:r>
          </w:p>
          <w:p w14:paraId="453E0C9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）纠缠光子极化关联曲线；</w:t>
            </w:r>
          </w:p>
          <w:p w14:paraId="3E533CD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）计算纠缠态保真度；</w:t>
            </w:r>
          </w:p>
          <w:p w14:paraId="4CD554B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）验证贝尔不等式违背；</w:t>
            </w:r>
          </w:p>
          <w:p w14:paraId="554275A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单光子干涉实验</w:t>
            </w:r>
          </w:p>
          <w:p w14:paraId="545B080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）单光子源的制备；</w:t>
            </w:r>
          </w:p>
          <w:p w14:paraId="05E9B5B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）单光子干涉调节；</w:t>
            </w:r>
          </w:p>
          <w:p w14:paraId="6181787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）绘制单光子干涉统计图；</w:t>
            </w:r>
          </w:p>
          <w:p w14:paraId="04D4ADA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双光子干涉实验</w:t>
            </w:r>
          </w:p>
          <w:p w14:paraId="603339D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）光路的搭建与调节；</w:t>
            </w:r>
          </w:p>
          <w:p w14:paraId="7A9007B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）双光子干涉实验；</w:t>
            </w:r>
          </w:p>
          <w:p w14:paraId="2719D291">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量子计算实验：</w:t>
            </w:r>
          </w:p>
          <w:p w14:paraId="4BF48CF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）光路的搭建与调节；</w:t>
            </w:r>
          </w:p>
          <w:p w14:paraId="1667A22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）极化关联光子对制备；</w:t>
            </w:r>
          </w:p>
          <w:p w14:paraId="5E84619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）单比特量子逻辑门实验；</w:t>
            </w:r>
          </w:p>
          <w:p w14:paraId="07C79A2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）两比特量子逻辑门实验；</w:t>
            </w:r>
          </w:p>
          <w:p w14:paraId="08E2893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）Deutsch-Jozsa算法演示实验。</w:t>
            </w:r>
          </w:p>
        </w:tc>
      </w:tr>
      <w:tr w14:paraId="553D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F006D6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1810" w:type="dxa"/>
            <w:vAlign w:val="center"/>
          </w:tcPr>
          <w:p w14:paraId="21C787A8">
            <w:pPr>
              <w:adjustRightInd w:val="0"/>
              <w:snapToGrid w:val="0"/>
              <w:spacing w:line="288" w:lineRule="auto"/>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量子通信实验教学系统</w:t>
            </w:r>
          </w:p>
          <w:p w14:paraId="38CC1B67">
            <w:pPr>
              <w:adjustRightInd w:val="0"/>
              <w:snapToGrid w:val="0"/>
              <w:spacing w:line="288" w:lineRule="auto"/>
              <w:jc w:val="center"/>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（核心产品）</w:t>
            </w:r>
          </w:p>
        </w:tc>
        <w:tc>
          <w:tcPr>
            <w:tcW w:w="661" w:type="dxa"/>
            <w:vAlign w:val="center"/>
          </w:tcPr>
          <w:p w14:paraId="14E34F50">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14:paraId="3D057C6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套</w:t>
            </w:r>
          </w:p>
        </w:tc>
        <w:tc>
          <w:tcPr>
            <w:tcW w:w="6269" w:type="dxa"/>
            <w:vAlign w:val="center"/>
          </w:tcPr>
          <w:p w14:paraId="47BC789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激光器参数：</w:t>
            </w:r>
          </w:p>
          <w:p w14:paraId="7833A5F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中心波长：405±1nm；</w:t>
            </w:r>
          </w:p>
          <w:p w14:paraId="5A7A5D1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出光功率：0-100mW；</w:t>
            </w:r>
          </w:p>
          <w:p w14:paraId="171B0F3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偏振方向：垂直偏振；</w:t>
            </w:r>
          </w:p>
          <w:p w14:paraId="057D191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偏振比：垂直方向 ≥100:1；</w:t>
            </w:r>
          </w:p>
          <w:p w14:paraId="750987D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线宽：≤1nm；</w:t>
            </w:r>
          </w:p>
          <w:p w14:paraId="621FD16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1.6</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功率稳定性（RMS，4小时）：≤1%；</w:t>
            </w:r>
          </w:p>
          <w:p w14:paraId="1DD7ABE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发散角：≤0.5mrad；</w:t>
            </w:r>
          </w:p>
          <w:p w14:paraId="206B1D1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1.8</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束腰直径：≤2mm；</w:t>
            </w:r>
          </w:p>
          <w:p w14:paraId="0F7AFA9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纠缠源参数：</w:t>
            </w:r>
          </w:p>
          <w:p w14:paraId="174D5E7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纠缠源波长：810±2nm；</w:t>
            </w:r>
          </w:p>
          <w:p w14:paraId="2B74739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单路光子亮度：≥100000cps；</w:t>
            </w:r>
          </w:p>
          <w:p w14:paraId="1377979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符合光子数：≥10000 cps；</w:t>
            </w:r>
          </w:p>
          <w:p w14:paraId="3A727CA1">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纠缠光子亮度：≥5000cps；</w:t>
            </w:r>
          </w:p>
          <w:p w14:paraId="332B2EB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光源对比参数：</w:t>
            </w:r>
          </w:p>
          <w:p w14:paraId="2AA93D8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▲3.1 H,V偏振对比度：≥20:1；</w:t>
            </w:r>
          </w:p>
          <w:p w14:paraId="53E0D52B">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▲3.2 +，-偏振对比度：≥7:1；</w:t>
            </w:r>
          </w:p>
          <w:p w14:paraId="43188E4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贝尔不等式违背：S≥2.4；</w:t>
            </w:r>
          </w:p>
          <w:p w14:paraId="5974E18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隐形传态系统可分辨传送量子态：H、V、P、N态；</w:t>
            </w:r>
          </w:p>
          <w:p w14:paraId="067F163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准直器参数：</w:t>
            </w:r>
          </w:p>
          <w:p w14:paraId="7878CE61">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工作范围：600 - 1100 nm；</w:t>
            </w:r>
          </w:p>
          <w:p w14:paraId="2016CD9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镜头类型：非球面镜；</w:t>
            </w:r>
          </w:p>
          <w:p w14:paraId="06EAAE8B">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通光孔径：5.5 mm；</w:t>
            </w:r>
          </w:p>
          <w:p w14:paraId="0CB013B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连接器类型：FC-PC；</w:t>
            </w:r>
          </w:p>
          <w:p w14:paraId="062FAB1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单光子探测器参数：</w:t>
            </w:r>
          </w:p>
          <w:p w14:paraId="04D1086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响应波长：400-1100mm；</w:t>
            </w:r>
          </w:p>
          <w:p w14:paraId="5B143D5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探测效率 ≥65%@810mm；</w:t>
            </w:r>
          </w:p>
          <w:p w14:paraId="5B074B8C">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暗计数：≤500cps；</w:t>
            </w:r>
          </w:p>
          <w:p w14:paraId="72A0A40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死时间≤100ns；</w:t>
            </w:r>
          </w:p>
          <w:p w14:paraId="6141A2F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密钥分发参数：</w:t>
            </w:r>
          </w:p>
          <w:p w14:paraId="47D1F35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编码方式：偏振编码；</w:t>
            </w:r>
          </w:p>
          <w:p w14:paraId="66DA08B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光源中心波长1550nm；</w:t>
            </w:r>
          </w:p>
          <w:p w14:paraId="451D400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工作频率：100kHz；</w:t>
            </w:r>
          </w:p>
          <w:p w14:paraId="41A98DC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探测效率：10%~30%可调；</w:t>
            </w:r>
          </w:p>
          <w:p w14:paraId="66DFF9C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误码率：＜3%；</w:t>
            </w:r>
          </w:p>
          <w:p w14:paraId="24D4B09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8.6</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光纤接口：FC/PC；</w:t>
            </w:r>
          </w:p>
          <w:p w14:paraId="3286E5B1">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供电类型：12V DC；</w:t>
            </w:r>
          </w:p>
          <w:p w14:paraId="7A3EAC8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软件功能：具有实时计数、数据采集和记录、末态数据保存、探测器计数，光功率显示，状态显示和控制，通信接口控制，功能控制和展示，核心参数设置，实验数据保存等功能；</w:t>
            </w:r>
          </w:p>
          <w:p w14:paraId="0BF807D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可支持实验：</w:t>
            </w:r>
          </w:p>
          <w:p w14:paraId="61AEA87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光路的搭建与调节；</w:t>
            </w:r>
          </w:p>
          <w:p w14:paraId="2028BB9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纠缠源制备；</w:t>
            </w:r>
          </w:p>
          <w:p w14:paraId="0DBB1DD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贝尔态探测；</w:t>
            </w:r>
          </w:p>
          <w:p w14:paraId="59F30B2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量子隐形传态实验；</w:t>
            </w:r>
          </w:p>
          <w:p w14:paraId="55D5D7C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偏振制备和检测实验；</w:t>
            </w:r>
          </w:p>
          <w:p w14:paraId="6C43B02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数据后处理实验；</w:t>
            </w:r>
          </w:p>
          <w:p w14:paraId="054BA4AB">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10.8</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密钥分发实验；</w:t>
            </w:r>
          </w:p>
          <w:p w14:paraId="383679F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10.9加解密实验。</w:t>
            </w:r>
          </w:p>
        </w:tc>
      </w:tr>
    </w:tbl>
    <w:p w14:paraId="2C639540">
      <w:pPr>
        <w:adjustRightInd w:val="0"/>
        <w:snapToGrid w:val="0"/>
        <w:spacing w:line="288" w:lineRule="auto"/>
        <w:rPr>
          <w:rFonts w:ascii="宋体" w:hAnsi="宋体" w:eastAsia="宋体" w:cs="Times New Roman"/>
          <w:b/>
          <w:bCs/>
          <w:color w:val="auto"/>
          <w:szCs w:val="21"/>
          <w:highlight w:val="none"/>
        </w:rPr>
      </w:pPr>
    </w:p>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杭州电子科技大学量子计算原型教学机和量子通信实验教学系统仪器设备采购</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ascii="宋体" w:hAnsi="宋体" w:eastAsia="宋体"/>
                <w:color w:val="auto"/>
                <w:szCs w:val="21"/>
                <w:highlight w:val="none"/>
              </w:rPr>
              <w:t>，须提供</w:t>
            </w:r>
            <w:r>
              <w:rPr>
                <w:rFonts w:ascii="宋体" w:hAnsi="宋体" w:eastAsia="宋体"/>
                <w:bCs/>
                <w:color w:val="auto"/>
                <w:szCs w:val="21"/>
                <w:highlight w:val="none"/>
              </w:rPr>
              <w:t>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2025年1月（含）</w:t>
            </w:r>
            <w:r>
              <w:rPr>
                <w:rFonts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1073C959">
            <w:pPr>
              <w:adjustRightInd w:val="0"/>
              <w:snapToGrid w:val="0"/>
              <w:spacing w:line="288" w:lineRule="auto"/>
              <w:rPr>
                <w:rFonts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63817493">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ascii="宋体" w:hAnsi="宋体" w:eastAsia="宋体"/>
                <w:color w:val="auto"/>
                <w:szCs w:val="21"/>
                <w:highlight w:val="none"/>
              </w:rPr>
              <w:t>证明材料</w:t>
            </w:r>
            <w:r>
              <w:rPr>
                <w:rFonts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adjustRightInd w:val="0"/>
              <w:snapToGrid w:val="0"/>
              <w:spacing w:line="288" w:lineRule="auto"/>
              <w:rPr>
                <w:rFonts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5FB1C9B5">
            <w:pPr>
              <w:adjustRightInd w:val="0"/>
              <w:snapToGrid w:val="0"/>
              <w:spacing w:line="288"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3"/>
              <w:adjustRightInd w:val="0"/>
              <w:snapToGrid w:val="0"/>
              <w:spacing w:before="0" w:beforeLines="0" w:after="0" w:afterLines="0" w:line="288" w:lineRule="auto"/>
              <w:jc w:val="left"/>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14:paraId="75D18B7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杭州电子科技大学量子计算原型教学机和量子通信实验教学系统仪器设备采购</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5A973184">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9E3587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3875F7BB">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招标文件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15D04C3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4501DE1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49FA18C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招标文件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，供应商相应的投标产品须提供国家确定的认证机构出具的、处于有效期之内的节能产品认证证书。</w:t>
      </w:r>
    </w:p>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5D9D45AB">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75E2E1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07F047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4B4764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5B139B56">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技术条款低于技术要求（负偏离）的每项扣3分；</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10项</w:t>
            </w:r>
            <w:r>
              <w:rPr>
                <w:rFonts w:hint="eastAsia" w:ascii="宋体" w:hAnsi="宋体" w:eastAsia="宋体" w:cs="宋体"/>
                <w:color w:val="auto"/>
                <w:szCs w:val="21"/>
                <w:highlight w:val="none"/>
              </w:rPr>
              <w:t>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76D481BB">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032DC66C">
      <w:pPr>
        <w:spacing w:line="288" w:lineRule="auto"/>
        <w:ind w:firstLine="562" w:firstLineChars="20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w:t>
      </w:r>
    </w:p>
    <w:p w14:paraId="4A715020">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w:t>
      </w:r>
    </w:p>
    <w:p w14:paraId="35211B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采购代理机构（鉴证方）：</w:t>
      </w:r>
      <w:r>
        <w:rPr>
          <w:rFonts w:hint="eastAsia" w:ascii="宋体" w:hAnsi="宋体" w:eastAsia="宋体" w:cs="宋体"/>
          <w:color w:val="auto"/>
          <w:kern w:val="0"/>
          <w:szCs w:val="21"/>
          <w:highlight w:val="none"/>
        </w:rPr>
        <w:t xml:space="preserve">             </w:t>
      </w:r>
    </w:p>
    <w:p w14:paraId="5868DAB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为了保护甲乙双方合法权益，根据项目</w:t>
      </w:r>
      <w:r>
        <w:rPr>
          <w:rFonts w:hint="eastAsia" w:ascii="宋体" w:hAnsi="宋体" w:eastAsia="宋体" w:cs="宋体"/>
          <w:color w:val="auto"/>
          <w:kern w:val="0"/>
          <w:szCs w:val="21"/>
          <w:highlight w:val="none"/>
          <w:u w:val="single"/>
          <w:lang w:eastAsia="zh-CN"/>
        </w:rPr>
        <w:t>量子计算原型教学机和量子通信实验教学系统仪器设备采购</w:t>
      </w:r>
      <w:r>
        <w:rPr>
          <w:rFonts w:hint="eastAsia" w:ascii="宋体" w:hAnsi="宋体" w:eastAsia="宋体" w:cs="宋体"/>
          <w:color w:val="auto"/>
          <w:kern w:val="0"/>
          <w:szCs w:val="21"/>
          <w:highlight w:val="none"/>
        </w:rPr>
        <w:t>（项目编号</w:t>
      </w:r>
      <w:r>
        <w:rPr>
          <w:rFonts w:hint="eastAsia" w:ascii="宋体" w:hAnsi="宋体" w:eastAsia="宋体" w:cs="宋体"/>
          <w:color w:val="auto"/>
          <w:kern w:val="0"/>
          <w:szCs w:val="21"/>
          <w:highlight w:val="none"/>
          <w:u w:val="single"/>
          <w:lang w:val="en-US" w:eastAsia="zh-CN"/>
        </w:rPr>
        <w:t>QSZBB250291ZHGK</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公开招标</w:t>
      </w:r>
      <w:r>
        <w:rPr>
          <w:rFonts w:hint="eastAsia" w:ascii="宋体" w:hAnsi="宋体" w:eastAsia="宋体" w:cs="宋体"/>
          <w:color w:val="auto"/>
          <w:kern w:val="0"/>
          <w:szCs w:val="21"/>
          <w:highlight w:val="none"/>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二、供货范围</w:t>
      </w:r>
    </w:p>
    <w:p w14:paraId="190FD9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质保期：自验收合格之日起，整机质保期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年，其中</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（配件名称）质保</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2.履约保证金（如无则删除本条款）</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合同总金额的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spacing w:val="-6"/>
          <w:kern w:val="0"/>
          <w:szCs w:val="21"/>
          <w:highlight w:val="none"/>
        </w:rPr>
        <w:t>1</w:t>
      </w:r>
      <w:r>
        <w:rPr>
          <w:rFonts w:hint="eastAsia" w:ascii="宋体" w:hAnsi="宋体" w:eastAsia="宋体" w:cs="宋体"/>
          <w:color w:val="auto"/>
          <w:kern w:val="0"/>
          <w:szCs w:val="21"/>
          <w:highlight w:val="none"/>
        </w:rPr>
        <w:t>）预付款方式：</w:t>
      </w:r>
    </w:p>
    <w:p w14:paraId="5EC8E5AA">
      <w:pPr>
        <w:spacing w:line="288"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bookmarkStart w:id="55" w:name="OLE_LINK9"/>
      <w:bookmarkStart w:id="56" w:name="OLE_LINK8"/>
      <w:bookmarkStart w:id="57" w:name="OLE_LINK10"/>
      <w:bookmarkStart w:id="58" w:name="OLE_LINK7"/>
      <w:r>
        <w:rPr>
          <w:rFonts w:hint="eastAsia" w:ascii="宋体" w:hAnsi="宋体" w:eastAsia="宋体" w:cs="宋体"/>
          <w:sz w:val="21"/>
          <w:szCs w:val="21"/>
        </w:rPr>
        <w:t>根据</w:t>
      </w:r>
      <w:bookmarkStart w:id="59" w:name="OLE_LINK5"/>
      <w:bookmarkStart w:id="60" w:name="OLE_LINK6"/>
      <w:r>
        <w:rPr>
          <w:rFonts w:hint="eastAsia" w:ascii="宋体" w:hAnsi="宋体" w:eastAsia="宋体" w:cs="宋体"/>
          <w:sz w:val="21"/>
          <w:szCs w:val="21"/>
        </w:rPr>
        <w:t>《浙江省财政厅关于进一步发挥政府采购政策功能全力推动经济稳进提质的通知》</w:t>
      </w:r>
      <w:bookmarkEnd w:id="59"/>
      <w:bookmarkEnd w:id="60"/>
      <w:r>
        <w:rPr>
          <w:rFonts w:hint="eastAsia" w:ascii="宋体" w:hAnsi="宋体" w:eastAsia="宋体" w:cs="宋体"/>
          <w:sz w:val="21"/>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kern w:val="0"/>
          <w:sz w:val="21"/>
          <w:szCs w:val="21"/>
        </w:rPr>
        <w:t>）；货物在乙方安装调试完毕并经甲方验收合格并收到发票后7个工作日内，向乙方支付合同总价的</w:t>
      </w:r>
      <w:r>
        <w:rPr>
          <w:rFonts w:hint="eastAsia" w:ascii="宋体" w:hAnsi="宋体" w:eastAsia="宋体" w:cs="宋体"/>
          <w:kern w:val="0"/>
          <w:sz w:val="21"/>
          <w:szCs w:val="21"/>
          <w:u w:val="single"/>
        </w:rPr>
        <w:t>　　　</w:t>
      </w:r>
      <w:r>
        <w:rPr>
          <w:rFonts w:hint="eastAsia" w:ascii="宋体" w:hAnsi="宋体" w:eastAsia="宋体" w:cs="宋体"/>
          <w:kern w:val="0"/>
          <w:sz w:val="21"/>
          <w:szCs w:val="21"/>
        </w:rPr>
        <w:t>%。</w:t>
      </w:r>
    </w:p>
    <w:p w14:paraId="55398FC3">
      <w:pPr>
        <w:spacing w:line="288"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 w:val="21"/>
          <w:szCs w:val="21"/>
          <w:u w:val="single"/>
        </w:rPr>
        <w:t>　　　</w:t>
      </w:r>
      <w:r>
        <w:rPr>
          <w:rFonts w:hint="eastAsia" w:ascii="宋体" w:hAnsi="宋体" w:eastAsia="宋体" w:cs="宋体"/>
          <w:kern w:val="0"/>
          <w:sz w:val="21"/>
          <w:szCs w:val="21"/>
        </w:rPr>
        <w:t>%（</w:t>
      </w:r>
      <w:r>
        <w:rPr>
          <w:rFonts w:hint="eastAsia" w:ascii="宋体" w:hAnsi="宋体" w:eastAsia="宋体" w:cs="宋体"/>
          <w:sz w:val="21"/>
          <w:szCs w:val="21"/>
        </w:rPr>
        <w:t>原则上不低于合同金额的30％，不高于合同金额的60%</w:t>
      </w:r>
      <w:r>
        <w:rPr>
          <w:rFonts w:hint="eastAsia" w:ascii="宋体" w:hAnsi="宋体" w:eastAsia="宋体" w:cs="宋体"/>
          <w:kern w:val="0"/>
          <w:sz w:val="21"/>
          <w:szCs w:val="21"/>
        </w:rPr>
        <w:t>）；货物在乙方安装调试完毕并经甲方验收合格并收到发票后7个工作日内，向乙方支付合同总价的</w:t>
      </w:r>
      <w:r>
        <w:rPr>
          <w:rFonts w:hint="eastAsia" w:ascii="宋体" w:hAnsi="宋体" w:eastAsia="宋体" w:cs="宋体"/>
          <w:kern w:val="0"/>
          <w:sz w:val="21"/>
          <w:szCs w:val="21"/>
          <w:u w:val="single"/>
        </w:rPr>
        <w:t>　　　</w:t>
      </w:r>
      <w:r>
        <w:rPr>
          <w:rFonts w:hint="eastAsia" w:ascii="宋体" w:hAnsi="宋体" w:eastAsia="宋体" w:cs="宋体"/>
          <w:kern w:val="0"/>
          <w:sz w:val="21"/>
          <w:szCs w:val="21"/>
        </w:rPr>
        <w:t>%。</w:t>
      </w:r>
    </w:p>
    <w:p w14:paraId="6B554E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kern w:val="0"/>
          <w:sz w:val="21"/>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④</w:t>
      </w:r>
      <w:r>
        <w:rPr>
          <w:rFonts w:hint="eastAsia" w:ascii="宋体" w:hAnsi="宋体" w:eastAsia="宋体" w:cs="宋体"/>
          <w:color w:val="auto"/>
          <w:kern w:val="0"/>
          <w:szCs w:val="21"/>
          <w:highlight w:val="none"/>
        </w:rPr>
        <w:t>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bCs/>
          <w:color w:val="auto"/>
          <w:kern w:val="0"/>
          <w:szCs w:val="21"/>
          <w:highlight w:val="none"/>
        </w:rPr>
        <w:t>货到分期付款：</w:t>
      </w:r>
      <w:r>
        <w:rPr>
          <w:rFonts w:hint="eastAsia" w:ascii="宋体" w:hAnsi="宋体" w:eastAsia="宋体" w:cs="宋体"/>
          <w:color w:val="auto"/>
          <w:kern w:val="0"/>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②货到一次性支付：</w:t>
      </w:r>
    </w:p>
    <w:p w14:paraId="0C568A2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③其它支付形式：                 </w:t>
      </w:r>
    </w:p>
    <w:p w14:paraId="0B6DC59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单位名称：杭州电子科技大学。税号：12330000470009026T</w:t>
      </w:r>
    </w:p>
    <w:p w14:paraId="7F3C727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五、转包或分包</w:t>
      </w:r>
    </w:p>
    <w:p w14:paraId="03EEB8D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六、货物交付</w:t>
      </w:r>
    </w:p>
    <w:p w14:paraId="61891480">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交货期：自合同签订之日起</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日内。</w:t>
      </w:r>
    </w:p>
    <w:p w14:paraId="19CFAF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交货方式：</w:t>
      </w:r>
      <w:bookmarkStart w:id="62" w:name="_Hlk155602651"/>
      <w:r>
        <w:rPr>
          <w:rFonts w:hint="eastAsia" w:ascii="宋体" w:hAnsi="宋体" w:eastAsia="宋体" w:cs="宋体"/>
          <w:color w:val="auto"/>
          <w:kern w:val="0"/>
          <w:szCs w:val="21"/>
          <w:highlight w:val="none"/>
        </w:rPr>
        <w:t>　　　送货上门　　</w:t>
      </w:r>
      <w:bookmarkStart w:id="63" w:name="_Hlk155602451"/>
      <w:r>
        <w:rPr>
          <w:rFonts w:hint="eastAsia" w:ascii="宋体" w:hAnsi="宋体" w:eastAsia="宋体" w:cs="宋体"/>
          <w:color w:val="auto"/>
          <w:kern w:val="0"/>
          <w:szCs w:val="21"/>
          <w:highlight w:val="none"/>
        </w:rPr>
        <w:t>。</w:t>
      </w:r>
      <w:bookmarkEnd w:id="62"/>
      <w:bookmarkEnd w:id="63"/>
    </w:p>
    <w:p w14:paraId="42ADE7A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交货地点：</w:t>
      </w:r>
      <w:bookmarkStart w:id="64" w:name="_Hlk155602663"/>
      <w:r>
        <w:rPr>
          <w:rFonts w:hint="eastAsia" w:ascii="宋体" w:hAnsi="宋体" w:eastAsia="宋体" w:cs="宋体"/>
          <w:color w:val="auto"/>
          <w:kern w:val="0"/>
          <w:szCs w:val="21"/>
          <w:highlight w:val="none"/>
        </w:rPr>
        <w:t xml:space="preserve"> 　　甲方指定地点　 。</w:t>
      </w:r>
      <w:bookmarkEnd w:id="64"/>
    </w:p>
    <w:p w14:paraId="237CB7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联系人及电话：</w:t>
      </w:r>
      <w:bookmarkStart w:id="65" w:name="_Hlk155181628"/>
      <w:r>
        <w:rPr>
          <w:rFonts w:hint="eastAsia" w:ascii="宋体" w:hAnsi="宋体" w:eastAsia="宋体" w:cs="宋体"/>
          <w:color w:val="auto"/>
          <w:kern w:val="0"/>
          <w:szCs w:val="21"/>
          <w:highlight w:val="none"/>
        </w:rPr>
        <w:t>甲方 姓名_________联系电话</w:t>
      </w:r>
      <w:r>
        <w:rPr>
          <w:rFonts w:hint="eastAsia" w:ascii="宋体" w:hAnsi="宋体" w:eastAsia="宋体" w:cs="宋体"/>
          <w:color w:val="auto"/>
          <w:kern w:val="0"/>
          <w:szCs w:val="21"/>
          <w:highlight w:val="none"/>
          <w:u w:val="single"/>
        </w:rPr>
        <w:t xml:space="preserve">（办公电话及手机号） </w:t>
      </w:r>
      <w:r>
        <w:rPr>
          <w:rFonts w:hint="eastAsia" w:ascii="宋体" w:hAnsi="宋体" w:eastAsia="宋体" w:cs="宋体"/>
          <w:color w:val="auto"/>
          <w:kern w:val="0"/>
          <w:szCs w:val="21"/>
          <w:highlight w:val="none"/>
        </w:rPr>
        <w:t>；乙方 姓名 __________联系电话</w:t>
      </w:r>
      <w:r>
        <w:rPr>
          <w:rFonts w:hint="eastAsia" w:ascii="宋体" w:hAnsi="宋体" w:eastAsia="宋体" w:cs="宋体"/>
          <w:color w:val="auto"/>
          <w:kern w:val="0"/>
          <w:szCs w:val="21"/>
          <w:highlight w:val="none"/>
          <w:u w:val="single"/>
        </w:rPr>
        <w:t xml:space="preserve">（办公电话及手机号） </w:t>
      </w:r>
      <w:bookmarkEnd w:id="65"/>
      <w:r>
        <w:rPr>
          <w:rFonts w:hint="eastAsia" w:ascii="宋体" w:hAnsi="宋体" w:eastAsia="宋体" w:cs="宋体"/>
          <w:color w:val="auto"/>
          <w:kern w:val="0"/>
          <w:szCs w:val="21"/>
          <w:highlight w:val="none"/>
        </w:rPr>
        <w:t>。</w:t>
      </w:r>
    </w:p>
    <w:p w14:paraId="3652BA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七、安装与验收</w:t>
      </w:r>
    </w:p>
    <w:p w14:paraId="5FA2C7D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最终验收：货物经安装调试完成且符合技术要求后，甲方负责在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八、质量保证与售后服务</w:t>
      </w:r>
    </w:p>
    <w:p w14:paraId="4B1F2B8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w:t>
      </w:r>
      <w:bookmarkStart w:id="67" w:name="_Hlk154577956"/>
      <w:r>
        <w:rPr>
          <w:rFonts w:hint="eastAsia" w:ascii="宋体" w:hAnsi="宋体" w:eastAsia="宋体" w:cs="宋体"/>
          <w:color w:val="auto"/>
          <w:kern w:val="0"/>
          <w:szCs w:val="21"/>
          <w:highlight w:val="none"/>
        </w:rPr>
        <w:t>应按采购文件规定的货物性能、技术要求、质量标准向甲方提供</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售后服务</w:t>
      </w:r>
    </w:p>
    <w:p w14:paraId="5A5C516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2.1远程技术支持：乙方应具有稳定的技术支持队伍和完善的服务支持网络，提供</w:t>
      </w:r>
      <w:r>
        <w:rPr>
          <w:rFonts w:hint="eastAsia" w:ascii="宋体" w:hAnsi="宋体" w:eastAsia="宋体" w:cs="宋体"/>
          <w:color w:val="auto"/>
          <w:kern w:val="0"/>
          <w:szCs w:val="21"/>
          <w:highlight w:val="none"/>
          <w:u w:val="single"/>
        </w:rPr>
        <w:t xml:space="preserve"> 7×24小时 </w:t>
      </w:r>
      <w:r>
        <w:rPr>
          <w:rFonts w:hint="eastAsia" w:ascii="宋体" w:hAnsi="宋体" w:eastAsia="宋体" w:cs="宋体"/>
          <w:color w:val="auto"/>
          <w:kern w:val="0"/>
          <w:szCs w:val="21"/>
          <w:highlight w:val="none"/>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2.2现场技术支持：对于通过电话、邮件等远程技术支持不能解决的问题，乙方应在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小时内派遣相关人员赶赴现场，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小时内维修完毕；发生紧急抢修事故的，乙方应在接到甲方通知后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小时内到达现场抢修，并于到达现场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小时之内排除故障。乙方未在约定时间内修复的或同一货物经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九、保密条款</w:t>
      </w:r>
    </w:p>
    <w:p w14:paraId="3809072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十、违约责任</w:t>
      </w:r>
    </w:p>
    <w:p w14:paraId="04F9E46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甲方无故逾期验收和办理货款支付手续的，每逾期一日，应按逾期付款总额</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向乙方支付违约金。</w:t>
      </w:r>
    </w:p>
    <w:p w14:paraId="460FC2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乙方逾期交货完工的，每逾期一日，应按合同总价</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向甲方支付违约金。逾期超过约定日期</w:t>
      </w:r>
      <w:r>
        <w:rPr>
          <w:rFonts w:hint="eastAsia" w:ascii="宋体" w:hAnsi="宋体" w:eastAsia="宋体" w:cs="宋体"/>
          <w:color w:val="auto"/>
          <w:kern w:val="0"/>
          <w:szCs w:val="21"/>
          <w:highlight w:val="none"/>
          <w:u w:val="single"/>
        </w:rPr>
        <w:t xml:space="preserve"> 10 </w:t>
      </w:r>
      <w:r>
        <w:rPr>
          <w:rFonts w:hint="eastAsia" w:ascii="宋体" w:hAnsi="宋体" w:eastAsia="宋体" w:cs="宋体"/>
          <w:color w:val="auto"/>
          <w:kern w:val="0"/>
          <w:szCs w:val="21"/>
          <w:highlight w:val="none"/>
        </w:rPr>
        <w:t>个工作日不能交货完工的，甲方有权解除本合同，并要求乙方支付合同总价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乙方未能按约定要求履行保修义务的，</w:t>
      </w:r>
      <w:bookmarkStart w:id="68" w:name="_Hlk154755811"/>
      <w:r>
        <w:rPr>
          <w:rFonts w:hint="eastAsia" w:ascii="宋体" w:hAnsi="宋体" w:eastAsia="宋体" w:cs="宋体"/>
          <w:color w:val="auto"/>
          <w:kern w:val="0"/>
          <w:szCs w:val="21"/>
          <w:highlight w:val="none"/>
        </w:rPr>
        <w:t>每发生一次应向甲方支付</w:t>
      </w:r>
      <w:r>
        <w:rPr>
          <w:rFonts w:hint="eastAsia" w:ascii="宋体" w:hAnsi="宋体" w:eastAsia="宋体" w:cs="宋体"/>
          <w:color w:val="auto"/>
          <w:kern w:val="0"/>
          <w:szCs w:val="21"/>
          <w:highlight w:val="none"/>
          <w:u w:val="single"/>
          <w:lang w:val="en-US" w:eastAsia="zh-CN"/>
        </w:rPr>
        <w:t>10000</w:t>
      </w:r>
      <w:r>
        <w:rPr>
          <w:rFonts w:hint="eastAsia" w:ascii="宋体" w:hAnsi="宋体" w:eastAsia="宋体" w:cs="宋体"/>
          <w:color w:val="auto"/>
          <w:kern w:val="0"/>
          <w:szCs w:val="21"/>
          <w:highlight w:val="none"/>
        </w:rPr>
        <w:t>元的违约金，同时，甲方有权委托第三方进行保修，所产生的费用由乙方承担。</w:t>
      </w:r>
      <w:bookmarkEnd w:id="68"/>
      <w:r>
        <w:rPr>
          <w:rFonts w:hint="eastAsia" w:ascii="宋体" w:hAnsi="宋体" w:eastAsia="宋体" w:cs="宋体"/>
          <w:color w:val="auto"/>
          <w:kern w:val="0"/>
          <w:szCs w:val="21"/>
          <w:highlight w:val="none"/>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 xml:space="preserve">因乙方其他违约行为导致甲方解除合同的，乙方应向甲方支付合同总价 </w:t>
      </w:r>
      <w:r>
        <w:rPr>
          <w:rFonts w:hint="eastAsia" w:ascii="宋体" w:hAnsi="宋体" w:eastAsia="宋体" w:cs="宋体"/>
          <w:color w:val="auto"/>
          <w:kern w:val="0"/>
          <w:szCs w:val="21"/>
          <w:highlight w:val="none"/>
          <w:u w:val="single"/>
        </w:rPr>
        <w:t>5 %</w:t>
      </w:r>
      <w:r>
        <w:rPr>
          <w:rFonts w:hint="eastAsia" w:ascii="宋体" w:hAnsi="宋体" w:eastAsia="宋体" w:cs="宋体"/>
          <w:color w:val="auto"/>
          <w:kern w:val="0"/>
          <w:szCs w:val="21"/>
          <w:highlight w:val="none"/>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十一、不可抗力</w:t>
      </w:r>
    </w:p>
    <w:p w14:paraId="1DED66C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十三、合同生效及其他</w:t>
      </w:r>
    </w:p>
    <w:p w14:paraId="5CAF751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本次采购过程中形成的招标（非招标）文件、投标（响应）文件、澄清承诺、补充协议、附件等</w:t>
      </w:r>
      <w:r>
        <w:rPr>
          <w:rFonts w:hint="eastAsia" w:ascii="宋体" w:hAnsi="宋体" w:eastAsia="宋体" w:cs="宋体"/>
          <w:color w:val="auto"/>
          <w:kern w:val="0"/>
          <w:szCs w:val="21"/>
          <w:highlight w:val="none"/>
          <w:lang w:val="zh-CN"/>
        </w:rPr>
        <w:t>为本合同的组成部分，并构成一个整体，需综合解释、相互补充。如果</w:t>
      </w:r>
      <w:r>
        <w:rPr>
          <w:rFonts w:hint="eastAsia" w:ascii="宋体" w:hAnsi="宋体" w:eastAsia="宋体" w:cs="宋体"/>
          <w:color w:val="auto"/>
          <w:kern w:val="0"/>
          <w:szCs w:val="21"/>
          <w:highlight w:val="none"/>
        </w:rPr>
        <w:t>上述</w:t>
      </w:r>
      <w:r>
        <w:rPr>
          <w:rFonts w:hint="eastAsia" w:ascii="宋体" w:hAnsi="宋体" w:eastAsia="宋体" w:cs="宋体"/>
          <w:color w:val="auto"/>
          <w:kern w:val="0"/>
          <w:szCs w:val="21"/>
          <w:highlight w:val="none"/>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（2）中标（成交）通知书；</w:t>
      </w:r>
    </w:p>
    <w:p w14:paraId="191C4F83">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（3）投标（</w:t>
      </w:r>
      <w:r>
        <w:rPr>
          <w:rFonts w:hint="eastAsia" w:ascii="宋体" w:hAnsi="宋体" w:eastAsia="宋体" w:cs="宋体"/>
          <w:color w:val="auto"/>
          <w:kern w:val="0"/>
          <w:szCs w:val="21"/>
          <w:highlight w:val="none"/>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（4）招标（非招标）</w:t>
      </w:r>
      <w:r>
        <w:rPr>
          <w:rFonts w:hint="eastAsia" w:ascii="宋体" w:hAnsi="宋体" w:eastAsia="宋体" w:cs="宋体"/>
          <w:color w:val="auto"/>
          <w:kern w:val="0"/>
          <w:szCs w:val="21"/>
          <w:highlight w:val="none"/>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（5）</w:t>
      </w:r>
      <w:r>
        <w:rPr>
          <w:rFonts w:hint="eastAsia" w:ascii="宋体" w:hAnsi="宋体" w:eastAsia="宋体" w:cs="宋体"/>
          <w:snapToGrid w:val="0"/>
          <w:color w:val="auto"/>
          <w:szCs w:val="21"/>
          <w:highlight w:val="none"/>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5.</w:t>
      </w:r>
      <w:r>
        <w:rPr>
          <w:rFonts w:hint="eastAsia" w:ascii="宋体" w:hAnsi="宋体" w:eastAsia="宋体" w:cs="宋体"/>
          <w:color w:val="auto"/>
          <w:kern w:val="0"/>
          <w:szCs w:val="21"/>
          <w:highlight w:val="none"/>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highlight w:val="none"/>
        </w:rPr>
      </w:pPr>
    </w:p>
    <w:p w14:paraId="77A0E00A">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委托代理人</w:t>
            </w:r>
            <w:r>
              <w:rPr>
                <w:rFonts w:hint="eastAsia" w:ascii="宋体" w:hAnsi="宋体" w:eastAsia="宋体" w:cs="宋体"/>
                <w:color w:val="auto"/>
                <w:kern w:val="0"/>
                <w:szCs w:val="21"/>
                <w:highlight w:val="none"/>
              </w:rPr>
              <w:t>：</w:t>
            </w:r>
          </w:p>
          <w:p w14:paraId="53AA975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或委托代理人</w:t>
            </w:r>
            <w:r>
              <w:rPr>
                <w:rFonts w:hint="eastAsia" w:ascii="宋体" w:hAnsi="宋体" w:eastAsia="宋体" w:cs="宋体"/>
                <w:color w:val="auto"/>
                <w:kern w:val="0"/>
                <w:szCs w:val="21"/>
                <w:highlight w:val="none"/>
              </w:rPr>
              <w:t>：</w:t>
            </w:r>
          </w:p>
          <w:p w14:paraId="00DD47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5C2BCDD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69" w:name="_Hlk81815656"/>
      <w:r>
        <w:rPr>
          <w:rFonts w:hint="eastAsia" w:ascii="宋体" w:hAnsi="宋体" w:eastAsia="宋体" w:cs="Times New Roman"/>
          <w:color w:val="auto"/>
          <w:spacing w:val="-6"/>
          <w:szCs w:val="21"/>
          <w:highlight w:val="none"/>
        </w:rPr>
        <w:t>（若属于中小企业）</w:t>
      </w:r>
      <w:bookmarkEnd w:id="69"/>
    </w:p>
    <w:p w14:paraId="2B8774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70" w:name="_Hlk81815359"/>
      <w:r>
        <w:rPr>
          <w:rFonts w:hint="eastAsia" w:ascii="宋体" w:hAnsi="宋体" w:eastAsia="宋体" w:cs="Times New Roman"/>
          <w:color w:val="auto"/>
          <w:spacing w:val="-6"/>
          <w:szCs w:val="21"/>
          <w:highlight w:val="none"/>
        </w:rPr>
        <w:t>（若属于监狱企业）</w:t>
      </w:r>
      <w:bookmarkEnd w:id="70"/>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71" w:name="OLE_LINK13"/>
      <w:bookmarkStart w:id="72" w:name="OLE_LINK14"/>
      <w:r>
        <w:rPr>
          <w:rFonts w:hint="eastAsia" w:ascii="宋体" w:hAnsi="宋体" w:eastAsia="宋体" w:cs="Times New Roman"/>
          <w:color w:val="auto"/>
          <w:spacing w:val="-6"/>
          <w:szCs w:val="21"/>
          <w:highlight w:val="none"/>
        </w:rPr>
        <w:t>残疾人福利性单位声明函</w:t>
      </w:r>
      <w:bookmarkEnd w:id="71"/>
      <w:bookmarkEnd w:id="72"/>
      <w:bookmarkStart w:id="73" w:name="_Hlk81815372"/>
      <w:r>
        <w:rPr>
          <w:rFonts w:hint="eastAsia" w:ascii="宋体" w:hAnsi="宋体" w:eastAsia="宋体" w:cs="Times New Roman"/>
          <w:color w:val="auto"/>
          <w:spacing w:val="-6"/>
          <w:szCs w:val="21"/>
          <w:highlight w:val="none"/>
        </w:rPr>
        <w:t>（若属于残疾人福利性单位）</w:t>
      </w:r>
      <w:bookmarkEnd w:id="73"/>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highlight w:val="none"/>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highlight w:val="none"/>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highlight w:val="none"/>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highlight w:val="none"/>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highlight w:val="none"/>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highlight w:val="none"/>
              </w:rPr>
            </w:pPr>
          </w:p>
        </w:tc>
        <w:tc>
          <w:tcPr>
            <w:tcW w:w="882" w:type="dxa"/>
          </w:tcPr>
          <w:p w14:paraId="6FF943A5">
            <w:pPr>
              <w:adjustRightInd w:val="0"/>
              <w:snapToGrid w:val="0"/>
              <w:spacing w:line="288" w:lineRule="auto"/>
              <w:jc w:val="center"/>
              <w:rPr>
                <w:rFonts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杭州电子科技大学量子计算原型教学机和量子通信实验教学系统仪器设备采购</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QSZBB250291ZHGK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杭州电子科技大学量子计算原型教学机和量子通信实验教学系统仪器设备采购</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QSZBB250291ZHGK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2025年1月（含）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2025年1月（含）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量子计算原型教学机和量子通信实验教学系统仪器设备采购</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QSZBB250291ZHGK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adjustRightInd w:val="0"/>
              <w:snapToGrid w:val="0"/>
              <w:spacing w:line="288" w:lineRule="auto"/>
              <w:rPr>
                <w:rFonts w:ascii="宋体" w:hAnsi="宋体" w:eastAsia="宋体" w:cs="宋体"/>
                <w:color w:val="auto"/>
                <w:szCs w:val="21"/>
                <w:highlight w:val="none"/>
              </w:rPr>
            </w:pPr>
          </w:p>
        </w:tc>
        <w:tc>
          <w:tcPr>
            <w:tcW w:w="2574" w:type="dxa"/>
            <w:vAlign w:val="center"/>
          </w:tcPr>
          <w:p w14:paraId="702CD0E8">
            <w:pPr>
              <w:adjustRightInd w:val="0"/>
              <w:snapToGrid w:val="0"/>
              <w:spacing w:line="288" w:lineRule="auto"/>
              <w:rPr>
                <w:rFonts w:ascii="宋体" w:hAnsi="宋体" w:eastAsia="宋体" w:cs="宋体"/>
                <w:color w:val="auto"/>
                <w:szCs w:val="21"/>
                <w:highlight w:val="none"/>
              </w:rPr>
            </w:pPr>
          </w:p>
        </w:tc>
        <w:tc>
          <w:tcPr>
            <w:tcW w:w="2124" w:type="dxa"/>
            <w:vAlign w:val="center"/>
          </w:tcPr>
          <w:p w14:paraId="602EFA5A">
            <w:pPr>
              <w:adjustRightInd w:val="0"/>
              <w:snapToGrid w:val="0"/>
              <w:spacing w:line="288" w:lineRule="auto"/>
              <w:rPr>
                <w:rFonts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adjustRightInd w:val="0"/>
              <w:snapToGrid w:val="0"/>
              <w:spacing w:line="288" w:lineRule="auto"/>
              <w:rPr>
                <w:rFonts w:ascii="宋体" w:hAnsi="宋体" w:eastAsia="宋体" w:cs="宋体"/>
                <w:color w:val="auto"/>
                <w:szCs w:val="21"/>
                <w:highlight w:val="none"/>
              </w:rPr>
            </w:pPr>
          </w:p>
        </w:tc>
        <w:tc>
          <w:tcPr>
            <w:tcW w:w="2574" w:type="dxa"/>
            <w:vAlign w:val="center"/>
          </w:tcPr>
          <w:p w14:paraId="3887E5E7">
            <w:pPr>
              <w:adjustRightInd w:val="0"/>
              <w:snapToGrid w:val="0"/>
              <w:spacing w:line="288" w:lineRule="auto"/>
              <w:rPr>
                <w:rFonts w:ascii="宋体" w:hAnsi="宋体" w:eastAsia="宋体" w:cs="宋体"/>
                <w:color w:val="auto"/>
                <w:szCs w:val="21"/>
                <w:highlight w:val="none"/>
              </w:rPr>
            </w:pPr>
          </w:p>
        </w:tc>
        <w:tc>
          <w:tcPr>
            <w:tcW w:w="2124" w:type="dxa"/>
            <w:vAlign w:val="center"/>
          </w:tcPr>
          <w:p w14:paraId="376258A4">
            <w:pPr>
              <w:adjustRightInd w:val="0"/>
              <w:snapToGrid w:val="0"/>
              <w:spacing w:line="288" w:lineRule="auto"/>
              <w:rPr>
                <w:rFonts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adjustRightInd w:val="0"/>
              <w:snapToGrid w:val="0"/>
              <w:spacing w:line="288" w:lineRule="auto"/>
              <w:rPr>
                <w:rFonts w:ascii="宋体" w:hAnsi="宋体" w:eastAsia="宋体" w:cs="宋体"/>
                <w:color w:val="auto"/>
                <w:szCs w:val="21"/>
                <w:highlight w:val="none"/>
              </w:rPr>
            </w:pPr>
          </w:p>
        </w:tc>
        <w:tc>
          <w:tcPr>
            <w:tcW w:w="2574" w:type="dxa"/>
            <w:vAlign w:val="center"/>
          </w:tcPr>
          <w:p w14:paraId="2E789987">
            <w:pPr>
              <w:adjustRightInd w:val="0"/>
              <w:snapToGrid w:val="0"/>
              <w:spacing w:line="288" w:lineRule="auto"/>
              <w:rPr>
                <w:rFonts w:ascii="宋体" w:hAnsi="宋体" w:eastAsia="宋体" w:cs="宋体"/>
                <w:color w:val="auto"/>
                <w:szCs w:val="21"/>
                <w:highlight w:val="none"/>
              </w:rPr>
            </w:pPr>
          </w:p>
        </w:tc>
        <w:tc>
          <w:tcPr>
            <w:tcW w:w="2124" w:type="dxa"/>
            <w:vAlign w:val="center"/>
          </w:tcPr>
          <w:p w14:paraId="2374EA9A">
            <w:pPr>
              <w:adjustRightInd w:val="0"/>
              <w:snapToGrid w:val="0"/>
              <w:spacing w:line="288" w:lineRule="auto"/>
              <w:rPr>
                <w:rFonts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adjustRightInd w:val="0"/>
              <w:snapToGrid w:val="0"/>
              <w:spacing w:line="288" w:lineRule="auto"/>
              <w:rPr>
                <w:rFonts w:ascii="宋体" w:hAnsi="宋体" w:eastAsia="宋体" w:cs="宋体"/>
                <w:color w:val="auto"/>
                <w:szCs w:val="21"/>
                <w:highlight w:val="none"/>
              </w:rPr>
            </w:pPr>
          </w:p>
        </w:tc>
        <w:tc>
          <w:tcPr>
            <w:tcW w:w="2574" w:type="dxa"/>
            <w:vAlign w:val="center"/>
          </w:tcPr>
          <w:p w14:paraId="58B8E02A">
            <w:pPr>
              <w:adjustRightInd w:val="0"/>
              <w:snapToGrid w:val="0"/>
              <w:spacing w:line="288" w:lineRule="auto"/>
              <w:rPr>
                <w:rFonts w:ascii="宋体" w:hAnsi="宋体" w:eastAsia="宋体" w:cs="宋体"/>
                <w:color w:val="auto"/>
                <w:szCs w:val="21"/>
                <w:highlight w:val="none"/>
              </w:rPr>
            </w:pPr>
          </w:p>
        </w:tc>
        <w:tc>
          <w:tcPr>
            <w:tcW w:w="2124" w:type="dxa"/>
            <w:vAlign w:val="center"/>
          </w:tcPr>
          <w:p w14:paraId="4091EEC4">
            <w:pPr>
              <w:adjustRightInd w:val="0"/>
              <w:snapToGrid w:val="0"/>
              <w:spacing w:line="288" w:lineRule="auto"/>
              <w:rPr>
                <w:rFonts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adjustRightInd w:val="0"/>
              <w:snapToGrid w:val="0"/>
              <w:spacing w:line="288" w:lineRule="auto"/>
              <w:rPr>
                <w:rFonts w:ascii="宋体" w:hAnsi="宋体" w:eastAsia="宋体" w:cs="宋体"/>
                <w:color w:val="auto"/>
                <w:szCs w:val="21"/>
                <w:highlight w:val="none"/>
              </w:rPr>
            </w:pPr>
          </w:p>
        </w:tc>
        <w:tc>
          <w:tcPr>
            <w:tcW w:w="2574" w:type="dxa"/>
            <w:vAlign w:val="center"/>
          </w:tcPr>
          <w:p w14:paraId="486C04ED">
            <w:pPr>
              <w:adjustRightInd w:val="0"/>
              <w:snapToGrid w:val="0"/>
              <w:spacing w:line="288" w:lineRule="auto"/>
              <w:rPr>
                <w:rFonts w:ascii="宋体" w:hAnsi="宋体" w:eastAsia="宋体" w:cs="宋体"/>
                <w:color w:val="auto"/>
                <w:szCs w:val="21"/>
                <w:highlight w:val="none"/>
              </w:rPr>
            </w:pPr>
          </w:p>
        </w:tc>
        <w:tc>
          <w:tcPr>
            <w:tcW w:w="2124" w:type="dxa"/>
            <w:vAlign w:val="center"/>
          </w:tcPr>
          <w:p w14:paraId="558791D1">
            <w:pPr>
              <w:adjustRightInd w:val="0"/>
              <w:snapToGrid w:val="0"/>
              <w:spacing w:line="288" w:lineRule="auto"/>
              <w:rPr>
                <w:rFonts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adjustRightInd w:val="0"/>
              <w:snapToGrid w:val="0"/>
              <w:spacing w:line="288" w:lineRule="auto"/>
              <w:rPr>
                <w:rFonts w:ascii="宋体" w:hAnsi="宋体" w:eastAsia="宋体" w:cs="宋体"/>
                <w:color w:val="auto"/>
                <w:szCs w:val="21"/>
                <w:highlight w:val="none"/>
              </w:rPr>
            </w:pPr>
          </w:p>
        </w:tc>
        <w:tc>
          <w:tcPr>
            <w:tcW w:w="2574" w:type="dxa"/>
            <w:vAlign w:val="center"/>
          </w:tcPr>
          <w:p w14:paraId="1C372D07">
            <w:pPr>
              <w:adjustRightInd w:val="0"/>
              <w:snapToGrid w:val="0"/>
              <w:spacing w:line="288" w:lineRule="auto"/>
              <w:rPr>
                <w:rFonts w:ascii="宋体" w:hAnsi="宋体" w:eastAsia="宋体" w:cs="宋体"/>
                <w:color w:val="auto"/>
                <w:szCs w:val="21"/>
                <w:highlight w:val="none"/>
              </w:rPr>
            </w:pPr>
          </w:p>
        </w:tc>
        <w:tc>
          <w:tcPr>
            <w:tcW w:w="2124" w:type="dxa"/>
            <w:vAlign w:val="center"/>
          </w:tcPr>
          <w:p w14:paraId="0680D771">
            <w:pPr>
              <w:adjustRightInd w:val="0"/>
              <w:snapToGrid w:val="0"/>
              <w:spacing w:line="288" w:lineRule="auto"/>
              <w:rPr>
                <w:rFonts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量子计算原型教学机和量子通信实验教学系统仪器设备采购</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QSZBB250291ZHGK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74" w:name="_Hlk177717733"/>
            <w:r>
              <w:rPr>
                <w:rFonts w:hint="eastAsia" w:ascii="宋体" w:hAnsi="宋体" w:eastAsia="宋体" w:cs="宋体"/>
                <w:b/>
                <w:bCs/>
                <w:color w:val="auto"/>
                <w:sz w:val="21"/>
                <w:szCs w:val="21"/>
                <w:highlight w:val="none"/>
              </w:rPr>
              <w:t>规格型号</w:t>
            </w:r>
          </w:p>
          <w:p w14:paraId="6654D31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adjustRightInd w:val="0"/>
              <w:snapToGrid w:val="0"/>
              <w:spacing w:line="288" w:lineRule="auto"/>
              <w:rPr>
                <w:rFonts w:ascii="宋体" w:hAnsi="宋体" w:eastAsia="宋体" w:cs="宋体"/>
                <w:b/>
                <w:bCs/>
                <w:color w:val="auto"/>
                <w:szCs w:val="21"/>
                <w:highlight w:val="none"/>
              </w:rPr>
            </w:pPr>
          </w:p>
          <w:p w14:paraId="0C631DF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adjustRightInd w:val="0"/>
              <w:snapToGrid w:val="0"/>
              <w:spacing w:line="288" w:lineRule="auto"/>
              <w:rPr>
                <w:rFonts w:ascii="宋体" w:hAnsi="宋体" w:eastAsia="宋体" w:cs="宋体"/>
                <w:b/>
                <w:bCs/>
                <w:color w:val="auto"/>
                <w:szCs w:val="21"/>
                <w:highlight w:val="none"/>
              </w:rPr>
            </w:pPr>
          </w:p>
          <w:p w14:paraId="5FEFE13F">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adjustRightInd w:val="0"/>
              <w:snapToGrid w:val="0"/>
              <w:spacing w:line="288" w:lineRule="auto"/>
              <w:rPr>
                <w:rFonts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5BFEEE6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highlight w:val="none"/>
        </w:rPr>
      </w:pPr>
    </w:p>
    <w:p w14:paraId="69E4B3B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ascii="宋体" w:hAnsi="宋体" w:eastAsia="宋体" w:cs="Times New Roman"/>
          <w:i/>
          <w:color w:val="auto"/>
          <w:szCs w:val="21"/>
          <w:highlight w:val="none"/>
          <w:u w:val="single"/>
        </w:rPr>
        <w:t>（单位名称）</w:t>
      </w:r>
      <w:r>
        <w:rPr>
          <w:rFonts w:ascii="宋体" w:hAnsi="宋体" w:eastAsia="宋体" w:cs="Times New Roman"/>
          <w:color w:val="auto"/>
          <w:szCs w:val="21"/>
          <w:highlight w:val="none"/>
        </w:rPr>
        <w:t>的</w:t>
      </w:r>
      <w:r>
        <w:rPr>
          <w:rFonts w:ascii="宋体" w:hAnsi="宋体" w:eastAsia="宋体" w:cs="Times New Roman"/>
          <w:i/>
          <w:color w:val="auto"/>
          <w:szCs w:val="21"/>
          <w:highlight w:val="none"/>
          <w:u w:val="single"/>
        </w:rPr>
        <w:t>（</w:t>
      </w:r>
      <w:bookmarkStart w:id="75" w:name="_Hlk118098443"/>
      <w:r>
        <w:rPr>
          <w:rFonts w:ascii="宋体" w:hAnsi="宋体" w:eastAsia="宋体" w:cs="Times New Roman"/>
          <w:i/>
          <w:color w:val="auto"/>
          <w:szCs w:val="21"/>
          <w:highlight w:val="none"/>
          <w:u w:val="single"/>
        </w:rPr>
        <w:t>项目名称</w:t>
      </w:r>
      <w:bookmarkEnd w:id="75"/>
      <w:r>
        <w:rPr>
          <w:rFonts w:ascii="宋体" w:hAnsi="宋体" w:eastAsia="宋体" w:cs="Times New Roman"/>
          <w:i/>
          <w:color w:val="auto"/>
          <w:szCs w:val="21"/>
          <w:highlight w:val="none"/>
          <w:u w:val="single"/>
        </w:rPr>
        <w:t>）</w:t>
      </w:r>
      <w:r>
        <w:rPr>
          <w:rFonts w:ascii="宋体" w:hAnsi="宋体" w:eastAsia="宋体" w:cs="Times New Roman"/>
          <w:color w:val="auto"/>
          <w:szCs w:val="21"/>
          <w:highlight w:val="none"/>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1.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ascii="宋体" w:hAnsi="宋体" w:eastAsia="宋体" w:cs="Times New Roman"/>
          <w:color w:val="auto"/>
          <w:szCs w:val="21"/>
          <w:highlight w:val="none"/>
        </w:rPr>
        <w:t>；</w:t>
      </w:r>
    </w:p>
    <w:p w14:paraId="674F562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2.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hint="eastAsia" w:ascii="宋体" w:hAnsi="宋体" w:eastAsia="宋体" w:cs="Times New Roman"/>
          <w:color w:val="auto"/>
          <w:szCs w:val="21"/>
          <w:highlight w:val="none"/>
        </w:rPr>
        <w:t>；</w:t>
      </w:r>
    </w:p>
    <w:p w14:paraId="62EE8991">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w:t>
      </w:r>
    </w:p>
    <w:p w14:paraId="76933DCB">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00631E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snapToGrid w:val="0"/>
              <w:spacing w:line="288" w:lineRule="auto"/>
              <w:rPr>
                <w:rFonts w:hint="eastAsia" w:ascii="宋体" w:hAnsi="宋体" w:eastAsia="宋体" w:cs="宋体"/>
                <w:color w:val="auto"/>
                <w:spacing w:val="0"/>
                <w:kern w:val="2"/>
                <w:szCs w:val="21"/>
                <w:highlight w:val="none"/>
                <w:vertAlign w:val="baseline"/>
              </w:rPr>
            </w:pPr>
          </w:p>
        </w:tc>
        <w:tc>
          <w:tcPr>
            <w:tcW w:w="4814" w:type="dxa"/>
          </w:tcPr>
          <w:p w14:paraId="6E2B4F3D">
            <w:pPr>
              <w:snapToGrid w:val="0"/>
              <w:spacing w:line="288" w:lineRule="auto"/>
              <w:rPr>
                <w:rFonts w:hint="eastAsia" w:ascii="宋体" w:hAnsi="宋体" w:eastAsia="宋体" w:cs="宋体"/>
                <w:color w:val="auto"/>
                <w:spacing w:val="0"/>
                <w:kern w:val="2"/>
                <w:szCs w:val="21"/>
                <w:highlight w:val="none"/>
                <w:vertAlign w:val="baseline"/>
              </w:rPr>
            </w:pPr>
          </w:p>
        </w:tc>
      </w:tr>
    </w:tbl>
    <w:p w14:paraId="4F8710BE">
      <w:pPr>
        <w:snapToGrid w:val="0"/>
        <w:spacing w:line="288" w:lineRule="auto"/>
        <w:rPr>
          <w:rFonts w:ascii="宋体" w:hAnsi="宋体" w:eastAsia="宋体" w:cs="宋体"/>
          <w:color w:val="auto"/>
          <w:szCs w:val="21"/>
          <w:highlight w:val="none"/>
        </w:rPr>
      </w:pP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3769"/>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825CD7"/>
    <w:rsid w:val="03D76B09"/>
    <w:rsid w:val="03F93561"/>
    <w:rsid w:val="05D34727"/>
    <w:rsid w:val="05D9297D"/>
    <w:rsid w:val="07650D44"/>
    <w:rsid w:val="07DB5C37"/>
    <w:rsid w:val="08931933"/>
    <w:rsid w:val="0A081641"/>
    <w:rsid w:val="0A8F0E99"/>
    <w:rsid w:val="0B4A1776"/>
    <w:rsid w:val="0BD50265"/>
    <w:rsid w:val="0BEC010D"/>
    <w:rsid w:val="0C786503"/>
    <w:rsid w:val="0CF47C50"/>
    <w:rsid w:val="0D1A04C9"/>
    <w:rsid w:val="0DA43FD6"/>
    <w:rsid w:val="0DCB77B4"/>
    <w:rsid w:val="0FF539C8"/>
    <w:rsid w:val="10757130"/>
    <w:rsid w:val="112B34AD"/>
    <w:rsid w:val="11317878"/>
    <w:rsid w:val="11FF5827"/>
    <w:rsid w:val="18090C43"/>
    <w:rsid w:val="18FB5F15"/>
    <w:rsid w:val="198D5F10"/>
    <w:rsid w:val="1B321622"/>
    <w:rsid w:val="1BA27EE5"/>
    <w:rsid w:val="1E452027"/>
    <w:rsid w:val="1EEB1A56"/>
    <w:rsid w:val="1F9C38D3"/>
    <w:rsid w:val="20767551"/>
    <w:rsid w:val="212705BE"/>
    <w:rsid w:val="21AC2FA2"/>
    <w:rsid w:val="21DB64E2"/>
    <w:rsid w:val="221C4C30"/>
    <w:rsid w:val="22A70B6C"/>
    <w:rsid w:val="22AD65CC"/>
    <w:rsid w:val="23C14303"/>
    <w:rsid w:val="23FF4622"/>
    <w:rsid w:val="25A217AC"/>
    <w:rsid w:val="27432BC1"/>
    <w:rsid w:val="27F0275A"/>
    <w:rsid w:val="28580092"/>
    <w:rsid w:val="28BC23D4"/>
    <w:rsid w:val="2AA10ED5"/>
    <w:rsid w:val="2ADA0518"/>
    <w:rsid w:val="2C921974"/>
    <w:rsid w:val="2DBE14C9"/>
    <w:rsid w:val="2E2B31E3"/>
    <w:rsid w:val="2ED77388"/>
    <w:rsid w:val="2F380CDF"/>
    <w:rsid w:val="2F6A64D8"/>
    <w:rsid w:val="30616EA9"/>
    <w:rsid w:val="31A44D82"/>
    <w:rsid w:val="320C1026"/>
    <w:rsid w:val="32BE120D"/>
    <w:rsid w:val="330C0EF9"/>
    <w:rsid w:val="33506DE6"/>
    <w:rsid w:val="33B73EB0"/>
    <w:rsid w:val="34004E73"/>
    <w:rsid w:val="349B054D"/>
    <w:rsid w:val="35194EAC"/>
    <w:rsid w:val="35A54CED"/>
    <w:rsid w:val="37534CA7"/>
    <w:rsid w:val="37C157A9"/>
    <w:rsid w:val="37D824F1"/>
    <w:rsid w:val="39B918B5"/>
    <w:rsid w:val="3B0C4DFA"/>
    <w:rsid w:val="3C4D26C6"/>
    <w:rsid w:val="3D044EFC"/>
    <w:rsid w:val="3E6946AD"/>
    <w:rsid w:val="3EB60CB3"/>
    <w:rsid w:val="3EC436F9"/>
    <w:rsid w:val="3F740895"/>
    <w:rsid w:val="3FB93DC6"/>
    <w:rsid w:val="402A691C"/>
    <w:rsid w:val="422E66F3"/>
    <w:rsid w:val="4275164D"/>
    <w:rsid w:val="430A3262"/>
    <w:rsid w:val="43481AD9"/>
    <w:rsid w:val="44265D88"/>
    <w:rsid w:val="46A824B9"/>
    <w:rsid w:val="46BB170B"/>
    <w:rsid w:val="47510906"/>
    <w:rsid w:val="495D70F7"/>
    <w:rsid w:val="497349FC"/>
    <w:rsid w:val="498C1364"/>
    <w:rsid w:val="4B7D5F80"/>
    <w:rsid w:val="4BF40741"/>
    <w:rsid w:val="4C5E019B"/>
    <w:rsid w:val="4F64249F"/>
    <w:rsid w:val="4F6E1200"/>
    <w:rsid w:val="4FAD7E60"/>
    <w:rsid w:val="4FEE189E"/>
    <w:rsid w:val="500B7C38"/>
    <w:rsid w:val="5345653C"/>
    <w:rsid w:val="53F038EA"/>
    <w:rsid w:val="549F2962"/>
    <w:rsid w:val="54E01333"/>
    <w:rsid w:val="5668599A"/>
    <w:rsid w:val="59BA69E3"/>
    <w:rsid w:val="5A661DF4"/>
    <w:rsid w:val="5ACF0178"/>
    <w:rsid w:val="5ACF55AA"/>
    <w:rsid w:val="5B9E3DE4"/>
    <w:rsid w:val="5BE42A4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4F1ACD"/>
    <w:rsid w:val="64751744"/>
    <w:rsid w:val="67060D39"/>
    <w:rsid w:val="67FF1998"/>
    <w:rsid w:val="680D1D99"/>
    <w:rsid w:val="69431270"/>
    <w:rsid w:val="6A147DD2"/>
    <w:rsid w:val="6A7F4F75"/>
    <w:rsid w:val="6ACA16F9"/>
    <w:rsid w:val="6B16774A"/>
    <w:rsid w:val="6C467142"/>
    <w:rsid w:val="6CB03B45"/>
    <w:rsid w:val="6ECE2681"/>
    <w:rsid w:val="6ED12033"/>
    <w:rsid w:val="72340F9C"/>
    <w:rsid w:val="75470C13"/>
    <w:rsid w:val="763243C9"/>
    <w:rsid w:val="774152C9"/>
    <w:rsid w:val="793070F8"/>
    <w:rsid w:val="79D825C1"/>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54</Pages>
  <Words>28759</Words>
  <Characters>30700</Characters>
  <Lines>220</Lines>
  <Paragraphs>62</Paragraphs>
  <TotalTime>4</TotalTime>
  <ScaleCrop>false</ScaleCrop>
  <LinksUpToDate>false</LinksUpToDate>
  <CharactersWithSpaces>31151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2025-10-13T00:30:06Z</dcterms:modified>
  <cp:revision>1036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