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7B68C8">
      <w:pPr>
        <w:adjustRightInd w:val="0"/>
        <w:snapToGrid w:val="0"/>
        <w:spacing w:line="288" w:lineRule="auto"/>
        <w:rPr>
          <w:rFonts w:ascii="楷体" w:hAnsi="楷体" w:eastAsia="楷体" w:cs="Times New Roman"/>
          <w:b/>
          <w:color w:val="auto"/>
          <w:spacing w:val="-6"/>
          <w:sz w:val="44"/>
          <w:szCs w:val="44"/>
          <w:highlight w:val="none"/>
        </w:rPr>
      </w:pPr>
    </w:p>
    <w:p w14:paraId="41C108BF">
      <w:pPr>
        <w:adjustRightInd w:val="0"/>
        <w:snapToGrid w:val="0"/>
        <w:spacing w:line="288" w:lineRule="auto"/>
        <w:rPr>
          <w:rFonts w:ascii="楷体" w:hAnsi="楷体" w:eastAsia="楷体" w:cs="Times New Roman"/>
          <w:b/>
          <w:color w:val="auto"/>
          <w:spacing w:val="-6"/>
          <w:sz w:val="44"/>
          <w:szCs w:val="44"/>
          <w:highlight w:val="none"/>
        </w:rPr>
      </w:pPr>
    </w:p>
    <w:p w14:paraId="1A4A5E79">
      <w:pPr>
        <w:adjustRightInd w:val="0"/>
        <w:snapToGrid w:val="0"/>
        <w:spacing w:line="288" w:lineRule="auto"/>
        <w:rPr>
          <w:rFonts w:ascii="楷体" w:hAnsi="楷体" w:eastAsia="楷体" w:cs="Times New Roman"/>
          <w:b/>
          <w:color w:val="auto"/>
          <w:spacing w:val="-6"/>
          <w:sz w:val="44"/>
          <w:szCs w:val="44"/>
          <w:highlight w:val="none"/>
        </w:rPr>
      </w:pPr>
    </w:p>
    <w:p w14:paraId="0A37DAE0">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14:paraId="7B8E39BA">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2025年杭州电子科技大学信息化系统定制化开发服务</w:t>
      </w:r>
    </w:p>
    <w:p w14:paraId="17F23AE8">
      <w:pPr>
        <w:adjustRightInd w:val="0"/>
        <w:snapToGrid w:val="0"/>
        <w:spacing w:line="288" w:lineRule="auto"/>
        <w:jc w:val="center"/>
        <w:rPr>
          <w:rFonts w:ascii="楷体" w:hAnsi="楷体" w:eastAsia="楷体" w:cs="楷体"/>
          <w:b/>
          <w:bCs/>
          <w:color w:val="auto"/>
          <w:sz w:val="48"/>
          <w:szCs w:val="48"/>
          <w:highlight w:val="none"/>
        </w:rPr>
      </w:pPr>
    </w:p>
    <w:p w14:paraId="785FDCB5">
      <w:pPr>
        <w:adjustRightInd w:val="0"/>
        <w:snapToGrid w:val="0"/>
        <w:spacing w:line="288" w:lineRule="auto"/>
        <w:jc w:val="center"/>
        <w:rPr>
          <w:rFonts w:ascii="楷体" w:hAnsi="楷体" w:eastAsia="楷体" w:cs="楷体"/>
          <w:b/>
          <w:bCs/>
          <w:color w:val="auto"/>
          <w:sz w:val="48"/>
          <w:szCs w:val="48"/>
          <w:highlight w:val="none"/>
        </w:rPr>
      </w:pPr>
    </w:p>
    <w:p w14:paraId="4A3FAC56">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14:paraId="70195F72">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14:paraId="6E6E639F">
      <w:pPr>
        <w:adjustRightInd w:val="0"/>
        <w:snapToGrid w:val="0"/>
        <w:spacing w:line="288" w:lineRule="auto"/>
        <w:jc w:val="center"/>
        <w:rPr>
          <w:rFonts w:ascii="楷体" w:hAnsi="楷体" w:eastAsia="楷体" w:cs="楷体"/>
          <w:b/>
          <w:bCs/>
          <w:color w:val="auto"/>
          <w:sz w:val="36"/>
          <w:szCs w:val="36"/>
          <w:highlight w:val="none"/>
        </w:rPr>
      </w:pPr>
    </w:p>
    <w:p w14:paraId="0BD27693">
      <w:pPr>
        <w:adjustRightInd w:val="0"/>
        <w:snapToGrid w:val="0"/>
        <w:spacing w:line="288" w:lineRule="auto"/>
        <w:jc w:val="center"/>
        <w:rPr>
          <w:rFonts w:ascii="楷体" w:hAnsi="楷体" w:eastAsia="楷体" w:cs="楷体"/>
          <w:b/>
          <w:bCs/>
          <w:color w:val="auto"/>
          <w:sz w:val="36"/>
          <w:szCs w:val="36"/>
          <w:highlight w:val="none"/>
        </w:rPr>
      </w:pPr>
    </w:p>
    <w:p w14:paraId="537AA789">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2025年杭州电子科技大学信息化系统定制化开发服务</w:t>
      </w:r>
    </w:p>
    <w:p w14:paraId="62F54FF6">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QSZBB250390ZFCS</w:t>
      </w:r>
    </w:p>
    <w:p w14:paraId="3C9722DC">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14:paraId="43A5FDFE">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14:paraId="2A322ACC">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[2025]81522号、[2025]81523号</w:t>
      </w:r>
    </w:p>
    <w:p w14:paraId="4B3FE318">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14:paraId="6BF15D15">
      <w:pPr>
        <w:adjustRightInd w:val="0"/>
        <w:snapToGrid w:val="0"/>
        <w:spacing w:line="288" w:lineRule="auto"/>
        <w:rPr>
          <w:rFonts w:ascii="楷体" w:hAnsi="楷体" w:eastAsia="楷体" w:cs="楷体"/>
          <w:b/>
          <w:bCs/>
          <w:color w:val="auto"/>
          <w:sz w:val="30"/>
          <w:szCs w:val="30"/>
          <w:highlight w:val="none"/>
        </w:rPr>
      </w:pPr>
    </w:p>
    <w:p w14:paraId="24B2FE88">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14:paraId="6651E10B">
      <w:pPr>
        <w:adjustRightInd w:val="0"/>
        <w:snapToGrid w:val="0"/>
        <w:spacing w:line="288" w:lineRule="auto"/>
        <w:rPr>
          <w:rFonts w:ascii="楷体" w:hAnsi="楷体" w:eastAsia="楷体" w:cs="楷体"/>
          <w:b/>
          <w:bCs/>
          <w:color w:val="auto"/>
          <w:sz w:val="30"/>
          <w:szCs w:val="30"/>
          <w:highlight w:val="none"/>
        </w:rPr>
      </w:pPr>
    </w:p>
    <w:p w14:paraId="30340C3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14:paraId="755B3DB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14:paraId="6C4B1F59">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14:paraId="16F97673">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14:paraId="17B3E913">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14:paraId="532A233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14:paraId="0AEE99F1">
      <w:pPr>
        <w:widowControl/>
        <w:jc w:val="left"/>
        <w:rPr>
          <w:color w:val="auto"/>
          <w:highlight w:val="none"/>
        </w:rPr>
      </w:pPr>
    </w:p>
    <w:p w14:paraId="4D9F16D6">
      <w:pPr>
        <w:widowControl/>
        <w:jc w:val="left"/>
        <w:rPr>
          <w:color w:val="auto"/>
          <w:highlight w:val="none"/>
        </w:rPr>
        <w:sectPr>
          <w:headerReference r:id="rId3" w:type="default"/>
          <w:footerReference r:id="rId4" w:type="default"/>
          <w:pgSz w:w="11906" w:h="16838"/>
          <w:pgMar w:top="1247" w:right="1247" w:bottom="1247" w:left="1247" w:header="142" w:footer="725" w:gutter="0"/>
          <w:pgBorders>
            <w:top w:val="none" w:sz="0" w:space="0"/>
            <w:left w:val="none" w:sz="0" w:space="0"/>
            <w:bottom w:val="none" w:sz="0" w:space="0"/>
            <w:right w:val="none" w:sz="0" w:space="0"/>
          </w:pgBorders>
          <w:pgNumType w:start="1"/>
          <w:cols w:space="425" w:num="1"/>
          <w:docGrid w:type="lines" w:linePitch="312" w:charSpace="0"/>
        </w:sectPr>
      </w:pPr>
    </w:p>
    <w:p w14:paraId="65B6930C">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14:paraId="49CCB97B">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14:paraId="5F072168">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2025年杭州电子科技大学信息化系统定制化开发服务</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2025年11月30日9:00:00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14:paraId="67E3B442">
      <w:pPr>
        <w:adjustRightInd w:val="0"/>
        <w:snapToGrid w:val="0"/>
        <w:spacing w:line="288" w:lineRule="auto"/>
        <w:rPr>
          <w:b/>
          <w:color w:val="auto"/>
          <w:sz w:val="21"/>
          <w:szCs w:val="21"/>
          <w:highlight w:val="none"/>
        </w:rPr>
      </w:pPr>
      <w:bookmarkStart w:id="0" w:name="_Toc28359079"/>
      <w:bookmarkStart w:id="1" w:name="_Toc35393621"/>
      <w:bookmarkStart w:id="2" w:name="_Toc28359002"/>
      <w:bookmarkStart w:id="3" w:name="_Toc35393790"/>
      <w:bookmarkStart w:id="4" w:name="_Hlk24379207"/>
      <w:r>
        <w:rPr>
          <w:rFonts w:hint="eastAsia"/>
          <w:b/>
          <w:color w:val="auto"/>
          <w:sz w:val="21"/>
          <w:szCs w:val="21"/>
          <w:highlight w:val="none"/>
        </w:rPr>
        <w:t>一、项目基本情况</w:t>
      </w:r>
      <w:bookmarkEnd w:id="0"/>
      <w:bookmarkEnd w:id="1"/>
      <w:bookmarkEnd w:id="2"/>
      <w:bookmarkEnd w:id="3"/>
    </w:p>
    <w:p w14:paraId="3C9EB42D">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QSZBB250390ZFCS</w:t>
      </w:r>
    </w:p>
    <w:p w14:paraId="3A79761B">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2025年杭州电子科技大学信息化系统定制化开发服务</w:t>
      </w:r>
    </w:p>
    <w:p w14:paraId="4CB267A9">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14:paraId="2D0828DE">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628000元</w:t>
      </w:r>
    </w:p>
    <w:p w14:paraId="30724871">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最高限价：628000元</w:t>
      </w:r>
    </w:p>
    <w:p w14:paraId="4FB6390F">
      <w:pPr>
        <w:adjustRightInd w:val="0"/>
        <w:snapToGrid w:val="0"/>
        <w:spacing w:line="288" w:lineRule="auto"/>
        <w:ind w:firstLine="420" w:firstLineChars="200"/>
        <w:rPr>
          <w:rFonts w:hint="default"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rPr>
        <w:t>自</w:t>
      </w:r>
      <w:r>
        <w:rPr>
          <w:rFonts w:hint="eastAsia"/>
          <w:color w:val="auto"/>
          <w:spacing w:val="-6"/>
          <w:sz w:val="21"/>
          <w:szCs w:val="21"/>
          <w:highlight w:val="none"/>
          <w:lang w:val="en-US" w:eastAsia="zh-CN"/>
        </w:rPr>
        <w:t>2025年</w:t>
      </w:r>
      <w:r>
        <w:rPr>
          <w:rFonts w:hint="eastAsia"/>
          <w:color w:val="auto"/>
          <w:spacing w:val="-6"/>
          <w:sz w:val="21"/>
          <w:szCs w:val="21"/>
          <w:highlight w:val="none"/>
        </w:rPr>
        <w:t>12月10日</w:t>
      </w:r>
      <w:r>
        <w:rPr>
          <w:rFonts w:hint="eastAsia"/>
          <w:color w:val="auto"/>
          <w:spacing w:val="-6"/>
          <w:sz w:val="21"/>
          <w:szCs w:val="21"/>
          <w:highlight w:val="none"/>
          <w:lang w:val="en-US" w:eastAsia="zh-CN"/>
        </w:rPr>
        <w:t>起</w:t>
      </w:r>
      <w:r>
        <w:rPr>
          <w:rFonts w:hint="eastAsia"/>
          <w:color w:val="auto"/>
          <w:spacing w:val="-6"/>
          <w:sz w:val="21"/>
          <w:szCs w:val="21"/>
          <w:highlight w:val="none"/>
        </w:rPr>
        <w:t>至2026年6月9日</w:t>
      </w:r>
      <w:r>
        <w:rPr>
          <w:rFonts w:hint="eastAsia"/>
          <w:color w:val="auto"/>
          <w:sz w:val="21"/>
          <w:szCs w:val="21"/>
          <w:highlight w:val="none"/>
          <w:lang w:val="en-US" w:eastAsia="zh-CN"/>
        </w:rPr>
        <w:t>前开发完成</w:t>
      </w:r>
    </w:p>
    <w:p w14:paraId="4E5E8608">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14:paraId="122EC58F">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9"/>
        <w:gridCol w:w="3522"/>
        <w:gridCol w:w="828"/>
        <w:gridCol w:w="830"/>
        <w:gridCol w:w="3655"/>
      </w:tblGrid>
      <w:tr w14:paraId="58ACD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410" w:type="pct"/>
            <w:tcBorders>
              <w:tl2br w:val="nil"/>
              <w:tr2bl w:val="nil"/>
            </w:tcBorders>
            <w:vAlign w:val="center"/>
          </w:tcPr>
          <w:p w14:paraId="56676C2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标项</w:t>
            </w:r>
          </w:p>
        </w:tc>
        <w:tc>
          <w:tcPr>
            <w:tcW w:w="1829" w:type="pct"/>
            <w:tcBorders>
              <w:right w:val="single" w:color="auto" w:sz="4" w:space="0"/>
              <w:tl2br w:val="nil"/>
              <w:tr2bl w:val="nil"/>
            </w:tcBorders>
            <w:vAlign w:val="center"/>
          </w:tcPr>
          <w:p w14:paraId="054F468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430" w:type="pct"/>
            <w:tcBorders>
              <w:tl2br w:val="nil"/>
              <w:tr2bl w:val="nil"/>
            </w:tcBorders>
            <w:vAlign w:val="center"/>
          </w:tcPr>
          <w:p w14:paraId="7D52F8E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431" w:type="pct"/>
            <w:tcBorders>
              <w:tl2br w:val="nil"/>
              <w:tr2bl w:val="nil"/>
            </w:tcBorders>
            <w:vAlign w:val="center"/>
          </w:tcPr>
          <w:p w14:paraId="2BB11DC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1898" w:type="pct"/>
            <w:tcBorders>
              <w:right w:val="single" w:color="auto" w:sz="4" w:space="0"/>
              <w:tl2br w:val="nil"/>
              <w:tr2bl w:val="nil"/>
            </w:tcBorders>
            <w:vAlign w:val="center"/>
          </w:tcPr>
          <w:p w14:paraId="1D1B14E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r>
      <w:tr w14:paraId="4D386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10" w:type="pct"/>
            <w:tcBorders>
              <w:tl2br w:val="nil"/>
              <w:tr2bl w:val="nil"/>
            </w:tcBorders>
            <w:vAlign w:val="center"/>
          </w:tcPr>
          <w:p w14:paraId="03C8DBB3">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1829" w:type="pct"/>
            <w:tcBorders>
              <w:right w:val="single" w:color="auto" w:sz="4" w:space="0"/>
              <w:tl2br w:val="nil"/>
              <w:tr2bl w:val="nil"/>
            </w:tcBorders>
            <w:vAlign w:val="center"/>
          </w:tcPr>
          <w:p w14:paraId="74CF1265">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2025年杭州电子科技大学信息化系统定制化开发服务</w:t>
            </w:r>
          </w:p>
        </w:tc>
        <w:tc>
          <w:tcPr>
            <w:tcW w:w="430" w:type="pct"/>
            <w:tcBorders>
              <w:tl2br w:val="nil"/>
              <w:tr2bl w:val="nil"/>
            </w:tcBorders>
            <w:vAlign w:val="center"/>
          </w:tcPr>
          <w:p w14:paraId="43530CFD">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431" w:type="pct"/>
            <w:tcBorders>
              <w:tl2br w:val="nil"/>
              <w:tr2bl w:val="nil"/>
            </w:tcBorders>
            <w:vAlign w:val="center"/>
          </w:tcPr>
          <w:p w14:paraId="6709753F">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项</w:t>
            </w:r>
          </w:p>
        </w:tc>
        <w:tc>
          <w:tcPr>
            <w:tcW w:w="1898" w:type="pct"/>
            <w:tcBorders>
              <w:right w:val="single" w:color="auto" w:sz="4" w:space="0"/>
              <w:tl2br w:val="nil"/>
              <w:tr2bl w:val="nil"/>
            </w:tcBorders>
            <w:vAlign w:val="center"/>
          </w:tcPr>
          <w:p w14:paraId="2E0D4DCF">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r>
    </w:tbl>
    <w:p w14:paraId="5D3AB7D1">
      <w:pPr>
        <w:adjustRightInd w:val="0"/>
        <w:snapToGrid w:val="0"/>
        <w:spacing w:line="288" w:lineRule="auto"/>
        <w:rPr>
          <w:b/>
          <w:color w:val="auto"/>
          <w:sz w:val="21"/>
          <w:szCs w:val="21"/>
          <w:highlight w:val="none"/>
        </w:rPr>
      </w:pPr>
      <w:bookmarkStart w:id="5" w:name="_Toc28359080"/>
      <w:bookmarkStart w:id="6" w:name="_Toc28359003"/>
      <w:bookmarkStart w:id="7" w:name="_Toc35393791"/>
      <w:bookmarkStart w:id="8" w:name="_Toc35393622"/>
      <w:r>
        <w:rPr>
          <w:rFonts w:hint="eastAsia"/>
          <w:b/>
          <w:color w:val="auto"/>
          <w:sz w:val="21"/>
          <w:szCs w:val="21"/>
          <w:highlight w:val="none"/>
        </w:rPr>
        <w:t>二、申请人的资格要求</w:t>
      </w:r>
      <w:bookmarkEnd w:id="5"/>
      <w:bookmarkEnd w:id="6"/>
      <w:bookmarkEnd w:id="7"/>
      <w:bookmarkEnd w:id="8"/>
    </w:p>
    <w:p w14:paraId="02DDC422">
      <w:pPr>
        <w:adjustRightInd w:val="0"/>
        <w:snapToGrid w:val="0"/>
        <w:spacing w:line="288" w:lineRule="auto"/>
        <w:ind w:firstLine="420" w:firstLineChars="200"/>
        <w:rPr>
          <w:rFonts w:cs="Times New Roman"/>
          <w:bCs/>
          <w:color w:val="auto"/>
          <w:sz w:val="21"/>
          <w:szCs w:val="21"/>
          <w:highlight w:val="none"/>
        </w:rPr>
      </w:pPr>
      <w:bookmarkStart w:id="9" w:name="_Toc28359081"/>
      <w:bookmarkStart w:id="10" w:name="_Toc28359004"/>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14:paraId="57D13685">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落实政府采购政策需满足的资格要求：本项目专门面向中小企业采购，需按要求提交《中小企业声明函》。服务全部由中小企业承接，即提供服务的人员为中小企业依照《中华人民共和国劳动合同法》订立劳动合同的从业人员）</w:t>
      </w:r>
      <w:r>
        <w:rPr>
          <w:rFonts w:hint="eastAsia" w:cs="Times New Roman"/>
          <w:color w:val="auto"/>
          <w:sz w:val="21"/>
          <w:szCs w:val="21"/>
          <w:highlight w:val="none"/>
          <w:lang w:eastAsia="zh-CN"/>
        </w:rPr>
        <w:t>。监狱企业、残疾人福利性单位视同小型、微型企业。</w:t>
      </w:r>
    </w:p>
    <w:p w14:paraId="219F25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14:paraId="4DD90332">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14:paraId="3171D5D6">
      <w:pPr>
        <w:adjustRightInd w:val="0"/>
        <w:snapToGrid w:val="0"/>
        <w:spacing w:line="288" w:lineRule="auto"/>
        <w:ind w:firstLine="420" w:firstLineChars="200"/>
        <w:rPr>
          <w:color w:val="auto"/>
          <w:sz w:val="21"/>
          <w:szCs w:val="21"/>
          <w:highlight w:val="none"/>
        </w:rPr>
      </w:pPr>
      <w:bookmarkStart w:id="13" w:name="_Toc35393624"/>
      <w:bookmarkStart w:id="14" w:name="_Toc28359005"/>
      <w:bookmarkStart w:id="15" w:name="_Toc35393793"/>
      <w:bookmarkStart w:id="16" w:name="_Toc28359082"/>
      <w:r>
        <w:rPr>
          <w:rFonts w:hint="eastAsia"/>
          <w:color w:val="auto"/>
          <w:sz w:val="21"/>
          <w:szCs w:val="21"/>
          <w:highlight w:val="none"/>
        </w:rPr>
        <w:t>时间：</w:t>
      </w:r>
      <w:r>
        <w:rPr>
          <w:rFonts w:hint="eastAsia"/>
          <w:color w:val="auto"/>
          <w:sz w:val="21"/>
          <w:szCs w:val="21"/>
          <w:highlight w:val="none"/>
          <w:lang w:eastAsia="zh-CN"/>
        </w:rPr>
        <w:t>202</w:t>
      </w:r>
      <w:r>
        <w:rPr>
          <w:rFonts w:hint="eastAsia"/>
          <w:color w:val="auto"/>
          <w:sz w:val="21"/>
          <w:szCs w:val="21"/>
          <w:highlight w:val="none"/>
          <w:lang w:val="en-US" w:eastAsia="zh-CN"/>
        </w:rPr>
        <w:t>5</w:t>
      </w:r>
      <w:r>
        <w:rPr>
          <w:rFonts w:hint="eastAsia"/>
          <w:color w:val="auto"/>
          <w:sz w:val="21"/>
          <w:szCs w:val="21"/>
          <w:highlight w:val="none"/>
          <w:lang w:eastAsia="zh-CN"/>
        </w:rPr>
        <w:t>年</w:t>
      </w:r>
      <w:r>
        <w:rPr>
          <w:rFonts w:hint="eastAsia"/>
          <w:color w:val="auto"/>
          <w:sz w:val="21"/>
          <w:szCs w:val="21"/>
          <w:highlight w:val="none"/>
          <w:lang w:val="en-US" w:eastAsia="zh-CN"/>
        </w:rPr>
        <w:t>11</w:t>
      </w:r>
      <w:r>
        <w:rPr>
          <w:rFonts w:hint="eastAsia"/>
          <w:color w:val="auto"/>
          <w:sz w:val="21"/>
          <w:szCs w:val="21"/>
          <w:highlight w:val="none"/>
        </w:rPr>
        <w:t>月</w:t>
      </w:r>
      <w:r>
        <w:rPr>
          <w:rFonts w:hint="eastAsia"/>
          <w:color w:val="auto"/>
          <w:sz w:val="21"/>
          <w:szCs w:val="21"/>
          <w:highlight w:val="none"/>
          <w:lang w:val="en-US" w:eastAsia="zh-CN"/>
        </w:rPr>
        <w:t>19</w:t>
      </w:r>
      <w:r>
        <w:rPr>
          <w:rFonts w:hint="eastAsia"/>
          <w:color w:val="auto"/>
          <w:sz w:val="21"/>
          <w:szCs w:val="21"/>
          <w:highlight w:val="none"/>
        </w:rPr>
        <w:t>日至</w:t>
      </w:r>
      <w:r>
        <w:rPr>
          <w:rFonts w:hint="eastAsia"/>
          <w:color w:val="auto"/>
          <w:sz w:val="21"/>
          <w:szCs w:val="21"/>
          <w:highlight w:val="none"/>
          <w:lang w:eastAsia="zh-CN"/>
        </w:rPr>
        <w:t>2025年11月30日</w:t>
      </w:r>
      <w:r>
        <w:rPr>
          <w:rFonts w:hint="eastAsia"/>
          <w:color w:val="auto"/>
          <w:sz w:val="21"/>
          <w:szCs w:val="21"/>
          <w:highlight w:val="none"/>
        </w:rPr>
        <w:t>，每天上午00:00至12:00，下午12:00至23:59（北京时间，线上获取法定节假日均可，线下获取文件法定节假日除外）</w:t>
      </w:r>
    </w:p>
    <w:p w14:paraId="572FE41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14:paraId="03C88F2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14:paraId="6151022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14:paraId="541585B5">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14:paraId="0E387A23">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2025年11月30日9:00:00</w:t>
      </w:r>
      <w:r>
        <w:rPr>
          <w:rFonts w:hint="eastAsia"/>
          <w:bCs/>
          <w:color w:val="auto"/>
          <w:sz w:val="21"/>
          <w:szCs w:val="21"/>
          <w:highlight w:val="none"/>
        </w:rPr>
        <w:t>（北京时间）</w:t>
      </w:r>
    </w:p>
    <w:p w14:paraId="56ECD50C">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14:paraId="7E8B3900">
      <w:pPr>
        <w:adjustRightInd w:val="0"/>
        <w:snapToGrid w:val="0"/>
        <w:spacing w:line="288" w:lineRule="auto"/>
        <w:rPr>
          <w:b/>
          <w:color w:val="auto"/>
          <w:sz w:val="21"/>
          <w:szCs w:val="21"/>
          <w:highlight w:val="none"/>
        </w:rPr>
      </w:pPr>
      <w:bookmarkStart w:id="17" w:name="_Toc28359007"/>
      <w:bookmarkStart w:id="18" w:name="_Toc35393794"/>
      <w:bookmarkStart w:id="19" w:name="_Toc28359084"/>
      <w:bookmarkStart w:id="20" w:name="_Toc35393625"/>
      <w:r>
        <w:rPr>
          <w:rFonts w:hint="eastAsia"/>
          <w:b/>
          <w:color w:val="auto"/>
          <w:sz w:val="21"/>
          <w:szCs w:val="21"/>
          <w:highlight w:val="none"/>
        </w:rPr>
        <w:t>五、响应文件开启</w:t>
      </w:r>
    </w:p>
    <w:p w14:paraId="45BB6AD7">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2025年11月30日9:00:00</w:t>
      </w:r>
      <w:r>
        <w:rPr>
          <w:rFonts w:hint="eastAsia"/>
          <w:bCs/>
          <w:color w:val="auto"/>
          <w:sz w:val="21"/>
          <w:szCs w:val="21"/>
          <w:highlight w:val="none"/>
        </w:rPr>
        <w:t>（北京时间）</w:t>
      </w:r>
    </w:p>
    <w:p w14:paraId="58E960AC">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w:t>
      </w:r>
      <w:r>
        <w:rPr>
          <w:rFonts w:hint="eastAsia" w:cs="Times New Roman"/>
          <w:color w:val="auto"/>
          <w:sz w:val="21"/>
          <w:szCs w:val="21"/>
          <w:highlight w:val="none"/>
          <w:lang w:val="en-US" w:eastAsia="zh-CN"/>
        </w:rPr>
        <w:t>1</w:t>
      </w:r>
      <w:r>
        <w:rPr>
          <w:rFonts w:hint="eastAsia" w:cs="Times New Roman"/>
          <w:color w:val="auto"/>
          <w:sz w:val="21"/>
          <w:szCs w:val="21"/>
          <w:highlight w:val="none"/>
        </w:rPr>
        <w:t>）</w:t>
      </w:r>
    </w:p>
    <w:p w14:paraId="6A17049A">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14:paraId="6D267E17">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14:paraId="0C5FB00D">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14:paraId="1F3C82AB">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28359085"/>
      <w:bookmarkStart w:id="25" w:name="_Toc35393627"/>
      <w:bookmarkStart w:id="26" w:name="_Toc28359008"/>
      <w:bookmarkStart w:id="27" w:name="_Toc35393796"/>
      <w:r>
        <w:rPr>
          <w:rFonts w:hint="eastAsia" w:cs="Times New Roman"/>
          <w:color w:val="auto"/>
          <w:sz w:val="21"/>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0BF36B14">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729683">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02A525D7">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14:paraId="271D616C">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14:paraId="4DFBA99D">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14:paraId="6C34B939">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14:paraId="6A9EF8FA">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1.采购人信息</w:t>
      </w:r>
    </w:p>
    <w:p w14:paraId="70663439">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名称：杭州电子科技大学</w:t>
      </w:r>
    </w:p>
    <w:p w14:paraId="63D7F0F7">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地址：杭州市钱塘区白杨街道2号大街1158号</w:t>
      </w:r>
    </w:p>
    <w:p w14:paraId="1E63DD88">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14:paraId="05B75D24">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项目联系人（询问）：刘老师</w:t>
      </w:r>
    </w:p>
    <w:p w14:paraId="40999F03">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项目联系方式（询问）：15957198415</w:t>
      </w:r>
    </w:p>
    <w:p w14:paraId="3B5B75B9">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质疑联系人：李老师</w:t>
      </w:r>
    </w:p>
    <w:p w14:paraId="11ED4CA2">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质疑联系方式：0571-86915026</w:t>
      </w:r>
    </w:p>
    <w:p w14:paraId="6C393A99">
      <w:pPr>
        <w:adjustRightInd w:val="0"/>
        <w:snapToGrid w:val="0"/>
        <w:spacing w:line="288" w:lineRule="auto"/>
        <w:ind w:firstLine="451" w:firstLineChars="215"/>
        <w:rPr>
          <w:rFonts w:hint="eastAsia"/>
          <w:color w:val="auto"/>
          <w:sz w:val="21"/>
          <w:szCs w:val="21"/>
          <w:highlight w:val="none"/>
        </w:rPr>
      </w:pPr>
    </w:p>
    <w:p w14:paraId="7644660F">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2.采购代理机构信息</w:t>
      </w:r>
    </w:p>
    <w:p w14:paraId="2B4FD4BE">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名称：浙江求是招标代理有限公司</w:t>
      </w:r>
    </w:p>
    <w:p w14:paraId="2477C0DF">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地址：杭州市西湖区玉古路173号中田大厦21楼</w:t>
      </w:r>
    </w:p>
    <w:p w14:paraId="275C3271">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14:paraId="49A3BC82">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项目联系人（询问）：陈应俭、俞炳、朱建飞</w:t>
      </w:r>
    </w:p>
    <w:p w14:paraId="27326F35">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项目联系方式（询问）：0571-87670302</w:t>
      </w:r>
    </w:p>
    <w:p w14:paraId="7C62E27D">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质疑联系人：周安琪</w:t>
      </w:r>
    </w:p>
    <w:p w14:paraId="3B632F80">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质疑联系方式：0571-81110356</w:t>
      </w:r>
    </w:p>
    <w:p w14:paraId="0BDEDABA">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质疑邮箱：jdkh@qszb.net</w:t>
      </w:r>
    </w:p>
    <w:p w14:paraId="3979C127">
      <w:pPr>
        <w:adjustRightInd w:val="0"/>
        <w:snapToGrid w:val="0"/>
        <w:spacing w:line="288" w:lineRule="auto"/>
        <w:ind w:firstLine="451" w:firstLineChars="215"/>
        <w:rPr>
          <w:rFonts w:hint="eastAsia"/>
          <w:color w:val="auto"/>
          <w:sz w:val="21"/>
          <w:szCs w:val="21"/>
          <w:highlight w:val="none"/>
        </w:rPr>
      </w:pPr>
    </w:p>
    <w:p w14:paraId="228F9312">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3.同级政府采购监督管理部门</w:t>
      </w:r>
    </w:p>
    <w:p w14:paraId="237E69EE">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名称：杭州电子科技大学国有资产与实验室管理处</w:t>
      </w:r>
    </w:p>
    <w:p w14:paraId="53D7B213">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地址：杭州市钱塘区白杨街道2号大街1158号</w:t>
      </w:r>
    </w:p>
    <w:p w14:paraId="22FB8F19">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14:paraId="0A0E3808">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联系人：亓老师</w:t>
      </w:r>
    </w:p>
    <w:p w14:paraId="11872E4C">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监督投诉电话：0571-87713574</w:t>
      </w:r>
    </w:p>
    <w:p w14:paraId="45C8794C">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政策咨询：何一平、冯华，0571-87058424、87055741</w:t>
      </w:r>
    </w:p>
    <w:p w14:paraId="7C3085C2">
      <w:pPr>
        <w:adjustRightInd w:val="0"/>
        <w:snapToGrid w:val="0"/>
        <w:spacing w:line="288" w:lineRule="auto"/>
        <w:ind w:firstLine="451" w:firstLineChars="215"/>
        <w:rPr>
          <w:rFonts w:cs="Times New Roman"/>
          <w:color w:val="auto"/>
          <w:spacing w:val="-6"/>
          <w:sz w:val="21"/>
          <w:szCs w:val="21"/>
          <w:highlight w:val="none"/>
        </w:rPr>
      </w:pPr>
      <w:r>
        <w:rPr>
          <w:rFonts w:hint="eastAsia"/>
          <w:color w:val="auto"/>
          <w:sz w:val="21"/>
          <w:szCs w:val="21"/>
          <w:highlight w:val="none"/>
        </w:rPr>
        <w:t>预算金额未达100万元的采购项目，由采购人处理采购争议。</w:t>
      </w:r>
    </w:p>
    <w:p w14:paraId="5FCCB1A3">
      <w:pPr>
        <w:adjustRightInd w:val="0"/>
        <w:snapToGrid w:val="0"/>
        <w:spacing w:line="288" w:lineRule="auto"/>
        <w:rPr>
          <w:rFonts w:cs="Times New Roman"/>
          <w:color w:val="auto"/>
          <w:spacing w:val="-6"/>
          <w:sz w:val="21"/>
          <w:szCs w:val="21"/>
          <w:highlight w:val="none"/>
        </w:rPr>
      </w:pPr>
    </w:p>
    <w:p w14:paraId="125FF73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14:paraId="3CF76D2C">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14:paraId="799EE99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96EE171">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14:paraId="35490F9A">
      <w:pPr>
        <w:adjustRightInd w:val="0"/>
        <w:snapToGrid w:val="0"/>
        <w:spacing w:line="288" w:lineRule="auto"/>
        <w:jc w:val="left"/>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107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rPr>
        <w:tc>
          <w:tcPr>
            <w:tcW w:w="708" w:type="dxa"/>
            <w:vAlign w:val="center"/>
          </w:tcPr>
          <w:p w14:paraId="534A0CC5">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9" w:name="_Hlk45005599"/>
            <w:r>
              <w:rPr>
                <w:rFonts w:hint="eastAsia"/>
                <w:b/>
                <w:bCs/>
                <w:color w:val="auto"/>
                <w:sz w:val="21"/>
                <w:szCs w:val="21"/>
                <w:highlight w:val="none"/>
              </w:rPr>
              <w:t>序号</w:t>
            </w:r>
          </w:p>
        </w:tc>
        <w:tc>
          <w:tcPr>
            <w:tcW w:w="3256" w:type="dxa"/>
            <w:vAlign w:val="center"/>
          </w:tcPr>
          <w:p w14:paraId="7D05635B">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529" w:type="dxa"/>
            <w:vAlign w:val="center"/>
          </w:tcPr>
          <w:p w14:paraId="49746822">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14:paraId="06F9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69B5721">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256" w:type="dxa"/>
            <w:vAlign w:val="center"/>
          </w:tcPr>
          <w:p w14:paraId="7B1AD0F8">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529" w:type="dxa"/>
            <w:vAlign w:val="center"/>
          </w:tcPr>
          <w:p w14:paraId="46859554">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14:paraId="309D8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4740808B">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256" w:type="dxa"/>
            <w:vAlign w:val="center"/>
          </w:tcPr>
          <w:p w14:paraId="74ACFD6A">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529" w:type="dxa"/>
            <w:vAlign w:val="center"/>
          </w:tcPr>
          <w:p w14:paraId="0142274D">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14:paraId="5D8B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29B3F025">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256" w:type="dxa"/>
            <w:vAlign w:val="center"/>
          </w:tcPr>
          <w:p w14:paraId="607CC33E">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529" w:type="dxa"/>
            <w:vAlign w:val="center"/>
          </w:tcPr>
          <w:p w14:paraId="6C4E259B">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14:paraId="4049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57C599">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256" w:type="dxa"/>
            <w:vAlign w:val="center"/>
          </w:tcPr>
          <w:p w14:paraId="7E8D0A9C">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529" w:type="dxa"/>
            <w:vAlign w:val="center"/>
          </w:tcPr>
          <w:p w14:paraId="3C5EA136">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不适用</w:t>
            </w:r>
          </w:p>
        </w:tc>
      </w:tr>
      <w:tr w14:paraId="4458E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D3AE118">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256" w:type="dxa"/>
            <w:vAlign w:val="center"/>
          </w:tcPr>
          <w:p w14:paraId="010AA2CD">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529" w:type="dxa"/>
            <w:vAlign w:val="center"/>
          </w:tcPr>
          <w:p w14:paraId="258B7E50">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w:t>
            </w:r>
            <w:r>
              <w:rPr>
                <w:rFonts w:hint="eastAsia"/>
                <w:color w:val="auto"/>
                <w:sz w:val="21"/>
                <w:szCs w:val="21"/>
                <w:highlight w:val="none"/>
                <w:lang w:val="en-US" w:eastAsia="zh-CN"/>
              </w:rPr>
              <w:t>资格</w:t>
            </w:r>
            <w:r>
              <w:rPr>
                <w:rFonts w:hint="eastAsia"/>
                <w:color w:val="auto"/>
                <w:sz w:val="21"/>
                <w:szCs w:val="21"/>
                <w:highlight w:val="none"/>
              </w:rPr>
              <w:t>文件”</w:t>
            </w:r>
          </w:p>
          <w:p w14:paraId="535EC71E">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本项目属性为：</w:t>
            </w:r>
            <w:r>
              <w:rPr>
                <w:rFonts w:hint="default" w:cs="Times New Roman"/>
                <w:b/>
                <w:bCs/>
                <w:color w:val="auto"/>
                <w:sz w:val="21"/>
                <w:szCs w:val="21"/>
                <w:highlight w:val="none"/>
              </w:rPr>
              <w:t>服务</w:t>
            </w:r>
          </w:p>
          <w:p w14:paraId="26308D53">
            <w:pPr>
              <w:keepNext w:val="0"/>
              <w:keepLines w:val="0"/>
              <w:suppressLineNumbers w:val="0"/>
              <w:adjustRightInd w:val="0"/>
              <w:snapToGrid w:val="0"/>
              <w:spacing w:before="0" w:beforeAutospacing="0" w:after="0" w:afterAutospacing="0" w:line="288" w:lineRule="auto"/>
              <w:ind w:left="0" w:right="0"/>
              <w:jc w:val="left"/>
              <w:rPr>
                <w:rFonts w:hint="default" w:eastAsia="宋体" w:cs="Times New Roman"/>
                <w:b/>
                <w:bCs/>
                <w:color w:val="auto"/>
                <w:sz w:val="21"/>
                <w:szCs w:val="21"/>
                <w:highlight w:val="none"/>
                <w:lang w:val="en-US" w:eastAsia="zh-CN"/>
              </w:rPr>
            </w:pPr>
            <w:r>
              <w:rPr>
                <w:rFonts w:hint="eastAsia" w:cs="Times New Roman"/>
                <w:b/>
                <w:bCs/>
                <w:color w:val="auto"/>
                <w:sz w:val="21"/>
                <w:szCs w:val="21"/>
                <w:highlight w:val="none"/>
              </w:rPr>
              <w:t>采购标的对应的中小企业划分标准所属行业：</w:t>
            </w:r>
            <w:r>
              <w:rPr>
                <w:rFonts w:hint="eastAsia" w:cs="Times New Roman"/>
                <w:b/>
                <w:bCs/>
                <w:color w:val="auto"/>
                <w:sz w:val="21"/>
                <w:szCs w:val="21"/>
                <w:highlight w:val="none"/>
                <w:lang w:val="en-US" w:eastAsia="zh-CN"/>
              </w:rPr>
              <w:t>软件和信息技术服务业</w:t>
            </w:r>
          </w:p>
          <w:p w14:paraId="5BB51830">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5757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AEA5BB">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256" w:type="dxa"/>
            <w:vAlign w:val="center"/>
          </w:tcPr>
          <w:p w14:paraId="7FA571E5">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529" w:type="dxa"/>
            <w:vAlign w:val="center"/>
          </w:tcPr>
          <w:p w14:paraId="78D00656">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提供材料详见磋商文件第六章“资格文件”</w:t>
            </w:r>
          </w:p>
        </w:tc>
      </w:tr>
      <w:tr w14:paraId="4518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74B8DF5">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256" w:type="dxa"/>
            <w:vAlign w:val="center"/>
          </w:tcPr>
          <w:p w14:paraId="7D8A1BCD">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529" w:type="dxa"/>
            <w:vAlign w:val="center"/>
          </w:tcPr>
          <w:p w14:paraId="6D8F1EB8">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提供材料详见磋商文件第六章“资格文件”</w:t>
            </w:r>
          </w:p>
        </w:tc>
      </w:tr>
      <w:bookmarkEnd w:id="29"/>
    </w:tbl>
    <w:p w14:paraId="5054AF91">
      <w:pPr>
        <w:adjustRightInd w:val="0"/>
        <w:snapToGrid w:val="0"/>
        <w:spacing w:line="288" w:lineRule="auto"/>
        <w:jc w:val="left"/>
        <w:rPr>
          <w:color w:val="auto"/>
          <w:sz w:val="21"/>
          <w:szCs w:val="21"/>
          <w:highlight w:val="none"/>
        </w:rPr>
      </w:pPr>
    </w:p>
    <w:p w14:paraId="3209EC1B">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1.合同签订后5个工作日内，中标人向采购人提交合同总价1%的履约保证金，履约保证金在合同履约期间无违约情形的，项目验收结束后，于7个工作日内退还（不计息）；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 w:val="21"/>
                <w:szCs w:val="21"/>
                <w:highlight w:val="none"/>
              </w:rPr>
            </w:pPr>
            <w:bookmarkStart w:id="30" w:name="_Hlk45005608"/>
            <w:r>
              <w:rPr>
                <w:rFonts w:hint="eastAsia" w:ascii="宋体" w:hAnsi="宋体" w:eastAsia="宋体"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6572146A">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1.合同生效以及具备实施条件且</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已向</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提交银行、保险公司等金融机构出具的预付款保函后，7个工作日内，</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支付合同总价的</w:t>
            </w:r>
            <w:r>
              <w:rPr>
                <w:rFonts w:hint="eastAsia" w:ascii="宋体" w:hAnsi="宋体" w:eastAsia="宋体" w:cs="宋体"/>
                <w:color w:val="auto"/>
                <w:spacing w:val="-6"/>
                <w:kern w:val="0"/>
                <w:sz w:val="21"/>
                <w:szCs w:val="21"/>
                <w:highlight w:val="none"/>
                <w:lang w:val="en-US" w:eastAsia="zh-CN"/>
              </w:rPr>
              <w:t>70</w:t>
            </w:r>
            <w:r>
              <w:rPr>
                <w:rFonts w:hint="eastAsia" w:ascii="宋体" w:hAnsi="宋体" w:eastAsia="宋体" w:cs="宋体"/>
                <w:color w:val="auto"/>
                <w:spacing w:val="-6"/>
                <w:kern w:val="0"/>
                <w:sz w:val="21"/>
                <w:szCs w:val="21"/>
                <w:highlight w:val="none"/>
              </w:rPr>
              <w:t>%；服务完成，经</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验收合格并收到增值税发票后7个工作日内，向</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支付合同总价的</w:t>
            </w:r>
            <w:r>
              <w:rPr>
                <w:rFonts w:hint="eastAsia" w:ascii="宋体" w:hAnsi="宋体" w:eastAsia="宋体" w:cs="宋体"/>
                <w:color w:val="auto"/>
                <w:spacing w:val="-6"/>
                <w:kern w:val="0"/>
                <w:sz w:val="21"/>
                <w:szCs w:val="21"/>
                <w:highlight w:val="none"/>
                <w:lang w:val="en-US" w:eastAsia="zh-CN"/>
              </w:rPr>
              <w:t>30</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spacing w:val="-6"/>
                <w:kern w:val="0"/>
                <w:sz w:val="21"/>
                <w:szCs w:val="21"/>
                <w:highlight w:val="none"/>
                <w:lang w:val="en-US" w:eastAsia="zh-CN"/>
              </w:rPr>
              <w:t>。</w:t>
            </w:r>
          </w:p>
          <w:p w14:paraId="683554F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2.在签订合同时，供应商明确表示无需预付款或者主动要求降低预付款比例的，可降低预付款比例（预付款保函同步调整）。</w:t>
            </w:r>
          </w:p>
          <w:p w14:paraId="3F8BDF94">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rPr>
              <w:t>3</w:t>
            </w:r>
            <w:r>
              <w:rPr>
                <w:rFonts w:hint="eastAsia" w:ascii="宋体" w:hAnsi="宋体" w:eastAsia="宋体" w:cs="宋体"/>
                <w:color w:val="auto"/>
                <w:spacing w:val="-6"/>
                <w:kern w:val="0"/>
                <w:sz w:val="21"/>
                <w:szCs w:val="21"/>
                <w:highlight w:val="none"/>
              </w:rPr>
              <w:t>.若供应商收取预付款，要求预付款保函有效期覆盖项目验收合格时间；提供了预付款保函则供应商无需再缴纳履约保证金。</w:t>
            </w:r>
          </w:p>
          <w:p w14:paraId="6C2B6F0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rPr>
              <w:t>4</w:t>
            </w:r>
            <w:r>
              <w:rPr>
                <w:rFonts w:hint="eastAsia" w:ascii="宋体" w:hAnsi="宋体" w:eastAsia="宋体" w:cs="宋体"/>
                <w:color w:val="auto"/>
                <w:spacing w:val="-6"/>
                <w:kern w:val="0"/>
                <w:sz w:val="21"/>
                <w:szCs w:val="21"/>
                <w:highlight w:val="none"/>
              </w:rPr>
              <w:t>.签订合同时中标人明确表示无需预付款的，可以采用以下付款方式：</w:t>
            </w:r>
          </w:p>
          <w:p w14:paraId="7247D5B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①一次性付款：服务完成，</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验收合格并收到发票后10个工作日内，采购人向中标人支付全部合同价款。</w:t>
            </w:r>
          </w:p>
          <w:p w14:paraId="0A84B33A">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注：付款前，中标人须交纳合同约定的履约保证金（如有）并提供采购人财务处开具的履约保证金收据，中标人向采购人开具等额有效的合格增值税专用发票。采购人开票信息如下：</w:t>
            </w:r>
          </w:p>
          <w:p w14:paraId="73B75ABF">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开户银行：工行杭州高新支行。账号：1202026209008806216</w:t>
            </w:r>
          </w:p>
        </w:tc>
      </w:tr>
      <w:bookmarkEnd w:id="30"/>
    </w:tbl>
    <w:p w14:paraId="3C74C0E0">
      <w:pPr>
        <w:adjustRightInd w:val="0"/>
        <w:snapToGrid w:val="0"/>
        <w:spacing w:line="288" w:lineRule="auto"/>
        <w:rPr>
          <w:color w:val="auto"/>
          <w:sz w:val="21"/>
          <w:szCs w:val="21"/>
          <w:highlight w:val="none"/>
        </w:rPr>
        <w:sectPr>
          <w:footerReference r:id="rId5" w:type="default"/>
          <w:pgSz w:w="11906" w:h="16838"/>
          <w:pgMar w:top="1247" w:right="1247" w:bottom="1247" w:left="1247" w:header="142" w:footer="725" w:gutter="0"/>
          <w:pgBorders>
            <w:top w:val="none" w:sz="0" w:space="0"/>
            <w:left w:val="none" w:sz="0" w:space="0"/>
            <w:bottom w:val="none" w:sz="0" w:space="0"/>
            <w:right w:val="none" w:sz="0" w:space="0"/>
          </w:pgBorders>
          <w:pgNumType w:start="1"/>
          <w:cols w:space="425" w:num="1"/>
          <w:docGrid w:type="lines" w:linePitch="312" w:charSpace="0"/>
        </w:sectPr>
      </w:pPr>
    </w:p>
    <w:p w14:paraId="16B36800">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w:t>
      </w:r>
    </w:p>
    <w:tbl>
      <w:tblPr>
        <w:tblStyle w:val="11"/>
        <w:tblW w:w="512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11"/>
        <w:gridCol w:w="319"/>
        <w:gridCol w:w="332"/>
        <w:gridCol w:w="9"/>
        <w:gridCol w:w="221"/>
        <w:gridCol w:w="267"/>
        <w:gridCol w:w="32"/>
        <w:gridCol w:w="536"/>
        <w:gridCol w:w="81"/>
        <w:gridCol w:w="82"/>
        <w:gridCol w:w="296"/>
        <w:gridCol w:w="286"/>
        <w:gridCol w:w="19"/>
        <w:gridCol w:w="529"/>
        <w:gridCol w:w="603"/>
        <w:gridCol w:w="20"/>
        <w:gridCol w:w="149"/>
        <w:gridCol w:w="461"/>
        <w:gridCol w:w="354"/>
        <w:gridCol w:w="357"/>
        <w:gridCol w:w="592"/>
        <w:gridCol w:w="550"/>
        <w:gridCol w:w="251"/>
        <w:gridCol w:w="1394"/>
        <w:gridCol w:w="2562"/>
        <w:gridCol w:w="1957"/>
        <w:gridCol w:w="1844"/>
        <w:gridCol w:w="2"/>
      </w:tblGrid>
      <w:tr w14:paraId="2ACE7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0" w:hRule="atLeast"/>
        </w:trPr>
        <w:tc>
          <w:tcPr>
            <w:tcW w:w="5000" w:type="pct"/>
            <w:gridSpan w:val="28"/>
            <w:tcBorders>
              <w:top w:val="single" w:color="000000" w:sz="4" w:space="0"/>
              <w:left w:val="single" w:color="000000" w:sz="4" w:space="0"/>
              <w:bottom w:val="single" w:color="000000" w:sz="4" w:space="0"/>
              <w:right w:val="single" w:color="000000" w:sz="4" w:space="0"/>
            </w:tcBorders>
            <w:noWrap/>
            <w:vAlign w:val="center"/>
          </w:tcPr>
          <w:p w14:paraId="5AD9C7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一、学科数据审计监测平台</w:t>
            </w:r>
          </w:p>
        </w:tc>
      </w:tr>
      <w:tr w14:paraId="2E86E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restart"/>
            <w:tcBorders>
              <w:top w:val="single" w:color="000000" w:sz="4" w:space="0"/>
              <w:left w:val="single" w:color="000000" w:sz="4" w:space="0"/>
              <w:bottom w:val="single" w:color="000000" w:sz="4" w:space="0"/>
              <w:right w:val="single" w:color="000000" w:sz="4" w:space="0"/>
            </w:tcBorders>
            <w:noWrap/>
            <w:vAlign w:val="center"/>
          </w:tcPr>
          <w:p w14:paraId="663B6B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395" w:type="pct"/>
            <w:gridSpan w:val="6"/>
            <w:vMerge w:val="restart"/>
            <w:tcBorders>
              <w:top w:val="single" w:color="000000" w:sz="4" w:space="0"/>
              <w:left w:val="single" w:color="000000" w:sz="4" w:space="0"/>
              <w:bottom w:val="single" w:color="000000" w:sz="4" w:space="0"/>
              <w:right w:val="single" w:color="000000" w:sz="4" w:space="0"/>
            </w:tcBorders>
            <w:noWrap/>
            <w:vAlign w:val="center"/>
          </w:tcPr>
          <w:p w14:paraId="459DDC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模块</w:t>
            </w:r>
          </w:p>
        </w:tc>
        <w:tc>
          <w:tcPr>
            <w:tcW w:w="1145" w:type="pct"/>
            <w:gridSpan w:val="12"/>
            <w:vMerge w:val="restart"/>
            <w:tcBorders>
              <w:top w:val="single" w:color="000000" w:sz="4" w:space="0"/>
              <w:left w:val="single" w:color="000000" w:sz="4" w:space="0"/>
              <w:bottom w:val="single" w:color="000000" w:sz="4" w:space="0"/>
              <w:right w:val="single" w:color="000000" w:sz="4" w:space="0"/>
            </w:tcBorders>
            <w:noWrap/>
            <w:vAlign w:val="center"/>
          </w:tcPr>
          <w:p w14:paraId="1BF896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子模块</w:t>
            </w:r>
          </w:p>
        </w:tc>
        <w:tc>
          <w:tcPr>
            <w:tcW w:w="1053" w:type="pct"/>
            <w:gridSpan w:val="5"/>
            <w:vMerge w:val="restart"/>
            <w:tcBorders>
              <w:top w:val="single" w:color="000000" w:sz="4" w:space="0"/>
              <w:left w:val="nil"/>
              <w:bottom w:val="single" w:color="000000" w:sz="4" w:space="0"/>
              <w:right w:val="single" w:color="000000" w:sz="4" w:space="0"/>
            </w:tcBorders>
            <w:noWrap/>
            <w:vAlign w:val="center"/>
          </w:tcPr>
          <w:p w14:paraId="6A54D3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模块字段</w:t>
            </w:r>
          </w:p>
        </w:tc>
        <w:tc>
          <w:tcPr>
            <w:tcW w:w="2133" w:type="pct"/>
            <w:gridSpan w:val="4"/>
            <w:tcBorders>
              <w:top w:val="single" w:color="000000" w:sz="4" w:space="0"/>
              <w:left w:val="single" w:color="000000" w:sz="4" w:space="0"/>
              <w:bottom w:val="single" w:color="000000" w:sz="4" w:space="0"/>
              <w:right w:val="single" w:color="000000" w:sz="4" w:space="0"/>
            </w:tcBorders>
            <w:noWrap/>
            <w:vAlign w:val="center"/>
          </w:tcPr>
          <w:p w14:paraId="6627A0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角色及功能</w:t>
            </w:r>
          </w:p>
        </w:tc>
      </w:tr>
      <w:tr w14:paraId="38258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54B5C7F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b/>
                <w:bCs/>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3FCC363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b/>
                <w:bCs/>
                <w:i w:val="0"/>
                <w:iCs w:val="0"/>
                <w:color w:val="auto"/>
                <w:sz w:val="21"/>
                <w:szCs w:val="21"/>
                <w:highlight w:val="none"/>
                <w:u w:val="none"/>
              </w:rPr>
            </w:pPr>
          </w:p>
        </w:tc>
        <w:tc>
          <w:tcPr>
            <w:tcW w:w="1145" w:type="pct"/>
            <w:gridSpan w:val="12"/>
            <w:vMerge w:val="continue"/>
            <w:tcBorders>
              <w:top w:val="single" w:color="000000" w:sz="4" w:space="0"/>
              <w:left w:val="single" w:color="000000" w:sz="4" w:space="0"/>
              <w:bottom w:val="single" w:color="000000" w:sz="4" w:space="0"/>
              <w:right w:val="single" w:color="000000" w:sz="4" w:space="0"/>
            </w:tcBorders>
            <w:noWrap/>
            <w:vAlign w:val="center"/>
          </w:tcPr>
          <w:p w14:paraId="028CE75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b/>
                <w:bCs/>
                <w:i w:val="0"/>
                <w:iCs w:val="0"/>
                <w:color w:val="auto"/>
                <w:sz w:val="21"/>
                <w:szCs w:val="21"/>
                <w:highlight w:val="none"/>
                <w:u w:val="none"/>
              </w:rPr>
            </w:pPr>
          </w:p>
        </w:tc>
        <w:tc>
          <w:tcPr>
            <w:tcW w:w="1053" w:type="pct"/>
            <w:gridSpan w:val="5"/>
            <w:vMerge w:val="continue"/>
            <w:tcBorders>
              <w:top w:val="single" w:color="000000" w:sz="4" w:space="0"/>
              <w:left w:val="nil"/>
              <w:bottom w:val="single" w:color="000000" w:sz="4" w:space="0"/>
              <w:right w:val="single" w:color="000000" w:sz="4" w:space="0"/>
            </w:tcBorders>
            <w:noWrap/>
            <w:vAlign w:val="center"/>
          </w:tcPr>
          <w:p w14:paraId="4240D24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b/>
                <w:bCs/>
                <w:i w:val="0"/>
                <w:iCs w:val="0"/>
                <w:color w:val="auto"/>
                <w:sz w:val="21"/>
                <w:szCs w:val="21"/>
                <w:highlight w:val="none"/>
                <w:u w:val="none"/>
              </w:rPr>
            </w:pPr>
          </w:p>
        </w:tc>
        <w:tc>
          <w:tcPr>
            <w:tcW w:w="858" w:type="pct"/>
            <w:tcBorders>
              <w:top w:val="single" w:color="000000" w:sz="4" w:space="0"/>
              <w:left w:val="single" w:color="000000" w:sz="4" w:space="0"/>
              <w:bottom w:val="single" w:color="000000" w:sz="4" w:space="0"/>
              <w:right w:val="single" w:color="000000" w:sz="4" w:space="0"/>
            </w:tcBorders>
            <w:noWrap/>
            <w:vAlign w:val="center"/>
          </w:tcPr>
          <w:p w14:paraId="15A07D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省级管理员</w:t>
            </w:r>
          </w:p>
        </w:tc>
        <w:tc>
          <w:tcPr>
            <w:tcW w:w="656" w:type="pct"/>
            <w:tcBorders>
              <w:top w:val="single" w:color="000000" w:sz="4" w:space="0"/>
              <w:left w:val="single" w:color="000000" w:sz="4" w:space="0"/>
              <w:bottom w:val="single" w:color="000000" w:sz="4" w:space="0"/>
              <w:right w:val="single" w:color="000000" w:sz="4" w:space="0"/>
            </w:tcBorders>
            <w:noWrap/>
            <w:vAlign w:val="center"/>
          </w:tcPr>
          <w:p w14:paraId="18C7B6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学校用户</w:t>
            </w:r>
          </w:p>
        </w:tc>
        <w:tc>
          <w:tcPr>
            <w:tcW w:w="618" w:type="pct"/>
            <w:gridSpan w:val="2"/>
            <w:tcBorders>
              <w:top w:val="single" w:color="000000" w:sz="4" w:space="0"/>
              <w:left w:val="single" w:color="000000" w:sz="4" w:space="0"/>
              <w:bottom w:val="single" w:color="000000" w:sz="4" w:space="0"/>
              <w:right w:val="single" w:color="000000" w:sz="4" w:space="0"/>
            </w:tcBorders>
            <w:noWrap/>
            <w:vAlign w:val="center"/>
          </w:tcPr>
          <w:p w14:paraId="51DD79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省级用户</w:t>
            </w:r>
          </w:p>
        </w:tc>
      </w:tr>
      <w:tr w14:paraId="6924C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restart"/>
            <w:tcBorders>
              <w:top w:val="single" w:color="000000" w:sz="4" w:space="0"/>
              <w:left w:val="single" w:color="000000" w:sz="4" w:space="0"/>
              <w:bottom w:val="single" w:color="000000" w:sz="4" w:space="0"/>
              <w:right w:val="single" w:color="000000" w:sz="4" w:space="0"/>
            </w:tcBorders>
            <w:noWrap/>
            <w:vAlign w:val="center"/>
          </w:tcPr>
          <w:p w14:paraId="24F8A9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5" w:type="pct"/>
            <w:gridSpan w:val="6"/>
            <w:vMerge w:val="restart"/>
            <w:tcBorders>
              <w:top w:val="single" w:color="000000" w:sz="4" w:space="0"/>
              <w:left w:val="single" w:color="000000" w:sz="4" w:space="0"/>
              <w:bottom w:val="single" w:color="000000" w:sz="4" w:space="0"/>
              <w:right w:val="single" w:color="000000" w:sz="4" w:space="0"/>
            </w:tcBorders>
            <w:noWrap/>
            <w:vAlign w:val="center"/>
          </w:tcPr>
          <w:p w14:paraId="03D00B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基础数据维护</w:t>
            </w:r>
          </w:p>
        </w:tc>
        <w:tc>
          <w:tcPr>
            <w:tcW w:w="1145" w:type="pct"/>
            <w:gridSpan w:val="12"/>
            <w:tcBorders>
              <w:top w:val="single" w:color="000000" w:sz="4" w:space="0"/>
              <w:left w:val="single" w:color="000000" w:sz="4" w:space="0"/>
              <w:bottom w:val="single" w:color="000000" w:sz="4" w:space="0"/>
              <w:right w:val="single" w:color="000000" w:sz="4" w:space="0"/>
            </w:tcBorders>
            <w:noWrap/>
            <w:vAlign w:val="center"/>
          </w:tcPr>
          <w:p w14:paraId="00485D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教学信息</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6DDA75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包括学校、学科门类、学科、学位点层次、学位点、专业、一流学科类型等信息</w:t>
            </w:r>
          </w:p>
        </w:tc>
        <w:tc>
          <w:tcPr>
            <w:tcW w:w="858" w:type="pct"/>
            <w:tcBorders>
              <w:top w:val="single" w:color="000000" w:sz="4" w:space="0"/>
              <w:left w:val="single" w:color="000000" w:sz="4" w:space="0"/>
              <w:bottom w:val="single" w:color="000000" w:sz="4" w:space="0"/>
              <w:right w:val="single" w:color="000000" w:sz="4" w:space="0"/>
            </w:tcBorders>
            <w:noWrap w:val="0"/>
            <w:vAlign w:val="center"/>
          </w:tcPr>
          <w:p w14:paraId="54A22B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支持对数据进行新增（增量上报）、修改。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支持删除，删除时会跳出弹窗进行二次确认。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【学位点】信息跟【学位点层次】信息需关联</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支持数据导出。</w:t>
            </w:r>
          </w:p>
        </w:tc>
        <w:tc>
          <w:tcPr>
            <w:tcW w:w="656" w:type="pct"/>
            <w:tcBorders>
              <w:top w:val="single" w:color="000000" w:sz="4" w:space="0"/>
              <w:left w:val="single" w:color="000000" w:sz="4" w:space="0"/>
              <w:bottom w:val="single" w:color="000000" w:sz="4" w:space="0"/>
              <w:right w:val="single" w:color="000000" w:sz="4" w:space="0"/>
            </w:tcBorders>
            <w:noWrap/>
            <w:vAlign w:val="center"/>
          </w:tcPr>
          <w:p w14:paraId="274443A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rPr>
                <w:rFonts w:hint="eastAsia" w:ascii="宋体" w:hAnsi="宋体" w:eastAsia="宋体" w:cs="宋体"/>
                <w:i w:val="0"/>
                <w:iCs w:val="0"/>
                <w:color w:val="auto"/>
                <w:sz w:val="21"/>
                <w:szCs w:val="21"/>
                <w:highlight w:val="none"/>
                <w:u w:val="none"/>
              </w:rPr>
            </w:pPr>
          </w:p>
        </w:tc>
        <w:tc>
          <w:tcPr>
            <w:tcW w:w="618" w:type="pct"/>
            <w:gridSpan w:val="2"/>
            <w:tcBorders>
              <w:top w:val="single" w:color="000000" w:sz="4" w:space="0"/>
              <w:left w:val="single" w:color="000000" w:sz="4" w:space="0"/>
              <w:bottom w:val="single" w:color="000000" w:sz="4" w:space="0"/>
              <w:right w:val="single" w:color="000000" w:sz="4" w:space="0"/>
            </w:tcBorders>
            <w:noWrap/>
            <w:vAlign w:val="center"/>
          </w:tcPr>
          <w:p w14:paraId="18CEC80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rPr>
                <w:rFonts w:hint="eastAsia" w:ascii="宋体" w:hAnsi="宋体" w:eastAsia="宋体" w:cs="宋体"/>
                <w:i w:val="0"/>
                <w:iCs w:val="0"/>
                <w:color w:val="auto"/>
                <w:sz w:val="21"/>
                <w:szCs w:val="21"/>
                <w:highlight w:val="none"/>
                <w:u w:val="none"/>
              </w:rPr>
            </w:pPr>
          </w:p>
        </w:tc>
      </w:tr>
      <w:tr w14:paraId="3F820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5AF9CA8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022464C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1145" w:type="pct"/>
            <w:gridSpan w:val="12"/>
            <w:tcBorders>
              <w:top w:val="single" w:color="000000" w:sz="4" w:space="0"/>
              <w:left w:val="single" w:color="000000" w:sz="4" w:space="0"/>
              <w:bottom w:val="single" w:color="000000" w:sz="4" w:space="0"/>
              <w:right w:val="single" w:color="000000" w:sz="4" w:space="0"/>
            </w:tcBorders>
            <w:noWrap/>
            <w:vAlign w:val="center"/>
          </w:tcPr>
          <w:p w14:paraId="2C968C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规划期数信息</w:t>
            </w:r>
          </w:p>
        </w:tc>
        <w:tc>
          <w:tcPr>
            <w:tcW w:w="1053" w:type="pct"/>
            <w:gridSpan w:val="5"/>
            <w:tcBorders>
              <w:top w:val="single" w:color="000000" w:sz="4" w:space="0"/>
              <w:left w:val="nil"/>
              <w:bottom w:val="single" w:color="000000" w:sz="4" w:space="0"/>
              <w:right w:val="single" w:color="000000" w:sz="4" w:space="0"/>
            </w:tcBorders>
            <w:noWrap/>
            <w:vAlign w:val="center"/>
          </w:tcPr>
          <w:p w14:paraId="05819D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年度、时间区间、规划期间</w:t>
            </w:r>
          </w:p>
        </w:tc>
        <w:tc>
          <w:tcPr>
            <w:tcW w:w="858" w:type="pct"/>
            <w:tcBorders>
              <w:top w:val="single" w:color="000000" w:sz="4" w:space="0"/>
              <w:left w:val="single" w:color="000000" w:sz="4" w:space="0"/>
              <w:bottom w:val="single" w:color="000000" w:sz="4" w:space="0"/>
              <w:right w:val="single" w:color="000000" w:sz="4" w:space="0"/>
            </w:tcBorders>
            <w:noWrap w:val="0"/>
            <w:vAlign w:val="center"/>
          </w:tcPr>
          <w:p w14:paraId="5E8791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规划期数信息里存放对于【规划期间】、【年度时间】的时间范围定义，用于学校报送时对学校报送的数据进行时间范围的限制，所有成果库中的数据都需要包含年度字段。</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支持添加期间，定义时间范围。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支持对年度时间，规划期间进行绑定，同时定义时间范围。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支持导入</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导入时会对导入的数据进行校验。</w:t>
            </w:r>
          </w:p>
        </w:tc>
        <w:tc>
          <w:tcPr>
            <w:tcW w:w="656" w:type="pct"/>
            <w:tcBorders>
              <w:top w:val="single" w:color="000000" w:sz="4" w:space="0"/>
              <w:left w:val="single" w:color="000000" w:sz="4" w:space="0"/>
              <w:bottom w:val="single" w:color="000000" w:sz="4" w:space="0"/>
              <w:right w:val="single" w:color="000000" w:sz="4" w:space="0"/>
            </w:tcBorders>
            <w:noWrap/>
            <w:vAlign w:val="center"/>
          </w:tcPr>
          <w:p w14:paraId="337F690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rPr>
                <w:rFonts w:hint="eastAsia" w:ascii="宋体" w:hAnsi="宋体" w:eastAsia="宋体" w:cs="宋体"/>
                <w:i w:val="0"/>
                <w:iCs w:val="0"/>
                <w:color w:val="auto"/>
                <w:sz w:val="21"/>
                <w:szCs w:val="21"/>
                <w:highlight w:val="none"/>
                <w:u w:val="none"/>
              </w:rPr>
            </w:pPr>
          </w:p>
        </w:tc>
        <w:tc>
          <w:tcPr>
            <w:tcW w:w="618" w:type="pct"/>
            <w:gridSpan w:val="2"/>
            <w:tcBorders>
              <w:top w:val="single" w:color="000000" w:sz="4" w:space="0"/>
              <w:left w:val="single" w:color="000000" w:sz="4" w:space="0"/>
              <w:bottom w:val="single" w:color="000000" w:sz="4" w:space="0"/>
              <w:right w:val="single" w:color="000000" w:sz="4" w:space="0"/>
            </w:tcBorders>
            <w:noWrap/>
            <w:vAlign w:val="center"/>
          </w:tcPr>
          <w:p w14:paraId="0C62B55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rPr>
                <w:rFonts w:hint="eastAsia" w:ascii="宋体" w:hAnsi="宋体" w:eastAsia="宋体" w:cs="宋体"/>
                <w:i w:val="0"/>
                <w:iCs w:val="0"/>
                <w:color w:val="auto"/>
                <w:sz w:val="21"/>
                <w:szCs w:val="21"/>
                <w:highlight w:val="none"/>
                <w:u w:val="none"/>
              </w:rPr>
            </w:pPr>
          </w:p>
        </w:tc>
      </w:tr>
      <w:tr w14:paraId="3AACD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restart"/>
            <w:tcBorders>
              <w:top w:val="nil"/>
              <w:left w:val="single" w:color="000000" w:sz="4" w:space="0"/>
              <w:bottom w:val="single" w:color="000000" w:sz="4" w:space="0"/>
              <w:right w:val="single" w:color="000000" w:sz="4" w:space="0"/>
            </w:tcBorders>
            <w:noWrap/>
            <w:vAlign w:val="center"/>
          </w:tcPr>
          <w:p w14:paraId="055609D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p>
        </w:tc>
        <w:tc>
          <w:tcPr>
            <w:tcW w:w="395" w:type="pct"/>
            <w:gridSpan w:val="6"/>
            <w:vMerge w:val="restart"/>
            <w:tcBorders>
              <w:top w:val="nil"/>
              <w:left w:val="single" w:color="000000" w:sz="4" w:space="0"/>
              <w:bottom w:val="single" w:color="000000" w:sz="4" w:space="0"/>
              <w:right w:val="single" w:color="000000" w:sz="4" w:space="0"/>
            </w:tcBorders>
            <w:noWrap/>
            <w:vAlign w:val="center"/>
          </w:tcPr>
          <w:p w14:paraId="426BC9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成果管理</w:t>
            </w:r>
          </w:p>
        </w:tc>
        <w:tc>
          <w:tcPr>
            <w:tcW w:w="429" w:type="pct"/>
            <w:gridSpan w:val="5"/>
            <w:vMerge w:val="restart"/>
            <w:tcBorders>
              <w:top w:val="nil"/>
              <w:left w:val="single" w:color="000000" w:sz="4" w:space="0"/>
              <w:bottom w:val="single" w:color="000000" w:sz="4" w:space="0"/>
              <w:right w:val="single" w:color="000000" w:sz="4" w:space="0"/>
            </w:tcBorders>
            <w:noWrap/>
            <w:vAlign w:val="center"/>
          </w:tcPr>
          <w:p w14:paraId="6E0A56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公共数据</w:t>
            </w:r>
          </w:p>
        </w:tc>
        <w:tc>
          <w:tcPr>
            <w:tcW w:w="385" w:type="pct"/>
            <w:gridSpan w:val="3"/>
            <w:tcBorders>
              <w:top w:val="single" w:color="000000" w:sz="4" w:space="0"/>
              <w:left w:val="single" w:color="000000" w:sz="4" w:space="0"/>
              <w:bottom w:val="single" w:color="000000" w:sz="4" w:space="0"/>
              <w:right w:val="single" w:color="000000" w:sz="4" w:space="0"/>
            </w:tcBorders>
            <w:noWrap/>
            <w:vAlign w:val="center"/>
          </w:tcPr>
          <w:p w14:paraId="6EBD51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color w:val="auto"/>
                <w:kern w:val="0"/>
                <w:sz w:val="21"/>
                <w:szCs w:val="21"/>
                <w:highlight w:val="none"/>
              </w:rPr>
              <w:t>▲</w:t>
            </w:r>
            <w:r>
              <w:rPr>
                <w:rFonts w:hint="eastAsia" w:ascii="宋体" w:hAnsi="宋体" w:eastAsia="宋体" w:cs="宋体"/>
                <w:i w:val="0"/>
                <w:iCs w:val="0"/>
                <w:color w:val="auto"/>
                <w:kern w:val="0"/>
                <w:sz w:val="21"/>
                <w:szCs w:val="21"/>
                <w:highlight w:val="none"/>
                <w:u w:val="none"/>
                <w:lang w:val="en-US" w:eastAsia="zh-CN" w:bidi="ar"/>
              </w:rPr>
              <w:t>党的建设</w:t>
            </w: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3B9ABB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重大荣誉</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2F1985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学校、荣誉类型、荣誉主体、获批时间、所在学科</w:t>
            </w:r>
          </w:p>
        </w:tc>
        <w:tc>
          <w:tcPr>
            <w:tcW w:w="858" w:type="pct"/>
            <w:vMerge w:val="restart"/>
            <w:tcBorders>
              <w:top w:val="single" w:color="000000" w:sz="4" w:space="0"/>
              <w:left w:val="single" w:color="000000" w:sz="4" w:space="0"/>
              <w:bottom w:val="single" w:color="000000" w:sz="4" w:space="0"/>
              <w:right w:val="single" w:color="000000" w:sz="4" w:space="0"/>
            </w:tcBorders>
            <w:noWrap w:val="0"/>
            <w:vAlign w:val="center"/>
          </w:tcPr>
          <w:p w14:paraId="79D9EF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省管理员需要进入成果库下的【新成果入档】。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根据不同的成果类型分类，展示不同分类下的表格数据。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支持统计每个分类下各个状态的数据量。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支持对数据进行筛选。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支持对数据进行新增，支持对数据进行导入，导入时需要进行校验。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新增数据后，数据的状态变为【待下发】。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在【待下发】状态下，支持对数据进行【下发】，支持修改，支持查看详情，支持删除数据。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支持对数据进行多选，进行批量下发；下发后将会对所关联的学校进行站内通知。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对数据进行【下发】或【批量下发】后，状态变更为【待确认】。</w:t>
            </w:r>
          </w:p>
        </w:tc>
        <w:tc>
          <w:tcPr>
            <w:tcW w:w="656" w:type="pct"/>
            <w:vMerge w:val="restart"/>
            <w:tcBorders>
              <w:top w:val="single" w:color="000000" w:sz="4" w:space="0"/>
              <w:left w:val="single" w:color="000000" w:sz="4" w:space="0"/>
              <w:bottom w:val="single" w:color="000000" w:sz="4" w:space="0"/>
              <w:right w:val="single" w:color="000000" w:sz="4" w:space="0"/>
            </w:tcBorders>
            <w:noWrap w:val="0"/>
            <w:vAlign w:val="center"/>
          </w:tcPr>
          <w:p w14:paraId="3BBEDE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校级用户（学校管理员）登录系统后，可提示和查询代办数量。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公共数据分类下，根据不同的成果类型展示汇总数据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支持各校级用户（学校管理员）只能看见自己学校的数据。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通过省管理员下发的数据；学校需要对下发的数据进行补充，补充完成后由省级用户核对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支持校级用户可以发出【申请删除】，【申请新增】，【申请修改】。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【申请删除】时需要上传佐证材料。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数据补充时需要填写【所在学科】、【所在学位点】，上传佐证材料。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申请修改时可以对除了【所在学科】，【所在学位点】进行改写，需要上传佐证材料。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【申请新增】时提供佐证材料。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数据分为【已归档成果】和【异常成果】；校级用户的【已归档成果】中只展示该学校的成果。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支持下载佐证材料，支持查看操作日志，支持查看历史的驳回信息。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针对删除申请进行二次提交，只能上传pdf文件格式的文件，支持重新上传佐证材料。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针对【新增申请】或者【数据补充】两个情况，可以【重新申请】，修改数据，重新上传佐证材料，重复提交申请。</w:t>
            </w:r>
          </w:p>
        </w:tc>
        <w:tc>
          <w:tcPr>
            <w:tcW w:w="618" w:type="pct"/>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30495C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省级用户需有代办消息提醒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公共数据展示成果类型，展示不同分类下的代办条数以及条目总数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展示【高层次人才】下的每个学校的上报情况，展示每个学校的未上报数量，每个学校的待审批数量。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支持对学校上报的数据查看详情，支持驳回，支持成果入库。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可以查看该条数据的详细信息，支持下载佐证文件。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数据确认后保存至【已归档成果】库中。</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【驳回】需要填写驳回信息，确认后数据保存至【异常成果】中。</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【异常成果】，支持对校级用户上报的异常数据进行审批。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成果数据进行年度和校级的分类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支持对异常成果数据进行【驳回】、【成果入库】【查看详情】。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支持对数据进行驳回，填写驳回信息，驳回后站内通知该学校关联的校级用户（学校管理员）。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支持对年度进行数据筛选。</w:t>
            </w:r>
          </w:p>
        </w:tc>
      </w:tr>
      <w:tr w14:paraId="15DB2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008DD06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2955C8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73BA5FF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tcBorders>
              <w:top w:val="single" w:color="000000" w:sz="4" w:space="0"/>
              <w:left w:val="single" w:color="000000" w:sz="4" w:space="0"/>
              <w:bottom w:val="single" w:color="000000" w:sz="4" w:space="0"/>
              <w:right w:val="single" w:color="000000" w:sz="4" w:space="0"/>
            </w:tcBorders>
            <w:noWrap/>
            <w:vAlign w:val="center"/>
          </w:tcPr>
          <w:p w14:paraId="417B95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师资队伍</w:t>
            </w: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0FA8D6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高层次人才</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0D8DCD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学校、教师姓名、出生年月、性别、专业技术职务、进校时间、获得人才称号、获得人才称号时间、所在学科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AB300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4B555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DCA93D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4417D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07C33B1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7C12749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651709F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restart"/>
            <w:tcBorders>
              <w:top w:val="single" w:color="000000" w:sz="4" w:space="0"/>
              <w:left w:val="single" w:color="000000" w:sz="4" w:space="0"/>
              <w:bottom w:val="single" w:color="000000" w:sz="4" w:space="0"/>
              <w:right w:val="single" w:color="000000" w:sz="4" w:space="0"/>
            </w:tcBorders>
            <w:noWrap/>
            <w:vAlign w:val="center"/>
          </w:tcPr>
          <w:p w14:paraId="33565A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人才培养</w:t>
            </w: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6A0D6D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教学成果奖</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557F46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学校、成果名称、教学成果奖类型、获奖等级、第一完成人、获批时间、牵头学科、支撑学科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600F7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A238A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A6C25B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0E676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2BBF2D8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3D8363D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2465992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6F170B6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4C1495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教学平台</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0522C2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学校、平台名称、教学平台类型、获批时间、牵头学科、支撑学科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4C082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EDACA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DBACB5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75DB3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77938AF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11E2667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0070767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676A91D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079663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重要教材</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7A4576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学校、教材名称、教材类型、获批时间、所在学科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29D9B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8EBF9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A6F032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20079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5803BA3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081DCFB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7455EAB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5CC748F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599C0E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教师教学大赛</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435F29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学校、获奖教师、竞赛类型、获奖等级、获得时间、所在学科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8DF0D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DB7A6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9E1056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5B74E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1BB0B7D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0EC2E63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1AE2C95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2B06B60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6DAA49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学科竞赛</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365218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学校、项目名称、竞赛类型、获奖等级、获得时间、第一参赛学生、学生所在专业、所在学科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DD7CC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2AAAE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E97E5B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2EAD0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159415B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7730526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33D3CE7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restart"/>
            <w:tcBorders>
              <w:top w:val="single" w:color="000000" w:sz="4" w:space="0"/>
              <w:left w:val="single" w:color="000000" w:sz="4" w:space="0"/>
              <w:bottom w:val="single" w:color="000000" w:sz="4" w:space="0"/>
              <w:right w:val="single" w:color="000000" w:sz="4" w:space="0"/>
            </w:tcBorders>
            <w:noWrap/>
            <w:vAlign w:val="center"/>
          </w:tcPr>
          <w:p w14:paraId="07124A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科学研究</w:t>
            </w: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19FD08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重大科技奖励</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418C80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学校、成果名称、科研成果奖类型名称、获奖等级、第一完成人、获批时间、牵头学科、支撑学科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24E64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D81F5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2A3EB4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237EC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05F0613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2C23EC2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632CE32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44F22FF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50FC07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全国性文艺新闻出版评奖奖项</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5A47A7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学校、奖项名称、奖项类型名称、获奖等级、第一完成人、获批时间、牵头学科、支撑学科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121F2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4B9AF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4261FC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51D97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7F45921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1445DCB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5AD435B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615D25C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224BDE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科研平台</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1A31C1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学校、平台名称、科研平台类型、获批时间、牵头学科、支撑学科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8BF6D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ED086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8BA302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0CC0D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37AADDE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4DAFCDF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4A8413F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restart"/>
            <w:tcBorders>
              <w:top w:val="single" w:color="000000" w:sz="4" w:space="0"/>
              <w:left w:val="single" w:color="000000" w:sz="4" w:space="0"/>
              <w:bottom w:val="single" w:color="000000" w:sz="4" w:space="0"/>
              <w:right w:val="single" w:color="000000" w:sz="4" w:space="0"/>
            </w:tcBorders>
            <w:noWrap/>
            <w:vAlign w:val="center"/>
          </w:tcPr>
          <w:p w14:paraId="4CA552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交流合作</w:t>
            </w: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1E9792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省国际科技合作载体</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4BCE88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学校、载体名称、获批时间、牵头学科、支撑学科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09D89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A6560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AB969C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5385C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39547C0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673BDB8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7C911EB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722A32A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195997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省国际联合实验室</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672C77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学校、实验室名称、获批时间、牵头学科、支撑学科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030EF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EBD27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81A819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6A823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2142EA8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4D3DA41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1EFD090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7422DEF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32BC98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中外合作办学项目</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4A7B87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学校、项目名称、获批时间、所在学科、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09579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57CAB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E76837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59A37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10B029B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6C4D57C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0C206BC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286C8E7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3FDA74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孔子学院</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226E41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学校、名称、获批时间、牵头学科、支撑学科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32667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E519B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F0B105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341C6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6895D28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01A8E07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567B5F8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29B7CB9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2389BF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鲁班工坊</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37DB21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学校、名称、获批时间、牵头学科、支撑学科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D199A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D973E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9107CF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7C641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7CDC724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1076BAC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4DB99A6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restart"/>
            <w:tcBorders>
              <w:top w:val="single" w:color="000000" w:sz="4" w:space="0"/>
              <w:left w:val="single" w:color="000000" w:sz="4" w:space="0"/>
              <w:bottom w:val="single" w:color="000000" w:sz="4" w:space="0"/>
              <w:right w:val="single" w:color="000000" w:sz="4" w:space="0"/>
            </w:tcBorders>
            <w:noWrap/>
            <w:vAlign w:val="center"/>
          </w:tcPr>
          <w:p w14:paraId="23F103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学科影响</w:t>
            </w: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4AF6AD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ESI学科</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3CC297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学校、ESI学科名称、ESI类型名称、进入时间、牵头学科、支撑学科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707CC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4F2B6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CB49B9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72560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26AD4AC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08A35AC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2C99E8E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67E9D1D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24F738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学科评估</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1BD296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学校、学科名称、学科评估结果、公布时间</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0317E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FA99B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0579B8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0CD66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593E21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76365CC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06A4CA3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4AC1632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1E9BC1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新增学位点</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687AD6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学校、学位点名称、学位点层次、获批时间、所在学科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6C45C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CD9CB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FAAC49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31959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225D1C2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2A7B9B6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restart"/>
            <w:tcBorders>
              <w:top w:val="nil"/>
              <w:left w:val="single" w:color="000000" w:sz="4" w:space="0"/>
              <w:bottom w:val="single" w:color="000000" w:sz="4" w:space="0"/>
              <w:right w:val="single" w:color="000000" w:sz="4" w:space="0"/>
            </w:tcBorders>
            <w:noWrap/>
            <w:vAlign w:val="center"/>
          </w:tcPr>
          <w:p w14:paraId="706722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学校报送</w:t>
            </w:r>
          </w:p>
        </w:tc>
        <w:tc>
          <w:tcPr>
            <w:tcW w:w="385" w:type="pct"/>
            <w:gridSpan w:val="3"/>
            <w:vMerge w:val="restart"/>
            <w:tcBorders>
              <w:top w:val="single" w:color="000000" w:sz="4" w:space="0"/>
              <w:left w:val="single" w:color="000000" w:sz="4" w:space="0"/>
              <w:bottom w:val="single" w:color="000000" w:sz="4" w:space="0"/>
              <w:right w:val="single" w:color="000000" w:sz="4" w:space="0"/>
            </w:tcBorders>
            <w:noWrap/>
            <w:vAlign w:val="center"/>
          </w:tcPr>
          <w:p w14:paraId="49A044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科学研究</w:t>
            </w: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49BE95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科研项目</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24FC8E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学校、项目名称、项目主持人、项目类型、获批时间、所在学科</w:t>
            </w:r>
          </w:p>
        </w:tc>
        <w:tc>
          <w:tcPr>
            <w:tcW w:w="858" w:type="pct"/>
            <w:vMerge w:val="restart"/>
            <w:tcBorders>
              <w:top w:val="single" w:color="000000" w:sz="4" w:space="0"/>
              <w:left w:val="single" w:color="000000" w:sz="4" w:space="0"/>
              <w:bottom w:val="single" w:color="000000" w:sz="4" w:space="0"/>
              <w:right w:val="single" w:color="000000" w:sz="4" w:space="0"/>
            </w:tcBorders>
            <w:noWrap w:val="0"/>
            <w:vAlign w:val="center"/>
          </w:tcPr>
          <w:p w14:paraId="07CA28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省管理员登录应用后，选择成果库管理，选择【新成果入档】，选择【学校报送】。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可以对报送进行时间范围的设置。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支持对开放报送的时间段范围进行选择；支持针对开放报送成果类型进行选择。</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支持针对开放报送学校名称进行选择；支持针对报送年度进行选择。</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开放所选学校的上报权限，只有时间范围内才能进行上报。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支持在表中查看开放报送的每次操作和详细信息，报送设置状态【待开始】、【过程中】、【已结束】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支持对状态为【待开始】的报送进行取消，【过程中】、【已结束】无法进行取消操作。</w:t>
            </w:r>
          </w:p>
        </w:tc>
        <w:tc>
          <w:tcPr>
            <w:tcW w:w="656" w:type="pct"/>
            <w:vMerge w:val="restart"/>
            <w:tcBorders>
              <w:top w:val="single" w:color="000000" w:sz="4" w:space="0"/>
              <w:left w:val="single" w:color="000000" w:sz="4" w:space="0"/>
              <w:bottom w:val="single" w:color="000000" w:sz="4" w:space="0"/>
              <w:right w:val="single" w:color="000000" w:sz="4" w:space="0"/>
            </w:tcBorders>
            <w:noWrap w:val="0"/>
            <w:vAlign w:val="center"/>
          </w:tcPr>
          <w:p w14:paraId="488DDC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选择成果库管理新成果入档，选择学校报送。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支持在成果类型中显示对应的待办成果数量，即状态为【待上报】和【审核中】的成果。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支持查看报送时间段；不在报送时间段内无法进行【上报】操作。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选择不同的成果类型，能展示不同的数据。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支持新增项目，支持导入数据，导入会进行校验，新增数据后，数据状态改变为【待上报】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新的成果上报；需要选择完项目后，支持多选，或者单选，支持上传佐证材料，默认命名为日期加文件的格式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支持对项目数据进行修改。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支持对数据进行单条移除或批量删除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支持对数据进行上报。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上报完成后无法移除执行修改和移除操作。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支持查看详情，详情中除显示成果详情信息外，支持下载佐证材料，支持显示该成果的操作日志，包括修改时间、操作角色和备注（驳回信息）。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支持对驳回的数据进行重新上报，支持对内容进行修改，支持重新上传佐证材料,修改后点击【重新上报】。</w:t>
            </w:r>
          </w:p>
        </w:tc>
        <w:tc>
          <w:tcPr>
            <w:tcW w:w="618" w:type="pct"/>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621521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省级用户登录应用，选择成果库管理——新成果入档——学校报送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支持查看已入库数量和待审批数量。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支持在成果类型中显示对应的待办成果数量/统计总共的成果数量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对学校上报的数据进行审核。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支持下载佐证材料和批量下载佐证材料，批量下载佐证材料时会有弹窗显示佐证材料和关联项目的对应关系，选择需要下载的文件后点击下载即可实现批量下载。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支持查看详情，详情弹窗中支持下载佐证材料。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支持将成果入库，确认后成果入库至【已归档成果库】。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支持对数据进行驳回，填写驳回信息，驳回后将数据存放至【异常成果】。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支持在成果类型中显示对应的待办成果数量，即状态为【待审核】和【已驳回】的成果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支持对佐证材料进行下载。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支持对数据进行驳回，驳回后该数据状态转变为【已驳回】，且无法在操作中进行驳回或成果入库的操作。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支持对数据进行归档，点击【成果入库】后出现弹窗进行二次确认，归档后将数据存放至【已归档成果】。</w:t>
            </w:r>
          </w:p>
        </w:tc>
      </w:tr>
      <w:tr w14:paraId="0C717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12B93D5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7C0A648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7851E1C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0A8F206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012CE9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社会力量奖励</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171240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学校、成果名称、社会力量奖励类型名称、获奖等级、第一完成人、获批时间、牵头学科、支撑学科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56FA9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D271C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9E4B35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186E4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2FCF0A5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3269A80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73A33B6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0C3B4E7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6618A6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高水平论文</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70975D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学校、论文题目、高水平论文期刊名称、发表时间、第一作者（通讯作者）、所在学科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E8B22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337CA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B60121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529AC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1DF12F8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4DC322A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1940CFC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restart"/>
            <w:tcBorders>
              <w:top w:val="single" w:color="000000" w:sz="4" w:space="0"/>
              <w:left w:val="single" w:color="000000" w:sz="4" w:space="0"/>
              <w:bottom w:val="single" w:color="000000" w:sz="4" w:space="0"/>
              <w:right w:val="single" w:color="000000" w:sz="4" w:space="0"/>
            </w:tcBorders>
            <w:noWrap/>
            <w:vAlign w:val="center"/>
          </w:tcPr>
          <w:p w14:paraId="4DFD27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社会服务</w:t>
            </w: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686BC7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重要批示</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33486F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学校、成果名称、第一完成人、批示领导、获批时间、批示类型</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BE885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259AD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12F5DB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7F792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11CA134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6200EC9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1323E50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5EE7A56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195847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新品种</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6B3577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学校、品种名称、新品种类型、第一发明人、获批时间、所在学科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ADCBD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65E6B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D915BF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5917F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0D05F90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1C407FC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192F022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0DE84F0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007C3C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新药</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755C35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学校、新药名称、新药类型、第一发明人、获批时间、所在学科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87F5E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7F638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993D75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6E16A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181102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690E7BC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05791F6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0E9AF30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62AFFE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标准</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416D19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学校、标准名称、标准类型、标准号、获批时间、第一起草人、所在学科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CA396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5A983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5F3904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0D6FE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05A2B31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565B07D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72300B0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693C075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12DE18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重大科技成果转化项目</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573E1F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学校、转化项目名称、第一完成人、转化时间、转化金额（元）、所在学科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6D5B9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2E26A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71417E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4355D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7F69D32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2923A89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30C3A4F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6CDB9E5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651348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地方技术创新（转移）中心</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1D890A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学校、转化中心名称、负责人、成立时间、牵头学科（多选）、支撑学科（单选）</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6668B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B8E86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AF6C61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02C4C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441483E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42D09B4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334246B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3D9A782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300B96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高级研修班</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05084D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学校、研修班名称、举办时间、负责人、所在学科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892AD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23F32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D5D9D7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657E7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0ECDAD1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68FBB3D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6F344C6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tcBorders>
              <w:top w:val="single" w:color="000000" w:sz="4" w:space="0"/>
              <w:left w:val="single" w:color="000000" w:sz="4" w:space="0"/>
              <w:bottom w:val="single" w:color="000000" w:sz="4" w:space="0"/>
              <w:right w:val="single" w:color="000000" w:sz="4" w:space="0"/>
            </w:tcBorders>
            <w:noWrap/>
            <w:vAlign w:val="center"/>
          </w:tcPr>
          <w:p w14:paraId="10C5B0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交流合作</w:t>
            </w: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3A83BB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学术期刊</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01A9E9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学校、期刊名称、期刊号、批准时间、所在学科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32E0B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F593E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F6E225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280DB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vMerge w:val="continue"/>
            <w:tcBorders>
              <w:top w:val="nil"/>
              <w:left w:val="single" w:color="000000" w:sz="4" w:space="0"/>
              <w:bottom w:val="single" w:color="000000" w:sz="4" w:space="0"/>
              <w:right w:val="single" w:color="000000" w:sz="4" w:space="0"/>
            </w:tcBorders>
            <w:noWrap/>
            <w:vAlign w:val="center"/>
          </w:tcPr>
          <w:p w14:paraId="69EE236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nil"/>
              <w:left w:val="single" w:color="000000" w:sz="4" w:space="0"/>
              <w:bottom w:val="single" w:color="000000" w:sz="4" w:space="0"/>
              <w:right w:val="single" w:color="000000" w:sz="4" w:space="0"/>
            </w:tcBorders>
            <w:noWrap/>
            <w:vAlign w:val="center"/>
          </w:tcPr>
          <w:p w14:paraId="47836FA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29" w:type="pct"/>
            <w:gridSpan w:val="5"/>
            <w:vMerge w:val="continue"/>
            <w:tcBorders>
              <w:top w:val="nil"/>
              <w:left w:val="single" w:color="000000" w:sz="4" w:space="0"/>
              <w:bottom w:val="single" w:color="000000" w:sz="4" w:space="0"/>
              <w:right w:val="single" w:color="000000" w:sz="4" w:space="0"/>
            </w:tcBorders>
            <w:noWrap/>
            <w:vAlign w:val="center"/>
          </w:tcPr>
          <w:p w14:paraId="4B8EB14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85" w:type="pct"/>
            <w:gridSpan w:val="3"/>
            <w:tcBorders>
              <w:top w:val="single" w:color="000000" w:sz="4" w:space="0"/>
              <w:left w:val="single" w:color="000000" w:sz="4" w:space="0"/>
              <w:bottom w:val="single" w:color="000000" w:sz="4" w:space="0"/>
              <w:right w:val="single" w:color="000000" w:sz="4" w:space="0"/>
            </w:tcBorders>
            <w:noWrap/>
            <w:vAlign w:val="center"/>
          </w:tcPr>
          <w:p w14:paraId="270D26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学科影响</w:t>
            </w:r>
          </w:p>
        </w:tc>
        <w:tc>
          <w:tcPr>
            <w:tcW w:w="329" w:type="pct"/>
            <w:gridSpan w:val="4"/>
            <w:tcBorders>
              <w:top w:val="single" w:color="000000" w:sz="4" w:space="0"/>
              <w:left w:val="single" w:color="000000" w:sz="4" w:space="0"/>
              <w:bottom w:val="single" w:color="000000" w:sz="4" w:space="0"/>
              <w:right w:val="single" w:color="000000" w:sz="4" w:space="0"/>
            </w:tcBorders>
            <w:noWrap/>
            <w:vAlign w:val="center"/>
          </w:tcPr>
          <w:p w14:paraId="529443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专业论证</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74A289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学校、专业名称、论证通过时间、论证失效时间、所在学科</w:t>
            </w:r>
          </w:p>
        </w:tc>
        <w:tc>
          <w:tcPr>
            <w:tcW w:w="85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BBBF5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5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EACEA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c>
          <w:tcPr>
            <w:tcW w:w="61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3D5903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p>
        </w:tc>
      </w:tr>
      <w:tr w14:paraId="24E9B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71" w:type="pct"/>
            <w:tcBorders>
              <w:top w:val="single" w:color="000000" w:sz="4" w:space="0"/>
              <w:left w:val="single" w:color="000000" w:sz="4" w:space="0"/>
              <w:bottom w:val="single" w:color="000000" w:sz="4" w:space="0"/>
              <w:right w:val="single" w:color="000000" w:sz="4" w:space="0"/>
            </w:tcBorders>
            <w:noWrap/>
            <w:vAlign w:val="center"/>
          </w:tcPr>
          <w:p w14:paraId="43964C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395" w:type="pct"/>
            <w:gridSpan w:val="6"/>
            <w:tcBorders>
              <w:top w:val="single" w:color="000000" w:sz="4" w:space="0"/>
              <w:left w:val="single" w:color="000000" w:sz="4" w:space="0"/>
              <w:bottom w:val="single" w:color="000000" w:sz="4" w:space="0"/>
              <w:right w:val="single" w:color="000000" w:sz="4" w:space="0"/>
            </w:tcBorders>
            <w:noWrap/>
            <w:vAlign w:val="center"/>
          </w:tcPr>
          <w:p w14:paraId="470DBC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学科管理</w:t>
            </w:r>
          </w:p>
        </w:tc>
        <w:tc>
          <w:tcPr>
            <w:tcW w:w="1145" w:type="pct"/>
            <w:gridSpan w:val="12"/>
            <w:tcBorders>
              <w:top w:val="single" w:color="000000" w:sz="4" w:space="0"/>
              <w:left w:val="single" w:color="000000" w:sz="4" w:space="0"/>
              <w:bottom w:val="single" w:color="000000" w:sz="4" w:space="0"/>
              <w:right w:val="single" w:color="000000" w:sz="4" w:space="0"/>
            </w:tcBorders>
            <w:noWrap/>
            <w:vAlign w:val="center"/>
          </w:tcPr>
          <w:p w14:paraId="15243C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color w:val="auto"/>
                <w:kern w:val="0"/>
                <w:sz w:val="21"/>
                <w:szCs w:val="21"/>
                <w:highlight w:val="none"/>
              </w:rPr>
              <w:t>▲</w:t>
            </w:r>
            <w:r>
              <w:rPr>
                <w:rFonts w:hint="eastAsia" w:ascii="宋体" w:hAnsi="宋体" w:eastAsia="宋体" w:cs="宋体"/>
                <w:i w:val="0"/>
                <w:iCs w:val="0"/>
                <w:color w:val="auto"/>
                <w:kern w:val="0"/>
                <w:sz w:val="21"/>
                <w:szCs w:val="21"/>
                <w:highlight w:val="none"/>
                <w:u w:val="none"/>
                <w:lang w:val="en-US" w:eastAsia="zh-CN" w:bidi="ar"/>
              </w:rPr>
              <w:t>年度评价</w:t>
            </w:r>
          </w:p>
        </w:tc>
        <w:tc>
          <w:tcPr>
            <w:tcW w:w="1053" w:type="pct"/>
            <w:gridSpan w:val="5"/>
            <w:tcBorders>
              <w:top w:val="single" w:color="000000" w:sz="4" w:space="0"/>
              <w:left w:val="single" w:color="000000" w:sz="4" w:space="0"/>
              <w:bottom w:val="single" w:color="000000" w:sz="4" w:space="0"/>
              <w:right w:val="single" w:color="000000" w:sz="4" w:space="0"/>
            </w:tcBorders>
            <w:noWrap w:val="0"/>
            <w:vAlign w:val="center"/>
          </w:tcPr>
          <w:p w14:paraId="31612B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登峰学科、优势特色学科、A类一流学科、B类一流学科、建设学校、建设学科、主要指标、年度</w:t>
            </w:r>
          </w:p>
        </w:tc>
        <w:tc>
          <w:tcPr>
            <w:tcW w:w="858" w:type="pct"/>
            <w:tcBorders>
              <w:top w:val="single" w:color="000000" w:sz="4" w:space="0"/>
              <w:left w:val="single" w:color="000000" w:sz="4" w:space="0"/>
              <w:bottom w:val="single" w:color="000000" w:sz="4" w:space="0"/>
              <w:right w:val="single" w:color="000000" w:sz="4" w:space="0"/>
            </w:tcBorders>
            <w:noWrap w:val="0"/>
            <w:vAlign w:val="center"/>
          </w:tcPr>
          <w:p w14:paraId="2EB6FA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年度评价下区分不同的学科。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数据来源于【基础数据维护】下的【规划期数信息】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记录每个学校每个年度下每个建设学科的各个指标，各个指标下的建设目标数。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支持【导入】，【新增建设任务】、导出。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支持按【建设学科】去筛选数据。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选择开放年度评价，需要选择开发自评的时间段</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需要选择【自评年度】，选择完自评年度后，需要筛选出建设任务书中的对应年度的数据。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选择开放自评的学科类型，默认是全部，选择开放自评学校的名称，默认是全部。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支持上传文件；同时记录最新上传时间。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支持【重新上传】；重新上传的文件将会覆盖原来的文件，同时记录最新上传时间。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支持【下载】；已上传的文件支持下载查看。</w:t>
            </w:r>
          </w:p>
        </w:tc>
        <w:tc>
          <w:tcPr>
            <w:tcW w:w="656" w:type="pct"/>
            <w:tcBorders>
              <w:top w:val="single" w:color="000000" w:sz="4" w:space="0"/>
              <w:left w:val="single" w:color="000000" w:sz="4" w:space="0"/>
              <w:bottom w:val="single" w:color="000000" w:sz="4" w:space="0"/>
              <w:right w:val="single" w:color="000000" w:sz="4" w:space="0"/>
            </w:tcBorders>
            <w:noWrap w:val="0"/>
            <w:vAlign w:val="center"/>
          </w:tcPr>
          <w:p w14:paraId="394943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根据省管理员下发的建设任务书，校级用户登录后可以看见自己学校下的各个学科的代办任务。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支持对建设学科进行筛选，支持对数据状态进行筛选。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支持【开始自评】，支持【撤销】，支持【重新自评】。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自评数据被驳回，支持查看驳回的详细信息。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【建设完成情况自评】中建设目标由建设任务书得来，校级用户需要填写部分项的完成情况（自设指标）；其他项则从成果库中抓取或通过逻辑调取，不可编辑。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支持自动计算【年度建设目标完成率】；显示于列表的左上角。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【核心指标成长情况评价】中需要填写省级财政的就得执行率。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【标志成果清单中的加分项】中支持添加加分项，添加时需要上传佐证材料，支持数据修改，支持数据删除。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【标志成果清单中的加分项】中默认为没有数据，显示暂无数据。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【标志成果清单中的加分项】中支持下载参考文件，该参考文件为省级管理员操作上传的参考文件。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【完成自评】，即完成自评流程，该学科的自评由省用户进行审批。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支持显示该校本年度下的B类一流学科的学科列表，支持筛选和查询。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支持自评操作，自评类型为优秀、合格、不合格三档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自评被省级用户审批驳回的，状态显示为【已驳回】，支持重新自评和查看驳回信息。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【评估汇总库】中支持展示和查询已完成审核的年度评审。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支持筛选建设学科和规划期间，支持下载为Excel，支持查看详情。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具体建设学科中支持查看具体的建设任务书，支持下载为Excel。</w:t>
            </w:r>
          </w:p>
        </w:tc>
        <w:tc>
          <w:tcPr>
            <w:tcW w:w="618" w:type="pct"/>
            <w:gridSpan w:val="2"/>
            <w:tcBorders>
              <w:top w:val="single" w:color="000000" w:sz="4" w:space="0"/>
              <w:left w:val="single" w:color="000000" w:sz="4" w:space="0"/>
              <w:bottom w:val="single" w:color="000000" w:sz="4" w:space="0"/>
              <w:right w:val="single" w:color="000000" w:sz="4" w:space="0"/>
            </w:tcBorders>
            <w:noWrap w:val="0"/>
            <w:vAlign w:val="center"/>
          </w:tcPr>
          <w:p w14:paraId="6AB8EC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省级用户登录系统后，可以看到各个学校数据。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每个学校的后缀显示，代办条数和总共的条数。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支持按照建设学科进行筛选，支持按照状态进行筛选。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支持驳回；填写驳回信息，确认后驳回至校级重新填写。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【标志成果清单中的加分项】，支持下载下载表内数据对应的佐证文件。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【标志成果清单中的加分项】，支持下载参考文件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【完成审批】，二次确认，是否确认入库，入库后，数据保存至【评估汇总库】。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【评估汇总库】，选择年度评价，选择不同的学科类型查询。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【登峰学科】，展示所有学校，支持查询学校。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支持对建设学科进行筛选。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支持对年度进行筛选。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支持显示该校本年度下的B类一流学科的学科列表，支持筛选和查询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支持筛选建设学科和规划期间，支持下载为Excel，支持查看详情。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在【评估汇总库】中支持单独查看【核心指标】，该表展示所有学校、所有学科类型、所有学科、所有年度的核心指标的数据表。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支持对学校、学科类型、学科、年度进行筛选和查询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支持将整张表下载为Excel。</w:t>
            </w:r>
          </w:p>
        </w:tc>
      </w:tr>
      <w:tr w14:paraId="0DFB1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312" w:hRule="atLeast"/>
        </w:trPr>
        <w:tc>
          <w:tcPr>
            <w:tcW w:w="271" w:type="pct"/>
            <w:vMerge w:val="restart"/>
            <w:tcBorders>
              <w:top w:val="single" w:color="000000" w:sz="4" w:space="0"/>
              <w:left w:val="single" w:color="000000" w:sz="4" w:space="0"/>
              <w:bottom w:val="single" w:color="000000" w:sz="4" w:space="0"/>
              <w:right w:val="single" w:color="000000" w:sz="4" w:space="0"/>
            </w:tcBorders>
            <w:noWrap/>
            <w:vAlign w:val="center"/>
          </w:tcPr>
          <w:p w14:paraId="55A9B2D9">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395" w:type="pct"/>
            <w:gridSpan w:val="6"/>
            <w:vMerge w:val="restart"/>
            <w:tcBorders>
              <w:top w:val="single" w:color="000000" w:sz="4" w:space="0"/>
              <w:left w:val="single" w:color="000000" w:sz="4" w:space="0"/>
              <w:bottom w:val="single" w:color="000000" w:sz="4" w:space="0"/>
              <w:right w:val="single" w:color="000000" w:sz="4" w:space="0"/>
            </w:tcBorders>
            <w:noWrap/>
            <w:vAlign w:val="center"/>
          </w:tcPr>
          <w:p w14:paraId="22329AEF">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模块</w:t>
            </w:r>
          </w:p>
        </w:tc>
        <w:tc>
          <w:tcPr>
            <w:tcW w:w="1145" w:type="pct"/>
            <w:gridSpan w:val="12"/>
            <w:vMerge w:val="restart"/>
            <w:tcBorders>
              <w:top w:val="single" w:color="000000" w:sz="4" w:space="0"/>
              <w:left w:val="single" w:color="000000" w:sz="4" w:space="0"/>
              <w:bottom w:val="single" w:color="000000" w:sz="4" w:space="0"/>
              <w:right w:val="single" w:color="000000" w:sz="4" w:space="0"/>
            </w:tcBorders>
            <w:noWrap/>
            <w:vAlign w:val="center"/>
          </w:tcPr>
          <w:p w14:paraId="7A7F0666">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子模块</w:t>
            </w:r>
          </w:p>
        </w:tc>
        <w:tc>
          <w:tcPr>
            <w:tcW w:w="3186" w:type="pct"/>
            <w:gridSpan w:val="8"/>
            <w:vMerge w:val="restart"/>
            <w:tcBorders>
              <w:top w:val="single" w:color="000000" w:sz="4" w:space="0"/>
              <w:left w:val="single" w:color="000000" w:sz="4" w:space="0"/>
              <w:bottom w:val="single" w:color="000000" w:sz="4" w:space="0"/>
              <w:right w:val="single" w:color="000000" w:sz="4" w:space="0"/>
            </w:tcBorders>
            <w:noWrap/>
            <w:vAlign w:val="center"/>
          </w:tcPr>
          <w:p w14:paraId="4C4BA0BC">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说明</w:t>
            </w:r>
          </w:p>
        </w:tc>
      </w:tr>
      <w:tr w14:paraId="495BE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312"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4C19666B">
            <w:pPr>
              <w:keepNext w:val="0"/>
              <w:keepLines w:val="0"/>
              <w:suppressLineNumbers w:val="0"/>
              <w:spacing w:before="0" w:beforeAutospacing="0" w:after="0" w:afterAutospacing="0" w:line="240" w:lineRule="auto"/>
              <w:ind w:left="0" w:right="0"/>
              <w:jc w:val="center"/>
              <w:rPr>
                <w:rFonts w:hint="eastAsia" w:ascii="宋体" w:hAnsi="宋体" w:eastAsia="宋体" w:cs="宋体"/>
                <w:b/>
                <w:bCs/>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AAE8D23">
            <w:pPr>
              <w:keepNext w:val="0"/>
              <w:keepLines w:val="0"/>
              <w:suppressLineNumbers w:val="0"/>
              <w:spacing w:before="0" w:beforeAutospacing="0" w:after="0" w:afterAutospacing="0" w:line="240" w:lineRule="auto"/>
              <w:ind w:left="0" w:right="0"/>
              <w:jc w:val="center"/>
              <w:rPr>
                <w:rFonts w:hint="eastAsia" w:ascii="宋体" w:hAnsi="宋体" w:eastAsia="宋体" w:cs="宋体"/>
                <w:b/>
                <w:bCs/>
                <w:i w:val="0"/>
                <w:iCs w:val="0"/>
                <w:color w:val="auto"/>
                <w:sz w:val="21"/>
                <w:szCs w:val="21"/>
                <w:highlight w:val="none"/>
                <w:u w:val="none"/>
              </w:rPr>
            </w:pPr>
          </w:p>
        </w:tc>
        <w:tc>
          <w:tcPr>
            <w:tcW w:w="1145" w:type="pct"/>
            <w:gridSpan w:val="12"/>
            <w:vMerge w:val="continue"/>
            <w:tcBorders>
              <w:top w:val="single" w:color="000000" w:sz="4" w:space="0"/>
              <w:left w:val="single" w:color="000000" w:sz="4" w:space="0"/>
              <w:bottom w:val="single" w:color="000000" w:sz="4" w:space="0"/>
              <w:right w:val="single" w:color="000000" w:sz="4" w:space="0"/>
            </w:tcBorders>
            <w:noWrap/>
            <w:vAlign w:val="center"/>
          </w:tcPr>
          <w:p w14:paraId="70095E54">
            <w:pPr>
              <w:keepNext w:val="0"/>
              <w:keepLines w:val="0"/>
              <w:suppressLineNumbers w:val="0"/>
              <w:spacing w:before="0" w:beforeAutospacing="0" w:after="0" w:afterAutospacing="0" w:line="240" w:lineRule="auto"/>
              <w:ind w:left="0" w:right="0"/>
              <w:jc w:val="center"/>
              <w:rPr>
                <w:rFonts w:hint="eastAsia" w:ascii="宋体" w:hAnsi="宋体" w:eastAsia="宋体" w:cs="宋体"/>
                <w:b/>
                <w:bCs/>
                <w:i w:val="0"/>
                <w:iCs w:val="0"/>
                <w:color w:val="auto"/>
                <w:sz w:val="21"/>
                <w:szCs w:val="21"/>
                <w:highlight w:val="none"/>
                <w:u w:val="none"/>
              </w:rPr>
            </w:pPr>
          </w:p>
        </w:tc>
        <w:tc>
          <w:tcPr>
            <w:tcW w:w="3186" w:type="pct"/>
            <w:gridSpan w:val="8"/>
            <w:vMerge w:val="continue"/>
            <w:tcBorders>
              <w:top w:val="single" w:color="000000" w:sz="4" w:space="0"/>
              <w:left w:val="single" w:color="000000" w:sz="4" w:space="0"/>
              <w:bottom w:val="single" w:color="000000" w:sz="4" w:space="0"/>
              <w:right w:val="single" w:color="000000" w:sz="4" w:space="0"/>
            </w:tcBorders>
            <w:noWrap/>
            <w:vAlign w:val="center"/>
          </w:tcPr>
          <w:p w14:paraId="77D67BE9">
            <w:pPr>
              <w:keepNext w:val="0"/>
              <w:keepLines w:val="0"/>
              <w:suppressLineNumbers w:val="0"/>
              <w:spacing w:before="0" w:beforeAutospacing="0" w:after="0" w:afterAutospacing="0" w:line="240" w:lineRule="auto"/>
              <w:ind w:left="0" w:right="0"/>
              <w:jc w:val="center"/>
              <w:rPr>
                <w:rFonts w:hint="eastAsia" w:ascii="宋体" w:hAnsi="宋体" w:eastAsia="宋体" w:cs="宋体"/>
                <w:b/>
                <w:bCs/>
                <w:i w:val="0"/>
                <w:iCs w:val="0"/>
                <w:color w:val="auto"/>
                <w:sz w:val="21"/>
                <w:szCs w:val="21"/>
                <w:highlight w:val="none"/>
                <w:u w:val="none"/>
              </w:rPr>
            </w:pPr>
          </w:p>
        </w:tc>
      </w:tr>
      <w:tr w14:paraId="5A101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restart"/>
            <w:tcBorders>
              <w:top w:val="single" w:color="000000" w:sz="4" w:space="0"/>
              <w:left w:val="single" w:color="000000" w:sz="4" w:space="0"/>
              <w:bottom w:val="single" w:color="000000" w:sz="4" w:space="0"/>
              <w:right w:val="single" w:color="000000" w:sz="4" w:space="0"/>
            </w:tcBorders>
            <w:noWrap/>
            <w:vAlign w:val="center"/>
          </w:tcPr>
          <w:p w14:paraId="6FD9ADB8">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395" w:type="pct"/>
            <w:gridSpan w:val="6"/>
            <w:vMerge w:val="restart"/>
            <w:tcBorders>
              <w:top w:val="single" w:color="000000" w:sz="4" w:space="0"/>
              <w:left w:val="single" w:color="000000" w:sz="4" w:space="0"/>
              <w:bottom w:val="single" w:color="000000" w:sz="4" w:space="0"/>
              <w:right w:val="single" w:color="000000" w:sz="4" w:space="0"/>
            </w:tcBorders>
            <w:noWrap/>
            <w:vAlign w:val="center"/>
          </w:tcPr>
          <w:p w14:paraId="5DD61BAC">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数据统计</w:t>
            </w:r>
          </w:p>
        </w:tc>
        <w:tc>
          <w:tcPr>
            <w:tcW w:w="1145" w:type="pct"/>
            <w:gridSpan w:val="12"/>
            <w:tcBorders>
              <w:top w:val="single" w:color="000000" w:sz="4" w:space="0"/>
              <w:left w:val="single" w:color="000000" w:sz="4" w:space="0"/>
              <w:bottom w:val="single" w:color="000000" w:sz="4" w:space="0"/>
              <w:right w:val="single" w:color="000000" w:sz="4" w:space="0"/>
            </w:tcBorders>
            <w:noWrap/>
            <w:vAlign w:val="center"/>
          </w:tcPr>
          <w:p w14:paraId="44BFF99E">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一流学科完成率统计表</w:t>
            </w: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3D9489E4">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按学校、学科、一流学科类型、年度分类统计任务条数、任务完成条数、完成率平均值、超额完成条数。</w:t>
            </w:r>
          </w:p>
        </w:tc>
      </w:tr>
      <w:tr w14:paraId="24EC3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00FE931E">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2D3A0566">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restart"/>
            <w:tcBorders>
              <w:top w:val="single" w:color="000000" w:sz="4" w:space="0"/>
              <w:left w:val="single" w:color="000000" w:sz="4" w:space="0"/>
              <w:bottom w:val="single" w:color="000000" w:sz="4" w:space="0"/>
              <w:right w:val="single" w:color="000000" w:sz="4" w:space="0"/>
            </w:tcBorders>
            <w:noWrap w:val="0"/>
            <w:vAlign w:val="center"/>
          </w:tcPr>
          <w:p w14:paraId="187792D0">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人才队伍统计表（导入）</w:t>
            </w:r>
          </w:p>
        </w:tc>
        <w:tc>
          <w:tcPr>
            <w:tcW w:w="709" w:type="pct"/>
            <w:gridSpan w:val="6"/>
            <w:tcBorders>
              <w:top w:val="single" w:color="000000" w:sz="4" w:space="0"/>
              <w:left w:val="single" w:color="000000" w:sz="4" w:space="0"/>
              <w:bottom w:val="single" w:color="000000" w:sz="4" w:space="0"/>
              <w:right w:val="single" w:color="000000" w:sz="4" w:space="0"/>
            </w:tcBorders>
            <w:noWrap w:val="0"/>
            <w:vAlign w:val="center"/>
          </w:tcPr>
          <w:p w14:paraId="09700FDB">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高校各学科年度新增人才项目统计</w:t>
            </w:r>
          </w:p>
        </w:tc>
        <w:tc>
          <w:tcPr>
            <w:tcW w:w="3186" w:type="pct"/>
            <w:gridSpan w:val="8"/>
            <w:tcBorders>
              <w:top w:val="single" w:color="000000" w:sz="4" w:space="0"/>
              <w:left w:val="single" w:color="000000" w:sz="4" w:space="0"/>
              <w:bottom w:val="single" w:color="000000" w:sz="4" w:space="0"/>
              <w:right w:val="single" w:color="000000" w:sz="4" w:space="0"/>
            </w:tcBorders>
            <w:noWrap/>
            <w:vAlign w:val="center"/>
          </w:tcPr>
          <w:p w14:paraId="2290D5A2">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按学校、学科、年度、人才项目类型统计数量。</w:t>
            </w:r>
          </w:p>
        </w:tc>
      </w:tr>
      <w:tr w14:paraId="4E50C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7BD353D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00FDA82F">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5DB77B29">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tcBorders>
              <w:top w:val="single" w:color="000000" w:sz="4" w:space="0"/>
              <w:left w:val="single" w:color="000000" w:sz="4" w:space="0"/>
              <w:bottom w:val="single" w:color="000000" w:sz="4" w:space="0"/>
              <w:right w:val="single" w:color="000000" w:sz="4" w:space="0"/>
            </w:tcBorders>
            <w:noWrap w:val="0"/>
            <w:vAlign w:val="center"/>
          </w:tcPr>
          <w:p w14:paraId="4F24FEE1">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高校各学科年度人才项目总量统计</w:t>
            </w: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693525CA">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按学校、学科、年度、人才项目类型统计数量。</w:t>
            </w:r>
          </w:p>
        </w:tc>
      </w:tr>
      <w:tr w14:paraId="7A753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6FF8468E">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73129CC8">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restart"/>
            <w:tcBorders>
              <w:top w:val="single" w:color="000000" w:sz="4" w:space="0"/>
              <w:left w:val="single" w:color="000000" w:sz="4" w:space="0"/>
              <w:bottom w:val="single" w:color="000000" w:sz="4" w:space="0"/>
              <w:right w:val="single" w:color="000000" w:sz="4" w:space="0"/>
            </w:tcBorders>
            <w:noWrap w:val="0"/>
            <w:vAlign w:val="center"/>
          </w:tcPr>
          <w:p w14:paraId="6A3B4E75">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color w:val="auto"/>
                <w:kern w:val="0"/>
                <w:sz w:val="21"/>
                <w:szCs w:val="21"/>
                <w:highlight w:val="none"/>
              </w:rPr>
              <w:t>▲</w:t>
            </w:r>
            <w:r>
              <w:rPr>
                <w:rFonts w:hint="eastAsia" w:ascii="宋体" w:hAnsi="宋体" w:eastAsia="宋体" w:cs="宋体"/>
                <w:i w:val="0"/>
                <w:iCs w:val="0"/>
                <w:color w:val="auto"/>
                <w:kern w:val="0"/>
                <w:sz w:val="21"/>
                <w:szCs w:val="21"/>
                <w:highlight w:val="none"/>
                <w:u w:val="none"/>
                <w:lang w:val="en-US" w:eastAsia="zh-CN" w:bidi="ar"/>
              </w:rPr>
              <w:t>一流学科核心数据成长统计表（按年度）</w:t>
            </w:r>
          </w:p>
        </w:tc>
        <w:tc>
          <w:tcPr>
            <w:tcW w:w="709" w:type="pct"/>
            <w:gridSpan w:val="6"/>
            <w:vMerge w:val="restart"/>
            <w:tcBorders>
              <w:top w:val="single" w:color="000000" w:sz="4" w:space="0"/>
              <w:left w:val="single" w:color="000000" w:sz="4" w:space="0"/>
              <w:bottom w:val="single" w:color="000000" w:sz="4" w:space="0"/>
              <w:right w:val="single" w:color="000000" w:sz="4" w:space="0"/>
            </w:tcBorders>
            <w:noWrap/>
            <w:vAlign w:val="center"/>
          </w:tcPr>
          <w:p w14:paraId="39F5B555">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党的建设</w:t>
            </w: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30079419">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全国先进基层党组织，全国优秀共产党员、全国优秀党务工作者、全国最美教师，全国党建工作标杆院系、全国党建工作样板支部、教育部高校“双带头人”教师党支部书记工作室等国家级立德树人最高荣誉（个）。</w:t>
            </w:r>
          </w:p>
        </w:tc>
      </w:tr>
      <w:tr w14:paraId="5B1AC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3367CF14">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4291BEF7">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0D3FBDB5">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20BBA492">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4E20EF9D">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按学校、学校、年度新增数统计全国高校黄大年式教师团队（个）。</w:t>
            </w:r>
          </w:p>
        </w:tc>
      </w:tr>
      <w:tr w14:paraId="0A373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49B7E6BC">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13A849E">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1411E0EC">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3E4646A3">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7C9047AB">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按学校、学校、年度新增数统计省党建标杆院系、样板支部，省高校“双带头人”教师党支部书记作室，省优秀共产党员（个）。</w:t>
            </w:r>
          </w:p>
        </w:tc>
      </w:tr>
      <w:tr w14:paraId="16C18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5891893E">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4B51AF4">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236672FA">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2CBA79FA">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322DA147">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按学校、学校、年度新增数统计省高校黄大年式教师团队（个）。</w:t>
            </w:r>
          </w:p>
        </w:tc>
      </w:tr>
      <w:tr w14:paraId="60A0C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08EA01CA">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61BE4142">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60665DA1">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restart"/>
            <w:tcBorders>
              <w:top w:val="single" w:color="000000" w:sz="4" w:space="0"/>
              <w:left w:val="single" w:color="000000" w:sz="4" w:space="0"/>
              <w:bottom w:val="single" w:color="000000" w:sz="4" w:space="0"/>
              <w:right w:val="single" w:color="000000" w:sz="4" w:space="0"/>
            </w:tcBorders>
            <w:noWrap/>
            <w:vAlign w:val="center"/>
          </w:tcPr>
          <w:p w14:paraId="6743FFCA">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师资队伍</w:t>
            </w: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74064147">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按学校、学校、年度新增数统计国家级高层次人才（人次）自主培养和引进的</w:t>
            </w:r>
            <w:r>
              <w:rPr>
                <w:rFonts w:hint="eastAsia" w:cs="宋体"/>
                <w:i w:val="0"/>
                <w:iCs w:val="0"/>
                <w:color w:val="auto"/>
                <w:kern w:val="0"/>
                <w:sz w:val="21"/>
                <w:szCs w:val="21"/>
                <w:highlight w:val="none"/>
                <w:u w:val="none"/>
                <w:lang w:val="en-US" w:eastAsia="zh-CN" w:bidi="ar"/>
              </w:rPr>
              <w:t>人才（人次）</w:t>
            </w:r>
            <w:r>
              <w:rPr>
                <w:rFonts w:hint="eastAsia" w:ascii="宋体" w:hAnsi="宋体" w:eastAsia="宋体" w:cs="宋体"/>
                <w:i w:val="0"/>
                <w:iCs w:val="0"/>
                <w:color w:val="auto"/>
                <w:kern w:val="0"/>
                <w:sz w:val="21"/>
                <w:szCs w:val="21"/>
                <w:highlight w:val="none"/>
                <w:u w:val="none"/>
                <w:lang w:val="en-US" w:eastAsia="zh-CN" w:bidi="ar"/>
              </w:rPr>
              <w:t>。</w:t>
            </w:r>
          </w:p>
        </w:tc>
      </w:tr>
      <w:tr w14:paraId="3E410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71C5DD27">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28910FD1">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2C36D6C9">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71B56624">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0C801AA4">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按学校、学校、年度新增数统计省部级高层次人才（人次）。</w:t>
            </w:r>
          </w:p>
        </w:tc>
      </w:tr>
      <w:tr w14:paraId="5B458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7B131D9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4387ACF2">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58DA90A1">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17CD493">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28225773">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按学校、学校、年度新增数统计全国高校教师教学创新大赛、全国高校青年教师教学竞赛奖项（项）一等奖、二等奖、三等奖。</w:t>
            </w:r>
          </w:p>
        </w:tc>
      </w:tr>
      <w:tr w14:paraId="1DB32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450413A4">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4E6C4B51">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4381FFE5">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restart"/>
            <w:tcBorders>
              <w:top w:val="single" w:color="000000" w:sz="4" w:space="0"/>
              <w:left w:val="single" w:color="000000" w:sz="4" w:space="0"/>
              <w:bottom w:val="single" w:color="000000" w:sz="4" w:space="0"/>
              <w:right w:val="single" w:color="000000" w:sz="4" w:space="0"/>
            </w:tcBorders>
            <w:noWrap/>
            <w:vAlign w:val="center"/>
          </w:tcPr>
          <w:p w14:paraId="2B5A069F">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人才培养</w:t>
            </w: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272C399C">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按学校、学校、年度新增数统计教育部高校思想政治工作精品项目（个）。</w:t>
            </w:r>
          </w:p>
        </w:tc>
      </w:tr>
      <w:tr w14:paraId="0FE6D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5E9AB664">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40B85353">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29304461">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660176D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792AACBD">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按学校、学校、年度新增数统计浙江省高校思想政治工作精品项目（个）。</w:t>
            </w:r>
          </w:p>
        </w:tc>
      </w:tr>
      <w:tr w14:paraId="57B65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13EBB81C">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3F4919F4">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557BC182">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55F1922">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29E15793">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按学校、学校、年度新增数统计国家级教学平台（个）。</w:t>
            </w:r>
          </w:p>
        </w:tc>
      </w:tr>
      <w:tr w14:paraId="513CD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3FA67E82">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84B68AA">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27F93B5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0ECEBCA">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0D95D1B2">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按学校、学校、年度新增数统计省部级教学平台（个）。</w:t>
            </w:r>
          </w:p>
        </w:tc>
      </w:tr>
      <w:tr w14:paraId="36877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078F460E">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64ACBC2F">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203AA999">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439527A5">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109E7CDF">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按学校、学校、年度新增数统计国家教学成果奖（项）一等奖及以上、二等奖。</w:t>
            </w:r>
          </w:p>
        </w:tc>
      </w:tr>
      <w:tr w14:paraId="3DDB4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61394C61">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5C8C8636">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625903C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23B8AC84">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00944E85">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按学校、学校、年度新增数统计省教学成果奖（项）一等奖及以上、二等奖。</w:t>
            </w:r>
          </w:p>
        </w:tc>
      </w:tr>
      <w:tr w14:paraId="0F930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31989507">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63E4212D">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38E58730">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6ACCEDEE">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563D9F44">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按学校、学校、年度新增数统计全国优秀教材（部）一等奖及以上、二等奖。</w:t>
            </w:r>
          </w:p>
        </w:tc>
      </w:tr>
      <w:tr w14:paraId="7EACD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32C1094E">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3945B72D">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25C5ED7F">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2AB8329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4F6E8D2D">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按学校、学校、年度新增数统计国家规划教材立项（部）。</w:t>
            </w:r>
          </w:p>
        </w:tc>
      </w:tr>
      <w:tr w14:paraId="3AD73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1251B37C">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8718401">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624C3C6A">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3E5070F0">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488664A2">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按学校、学校、年度新增数统计国际大学生创新大赛奖项（项）国家级金奖、国家级银奖、省级金奖、省级银奖。</w:t>
            </w:r>
          </w:p>
        </w:tc>
      </w:tr>
      <w:tr w14:paraId="1314A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3F782929">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6E8FB091">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3286BEC0">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restart"/>
            <w:tcBorders>
              <w:top w:val="single" w:color="000000" w:sz="4" w:space="0"/>
              <w:left w:val="single" w:color="000000" w:sz="4" w:space="0"/>
              <w:bottom w:val="single" w:color="000000" w:sz="4" w:space="0"/>
              <w:right w:val="single" w:color="000000" w:sz="4" w:space="0"/>
            </w:tcBorders>
            <w:noWrap/>
            <w:vAlign w:val="center"/>
          </w:tcPr>
          <w:p w14:paraId="4A8873D6">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科学研究</w:t>
            </w: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554C6861">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按学校、学校、年度新增数统计国家级科研平台（个）。</w:t>
            </w:r>
          </w:p>
        </w:tc>
      </w:tr>
      <w:tr w14:paraId="58CAB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171795E6">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76719948">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6B65A1F2">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80E372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5D00E212">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按学校、学校、年度新增数统计省部级科研平台（个）。</w:t>
            </w:r>
          </w:p>
        </w:tc>
      </w:tr>
      <w:tr w14:paraId="38A18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20687E22">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69B031C4">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025D5171">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0F95D652">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401E2F86">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按学校、学校、年度新增数统计国家自然科学奖（项）。</w:t>
            </w:r>
          </w:p>
        </w:tc>
      </w:tr>
      <w:tr w14:paraId="76856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112B2788">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07FB9CDE">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4377B63D">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65D421BD">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3F11AA70">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按学校、学校、年度新增数统计国家技术发明奖、科学技术进步奖（项）一等奖及以上、二等奖。</w:t>
            </w:r>
          </w:p>
        </w:tc>
      </w:tr>
      <w:tr w14:paraId="2A69E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26A59188">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25594F05">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6D0C8A28">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4807CC78">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3D7D3817">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国家级哲学社会科学奖励（注：全国哲学社会科学奖励正式设置且公布首届名单前，教育部高等学校科学研究优秀成果奖&lt;人文社会科学&gt;视同为国家级哲学社会科学奖励）（项）一等奖及以上、二等奖、三等奖（含青年奖）。</w:t>
            </w:r>
          </w:p>
        </w:tc>
      </w:tr>
      <w:tr w14:paraId="5E2B5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2477607C">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45FF1D8C">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01D45D45">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42F486B3">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2CAB7F2C">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教育部高等学校科学研究优秀成果奖（人文社科）（注：全国哲学社会科学奖励正式设置且公布首届名单后，教育部高等学校科学研究优秀成果奖（人文社科）按本指标赋分）（项）一等奖及以上、二等奖、三等奖（含青年奖）。</w:t>
            </w:r>
          </w:p>
        </w:tc>
      </w:tr>
      <w:tr w14:paraId="097DF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7695800A">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737AD2BD">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7F3EC64A">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0739A29D">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6B1BB2B1">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按学校、学校、年度新增数统计中宣部《全国性文艺新闻出版评奖整改总体方案》中列明的奖项（项）最高奖励等级、二等奖或相当、其他奖项。</w:t>
            </w:r>
          </w:p>
        </w:tc>
      </w:tr>
      <w:tr w14:paraId="62187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7D979102">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4108E95E">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39E9D4BA">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016264A7">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416ACEE4">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按学校、学校、年度新增数统计国家哲学社会科学成果文库（部）。</w:t>
            </w:r>
          </w:p>
        </w:tc>
      </w:tr>
      <w:tr w14:paraId="5AAA8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72CDD624">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237BB0C4">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04562129">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4092F955">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761A2FB6">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按学校、学校、年度新增数统计国家社科基金项目结题鉴定优秀（项）。</w:t>
            </w:r>
          </w:p>
        </w:tc>
      </w:tr>
      <w:tr w14:paraId="48DAB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43902DC5">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6AB74B48">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12F4AFB5">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0FEBD83">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79DEF0CE">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按学校、学校、年度新增数统计省部级科技奖励（项）一等奖及以上、二等奖、三等奖。</w:t>
            </w:r>
          </w:p>
        </w:tc>
      </w:tr>
      <w:tr w14:paraId="5D00B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52DF493A">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2D662EFD">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072CC595">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5EC6DC0">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208FF2F0">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按学校、学校、年度新增数统计省级哲学社会科学优秀成果奖（项）一等奖及以上、二等奖、青年奖（或三等奖）。</w:t>
            </w:r>
          </w:p>
        </w:tc>
      </w:tr>
      <w:tr w14:paraId="3A3DC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35D98CC3">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53C95CC3">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103A0941">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7D21CCF7">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77685C61">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按学校、学校、年度新增数统计社会力量设立的全国性科技、社科奖励（项）最高等级、其他等级。</w:t>
            </w:r>
          </w:p>
        </w:tc>
      </w:tr>
      <w:tr w14:paraId="21A19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2A12F380">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5AA5EE28">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3E022298">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678346C1">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23B4BC81">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按学校、学校、年度新增数统计国家级科研项目（项）重大项目、重点项目、一般项目。</w:t>
            </w:r>
          </w:p>
        </w:tc>
      </w:tr>
      <w:tr w14:paraId="10A04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1B885795">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4854F8E2">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3F5C40E7">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61A7FBF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4C5A436D">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按学校、学校、年度新增数统计省“尖兵”“领雁”项目、省自然科学基金重大项目、省社科基金重大项目（项）。</w:t>
            </w:r>
          </w:p>
        </w:tc>
      </w:tr>
      <w:tr w14:paraId="23A99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3D0F77E3">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45C5F287">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07A5AF83">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6E3818D0">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46D4A1F3">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重大横向科研单个项目（含成果转化）（项）当年到账经费理工类1000万及以上、人文社科类200万及以上、当年到账经费理工类500万及以上、人文社科类100万及以上、当年到账经费理工类200万及以上、人文社科类30万及以上。</w:t>
            </w:r>
          </w:p>
        </w:tc>
      </w:tr>
      <w:tr w14:paraId="2BA7D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24714CE0">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58C8B853">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72CD49A7">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4745B020">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72AAFE4B">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按学校、学校、年度新增数统计以第一作者或通讯作者发表《科学》《自然》《细胞》《中国社会科学》论文（篇）。</w:t>
            </w:r>
          </w:p>
        </w:tc>
      </w:tr>
      <w:tr w14:paraId="1D70D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24C4A0D1">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0C8E3B62">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5CC6B55F">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restart"/>
            <w:tcBorders>
              <w:top w:val="single" w:color="000000" w:sz="4" w:space="0"/>
              <w:left w:val="single" w:color="000000" w:sz="4" w:space="0"/>
              <w:bottom w:val="single" w:color="000000" w:sz="4" w:space="0"/>
              <w:right w:val="single" w:color="000000" w:sz="4" w:space="0"/>
            </w:tcBorders>
            <w:noWrap/>
            <w:vAlign w:val="center"/>
          </w:tcPr>
          <w:p w14:paraId="6301210B">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交流合作</w:t>
            </w: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31F23DFC">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按学校、学校、年度新增数统计国家高等学校学科创新引智基地（个）。</w:t>
            </w:r>
          </w:p>
        </w:tc>
      </w:tr>
      <w:tr w14:paraId="22CB1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2583BF48">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70066942">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3F60CBA8">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520B5B4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7CFF01E8">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按学校、学校、年度新增数统计省国际科技合作载体、省国际联合实验室、省外国专家工作站（个）。</w:t>
            </w:r>
          </w:p>
        </w:tc>
      </w:tr>
      <w:tr w14:paraId="79DA3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0C4B4474">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40D63B8E">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53CD771C">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5257AEC9">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346C79B9">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按学校、学校、年度新增数统计中外合作办学机构、项目（个）。</w:t>
            </w:r>
          </w:p>
        </w:tc>
      </w:tr>
      <w:tr w14:paraId="6EAC1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44DF462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2860830">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651BE4D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5E7A0433">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24F83BB1">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按学校、学校、年度新增数统计孔子学院、鲁班工坊（个）。</w:t>
            </w:r>
          </w:p>
        </w:tc>
      </w:tr>
      <w:tr w14:paraId="30176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5528FB5E">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3CEA0681">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610E549E">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6BC92DE">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56AB52DE">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按学校、学校、年度新增数统计丝路学院（个）。</w:t>
            </w:r>
          </w:p>
        </w:tc>
      </w:tr>
      <w:tr w14:paraId="47023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69D71136">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6D37BF57">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48F4059F">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0B685262">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1FB93C3F">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按学校、学校、年度新增数统计创办学术期刊（本）。</w:t>
            </w:r>
          </w:p>
        </w:tc>
      </w:tr>
      <w:tr w14:paraId="53899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767A2C5E">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E46A000">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7430026F">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restart"/>
            <w:tcBorders>
              <w:top w:val="single" w:color="000000" w:sz="4" w:space="0"/>
              <w:left w:val="single" w:color="000000" w:sz="4" w:space="0"/>
              <w:bottom w:val="single" w:color="000000" w:sz="4" w:space="0"/>
              <w:right w:val="single" w:color="000000" w:sz="4" w:space="0"/>
            </w:tcBorders>
            <w:noWrap/>
            <w:vAlign w:val="center"/>
          </w:tcPr>
          <w:p w14:paraId="014B5D94">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学科影响</w:t>
            </w: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4D3F379A">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按学校、学校、年度新增数统计ESI前1‰学科（注：评估当年度11月入选）（个）。</w:t>
            </w:r>
          </w:p>
        </w:tc>
      </w:tr>
      <w:tr w14:paraId="0E8CF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6197C6C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D03C1C5">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000E20AA">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5E1EDD1C">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2A070ED7">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按学校、学校、年度新增数统计ESI前1％学科（注：评估当年度11月入选）（个）。</w:t>
            </w:r>
          </w:p>
        </w:tc>
      </w:tr>
      <w:tr w14:paraId="3DE82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699944EC">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06B6646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1CEE720E">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056129C6">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6305699F">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按学校、学校、年度新增数统计获批博士学位授权点（个）。</w:t>
            </w:r>
          </w:p>
        </w:tc>
      </w:tr>
      <w:tr w14:paraId="2CE4F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51F0BBE2">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2E4079A7">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4A24867A">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21D0BAA6">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6047F71E">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按学校、学校、年度新增数统计新一轮国家学科评估中提档（每档）。</w:t>
            </w:r>
          </w:p>
        </w:tc>
      </w:tr>
      <w:tr w14:paraId="374DF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03E380CC">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8391D08">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497E7BB8">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restart"/>
            <w:tcBorders>
              <w:top w:val="single" w:color="000000" w:sz="4" w:space="0"/>
              <w:left w:val="single" w:color="000000" w:sz="4" w:space="0"/>
              <w:bottom w:val="single" w:color="000000" w:sz="4" w:space="0"/>
              <w:right w:val="single" w:color="000000" w:sz="4" w:space="0"/>
            </w:tcBorders>
            <w:noWrap/>
            <w:vAlign w:val="center"/>
          </w:tcPr>
          <w:p w14:paraId="3965ABD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交流合作</w:t>
            </w: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0435C89D">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按学校、学校、年度新增数统计国家高等学校学科创新引智基地（个）。</w:t>
            </w:r>
          </w:p>
        </w:tc>
      </w:tr>
      <w:tr w14:paraId="17243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7BE05E1D">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34075D69">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4CA64B7A">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300BC47F">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5C15AE45">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按学校、学校、年度新增数统计省国际科技合作载体、省国际联合实验室、省外国专家工作站（个）。</w:t>
            </w:r>
          </w:p>
        </w:tc>
      </w:tr>
      <w:tr w14:paraId="436D3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69B36652">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22BA1394">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3A43E67D">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0BF954A6">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0A1414B5">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按学校、学校、年度新增数统计中外合作办学机构、项目（个）。</w:t>
            </w:r>
          </w:p>
        </w:tc>
      </w:tr>
      <w:tr w14:paraId="79AB6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29DA075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34AC934">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42C0DB13">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0771E9C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2E43C8DF">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按学校、学校、年度新增数统计孔子学院、鲁班工坊（个）。</w:t>
            </w:r>
          </w:p>
        </w:tc>
      </w:tr>
      <w:tr w14:paraId="424C7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65A7FCF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EE81EB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4F9E241B">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5ECB1B5D">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2A0832F9">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按学校、学校、年度新增数统计丝路学院（个）。</w:t>
            </w:r>
          </w:p>
        </w:tc>
      </w:tr>
      <w:tr w14:paraId="6B518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2943CCCC">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5DCAE307">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00E01DB5">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683C996C">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03CED495">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按学校、学校、年度新增数统计创办学术期刊（本）。</w:t>
            </w:r>
          </w:p>
        </w:tc>
      </w:tr>
      <w:tr w14:paraId="6D0FF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450D3534">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700407E5">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435"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5ECAA7D8">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709" w:type="pct"/>
            <w:gridSpan w:val="6"/>
            <w:tcBorders>
              <w:top w:val="single" w:color="000000" w:sz="4" w:space="0"/>
              <w:left w:val="single" w:color="000000" w:sz="4" w:space="0"/>
              <w:bottom w:val="single" w:color="000000" w:sz="4" w:space="0"/>
              <w:right w:val="single" w:color="000000" w:sz="4" w:space="0"/>
            </w:tcBorders>
            <w:noWrap/>
            <w:vAlign w:val="center"/>
          </w:tcPr>
          <w:p w14:paraId="23A5EB0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经费使用</w:t>
            </w: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47A5859B">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按学校、学校、年度新增数统计省级财政经费执行率（%）。</w:t>
            </w:r>
          </w:p>
        </w:tc>
      </w:tr>
      <w:tr w14:paraId="50BA8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271" w:type="pct"/>
            <w:vMerge w:val="continue"/>
            <w:tcBorders>
              <w:top w:val="single" w:color="000000" w:sz="4" w:space="0"/>
              <w:left w:val="single" w:color="000000" w:sz="4" w:space="0"/>
              <w:bottom w:val="single" w:color="000000" w:sz="4" w:space="0"/>
              <w:right w:val="single" w:color="000000" w:sz="4" w:space="0"/>
            </w:tcBorders>
            <w:noWrap/>
            <w:vAlign w:val="center"/>
          </w:tcPr>
          <w:p w14:paraId="2436C515">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395"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4B731C40">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1145" w:type="pct"/>
            <w:gridSpan w:val="12"/>
            <w:tcBorders>
              <w:top w:val="single" w:color="000000" w:sz="4" w:space="0"/>
              <w:left w:val="single" w:color="000000" w:sz="4" w:space="0"/>
              <w:bottom w:val="single" w:color="000000" w:sz="4" w:space="0"/>
              <w:right w:val="single" w:color="000000" w:sz="4" w:space="0"/>
            </w:tcBorders>
            <w:noWrap/>
            <w:vAlign w:val="center"/>
          </w:tcPr>
          <w:p w14:paraId="186D2961">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color w:val="auto"/>
                <w:kern w:val="0"/>
                <w:sz w:val="21"/>
                <w:szCs w:val="21"/>
                <w:highlight w:val="none"/>
              </w:rPr>
              <w:t>▲</w:t>
            </w:r>
            <w:r>
              <w:rPr>
                <w:rFonts w:hint="eastAsia" w:ascii="宋体" w:hAnsi="宋体" w:eastAsia="宋体" w:cs="宋体"/>
                <w:i w:val="0"/>
                <w:iCs w:val="0"/>
                <w:color w:val="auto"/>
                <w:kern w:val="0"/>
                <w:sz w:val="21"/>
                <w:szCs w:val="21"/>
                <w:highlight w:val="none"/>
                <w:u w:val="none"/>
                <w:lang w:val="en-US" w:eastAsia="zh-CN" w:bidi="ar"/>
              </w:rPr>
              <w:t>驾驶舱大屏</w:t>
            </w:r>
          </w:p>
        </w:tc>
        <w:tc>
          <w:tcPr>
            <w:tcW w:w="3186" w:type="pct"/>
            <w:gridSpan w:val="8"/>
            <w:tcBorders>
              <w:top w:val="single" w:color="000000" w:sz="4" w:space="0"/>
              <w:left w:val="single" w:color="000000" w:sz="4" w:space="0"/>
              <w:bottom w:val="single" w:color="000000" w:sz="4" w:space="0"/>
              <w:right w:val="single" w:color="000000" w:sz="4" w:space="0"/>
            </w:tcBorders>
            <w:noWrap w:val="0"/>
            <w:vAlign w:val="center"/>
          </w:tcPr>
          <w:p w14:paraId="58390D12">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按地区统计学科、学位点、专业、一流学科，点击地区实现数据互动。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点击详细数值弹出详细列表。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统计一流学科分布统计图。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统计esi学科统计表。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统计2023年以来省属高校全国重点实验室建设情况图。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统计203年以来省属国家教学成果奖情况图。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统计博士、硕士学位点情况表。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统计2023年以来省属高校国家三大奖项获得情况图。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统计2023年以来省属教育部人文社科一等奖情况表。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统计20023年以来省属高校省科技一等奖情况图。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按学校、按年度统计高水平大学年度任务完成情况图。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按学校、按年度统计登峰学科年度任务完成情况图。</w:t>
            </w:r>
          </w:p>
        </w:tc>
      </w:tr>
      <w:tr w14:paraId="73638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99" w:type="pct"/>
            <w:gridSpan w:val="27"/>
            <w:tcBorders>
              <w:top w:val="single" w:color="000000" w:sz="4" w:space="0"/>
              <w:left w:val="single" w:color="000000" w:sz="4" w:space="0"/>
              <w:bottom w:val="single" w:color="000000" w:sz="4" w:space="0"/>
              <w:right w:val="single" w:color="000000" w:sz="4" w:space="0"/>
            </w:tcBorders>
            <w:noWrap w:val="0"/>
            <w:vAlign w:val="top"/>
          </w:tcPr>
          <w:p w14:paraId="713D1D00">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二、干部考核系统</w:t>
            </w:r>
          </w:p>
        </w:tc>
      </w:tr>
      <w:tr w14:paraId="41623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tcBorders>
              <w:top w:val="single" w:color="000000" w:sz="4" w:space="0"/>
              <w:left w:val="single" w:color="000000" w:sz="4" w:space="0"/>
              <w:bottom w:val="single" w:color="000000" w:sz="4" w:space="0"/>
              <w:right w:val="single" w:color="000000" w:sz="4" w:space="0"/>
            </w:tcBorders>
            <w:noWrap w:val="0"/>
            <w:vAlign w:val="top"/>
          </w:tcPr>
          <w:p w14:paraId="580291A5">
            <w:pPr>
              <w:keepNext w:val="0"/>
              <w:keepLines w:val="0"/>
              <w:widowControl/>
              <w:suppressLineNumbers w:val="0"/>
              <w:spacing w:before="0" w:beforeAutospacing="0" w:after="0" w:afterAutospacing="0" w:line="240" w:lineRule="auto"/>
              <w:ind w:left="0" w:right="0"/>
              <w:jc w:val="center"/>
              <w:textAlignment w:val="top"/>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项目</w:t>
            </w:r>
          </w:p>
        </w:tc>
        <w:tc>
          <w:tcPr>
            <w:tcW w:w="1909" w:type="pct"/>
            <w:gridSpan w:val="20"/>
            <w:tcBorders>
              <w:top w:val="single" w:color="000000" w:sz="4" w:space="0"/>
              <w:left w:val="single" w:color="000000" w:sz="4" w:space="0"/>
              <w:bottom w:val="single" w:color="000000" w:sz="4" w:space="0"/>
              <w:right w:val="single" w:color="000000" w:sz="4" w:space="0"/>
            </w:tcBorders>
            <w:noWrap w:val="0"/>
            <w:vAlign w:val="top"/>
          </w:tcPr>
          <w:p w14:paraId="59783F86">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功能模块</w:t>
            </w:r>
          </w:p>
        </w:tc>
        <w:tc>
          <w:tcPr>
            <w:tcW w:w="2600" w:type="pct"/>
            <w:gridSpan w:val="4"/>
            <w:tcBorders>
              <w:top w:val="single" w:color="000000" w:sz="4" w:space="0"/>
              <w:left w:val="single" w:color="000000" w:sz="4" w:space="0"/>
              <w:bottom w:val="single" w:color="000000" w:sz="4" w:space="0"/>
              <w:right w:val="single" w:color="000000" w:sz="4" w:space="0"/>
            </w:tcBorders>
            <w:noWrap w:val="0"/>
            <w:vAlign w:val="center"/>
          </w:tcPr>
          <w:p w14:paraId="7E0BC739">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说明</w:t>
            </w:r>
          </w:p>
        </w:tc>
      </w:tr>
      <w:tr w14:paraId="69C6C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restart"/>
            <w:tcBorders>
              <w:top w:val="single" w:color="000000" w:sz="4" w:space="0"/>
              <w:left w:val="single" w:color="000000" w:sz="4" w:space="0"/>
              <w:right w:val="single" w:color="000000" w:sz="4" w:space="0"/>
            </w:tcBorders>
            <w:noWrap w:val="0"/>
            <w:vAlign w:val="center"/>
          </w:tcPr>
          <w:p w14:paraId="3D95FAC0">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杭电-干部考评系统</w:t>
            </w:r>
          </w:p>
        </w:tc>
        <w:tc>
          <w:tcPr>
            <w:tcW w:w="384" w:type="pct"/>
            <w:gridSpan w:val="6"/>
            <w:vMerge w:val="restart"/>
            <w:tcBorders>
              <w:top w:val="single" w:color="000000" w:sz="4" w:space="0"/>
              <w:left w:val="single" w:color="000000" w:sz="4" w:space="0"/>
              <w:right w:val="single" w:color="000000" w:sz="4" w:space="0"/>
            </w:tcBorders>
            <w:noWrap w:val="0"/>
            <w:vAlign w:val="center"/>
          </w:tcPr>
          <w:p w14:paraId="235AFE49">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管理后台</w:t>
            </w:r>
          </w:p>
        </w:tc>
        <w:tc>
          <w:tcPr>
            <w:tcW w:w="819" w:type="pct"/>
            <w:gridSpan w:val="9"/>
            <w:tcBorders>
              <w:top w:val="single" w:color="000000" w:sz="4" w:space="0"/>
              <w:left w:val="single" w:color="000000" w:sz="4" w:space="0"/>
              <w:bottom w:val="single" w:color="000000" w:sz="4" w:space="0"/>
              <w:right w:val="single" w:color="000000" w:sz="4" w:space="0"/>
            </w:tcBorders>
            <w:noWrap w:val="0"/>
            <w:vAlign w:val="center"/>
          </w:tcPr>
          <w:p w14:paraId="5EFAE6ED">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前端</w:t>
            </w: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2E01A89F">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页面</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3D13623F">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集成学校数字校园门户，用户可通过智慧杭电进入系统，阅读每年度的测评说明阅读，对</w:t>
            </w:r>
            <w:r>
              <w:rPr>
                <w:rFonts w:hint="eastAsia" w:ascii="宋体" w:hAnsi="宋体" w:eastAsia="宋体" w:cs="宋体"/>
                <w:b w:val="0"/>
                <w:bCs w:val="0"/>
                <w:i w:val="0"/>
                <w:iCs w:val="0"/>
                <w:color w:val="auto"/>
                <w:kern w:val="0"/>
                <w:sz w:val="21"/>
                <w:szCs w:val="21"/>
                <w:highlight w:val="none"/>
                <w:u w:val="none"/>
                <w:lang w:val="en-US" w:eastAsia="zh-CN" w:bidi="ar"/>
              </w:rPr>
              <w:t>系统管理进行操作，中层填写个人述职报告，在校教职工对中层干部工作评价，管理员对考评数据数据查询和导出。</w:t>
            </w:r>
          </w:p>
        </w:tc>
      </w:tr>
      <w:tr w14:paraId="437DC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040849AD">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69524BDB">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vMerge w:val="restart"/>
            <w:tcBorders>
              <w:top w:val="single" w:color="000000" w:sz="4" w:space="0"/>
              <w:left w:val="single" w:color="000000" w:sz="4" w:space="0"/>
              <w:bottom w:val="single" w:color="000000" w:sz="4" w:space="0"/>
              <w:right w:val="single" w:color="000000" w:sz="4" w:space="0"/>
            </w:tcBorders>
            <w:noWrap w:val="0"/>
            <w:vAlign w:val="center"/>
          </w:tcPr>
          <w:p w14:paraId="1164FEF6">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登录</w:t>
            </w: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2C19DCF1">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工号，密码登录</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2BA78D3C">
            <w:pPr>
              <w:keepNext w:val="0"/>
              <w:keepLines w:val="0"/>
              <w:suppressLineNumbers w:val="0"/>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对接学校数据中台，同步学校用户信息，用户可以通过账号密码登录系统。</w:t>
            </w:r>
          </w:p>
        </w:tc>
      </w:tr>
      <w:tr w14:paraId="23152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03734A87">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5FC3C373">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vMerge w:val="continue"/>
            <w:tcBorders>
              <w:top w:val="single" w:color="000000" w:sz="4" w:space="0"/>
              <w:left w:val="single" w:color="000000" w:sz="4" w:space="0"/>
              <w:bottom w:val="single" w:color="000000" w:sz="4" w:space="0"/>
              <w:right w:val="single" w:color="000000" w:sz="4" w:space="0"/>
            </w:tcBorders>
            <w:noWrap w:val="0"/>
            <w:vAlign w:val="center"/>
          </w:tcPr>
          <w:p w14:paraId="34203164">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36701533">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CAS登录</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64C6E143">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对接杭电CAS，用户可以通过学校统一认证登录系统，也可通过智慧杭电门户，单点登录系统。</w:t>
            </w:r>
          </w:p>
        </w:tc>
      </w:tr>
      <w:tr w14:paraId="6D4CE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46A8BAE3">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3C2F0EB7">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vMerge w:val="restart"/>
            <w:tcBorders>
              <w:top w:val="single" w:color="000000" w:sz="4" w:space="0"/>
              <w:left w:val="single" w:color="000000" w:sz="4" w:space="0"/>
              <w:bottom w:val="single" w:color="000000" w:sz="4" w:space="0"/>
              <w:right w:val="single" w:color="000000" w:sz="4" w:space="0"/>
            </w:tcBorders>
            <w:noWrap w:val="0"/>
            <w:vAlign w:val="center"/>
          </w:tcPr>
          <w:p w14:paraId="6EAAA9A8">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系统管理（管理员权限）</w:t>
            </w: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715911F3">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菜单管理</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31014B36">
            <w:pPr>
              <w:keepNext w:val="0"/>
              <w:keepLines w:val="0"/>
              <w:suppressLineNumbers w:val="0"/>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对系统的</w:t>
            </w:r>
            <w:r>
              <w:rPr>
                <w:rFonts w:hint="eastAsia" w:ascii="宋体" w:hAnsi="宋体" w:eastAsia="宋体" w:cs="宋体"/>
                <w:i w:val="0"/>
                <w:iCs w:val="0"/>
                <w:color w:val="auto"/>
                <w:kern w:val="0"/>
                <w:sz w:val="21"/>
                <w:szCs w:val="21"/>
                <w:highlight w:val="none"/>
                <w:u w:val="none"/>
                <w:lang w:val="en-US" w:eastAsia="zh-CN" w:bidi="ar"/>
              </w:rPr>
              <w:t>菜单进行管理，可以控制菜单的增删改查，显示隐藏，以及跳转的链接。</w:t>
            </w:r>
          </w:p>
        </w:tc>
      </w:tr>
      <w:tr w14:paraId="629CD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79D07F37">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20F7E339">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vMerge w:val="continue"/>
            <w:tcBorders>
              <w:top w:val="single" w:color="000000" w:sz="4" w:space="0"/>
              <w:left w:val="single" w:color="000000" w:sz="4" w:space="0"/>
              <w:bottom w:val="single" w:color="000000" w:sz="4" w:space="0"/>
              <w:right w:val="single" w:color="000000" w:sz="4" w:space="0"/>
            </w:tcBorders>
            <w:noWrap w:val="0"/>
            <w:vAlign w:val="center"/>
          </w:tcPr>
          <w:p w14:paraId="03AFEB43">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69B2BA6B">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用户管理</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5D484980">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已对接学校数据中台，同步学校用户信息，新增入职员工，并赋与角色，对已离职员工进行逻辑删除，更新在职员工个人信息。</w:t>
            </w:r>
          </w:p>
        </w:tc>
      </w:tr>
      <w:tr w14:paraId="5B612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1B7AB6F4">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41E4DB3D">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vMerge w:val="continue"/>
            <w:tcBorders>
              <w:top w:val="single" w:color="000000" w:sz="4" w:space="0"/>
              <w:left w:val="single" w:color="000000" w:sz="4" w:space="0"/>
              <w:bottom w:val="single" w:color="000000" w:sz="4" w:space="0"/>
              <w:right w:val="single" w:color="000000" w:sz="4" w:space="0"/>
            </w:tcBorders>
            <w:noWrap w:val="0"/>
            <w:vAlign w:val="center"/>
          </w:tcPr>
          <w:p w14:paraId="3D68D778">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40A806BE">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部门管理</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02EB67EF">
            <w:pPr>
              <w:keepNext w:val="0"/>
              <w:keepLines w:val="0"/>
              <w:suppressLineNumbers w:val="0"/>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对接学校数据中台，同步学校部门信息,对部门进行增删改查。</w:t>
            </w:r>
          </w:p>
        </w:tc>
      </w:tr>
      <w:tr w14:paraId="0DC46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2603161C">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1AE2AB65">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vMerge w:val="continue"/>
            <w:tcBorders>
              <w:top w:val="single" w:color="000000" w:sz="4" w:space="0"/>
              <w:left w:val="single" w:color="000000" w:sz="4" w:space="0"/>
              <w:bottom w:val="single" w:color="000000" w:sz="4" w:space="0"/>
              <w:right w:val="single" w:color="000000" w:sz="4" w:space="0"/>
            </w:tcBorders>
            <w:noWrap w:val="0"/>
            <w:vAlign w:val="center"/>
          </w:tcPr>
          <w:p w14:paraId="4EC6583F">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5105B6F4">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角色管理</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1E323EA1">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u w:val="none"/>
                <w:lang w:val="en-US" w:eastAsia="zh-CN"/>
              </w:rPr>
              <w:t>对系统的</w:t>
            </w:r>
            <w:r>
              <w:rPr>
                <w:rFonts w:hint="eastAsia" w:ascii="宋体" w:hAnsi="宋体" w:eastAsia="宋体" w:cs="宋体"/>
                <w:i w:val="0"/>
                <w:iCs w:val="0"/>
                <w:color w:val="auto"/>
                <w:kern w:val="0"/>
                <w:sz w:val="21"/>
                <w:szCs w:val="21"/>
                <w:highlight w:val="none"/>
                <w:u w:val="none"/>
                <w:lang w:val="en-US" w:eastAsia="zh-CN" w:bidi="ar"/>
              </w:rPr>
              <w:t>权限进行管理，新入职员工拥有默认角色。</w:t>
            </w:r>
          </w:p>
        </w:tc>
      </w:tr>
      <w:tr w14:paraId="54C3E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43997D64">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665E55BB">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vMerge w:val="continue"/>
            <w:tcBorders>
              <w:top w:val="single" w:color="000000" w:sz="4" w:space="0"/>
              <w:left w:val="single" w:color="000000" w:sz="4" w:space="0"/>
              <w:bottom w:val="single" w:color="000000" w:sz="4" w:space="0"/>
              <w:right w:val="single" w:color="000000" w:sz="4" w:space="0"/>
            </w:tcBorders>
            <w:noWrap w:val="0"/>
            <w:vAlign w:val="center"/>
          </w:tcPr>
          <w:p w14:paraId="33ABE5DC">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2F508906">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字典管理</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35D33B7B">
            <w:pPr>
              <w:keepNext w:val="0"/>
              <w:keepLines w:val="0"/>
              <w:suppressLineNumbers w:val="0"/>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数据字典，用户可通过对数据字典的条目，以及对应条目的内容，修改系统数据的内容指向说明。</w:t>
            </w:r>
          </w:p>
        </w:tc>
      </w:tr>
      <w:tr w14:paraId="640F3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3545E61C">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3155570A">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vMerge w:val="continue"/>
            <w:tcBorders>
              <w:top w:val="single" w:color="000000" w:sz="4" w:space="0"/>
              <w:left w:val="single" w:color="000000" w:sz="4" w:space="0"/>
              <w:bottom w:val="single" w:color="000000" w:sz="4" w:space="0"/>
              <w:right w:val="single" w:color="000000" w:sz="4" w:space="0"/>
            </w:tcBorders>
            <w:noWrap w:val="0"/>
            <w:vAlign w:val="center"/>
          </w:tcPr>
          <w:p w14:paraId="326B1876">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2F7B50EF">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日志管理</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5ED138F4">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用户操作记录，用来查询进行了哪些操作。</w:t>
            </w:r>
          </w:p>
        </w:tc>
      </w:tr>
      <w:tr w14:paraId="66E83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1C12692A">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3F7E79E5">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vMerge w:val="continue"/>
            <w:tcBorders>
              <w:top w:val="single" w:color="000000" w:sz="4" w:space="0"/>
              <w:left w:val="single" w:color="000000" w:sz="4" w:space="0"/>
              <w:bottom w:val="single" w:color="000000" w:sz="4" w:space="0"/>
              <w:right w:val="single" w:color="000000" w:sz="4" w:space="0"/>
            </w:tcBorders>
            <w:noWrap w:val="0"/>
            <w:vAlign w:val="center"/>
          </w:tcPr>
          <w:p w14:paraId="5E8F3C88">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2959BE1B">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评价说明配置</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4CD3A713">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管理员可以设置,评价说明内容，首页显示内容，用来展示当年的评价规则。</w:t>
            </w:r>
          </w:p>
        </w:tc>
      </w:tr>
      <w:tr w14:paraId="47E44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1967CEC9">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648AD01D">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vMerge w:val="continue"/>
            <w:tcBorders>
              <w:top w:val="single" w:color="000000" w:sz="4" w:space="0"/>
              <w:left w:val="single" w:color="000000" w:sz="4" w:space="0"/>
              <w:bottom w:val="single" w:color="000000" w:sz="4" w:space="0"/>
              <w:right w:val="single" w:color="000000" w:sz="4" w:space="0"/>
            </w:tcBorders>
            <w:noWrap w:val="0"/>
            <w:vAlign w:val="center"/>
          </w:tcPr>
          <w:p w14:paraId="373C29BD">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629A7018">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岗位类别</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46D7C62E">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根据职务设置岗位类别，用于评价分数计算。</w:t>
            </w:r>
          </w:p>
        </w:tc>
      </w:tr>
      <w:tr w14:paraId="32997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099F19B7">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614088D3">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vMerge w:val="continue"/>
            <w:tcBorders>
              <w:top w:val="single" w:color="000000" w:sz="4" w:space="0"/>
              <w:left w:val="single" w:color="000000" w:sz="4" w:space="0"/>
              <w:bottom w:val="single" w:color="000000" w:sz="4" w:space="0"/>
              <w:right w:val="single" w:color="000000" w:sz="4" w:space="0"/>
            </w:tcBorders>
            <w:noWrap w:val="0"/>
            <w:vAlign w:val="center"/>
          </w:tcPr>
          <w:p w14:paraId="4EC02600">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46ADB7D0">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公共配置设置</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11E93A6D">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全局参数配置，用于设置评价年份,设置干部个人述职材料提交时间和字数，设置教职工评价时间段，设置评价的不了解比例，设置评价的计算分数比例。</w:t>
            </w:r>
          </w:p>
        </w:tc>
      </w:tr>
      <w:tr w14:paraId="47772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52B36C0B">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35FB002A">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vMerge w:val="continue"/>
            <w:tcBorders>
              <w:top w:val="single" w:color="000000" w:sz="4" w:space="0"/>
              <w:left w:val="single" w:color="000000" w:sz="4" w:space="0"/>
              <w:bottom w:val="single" w:color="000000" w:sz="4" w:space="0"/>
              <w:right w:val="single" w:color="000000" w:sz="4" w:space="0"/>
            </w:tcBorders>
            <w:noWrap w:val="0"/>
            <w:vAlign w:val="center"/>
          </w:tcPr>
          <w:p w14:paraId="0570829E">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7ACE819A">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短信内容</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4985C6B0">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短信内容配置，用来设置中层未提交短信内容，未评价短信内容和评价中短信内容。</w:t>
            </w:r>
          </w:p>
        </w:tc>
      </w:tr>
      <w:tr w14:paraId="3EACF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255F100D">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1F439999">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vMerge w:val="continue"/>
            <w:tcBorders>
              <w:top w:val="single" w:color="000000" w:sz="4" w:space="0"/>
              <w:left w:val="single" w:color="000000" w:sz="4" w:space="0"/>
              <w:bottom w:val="single" w:color="000000" w:sz="4" w:space="0"/>
              <w:right w:val="single" w:color="000000" w:sz="4" w:space="0"/>
            </w:tcBorders>
            <w:noWrap w:val="0"/>
            <w:vAlign w:val="center"/>
          </w:tcPr>
          <w:p w14:paraId="189B824F">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440370B8">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部门关联</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6DB2E732">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部门评价关系，用来设置某个部门可以并哪些部门评价。</w:t>
            </w:r>
          </w:p>
        </w:tc>
      </w:tr>
      <w:tr w14:paraId="732A7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20581B62">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5D7D020A">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vMerge w:val="restart"/>
            <w:tcBorders>
              <w:top w:val="single" w:color="000000" w:sz="4" w:space="0"/>
              <w:left w:val="single" w:color="000000" w:sz="4" w:space="0"/>
              <w:bottom w:val="single" w:color="000000" w:sz="4" w:space="0"/>
              <w:right w:val="single" w:color="000000" w:sz="4" w:space="0"/>
            </w:tcBorders>
            <w:noWrap/>
            <w:vAlign w:val="center"/>
          </w:tcPr>
          <w:p w14:paraId="1E5C77A8">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数据查询（管理员权限）</w:t>
            </w: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79EC9E5F">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述职资料人员情况查询</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020A6EFB">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查询述职提交以及未提交人员，并且可以不在时间段内对已提交人员述职修改，可导出述职内容，并且可以批量给未评价人员发送短信。</w:t>
            </w:r>
          </w:p>
        </w:tc>
      </w:tr>
      <w:tr w14:paraId="4F4CA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25F8A408">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3037CFE3">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vMerge w:val="continue"/>
            <w:tcBorders>
              <w:top w:val="single" w:color="000000" w:sz="4" w:space="0"/>
              <w:left w:val="single" w:color="000000" w:sz="4" w:space="0"/>
              <w:bottom w:val="single" w:color="000000" w:sz="4" w:space="0"/>
              <w:right w:val="single" w:color="000000" w:sz="4" w:space="0"/>
            </w:tcBorders>
            <w:noWrap/>
            <w:vAlign w:val="center"/>
          </w:tcPr>
          <w:p w14:paraId="5006789C">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2C8EFFA0">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未评价人员查询</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122C38EA">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根据部门查询其部门未评价人员和评价中人员，可批量给未评价人员和评价中人员发送短信，并可以导出相关的数据。</w:t>
            </w:r>
          </w:p>
        </w:tc>
      </w:tr>
      <w:tr w14:paraId="58910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400FEA72">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30871409">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vMerge w:val="continue"/>
            <w:tcBorders>
              <w:top w:val="single" w:color="000000" w:sz="4" w:space="0"/>
              <w:left w:val="single" w:color="000000" w:sz="4" w:space="0"/>
              <w:bottom w:val="single" w:color="000000" w:sz="4" w:space="0"/>
              <w:right w:val="single" w:color="000000" w:sz="4" w:space="0"/>
            </w:tcBorders>
            <w:noWrap/>
            <w:vAlign w:val="center"/>
          </w:tcPr>
          <w:p w14:paraId="617D5DBC">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6FC61BE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评价结果查询</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15E7E619">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根据计分规则统计的评价分值，可以按部门和单位进行查询并导出。</w:t>
            </w:r>
          </w:p>
        </w:tc>
      </w:tr>
      <w:tr w14:paraId="01D8B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0243C7D9">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6829BC08">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tcBorders>
              <w:top w:val="single" w:color="000000" w:sz="4" w:space="0"/>
              <w:left w:val="single" w:color="000000" w:sz="4" w:space="0"/>
              <w:bottom w:val="single" w:color="000000" w:sz="4" w:space="0"/>
              <w:right w:val="single" w:color="000000" w:sz="4" w:space="0"/>
            </w:tcBorders>
            <w:noWrap/>
            <w:vAlign w:val="center"/>
          </w:tcPr>
          <w:p w14:paraId="475C25E0">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我要评价（评价人权限）</w:t>
            </w: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0EB3344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我要评价</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7800861E">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根据评价逻辑，生成被评价人员数据，从而评价人员，有定时暂存以及提交功能以及已评价人员显示,评价人员如果提交评价将无法修改。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校领导可以评价所有的中层干部，中层干部可以互评，基层员工可以评价和本部门关联的部门中层干部。</w:t>
            </w:r>
          </w:p>
        </w:tc>
      </w:tr>
      <w:tr w14:paraId="2A292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right w:val="single" w:color="000000" w:sz="4" w:space="0"/>
            </w:tcBorders>
            <w:noWrap w:val="0"/>
            <w:vAlign w:val="center"/>
          </w:tcPr>
          <w:p w14:paraId="5D0D087C">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right w:val="single" w:color="000000" w:sz="4" w:space="0"/>
            </w:tcBorders>
            <w:noWrap w:val="0"/>
            <w:vAlign w:val="center"/>
          </w:tcPr>
          <w:p w14:paraId="58A12011">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tcBorders>
              <w:top w:val="single" w:color="000000" w:sz="4" w:space="0"/>
              <w:left w:val="single" w:color="000000" w:sz="4" w:space="0"/>
              <w:bottom w:val="single" w:color="000000" w:sz="4" w:space="0"/>
              <w:right w:val="single" w:color="000000" w:sz="4" w:space="0"/>
            </w:tcBorders>
            <w:noWrap/>
            <w:vAlign w:val="center"/>
          </w:tcPr>
          <w:p w14:paraId="78CBBCFB">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个人述职报告填写（中层领导页面）</w:t>
            </w: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5572C684">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个人述职报告填写</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4E41993A">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中层管理在规定时间内填写个人述职报告，其余人员不能填写，也不能查看。</w:t>
            </w:r>
          </w:p>
        </w:tc>
      </w:tr>
      <w:tr w14:paraId="6AE93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0" w:type="pct"/>
            <w:gridSpan w:val="3"/>
            <w:vMerge w:val="continue"/>
            <w:tcBorders>
              <w:left w:val="single" w:color="000000" w:sz="4" w:space="0"/>
              <w:bottom w:val="single" w:color="000000" w:sz="4" w:space="0"/>
              <w:right w:val="single" w:color="000000" w:sz="4" w:space="0"/>
            </w:tcBorders>
            <w:noWrap w:val="0"/>
            <w:vAlign w:val="center"/>
          </w:tcPr>
          <w:p w14:paraId="537326A3">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4" w:type="pct"/>
            <w:gridSpan w:val="6"/>
            <w:vMerge w:val="continue"/>
            <w:tcBorders>
              <w:left w:val="single" w:color="000000" w:sz="4" w:space="0"/>
              <w:bottom w:val="single" w:color="000000" w:sz="4" w:space="0"/>
              <w:right w:val="single" w:color="000000" w:sz="4" w:space="0"/>
            </w:tcBorders>
            <w:noWrap w:val="0"/>
            <w:vAlign w:val="center"/>
          </w:tcPr>
          <w:p w14:paraId="54F43CC9">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819" w:type="pct"/>
            <w:gridSpan w:val="9"/>
            <w:tcBorders>
              <w:top w:val="single" w:color="000000" w:sz="4" w:space="0"/>
              <w:left w:val="single" w:color="000000" w:sz="4" w:space="0"/>
              <w:bottom w:val="single" w:color="000000" w:sz="4" w:space="0"/>
              <w:right w:val="single" w:color="000000" w:sz="4" w:space="0"/>
            </w:tcBorders>
            <w:noWrap/>
            <w:vAlign w:val="center"/>
          </w:tcPr>
          <w:p w14:paraId="1283A479">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color w:val="auto"/>
                <w:kern w:val="0"/>
                <w:sz w:val="21"/>
                <w:szCs w:val="21"/>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按比例分数计算（管理员权限）</w:t>
            </w:r>
          </w:p>
        </w:tc>
        <w:tc>
          <w:tcPr>
            <w:tcW w:w="705" w:type="pct"/>
            <w:gridSpan w:val="5"/>
            <w:tcBorders>
              <w:top w:val="single" w:color="000000" w:sz="4" w:space="0"/>
              <w:left w:val="single" w:color="000000" w:sz="4" w:space="0"/>
              <w:bottom w:val="single" w:color="000000" w:sz="4" w:space="0"/>
              <w:right w:val="single" w:color="000000" w:sz="4" w:space="0"/>
            </w:tcBorders>
            <w:noWrap/>
            <w:vAlign w:val="center"/>
          </w:tcPr>
          <w:p w14:paraId="1A49C16B">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按比例分数计算</w:t>
            </w:r>
          </w:p>
        </w:tc>
        <w:tc>
          <w:tcPr>
            <w:tcW w:w="2600" w:type="pct"/>
            <w:gridSpan w:val="4"/>
            <w:tcBorders>
              <w:top w:val="single" w:color="000000" w:sz="4" w:space="0"/>
              <w:left w:val="single" w:color="000000" w:sz="4" w:space="0"/>
              <w:bottom w:val="single" w:color="000000" w:sz="4" w:space="0"/>
              <w:right w:val="single" w:color="000000" w:sz="4" w:space="0"/>
            </w:tcBorders>
            <w:noWrap/>
            <w:vAlign w:val="center"/>
          </w:tcPr>
          <w:p w14:paraId="4A1300C4">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根据公共配置里的各层次计算分数比例，统计中层干部的考核分数，并且可导出计算结果。</w:t>
            </w:r>
          </w:p>
        </w:tc>
      </w:tr>
      <w:tr w14:paraId="52E7C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99" w:type="pct"/>
            <w:gridSpan w:val="27"/>
            <w:tcBorders>
              <w:top w:val="single" w:color="000000" w:sz="4" w:space="0"/>
              <w:left w:val="single" w:color="000000" w:sz="4" w:space="0"/>
              <w:bottom w:val="single" w:color="000000" w:sz="4" w:space="0"/>
              <w:right w:val="single" w:color="000000" w:sz="4" w:space="0"/>
            </w:tcBorders>
            <w:noWrap w:val="0"/>
            <w:vAlign w:val="center"/>
          </w:tcPr>
          <w:p w14:paraId="50602CAB">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三、人事花名册系统</w:t>
            </w:r>
          </w:p>
        </w:tc>
      </w:tr>
      <w:tr w14:paraId="53F84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tcBorders>
              <w:top w:val="single" w:color="000000" w:sz="4" w:space="0"/>
              <w:left w:val="single" w:color="000000" w:sz="4" w:space="0"/>
              <w:bottom w:val="single" w:color="000000" w:sz="4" w:space="0"/>
              <w:right w:val="single" w:color="000000" w:sz="4" w:space="0"/>
            </w:tcBorders>
            <w:noWrap w:val="0"/>
            <w:vAlign w:val="center"/>
          </w:tcPr>
          <w:p w14:paraId="0289FCD7">
            <w:pPr>
              <w:keepNext w:val="0"/>
              <w:keepLines w:val="0"/>
              <w:widowControl/>
              <w:suppressLineNumbers w:val="0"/>
              <w:spacing w:before="0" w:beforeAutospacing="0" w:after="0" w:afterAutospacing="0" w:line="240" w:lineRule="auto"/>
              <w:ind w:left="0" w:right="0"/>
              <w:jc w:val="center"/>
              <w:textAlignment w:val="top"/>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项目</w:t>
            </w:r>
          </w:p>
        </w:tc>
        <w:tc>
          <w:tcPr>
            <w:tcW w:w="381" w:type="pct"/>
            <w:gridSpan w:val="5"/>
            <w:tcBorders>
              <w:top w:val="single" w:color="000000" w:sz="4" w:space="0"/>
              <w:left w:val="single" w:color="000000" w:sz="4" w:space="0"/>
              <w:bottom w:val="single" w:color="000000" w:sz="4" w:space="0"/>
              <w:right w:val="single" w:color="000000" w:sz="4" w:space="0"/>
            </w:tcBorders>
            <w:noWrap w:val="0"/>
            <w:vAlign w:val="center"/>
          </w:tcPr>
          <w:p w14:paraId="0247360F">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功能模块</w:t>
            </w:r>
          </w:p>
        </w:tc>
        <w:tc>
          <w:tcPr>
            <w:tcW w:w="4125" w:type="pct"/>
            <w:gridSpan w:val="18"/>
            <w:tcBorders>
              <w:top w:val="single" w:color="000000" w:sz="4" w:space="0"/>
              <w:left w:val="single" w:color="000000" w:sz="4" w:space="0"/>
              <w:bottom w:val="single" w:color="000000" w:sz="4" w:space="0"/>
              <w:right w:val="single" w:color="000000" w:sz="4" w:space="0"/>
            </w:tcBorders>
            <w:noWrap w:val="0"/>
            <w:vAlign w:val="center"/>
          </w:tcPr>
          <w:p w14:paraId="3407F1E6">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说明</w:t>
            </w:r>
          </w:p>
        </w:tc>
      </w:tr>
      <w:tr w14:paraId="284BF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restart"/>
            <w:tcBorders>
              <w:top w:val="single" w:color="000000" w:sz="4" w:space="0"/>
              <w:left w:val="single" w:color="000000" w:sz="4" w:space="0"/>
              <w:bottom w:val="single" w:color="000000" w:sz="4" w:space="0"/>
              <w:right w:val="single" w:color="000000" w:sz="4" w:space="0"/>
            </w:tcBorders>
            <w:noWrap w:val="0"/>
            <w:vAlign w:val="center"/>
          </w:tcPr>
          <w:p w14:paraId="4D0A87B4">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人事花名册系统</w:t>
            </w:r>
          </w:p>
        </w:tc>
        <w:tc>
          <w:tcPr>
            <w:tcW w:w="381" w:type="pct"/>
            <w:gridSpan w:val="5"/>
            <w:tcBorders>
              <w:top w:val="single" w:color="000000" w:sz="4" w:space="0"/>
              <w:left w:val="single" w:color="000000" w:sz="4" w:space="0"/>
              <w:bottom w:val="single" w:color="000000" w:sz="4" w:space="0"/>
              <w:right w:val="single" w:color="000000" w:sz="4" w:space="0"/>
            </w:tcBorders>
            <w:noWrap/>
            <w:vAlign w:val="center"/>
          </w:tcPr>
          <w:p w14:paraId="3026367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单点登录</w:t>
            </w:r>
          </w:p>
        </w:tc>
        <w:tc>
          <w:tcPr>
            <w:tcW w:w="4125" w:type="pct"/>
            <w:gridSpan w:val="18"/>
            <w:tcBorders>
              <w:top w:val="single" w:color="000000" w:sz="4" w:space="0"/>
              <w:left w:val="single" w:color="000000" w:sz="4" w:space="0"/>
              <w:bottom w:val="single" w:color="000000" w:sz="4" w:space="0"/>
              <w:right w:val="single" w:color="000000" w:sz="4" w:space="0"/>
            </w:tcBorders>
            <w:noWrap w:val="0"/>
            <w:vAlign w:val="center"/>
          </w:tcPr>
          <w:p w14:paraId="706C5154">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对接学校统一认证CAS，用户可以通过学校统一认证登录系统，也可通过智慧杭电门户，单点登录系统。</w:t>
            </w:r>
          </w:p>
        </w:tc>
      </w:tr>
      <w:tr w14:paraId="654F0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7A6EEF7E">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1" w:type="pct"/>
            <w:gridSpan w:val="5"/>
            <w:tcBorders>
              <w:top w:val="single" w:color="000000" w:sz="4" w:space="0"/>
              <w:left w:val="single" w:color="000000" w:sz="4" w:space="0"/>
              <w:bottom w:val="single" w:color="000000" w:sz="4" w:space="0"/>
              <w:right w:val="single" w:color="000000" w:sz="4" w:space="0"/>
            </w:tcBorders>
            <w:noWrap/>
            <w:vAlign w:val="center"/>
          </w:tcPr>
          <w:p w14:paraId="649B68DA">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数据中台同步</w:t>
            </w:r>
          </w:p>
        </w:tc>
        <w:tc>
          <w:tcPr>
            <w:tcW w:w="4125" w:type="pct"/>
            <w:gridSpan w:val="18"/>
            <w:tcBorders>
              <w:top w:val="single" w:color="000000" w:sz="4" w:space="0"/>
              <w:left w:val="single" w:color="000000" w:sz="4" w:space="0"/>
              <w:bottom w:val="single" w:color="000000" w:sz="4" w:space="0"/>
              <w:right w:val="single" w:color="000000" w:sz="4" w:space="0"/>
            </w:tcBorders>
            <w:noWrap/>
            <w:vAlign w:val="center"/>
          </w:tcPr>
          <w:p w14:paraId="1E6B97C4">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对接学校数据中台，同步学校用户信息，新增入职员工，并赋与角色，对已离职员工进行逻辑删除，更新在职员工个人信息。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对接学校数据中台，同步学校部门信息,对部门进行增删改查。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对接学校数据中台，同步教职工的头像信息。</w:t>
            </w:r>
          </w:p>
        </w:tc>
      </w:tr>
      <w:tr w14:paraId="6F43A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51207E53">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1" w:type="pct"/>
            <w:gridSpan w:val="5"/>
            <w:tcBorders>
              <w:top w:val="single" w:color="000000" w:sz="4" w:space="0"/>
              <w:left w:val="single" w:color="000000" w:sz="4" w:space="0"/>
              <w:bottom w:val="single" w:color="000000" w:sz="4" w:space="0"/>
              <w:right w:val="single" w:color="000000" w:sz="4" w:space="0"/>
            </w:tcBorders>
            <w:noWrap/>
            <w:vAlign w:val="center"/>
          </w:tcPr>
          <w:p w14:paraId="25EE8B9A">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系统改造</w:t>
            </w:r>
          </w:p>
        </w:tc>
        <w:tc>
          <w:tcPr>
            <w:tcW w:w="4125" w:type="pct"/>
            <w:gridSpan w:val="18"/>
            <w:tcBorders>
              <w:top w:val="single" w:color="000000" w:sz="4" w:space="0"/>
              <w:left w:val="single" w:color="000000" w:sz="4" w:space="0"/>
              <w:bottom w:val="single" w:color="000000" w:sz="4" w:space="0"/>
              <w:right w:val="single" w:color="000000" w:sz="4" w:space="0"/>
            </w:tcBorders>
            <w:noWrap w:val="0"/>
            <w:vAlign w:val="center"/>
          </w:tcPr>
          <w:p w14:paraId="2EEFD915">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kern w:val="0"/>
                <w:sz w:val="21"/>
                <w:szCs w:val="21"/>
                <w:highlight w:val="none"/>
                <w:u w:val="none"/>
                <w:lang w:val="en-US" w:eastAsia="zh-CN" w:bidi="ar"/>
              </w:rPr>
              <w:t>系统按定制化逻辑规则导出pdf，按要求调整pdf样式，添加pdf标题页，栏目页，内容页，内容页按部门区分教师，每页显示10个教师。</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支持花名册的导出。</w:t>
            </w:r>
          </w:p>
        </w:tc>
      </w:tr>
      <w:tr w14:paraId="6507C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99" w:type="pct"/>
            <w:gridSpan w:val="27"/>
            <w:tcBorders>
              <w:top w:val="single" w:color="000000" w:sz="4" w:space="0"/>
              <w:left w:val="single" w:color="000000" w:sz="4" w:space="0"/>
              <w:bottom w:val="single" w:color="000000" w:sz="4" w:space="0"/>
              <w:right w:val="single" w:color="000000" w:sz="4" w:space="0"/>
            </w:tcBorders>
            <w:noWrap w:val="0"/>
            <w:vAlign w:val="center"/>
          </w:tcPr>
          <w:p w14:paraId="18FD957E">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四、空闲教室大屏</w:t>
            </w:r>
          </w:p>
        </w:tc>
      </w:tr>
      <w:tr w14:paraId="67966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tcBorders>
              <w:top w:val="single" w:color="000000" w:sz="4" w:space="0"/>
              <w:left w:val="single" w:color="000000" w:sz="4" w:space="0"/>
              <w:bottom w:val="single" w:color="000000" w:sz="4" w:space="0"/>
              <w:right w:val="single" w:color="000000" w:sz="4" w:space="0"/>
            </w:tcBorders>
            <w:noWrap w:val="0"/>
            <w:vAlign w:val="center"/>
          </w:tcPr>
          <w:p w14:paraId="75E71EE8">
            <w:pPr>
              <w:keepNext w:val="0"/>
              <w:keepLines w:val="0"/>
              <w:widowControl/>
              <w:suppressLineNumbers w:val="0"/>
              <w:spacing w:before="0" w:beforeAutospacing="0" w:after="0" w:afterAutospacing="0" w:line="240" w:lineRule="auto"/>
              <w:ind w:left="0" w:right="0"/>
              <w:jc w:val="center"/>
              <w:textAlignment w:val="top"/>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项目</w:t>
            </w:r>
          </w:p>
        </w:tc>
        <w:tc>
          <w:tcPr>
            <w:tcW w:w="381" w:type="pct"/>
            <w:gridSpan w:val="5"/>
            <w:tcBorders>
              <w:top w:val="single" w:color="000000" w:sz="4" w:space="0"/>
              <w:left w:val="single" w:color="000000" w:sz="4" w:space="0"/>
              <w:bottom w:val="single" w:color="000000" w:sz="4" w:space="0"/>
              <w:right w:val="single" w:color="000000" w:sz="4" w:space="0"/>
            </w:tcBorders>
            <w:noWrap w:val="0"/>
            <w:vAlign w:val="center"/>
          </w:tcPr>
          <w:p w14:paraId="39B0E68E">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功能模块</w:t>
            </w:r>
          </w:p>
        </w:tc>
        <w:tc>
          <w:tcPr>
            <w:tcW w:w="4125" w:type="pct"/>
            <w:gridSpan w:val="18"/>
            <w:tcBorders>
              <w:top w:val="single" w:color="000000" w:sz="4" w:space="0"/>
              <w:left w:val="single" w:color="000000" w:sz="4" w:space="0"/>
              <w:bottom w:val="single" w:color="000000" w:sz="4" w:space="0"/>
              <w:right w:val="single" w:color="000000" w:sz="4" w:space="0"/>
            </w:tcBorders>
            <w:noWrap w:val="0"/>
            <w:vAlign w:val="center"/>
          </w:tcPr>
          <w:p w14:paraId="0D5415D1">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说明</w:t>
            </w:r>
          </w:p>
        </w:tc>
      </w:tr>
      <w:tr w14:paraId="671A4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restart"/>
            <w:tcBorders>
              <w:top w:val="single" w:color="000000" w:sz="4" w:space="0"/>
              <w:left w:val="single" w:color="000000" w:sz="4" w:space="0"/>
              <w:bottom w:val="single" w:color="000000" w:sz="4" w:space="0"/>
              <w:right w:val="single" w:color="000000" w:sz="4" w:space="0"/>
            </w:tcBorders>
            <w:noWrap w:val="0"/>
            <w:vAlign w:val="center"/>
          </w:tcPr>
          <w:p w14:paraId="13DFCF34">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空闲教室大屏系统</w:t>
            </w:r>
          </w:p>
        </w:tc>
        <w:tc>
          <w:tcPr>
            <w:tcW w:w="381" w:type="pct"/>
            <w:gridSpan w:val="5"/>
            <w:tcBorders>
              <w:top w:val="single" w:color="000000" w:sz="4" w:space="0"/>
              <w:left w:val="single" w:color="000000" w:sz="4" w:space="0"/>
              <w:bottom w:val="single" w:color="000000" w:sz="4" w:space="0"/>
              <w:right w:val="single" w:color="000000" w:sz="4" w:space="0"/>
            </w:tcBorders>
            <w:noWrap/>
            <w:vAlign w:val="center"/>
          </w:tcPr>
          <w:p w14:paraId="7D354515">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单点登录</w:t>
            </w:r>
          </w:p>
        </w:tc>
        <w:tc>
          <w:tcPr>
            <w:tcW w:w="4125" w:type="pct"/>
            <w:gridSpan w:val="18"/>
            <w:tcBorders>
              <w:top w:val="single" w:color="000000" w:sz="4" w:space="0"/>
              <w:left w:val="single" w:color="000000" w:sz="4" w:space="0"/>
              <w:bottom w:val="single" w:color="000000" w:sz="4" w:space="0"/>
              <w:right w:val="single" w:color="000000" w:sz="4" w:space="0"/>
            </w:tcBorders>
            <w:noWrap w:val="0"/>
            <w:vAlign w:val="center"/>
          </w:tcPr>
          <w:p w14:paraId="593A4197">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对接学校统一认证CAS，用户可以通过学校统一认证登录系统，也可通过智慧杭电门户，单点登录系统</w:t>
            </w:r>
          </w:p>
        </w:tc>
      </w:tr>
      <w:tr w14:paraId="700E3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446F8022">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1" w:type="pct"/>
            <w:gridSpan w:val="5"/>
            <w:tcBorders>
              <w:top w:val="single" w:color="000000" w:sz="4" w:space="0"/>
              <w:left w:val="single" w:color="000000" w:sz="4" w:space="0"/>
              <w:bottom w:val="single" w:color="000000" w:sz="4" w:space="0"/>
              <w:right w:val="single" w:color="000000" w:sz="4" w:space="0"/>
            </w:tcBorders>
            <w:noWrap/>
            <w:vAlign w:val="center"/>
          </w:tcPr>
          <w:p w14:paraId="2DE7B44C">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数据中台同步</w:t>
            </w:r>
          </w:p>
        </w:tc>
        <w:tc>
          <w:tcPr>
            <w:tcW w:w="4125" w:type="pct"/>
            <w:gridSpan w:val="18"/>
            <w:tcBorders>
              <w:top w:val="single" w:color="000000" w:sz="4" w:space="0"/>
              <w:left w:val="single" w:color="000000" w:sz="4" w:space="0"/>
              <w:bottom w:val="single" w:color="000000" w:sz="4" w:space="0"/>
              <w:right w:val="single" w:color="000000" w:sz="4" w:space="0"/>
            </w:tcBorders>
            <w:noWrap/>
            <w:vAlign w:val="center"/>
          </w:tcPr>
          <w:p w14:paraId="506B1C03">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对接学校数据中台，获取多部门数据作为基础数据。</w:t>
            </w:r>
          </w:p>
        </w:tc>
      </w:tr>
      <w:tr w14:paraId="7CDC7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5AC6000C">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81" w:type="pct"/>
            <w:gridSpan w:val="5"/>
            <w:tcBorders>
              <w:top w:val="single" w:color="000000" w:sz="4" w:space="0"/>
              <w:left w:val="single" w:color="000000" w:sz="4" w:space="0"/>
              <w:bottom w:val="single" w:color="000000" w:sz="4" w:space="0"/>
              <w:right w:val="single" w:color="000000" w:sz="4" w:space="0"/>
            </w:tcBorders>
            <w:noWrap/>
            <w:vAlign w:val="center"/>
          </w:tcPr>
          <w:p w14:paraId="29E346E9">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color w:val="auto"/>
                <w:kern w:val="0"/>
                <w:sz w:val="21"/>
                <w:szCs w:val="21"/>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系统改造</w:t>
            </w:r>
          </w:p>
        </w:tc>
        <w:tc>
          <w:tcPr>
            <w:tcW w:w="4125" w:type="pct"/>
            <w:gridSpan w:val="18"/>
            <w:tcBorders>
              <w:top w:val="single" w:color="000000" w:sz="4" w:space="0"/>
              <w:left w:val="single" w:color="000000" w:sz="4" w:space="0"/>
              <w:bottom w:val="single" w:color="000000" w:sz="4" w:space="0"/>
              <w:right w:val="single" w:color="000000" w:sz="4" w:space="0"/>
            </w:tcBorders>
            <w:noWrap w:val="0"/>
            <w:vAlign w:val="center"/>
          </w:tcPr>
          <w:p w14:paraId="16CFD2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color w:val="auto"/>
                <w:sz w:val="21"/>
                <w:szCs w:val="21"/>
                <w:highlight w:val="none"/>
                <w:lang w:val="en-US" w:eastAsia="zh-CN"/>
              </w:rPr>
              <w:t>设计空闲教室驾驶舱大屏，根据计算逻辑显示空闲教室等信息，滚动播放。</w:t>
            </w:r>
          </w:p>
        </w:tc>
      </w:tr>
      <w:tr w14:paraId="5438F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99" w:type="pct"/>
            <w:gridSpan w:val="27"/>
            <w:tcBorders>
              <w:top w:val="single" w:color="000000" w:sz="4" w:space="0"/>
              <w:left w:val="single" w:color="000000" w:sz="4" w:space="0"/>
              <w:bottom w:val="single" w:color="000000" w:sz="4" w:space="0"/>
              <w:right w:val="single" w:color="000000" w:sz="4" w:space="0"/>
            </w:tcBorders>
            <w:noWrap w:val="0"/>
            <w:vAlign w:val="top"/>
          </w:tcPr>
          <w:p w14:paraId="5264E1D3">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五、床位自选系统</w:t>
            </w:r>
          </w:p>
        </w:tc>
      </w:tr>
      <w:tr w14:paraId="493A7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tcBorders>
              <w:top w:val="single" w:color="000000" w:sz="4" w:space="0"/>
              <w:left w:val="single" w:color="000000" w:sz="4" w:space="0"/>
              <w:bottom w:val="single" w:color="000000" w:sz="4" w:space="0"/>
              <w:right w:val="single" w:color="000000" w:sz="4" w:space="0"/>
            </w:tcBorders>
            <w:noWrap w:val="0"/>
            <w:vAlign w:val="top"/>
          </w:tcPr>
          <w:p w14:paraId="59A8669A">
            <w:pPr>
              <w:keepNext w:val="0"/>
              <w:keepLines w:val="0"/>
              <w:widowControl/>
              <w:suppressLineNumbers w:val="0"/>
              <w:spacing w:before="0" w:beforeAutospacing="0" w:after="0" w:afterAutospacing="0" w:line="240" w:lineRule="auto"/>
              <w:ind w:left="0" w:right="0"/>
              <w:jc w:val="center"/>
              <w:textAlignment w:val="top"/>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项目</w:t>
            </w:r>
          </w:p>
        </w:tc>
        <w:tc>
          <w:tcPr>
            <w:tcW w:w="1439" w:type="pct"/>
            <w:gridSpan w:val="16"/>
            <w:tcBorders>
              <w:top w:val="single" w:color="000000" w:sz="4" w:space="0"/>
              <w:left w:val="single" w:color="000000" w:sz="4" w:space="0"/>
              <w:bottom w:val="single" w:color="000000" w:sz="4" w:space="0"/>
              <w:right w:val="single" w:color="000000" w:sz="4" w:space="0"/>
            </w:tcBorders>
            <w:noWrap w:val="0"/>
            <w:vAlign w:val="top"/>
          </w:tcPr>
          <w:p w14:paraId="66E431B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功能模块</w:t>
            </w:r>
          </w:p>
        </w:tc>
        <w:tc>
          <w:tcPr>
            <w:tcW w:w="3067" w:type="pct"/>
            <w:gridSpan w:val="7"/>
            <w:tcBorders>
              <w:top w:val="single" w:color="000000" w:sz="4" w:space="0"/>
              <w:left w:val="single" w:color="000000" w:sz="4" w:space="0"/>
              <w:bottom w:val="single" w:color="000000" w:sz="4" w:space="0"/>
              <w:right w:val="single" w:color="000000" w:sz="4" w:space="0"/>
            </w:tcBorders>
            <w:noWrap w:val="0"/>
            <w:vAlign w:val="center"/>
          </w:tcPr>
          <w:p w14:paraId="169FE3ED">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说明</w:t>
            </w:r>
          </w:p>
        </w:tc>
      </w:tr>
      <w:tr w14:paraId="2C6E5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restart"/>
            <w:tcBorders>
              <w:top w:val="single" w:color="000000" w:sz="4" w:space="0"/>
              <w:left w:val="single" w:color="000000" w:sz="4" w:space="0"/>
              <w:right w:val="single" w:color="000000" w:sz="4" w:space="0"/>
            </w:tcBorders>
            <w:noWrap w:val="0"/>
            <w:vAlign w:val="center"/>
          </w:tcPr>
          <w:p w14:paraId="7A538C46">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床位自选系统</w:t>
            </w:r>
          </w:p>
        </w:tc>
        <w:tc>
          <w:tcPr>
            <w:tcW w:w="507" w:type="pct"/>
            <w:gridSpan w:val="7"/>
            <w:vMerge w:val="restart"/>
            <w:tcBorders>
              <w:top w:val="single" w:color="000000" w:sz="4" w:space="0"/>
              <w:left w:val="single" w:color="000000" w:sz="4" w:space="0"/>
              <w:right w:val="single" w:color="000000" w:sz="4" w:space="0"/>
            </w:tcBorders>
            <w:noWrap w:val="0"/>
            <w:vAlign w:val="center"/>
          </w:tcPr>
          <w:p w14:paraId="78C5318E">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登录</w:t>
            </w:r>
          </w:p>
        </w:tc>
        <w:tc>
          <w:tcPr>
            <w:tcW w:w="931" w:type="pct"/>
            <w:gridSpan w:val="9"/>
            <w:tcBorders>
              <w:top w:val="single" w:color="000000" w:sz="4" w:space="0"/>
              <w:left w:val="single" w:color="000000" w:sz="4" w:space="0"/>
              <w:bottom w:val="single" w:color="000000" w:sz="4" w:space="0"/>
              <w:right w:val="single" w:color="000000" w:sz="4" w:space="0"/>
            </w:tcBorders>
            <w:noWrap/>
            <w:vAlign w:val="center"/>
          </w:tcPr>
          <w:p w14:paraId="4678A0C0">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工号，密码登录</w:t>
            </w:r>
          </w:p>
        </w:tc>
        <w:tc>
          <w:tcPr>
            <w:tcW w:w="3067" w:type="pct"/>
            <w:gridSpan w:val="7"/>
            <w:tcBorders>
              <w:top w:val="single" w:color="000000" w:sz="4" w:space="0"/>
              <w:left w:val="single" w:color="000000" w:sz="4" w:space="0"/>
              <w:bottom w:val="single" w:color="000000" w:sz="4" w:space="0"/>
              <w:right w:val="single" w:color="000000" w:sz="4" w:space="0"/>
            </w:tcBorders>
            <w:noWrap/>
            <w:vAlign w:val="center"/>
          </w:tcPr>
          <w:p w14:paraId="61E0C202">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对接学校数据中台，同步学校用户信息，用户可以通过账号密码登录系统</w:t>
            </w:r>
          </w:p>
        </w:tc>
      </w:tr>
      <w:tr w14:paraId="36D04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continue"/>
            <w:tcBorders>
              <w:left w:val="single" w:color="000000" w:sz="4" w:space="0"/>
              <w:right w:val="single" w:color="000000" w:sz="4" w:space="0"/>
            </w:tcBorders>
            <w:noWrap w:val="0"/>
            <w:vAlign w:val="center"/>
          </w:tcPr>
          <w:p w14:paraId="51100788">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507" w:type="pct"/>
            <w:gridSpan w:val="7"/>
            <w:vMerge w:val="continue"/>
            <w:tcBorders>
              <w:left w:val="single" w:color="000000" w:sz="4" w:space="0"/>
              <w:bottom w:val="single" w:color="000000" w:sz="4" w:space="0"/>
              <w:right w:val="single" w:color="000000" w:sz="4" w:space="0"/>
            </w:tcBorders>
            <w:noWrap w:val="0"/>
            <w:vAlign w:val="center"/>
          </w:tcPr>
          <w:p w14:paraId="3CB9E5AD">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931" w:type="pct"/>
            <w:gridSpan w:val="9"/>
            <w:tcBorders>
              <w:top w:val="single" w:color="000000" w:sz="4" w:space="0"/>
              <w:left w:val="single" w:color="000000" w:sz="4" w:space="0"/>
              <w:bottom w:val="single" w:color="000000" w:sz="4" w:space="0"/>
              <w:right w:val="single" w:color="000000" w:sz="4" w:space="0"/>
            </w:tcBorders>
            <w:noWrap/>
            <w:vAlign w:val="center"/>
          </w:tcPr>
          <w:p w14:paraId="0D882443">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CAS登录</w:t>
            </w:r>
          </w:p>
        </w:tc>
        <w:tc>
          <w:tcPr>
            <w:tcW w:w="3067" w:type="pct"/>
            <w:gridSpan w:val="7"/>
            <w:tcBorders>
              <w:top w:val="single" w:color="000000" w:sz="4" w:space="0"/>
              <w:left w:val="single" w:color="000000" w:sz="4" w:space="0"/>
              <w:bottom w:val="single" w:color="000000" w:sz="4" w:space="0"/>
              <w:right w:val="single" w:color="000000" w:sz="4" w:space="0"/>
            </w:tcBorders>
            <w:noWrap/>
            <w:vAlign w:val="center"/>
          </w:tcPr>
          <w:p w14:paraId="53DE5D25">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对接学校CAS，用户可以通过学校统一认证登录系统，也可通过智慧杭电门户，单点登录系统</w:t>
            </w:r>
          </w:p>
        </w:tc>
      </w:tr>
      <w:tr w14:paraId="35598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continue"/>
            <w:tcBorders>
              <w:left w:val="single" w:color="000000" w:sz="4" w:space="0"/>
              <w:right w:val="single" w:color="000000" w:sz="4" w:space="0"/>
            </w:tcBorders>
            <w:noWrap w:val="0"/>
            <w:vAlign w:val="center"/>
          </w:tcPr>
          <w:p w14:paraId="7E61F3EA">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507" w:type="pct"/>
            <w:gridSpan w:val="7"/>
            <w:vMerge w:val="restart"/>
            <w:tcBorders>
              <w:top w:val="single" w:color="000000" w:sz="4" w:space="0"/>
              <w:left w:val="single" w:color="000000" w:sz="4" w:space="0"/>
              <w:right w:val="single" w:color="000000" w:sz="4" w:space="0"/>
            </w:tcBorders>
            <w:noWrap w:val="0"/>
            <w:vAlign w:val="center"/>
          </w:tcPr>
          <w:p w14:paraId="5A311B92">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管理端</w:t>
            </w:r>
          </w:p>
        </w:tc>
        <w:tc>
          <w:tcPr>
            <w:tcW w:w="931" w:type="pct"/>
            <w:gridSpan w:val="9"/>
            <w:tcBorders>
              <w:top w:val="single" w:color="000000" w:sz="4" w:space="0"/>
              <w:left w:val="single" w:color="000000" w:sz="4" w:space="0"/>
              <w:bottom w:val="single" w:color="000000" w:sz="4" w:space="0"/>
              <w:right w:val="single" w:color="000000" w:sz="4" w:space="0"/>
            </w:tcBorders>
            <w:noWrap/>
            <w:vAlign w:val="center"/>
          </w:tcPr>
          <w:p w14:paraId="2DF320A3">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用户管理</w:t>
            </w:r>
          </w:p>
        </w:tc>
        <w:tc>
          <w:tcPr>
            <w:tcW w:w="3067" w:type="pct"/>
            <w:gridSpan w:val="7"/>
            <w:tcBorders>
              <w:top w:val="single" w:color="000000" w:sz="4" w:space="0"/>
              <w:left w:val="single" w:color="000000" w:sz="4" w:space="0"/>
              <w:bottom w:val="single" w:color="000000" w:sz="4" w:space="0"/>
              <w:right w:val="single" w:color="000000" w:sz="4" w:space="0"/>
            </w:tcBorders>
            <w:noWrap/>
            <w:vAlign w:val="center"/>
          </w:tcPr>
          <w:p w14:paraId="72804C7E">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对接学校数据中台，同步学校用户信息，新增入职员工，并赋与角色，对已离职员工进行逻辑删除，更新在职员工个人信息</w:t>
            </w:r>
          </w:p>
        </w:tc>
      </w:tr>
      <w:tr w14:paraId="3469E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continue"/>
            <w:tcBorders>
              <w:left w:val="single" w:color="000000" w:sz="4" w:space="0"/>
              <w:right w:val="single" w:color="000000" w:sz="4" w:space="0"/>
            </w:tcBorders>
            <w:noWrap w:val="0"/>
            <w:vAlign w:val="center"/>
          </w:tcPr>
          <w:p w14:paraId="70FAE70C">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507" w:type="pct"/>
            <w:gridSpan w:val="7"/>
            <w:vMerge w:val="continue"/>
            <w:tcBorders>
              <w:left w:val="single" w:color="000000" w:sz="4" w:space="0"/>
              <w:right w:val="single" w:color="000000" w:sz="4" w:space="0"/>
            </w:tcBorders>
            <w:noWrap w:val="0"/>
            <w:vAlign w:val="center"/>
          </w:tcPr>
          <w:p w14:paraId="181C230B">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931" w:type="pct"/>
            <w:gridSpan w:val="9"/>
            <w:tcBorders>
              <w:top w:val="single" w:color="000000" w:sz="4" w:space="0"/>
              <w:left w:val="single" w:color="000000" w:sz="4" w:space="0"/>
              <w:bottom w:val="single" w:color="000000" w:sz="4" w:space="0"/>
              <w:right w:val="single" w:color="000000" w:sz="4" w:space="0"/>
            </w:tcBorders>
            <w:noWrap/>
            <w:vAlign w:val="center"/>
          </w:tcPr>
          <w:p w14:paraId="57926B79">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部门管理</w:t>
            </w:r>
          </w:p>
        </w:tc>
        <w:tc>
          <w:tcPr>
            <w:tcW w:w="3067" w:type="pct"/>
            <w:gridSpan w:val="7"/>
            <w:tcBorders>
              <w:top w:val="single" w:color="000000" w:sz="4" w:space="0"/>
              <w:left w:val="single" w:color="000000" w:sz="4" w:space="0"/>
              <w:bottom w:val="single" w:color="000000" w:sz="4" w:space="0"/>
              <w:right w:val="single" w:color="000000" w:sz="4" w:space="0"/>
            </w:tcBorders>
            <w:noWrap/>
            <w:vAlign w:val="center"/>
          </w:tcPr>
          <w:p w14:paraId="3CA41E69">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对接学校数据中台，同步学校部门信息,对部门进行增删改查</w:t>
            </w:r>
          </w:p>
        </w:tc>
      </w:tr>
      <w:tr w14:paraId="1C946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continue"/>
            <w:tcBorders>
              <w:left w:val="single" w:color="000000" w:sz="4" w:space="0"/>
              <w:right w:val="single" w:color="000000" w:sz="4" w:space="0"/>
            </w:tcBorders>
            <w:noWrap w:val="0"/>
            <w:vAlign w:val="center"/>
          </w:tcPr>
          <w:p w14:paraId="2780F684">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507" w:type="pct"/>
            <w:gridSpan w:val="7"/>
            <w:vMerge w:val="continue"/>
            <w:tcBorders>
              <w:left w:val="single" w:color="000000" w:sz="4" w:space="0"/>
              <w:right w:val="single" w:color="000000" w:sz="4" w:space="0"/>
            </w:tcBorders>
            <w:noWrap w:val="0"/>
            <w:vAlign w:val="center"/>
          </w:tcPr>
          <w:p w14:paraId="616CA624">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931" w:type="pct"/>
            <w:gridSpan w:val="9"/>
            <w:tcBorders>
              <w:top w:val="single" w:color="000000" w:sz="4" w:space="0"/>
              <w:left w:val="single" w:color="000000" w:sz="4" w:space="0"/>
              <w:bottom w:val="single" w:color="000000" w:sz="4" w:space="0"/>
              <w:right w:val="single" w:color="000000" w:sz="4" w:space="0"/>
            </w:tcBorders>
            <w:noWrap/>
            <w:vAlign w:val="center"/>
          </w:tcPr>
          <w:p w14:paraId="7F023E78">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角色管理</w:t>
            </w:r>
          </w:p>
        </w:tc>
        <w:tc>
          <w:tcPr>
            <w:tcW w:w="3067" w:type="pct"/>
            <w:gridSpan w:val="7"/>
            <w:tcBorders>
              <w:top w:val="single" w:color="000000" w:sz="4" w:space="0"/>
              <w:left w:val="single" w:color="000000" w:sz="4" w:space="0"/>
              <w:bottom w:val="single" w:color="000000" w:sz="4" w:space="0"/>
              <w:right w:val="single" w:color="000000" w:sz="4" w:space="0"/>
            </w:tcBorders>
            <w:noWrap/>
            <w:vAlign w:val="center"/>
          </w:tcPr>
          <w:p w14:paraId="4BE8F7F7">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对系统的</w:t>
            </w:r>
            <w:r>
              <w:rPr>
                <w:rFonts w:hint="eastAsia" w:ascii="宋体" w:hAnsi="宋体" w:eastAsia="宋体" w:cs="宋体"/>
                <w:i w:val="0"/>
                <w:iCs w:val="0"/>
                <w:color w:val="auto"/>
                <w:kern w:val="0"/>
                <w:sz w:val="21"/>
                <w:szCs w:val="21"/>
                <w:highlight w:val="none"/>
                <w:u w:val="none"/>
                <w:lang w:val="en-US" w:eastAsia="zh-CN" w:bidi="ar"/>
              </w:rPr>
              <w:t>权限进行管理，新入职员工拥有默认角色</w:t>
            </w:r>
          </w:p>
        </w:tc>
      </w:tr>
      <w:tr w14:paraId="035EC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continue"/>
            <w:tcBorders>
              <w:left w:val="single" w:color="000000" w:sz="4" w:space="0"/>
              <w:right w:val="single" w:color="000000" w:sz="4" w:space="0"/>
            </w:tcBorders>
            <w:noWrap w:val="0"/>
            <w:vAlign w:val="center"/>
          </w:tcPr>
          <w:p w14:paraId="75D16819">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507" w:type="pct"/>
            <w:gridSpan w:val="7"/>
            <w:vMerge w:val="continue"/>
            <w:tcBorders>
              <w:left w:val="single" w:color="000000" w:sz="4" w:space="0"/>
              <w:right w:val="single" w:color="000000" w:sz="4" w:space="0"/>
            </w:tcBorders>
            <w:noWrap w:val="0"/>
            <w:vAlign w:val="center"/>
          </w:tcPr>
          <w:p w14:paraId="1E930324">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931" w:type="pct"/>
            <w:gridSpan w:val="9"/>
            <w:tcBorders>
              <w:top w:val="single" w:color="000000" w:sz="4" w:space="0"/>
              <w:left w:val="single" w:color="000000" w:sz="4" w:space="0"/>
              <w:bottom w:val="single" w:color="000000" w:sz="4" w:space="0"/>
              <w:right w:val="single" w:color="000000" w:sz="4" w:space="0"/>
            </w:tcBorders>
            <w:noWrap/>
            <w:vAlign w:val="center"/>
          </w:tcPr>
          <w:p w14:paraId="0769421B">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字典管理</w:t>
            </w:r>
          </w:p>
        </w:tc>
        <w:tc>
          <w:tcPr>
            <w:tcW w:w="3067" w:type="pct"/>
            <w:gridSpan w:val="7"/>
            <w:tcBorders>
              <w:top w:val="single" w:color="000000" w:sz="4" w:space="0"/>
              <w:left w:val="single" w:color="000000" w:sz="4" w:space="0"/>
              <w:bottom w:val="single" w:color="000000" w:sz="4" w:space="0"/>
              <w:right w:val="single" w:color="000000" w:sz="4" w:space="0"/>
            </w:tcBorders>
            <w:noWrap/>
            <w:vAlign w:val="center"/>
          </w:tcPr>
          <w:p w14:paraId="52FD7AF6">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数据字典，用户可通过对数据字典的条目，以及对应条目的内容，修改系统数据的内容指向说明</w:t>
            </w:r>
          </w:p>
        </w:tc>
      </w:tr>
      <w:tr w14:paraId="1C38A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continue"/>
            <w:tcBorders>
              <w:left w:val="single" w:color="000000" w:sz="4" w:space="0"/>
              <w:right w:val="single" w:color="000000" w:sz="4" w:space="0"/>
            </w:tcBorders>
            <w:noWrap w:val="0"/>
            <w:vAlign w:val="center"/>
          </w:tcPr>
          <w:p w14:paraId="4431DBBB">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507" w:type="pct"/>
            <w:gridSpan w:val="7"/>
            <w:vMerge w:val="continue"/>
            <w:tcBorders>
              <w:left w:val="single" w:color="000000" w:sz="4" w:space="0"/>
              <w:right w:val="single" w:color="000000" w:sz="4" w:space="0"/>
            </w:tcBorders>
            <w:noWrap w:val="0"/>
            <w:vAlign w:val="center"/>
          </w:tcPr>
          <w:p w14:paraId="4AD9F79D">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931" w:type="pct"/>
            <w:gridSpan w:val="9"/>
            <w:tcBorders>
              <w:top w:val="single" w:color="000000" w:sz="4" w:space="0"/>
              <w:left w:val="single" w:color="000000" w:sz="4" w:space="0"/>
              <w:bottom w:val="single" w:color="000000" w:sz="4" w:space="0"/>
              <w:right w:val="single" w:color="000000" w:sz="4" w:space="0"/>
            </w:tcBorders>
            <w:noWrap/>
            <w:vAlign w:val="center"/>
          </w:tcPr>
          <w:p w14:paraId="04F800B0">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日志管理</w:t>
            </w:r>
          </w:p>
        </w:tc>
        <w:tc>
          <w:tcPr>
            <w:tcW w:w="3067" w:type="pct"/>
            <w:gridSpan w:val="7"/>
            <w:tcBorders>
              <w:top w:val="single" w:color="000000" w:sz="4" w:space="0"/>
              <w:left w:val="single" w:color="000000" w:sz="4" w:space="0"/>
              <w:bottom w:val="single" w:color="000000" w:sz="4" w:space="0"/>
              <w:right w:val="single" w:color="000000" w:sz="4" w:space="0"/>
            </w:tcBorders>
            <w:noWrap/>
            <w:vAlign w:val="center"/>
          </w:tcPr>
          <w:p w14:paraId="7FE6501D">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用户操作记录，用来查询进行了哪些操作</w:t>
            </w:r>
          </w:p>
        </w:tc>
      </w:tr>
      <w:tr w14:paraId="1F0AA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continue"/>
            <w:tcBorders>
              <w:left w:val="single" w:color="000000" w:sz="4" w:space="0"/>
              <w:right w:val="single" w:color="000000" w:sz="4" w:space="0"/>
            </w:tcBorders>
            <w:noWrap w:val="0"/>
            <w:vAlign w:val="center"/>
          </w:tcPr>
          <w:p w14:paraId="039FCD63">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507" w:type="pct"/>
            <w:gridSpan w:val="7"/>
            <w:vMerge w:val="continue"/>
            <w:tcBorders>
              <w:left w:val="single" w:color="000000" w:sz="4" w:space="0"/>
              <w:bottom w:val="single" w:color="000000" w:sz="4" w:space="0"/>
              <w:right w:val="single" w:color="000000" w:sz="4" w:space="0"/>
            </w:tcBorders>
            <w:noWrap w:val="0"/>
            <w:vAlign w:val="center"/>
          </w:tcPr>
          <w:p w14:paraId="0A935B91">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931" w:type="pct"/>
            <w:gridSpan w:val="9"/>
            <w:tcBorders>
              <w:top w:val="single" w:color="000000" w:sz="4" w:space="0"/>
              <w:left w:val="single" w:color="000000" w:sz="4" w:space="0"/>
              <w:bottom w:val="single" w:color="000000" w:sz="4" w:space="0"/>
              <w:right w:val="single" w:color="000000" w:sz="4" w:space="0"/>
            </w:tcBorders>
            <w:noWrap/>
            <w:vAlign w:val="center"/>
          </w:tcPr>
          <w:p w14:paraId="29D76223">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床位管理</w:t>
            </w:r>
          </w:p>
        </w:tc>
        <w:tc>
          <w:tcPr>
            <w:tcW w:w="3067" w:type="pct"/>
            <w:gridSpan w:val="7"/>
            <w:tcBorders>
              <w:top w:val="single" w:color="000000" w:sz="4" w:space="0"/>
              <w:left w:val="single" w:color="000000" w:sz="4" w:space="0"/>
              <w:bottom w:val="single" w:color="000000" w:sz="4" w:space="0"/>
              <w:right w:val="single" w:color="000000" w:sz="4" w:space="0"/>
            </w:tcBorders>
            <w:noWrap/>
            <w:vAlign w:val="center"/>
          </w:tcPr>
          <w:p w14:paraId="61C6107C">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对接学校数据中台，每5分钟同步一次床位数据</w:t>
            </w:r>
          </w:p>
        </w:tc>
      </w:tr>
      <w:tr w14:paraId="72014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continue"/>
            <w:tcBorders>
              <w:left w:val="single" w:color="000000" w:sz="4" w:space="0"/>
              <w:right w:val="single" w:color="000000" w:sz="4" w:space="0"/>
            </w:tcBorders>
            <w:noWrap w:val="0"/>
            <w:vAlign w:val="center"/>
          </w:tcPr>
          <w:p w14:paraId="6605FA63">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507" w:type="pct"/>
            <w:gridSpan w:val="7"/>
            <w:tcBorders>
              <w:top w:val="single" w:color="000000" w:sz="4" w:space="0"/>
              <w:left w:val="single" w:color="000000" w:sz="4" w:space="0"/>
              <w:bottom w:val="single" w:color="000000" w:sz="4" w:space="0"/>
              <w:right w:val="single" w:color="000000" w:sz="4" w:space="0"/>
            </w:tcBorders>
            <w:noWrap/>
            <w:vAlign w:val="center"/>
          </w:tcPr>
          <w:p w14:paraId="4AA890DD">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color w:val="auto"/>
                <w:kern w:val="0"/>
                <w:sz w:val="21"/>
                <w:szCs w:val="21"/>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学生端</w:t>
            </w:r>
          </w:p>
        </w:tc>
        <w:tc>
          <w:tcPr>
            <w:tcW w:w="931" w:type="pct"/>
            <w:gridSpan w:val="9"/>
            <w:tcBorders>
              <w:top w:val="single" w:color="000000" w:sz="4" w:space="0"/>
              <w:left w:val="single" w:color="000000" w:sz="4" w:space="0"/>
              <w:bottom w:val="single" w:color="000000" w:sz="4" w:space="0"/>
              <w:right w:val="single" w:color="000000" w:sz="4" w:space="0"/>
            </w:tcBorders>
            <w:noWrap/>
            <w:vAlign w:val="center"/>
          </w:tcPr>
          <w:p w14:paraId="2725295E">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功能描述</w:t>
            </w:r>
          </w:p>
        </w:tc>
        <w:tc>
          <w:tcPr>
            <w:tcW w:w="3067" w:type="pct"/>
            <w:gridSpan w:val="7"/>
            <w:tcBorders>
              <w:top w:val="single" w:color="000000" w:sz="4" w:space="0"/>
              <w:left w:val="single" w:color="000000" w:sz="4" w:space="0"/>
              <w:bottom w:val="single" w:color="000000" w:sz="4" w:space="0"/>
              <w:right w:val="single" w:color="000000" w:sz="4" w:space="0"/>
            </w:tcBorders>
            <w:noWrap w:val="0"/>
            <w:vAlign w:val="center"/>
          </w:tcPr>
          <w:p w14:paraId="6F2312EA">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1、可以自行选择床位，进行申请。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2、查看申请审核进度。</w:t>
            </w:r>
          </w:p>
        </w:tc>
      </w:tr>
      <w:tr w14:paraId="39E64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continue"/>
            <w:tcBorders>
              <w:left w:val="single" w:color="000000" w:sz="4" w:space="0"/>
              <w:right w:val="single" w:color="000000" w:sz="4" w:space="0"/>
            </w:tcBorders>
            <w:noWrap/>
            <w:vAlign w:val="center"/>
          </w:tcPr>
          <w:p w14:paraId="6BD07157">
            <w:pPr>
              <w:keepNext w:val="0"/>
              <w:keepLines w:val="0"/>
              <w:suppressLineNumbers w:val="0"/>
              <w:spacing w:before="0" w:beforeAutospacing="0" w:after="0" w:afterAutospacing="0" w:line="240" w:lineRule="auto"/>
              <w:ind w:left="0" w:right="0"/>
              <w:rPr>
                <w:rFonts w:hint="eastAsia" w:ascii="宋体" w:hAnsi="宋体" w:eastAsia="宋体" w:cs="宋体"/>
                <w:b w:val="0"/>
                <w:bCs w:val="0"/>
                <w:i w:val="0"/>
                <w:iCs w:val="0"/>
                <w:color w:val="auto"/>
                <w:sz w:val="21"/>
                <w:szCs w:val="21"/>
                <w:highlight w:val="none"/>
                <w:u w:val="none"/>
              </w:rPr>
            </w:pPr>
          </w:p>
        </w:tc>
        <w:tc>
          <w:tcPr>
            <w:tcW w:w="507" w:type="pct"/>
            <w:gridSpan w:val="7"/>
            <w:tcBorders>
              <w:top w:val="single" w:color="000000" w:sz="4" w:space="0"/>
              <w:left w:val="single" w:color="000000" w:sz="4" w:space="0"/>
              <w:bottom w:val="single" w:color="000000" w:sz="4" w:space="0"/>
              <w:right w:val="single" w:color="000000" w:sz="4" w:space="0"/>
            </w:tcBorders>
            <w:noWrap/>
            <w:vAlign w:val="center"/>
          </w:tcPr>
          <w:p w14:paraId="076C0C7E">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辅导员</w:t>
            </w:r>
          </w:p>
        </w:tc>
        <w:tc>
          <w:tcPr>
            <w:tcW w:w="931" w:type="pct"/>
            <w:gridSpan w:val="9"/>
            <w:tcBorders>
              <w:top w:val="single" w:color="000000" w:sz="4" w:space="0"/>
              <w:left w:val="single" w:color="000000" w:sz="4" w:space="0"/>
              <w:bottom w:val="single" w:color="000000" w:sz="4" w:space="0"/>
              <w:right w:val="single" w:color="000000" w:sz="4" w:space="0"/>
            </w:tcBorders>
            <w:noWrap/>
            <w:vAlign w:val="center"/>
          </w:tcPr>
          <w:p w14:paraId="4557403A">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功能描述</w:t>
            </w:r>
          </w:p>
        </w:tc>
        <w:tc>
          <w:tcPr>
            <w:tcW w:w="3067" w:type="pct"/>
            <w:gridSpan w:val="7"/>
            <w:tcBorders>
              <w:top w:val="single" w:color="000000" w:sz="4" w:space="0"/>
              <w:left w:val="single" w:color="000000" w:sz="4" w:space="0"/>
              <w:bottom w:val="single" w:color="000000" w:sz="4" w:space="0"/>
              <w:right w:val="single" w:color="000000" w:sz="4" w:space="0"/>
            </w:tcBorders>
            <w:noWrap w:val="0"/>
            <w:vAlign w:val="center"/>
          </w:tcPr>
          <w:p w14:paraId="630708D7">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1.可查看学生床位分布情况（可查看辅导员名下学生床铺情况列表）。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2.可对学生的床位申请进行审核：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（1）审核通过：等待公寓管理员审核并安排床位，并发送短信通知学生。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（2）审核不通过：通知学生重新选择床位，并发送短信通知学生。</w:t>
            </w:r>
          </w:p>
        </w:tc>
      </w:tr>
      <w:tr w14:paraId="10F57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3" w:type="pct"/>
            <w:gridSpan w:val="4"/>
            <w:vMerge w:val="continue"/>
            <w:tcBorders>
              <w:left w:val="single" w:color="000000" w:sz="4" w:space="0"/>
              <w:bottom w:val="single" w:color="000000" w:sz="4" w:space="0"/>
              <w:right w:val="single" w:color="000000" w:sz="4" w:space="0"/>
            </w:tcBorders>
            <w:noWrap/>
            <w:vAlign w:val="center"/>
          </w:tcPr>
          <w:p w14:paraId="7ADBDABF">
            <w:pPr>
              <w:keepNext w:val="0"/>
              <w:keepLines w:val="0"/>
              <w:suppressLineNumbers w:val="0"/>
              <w:spacing w:before="0" w:beforeAutospacing="0" w:after="0" w:afterAutospacing="0" w:line="240" w:lineRule="auto"/>
              <w:ind w:left="0" w:right="0"/>
              <w:rPr>
                <w:rFonts w:hint="eastAsia" w:ascii="宋体" w:hAnsi="宋体" w:eastAsia="宋体" w:cs="宋体"/>
                <w:b w:val="0"/>
                <w:bCs w:val="0"/>
                <w:i w:val="0"/>
                <w:iCs w:val="0"/>
                <w:color w:val="auto"/>
                <w:sz w:val="21"/>
                <w:szCs w:val="21"/>
                <w:highlight w:val="none"/>
                <w:u w:val="none"/>
              </w:rPr>
            </w:pPr>
          </w:p>
        </w:tc>
        <w:tc>
          <w:tcPr>
            <w:tcW w:w="507" w:type="pct"/>
            <w:gridSpan w:val="7"/>
            <w:tcBorders>
              <w:top w:val="single" w:color="000000" w:sz="4" w:space="0"/>
              <w:left w:val="single" w:color="000000" w:sz="4" w:space="0"/>
              <w:bottom w:val="single" w:color="000000" w:sz="4" w:space="0"/>
              <w:right w:val="single" w:color="000000" w:sz="4" w:space="0"/>
            </w:tcBorders>
            <w:noWrap/>
            <w:vAlign w:val="center"/>
          </w:tcPr>
          <w:p w14:paraId="3B29A610">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公寓管理员</w:t>
            </w:r>
          </w:p>
        </w:tc>
        <w:tc>
          <w:tcPr>
            <w:tcW w:w="931" w:type="pct"/>
            <w:gridSpan w:val="9"/>
            <w:tcBorders>
              <w:top w:val="single" w:color="000000" w:sz="4" w:space="0"/>
              <w:left w:val="single" w:color="000000" w:sz="4" w:space="0"/>
              <w:bottom w:val="single" w:color="000000" w:sz="4" w:space="0"/>
              <w:right w:val="single" w:color="000000" w:sz="4" w:space="0"/>
            </w:tcBorders>
            <w:noWrap/>
            <w:vAlign w:val="center"/>
          </w:tcPr>
          <w:p w14:paraId="44C32D46">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功能描述</w:t>
            </w:r>
          </w:p>
        </w:tc>
        <w:tc>
          <w:tcPr>
            <w:tcW w:w="3067" w:type="pct"/>
            <w:gridSpan w:val="7"/>
            <w:tcBorders>
              <w:top w:val="single" w:color="000000" w:sz="4" w:space="0"/>
              <w:left w:val="single" w:color="000000" w:sz="4" w:space="0"/>
              <w:bottom w:val="single" w:color="000000" w:sz="4" w:space="0"/>
              <w:right w:val="single" w:color="000000" w:sz="4" w:space="0"/>
            </w:tcBorders>
            <w:noWrap w:val="0"/>
            <w:vAlign w:val="center"/>
          </w:tcPr>
          <w:p w14:paraId="3C25AB19">
            <w:pPr>
              <w:keepNext w:val="0"/>
              <w:keepLines w:val="0"/>
              <w:widowControl/>
              <w:numPr>
                <w:ilvl w:val="0"/>
                <w:numId w:val="0"/>
              </w:numPr>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1.可以管理查询楼栋信息，查看所有空床位及空床位所在宿舍成员信息。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2.可对学生的床位申请进行审核：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（1）审核通过：为学生安排床位，并发送短信通知学生。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（2）审核不通过：通知辅导员和学生重新选择床位，并发送短信通知学生。</w:t>
            </w:r>
          </w:p>
          <w:p w14:paraId="5307620B">
            <w:pPr>
              <w:keepNext w:val="0"/>
              <w:keepLines w:val="0"/>
              <w:widowControl/>
              <w:numPr>
                <w:ilvl w:val="0"/>
                <w:numId w:val="0"/>
              </w:numPr>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（3）审核驳回：对已经审核通过的学生床位进行驳回操作，并发送短信通知学生。</w:t>
            </w:r>
          </w:p>
        </w:tc>
      </w:tr>
      <w:tr w14:paraId="3F396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99" w:type="pct"/>
            <w:gridSpan w:val="27"/>
            <w:tcBorders>
              <w:top w:val="single" w:color="000000" w:sz="4" w:space="0"/>
              <w:left w:val="single" w:color="000000" w:sz="4" w:space="0"/>
              <w:bottom w:val="single" w:color="000000" w:sz="4" w:space="0"/>
              <w:right w:val="single" w:color="000000" w:sz="4" w:space="0"/>
            </w:tcBorders>
            <w:noWrap/>
            <w:vAlign w:val="center"/>
          </w:tcPr>
          <w:p w14:paraId="059F025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六、党派建言平台</w:t>
            </w:r>
          </w:p>
        </w:tc>
      </w:tr>
      <w:tr w14:paraId="687ED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656" w:type="pct"/>
            <w:gridSpan w:val="6"/>
            <w:tcBorders>
              <w:top w:val="single" w:color="000000" w:sz="4" w:space="0"/>
              <w:left w:val="single" w:color="000000" w:sz="4" w:space="0"/>
              <w:bottom w:val="single" w:color="000000" w:sz="4" w:space="0"/>
              <w:right w:val="single" w:color="000000" w:sz="4" w:space="0"/>
            </w:tcBorders>
            <w:noWrap/>
            <w:vAlign w:val="center"/>
          </w:tcPr>
          <w:p w14:paraId="1B1B14FF">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系统名称</w:t>
            </w:r>
          </w:p>
        </w:tc>
        <w:tc>
          <w:tcPr>
            <w:tcW w:w="623" w:type="pct"/>
            <w:gridSpan w:val="8"/>
            <w:tcBorders>
              <w:top w:val="single" w:color="000000" w:sz="4" w:space="0"/>
              <w:left w:val="single" w:color="000000" w:sz="4" w:space="0"/>
              <w:bottom w:val="single" w:color="000000" w:sz="4" w:space="0"/>
              <w:right w:val="single" w:color="000000" w:sz="4" w:space="0"/>
            </w:tcBorders>
            <w:noWrap/>
            <w:vAlign w:val="center"/>
          </w:tcPr>
          <w:p w14:paraId="282D856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功能模块</w:t>
            </w:r>
          </w:p>
        </w:tc>
        <w:tc>
          <w:tcPr>
            <w:tcW w:w="3718" w:type="pct"/>
            <w:gridSpan w:val="13"/>
            <w:tcBorders>
              <w:top w:val="single" w:color="000000" w:sz="4" w:space="0"/>
              <w:left w:val="single" w:color="000000" w:sz="4" w:space="0"/>
              <w:bottom w:val="single" w:color="000000" w:sz="4" w:space="0"/>
              <w:right w:val="single" w:color="000000" w:sz="4" w:space="0"/>
            </w:tcBorders>
            <w:noWrap/>
            <w:vAlign w:val="center"/>
          </w:tcPr>
          <w:p w14:paraId="46FE3DD4">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功能描述</w:t>
            </w:r>
          </w:p>
        </w:tc>
      </w:tr>
      <w:tr w14:paraId="675DA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656" w:type="pct"/>
            <w:gridSpan w:val="6"/>
            <w:vMerge w:val="restart"/>
            <w:tcBorders>
              <w:top w:val="single" w:color="000000" w:sz="4" w:space="0"/>
              <w:left w:val="single" w:color="000000" w:sz="4" w:space="0"/>
              <w:bottom w:val="single" w:color="000000" w:sz="4" w:space="0"/>
              <w:right w:val="single" w:color="000000" w:sz="4" w:space="0"/>
            </w:tcBorders>
            <w:noWrap/>
            <w:vAlign w:val="center"/>
          </w:tcPr>
          <w:p w14:paraId="71FFC048">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党派建言平台</w:t>
            </w:r>
          </w:p>
        </w:tc>
        <w:tc>
          <w:tcPr>
            <w:tcW w:w="623" w:type="pct"/>
            <w:gridSpan w:val="8"/>
            <w:tcBorders>
              <w:top w:val="single" w:color="000000" w:sz="4" w:space="0"/>
              <w:left w:val="single" w:color="000000" w:sz="4" w:space="0"/>
              <w:bottom w:val="single" w:color="000000" w:sz="4" w:space="0"/>
              <w:right w:val="single" w:color="000000" w:sz="4" w:space="0"/>
            </w:tcBorders>
            <w:noWrap/>
            <w:vAlign w:val="center"/>
          </w:tcPr>
          <w:p w14:paraId="5B4C122D">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部门管理</w:t>
            </w:r>
          </w:p>
        </w:tc>
        <w:tc>
          <w:tcPr>
            <w:tcW w:w="3718" w:type="pct"/>
            <w:gridSpan w:val="13"/>
            <w:tcBorders>
              <w:top w:val="single" w:color="000000" w:sz="4" w:space="0"/>
              <w:left w:val="single" w:color="000000" w:sz="4" w:space="0"/>
              <w:bottom w:val="single" w:color="000000" w:sz="4" w:space="0"/>
              <w:right w:val="single" w:color="000000" w:sz="4" w:space="0"/>
            </w:tcBorders>
            <w:noWrap/>
            <w:vAlign w:val="center"/>
          </w:tcPr>
          <w:p w14:paraId="68866BEE">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对接学校数据中台，同步学校部门信息。</w:t>
            </w:r>
          </w:p>
        </w:tc>
      </w:tr>
      <w:tr w14:paraId="2222B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656"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6563A490">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623" w:type="pct"/>
            <w:gridSpan w:val="8"/>
            <w:tcBorders>
              <w:top w:val="single" w:color="000000" w:sz="4" w:space="0"/>
              <w:left w:val="single" w:color="000000" w:sz="4" w:space="0"/>
              <w:bottom w:val="single" w:color="000000" w:sz="4" w:space="0"/>
              <w:right w:val="single" w:color="000000" w:sz="4" w:space="0"/>
            </w:tcBorders>
            <w:noWrap/>
            <w:vAlign w:val="center"/>
          </w:tcPr>
          <w:p w14:paraId="070E2165">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用户管理</w:t>
            </w:r>
          </w:p>
        </w:tc>
        <w:tc>
          <w:tcPr>
            <w:tcW w:w="3718" w:type="pct"/>
            <w:gridSpan w:val="13"/>
            <w:tcBorders>
              <w:top w:val="single" w:color="000000" w:sz="4" w:space="0"/>
              <w:left w:val="single" w:color="000000" w:sz="4" w:space="0"/>
              <w:bottom w:val="single" w:color="000000" w:sz="4" w:space="0"/>
              <w:right w:val="single" w:color="000000" w:sz="4" w:space="0"/>
            </w:tcBorders>
            <w:noWrap w:val="0"/>
            <w:vAlign w:val="center"/>
          </w:tcPr>
          <w:p w14:paraId="789256CF">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对接学校数据中台，同步学校用户信息。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同步的数据自动登录cas统一登录平台。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设置用户的角色，是否是部门审核人，是否是党派或团体负责人。</w:t>
            </w:r>
          </w:p>
        </w:tc>
      </w:tr>
      <w:tr w14:paraId="38137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656"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25221059">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623" w:type="pct"/>
            <w:gridSpan w:val="8"/>
            <w:tcBorders>
              <w:top w:val="single" w:color="000000" w:sz="4" w:space="0"/>
              <w:left w:val="single" w:color="000000" w:sz="4" w:space="0"/>
              <w:bottom w:val="single" w:color="000000" w:sz="4" w:space="0"/>
              <w:right w:val="single" w:color="000000" w:sz="4" w:space="0"/>
            </w:tcBorders>
            <w:noWrap/>
            <w:vAlign w:val="center"/>
          </w:tcPr>
          <w:p w14:paraId="490E6C20">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党派建言发起</w:t>
            </w:r>
          </w:p>
        </w:tc>
        <w:tc>
          <w:tcPr>
            <w:tcW w:w="3718" w:type="pct"/>
            <w:gridSpan w:val="13"/>
            <w:tcBorders>
              <w:top w:val="single" w:color="000000" w:sz="4" w:space="0"/>
              <w:left w:val="single" w:color="000000" w:sz="4" w:space="0"/>
              <w:bottom w:val="single" w:color="000000" w:sz="4" w:space="0"/>
              <w:right w:val="single" w:color="000000" w:sz="4" w:space="0"/>
            </w:tcBorders>
            <w:noWrap w:val="0"/>
            <w:vAlign w:val="center"/>
          </w:tcPr>
          <w:p w14:paraId="1B14B050">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用户自动登录后，可以发起党派建言。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发起时填写建言人姓名、工号、所在部门或学院、职称、职务、联系方式、所在党派或团体（可选：中国国民党革命委员会；中国民主同盟；中国民主建国会；中国民主促进会；中国农工民主党；中国致公党；九三学社；党外知识分子联谊会；欧美同学会、留联会、侨联；无党派人士）、提案案名、案由、建议；姓名、工号等信息自动补充。</w:t>
            </w:r>
          </w:p>
        </w:tc>
      </w:tr>
      <w:tr w14:paraId="134AB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656"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1BCBD14F">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623" w:type="pct"/>
            <w:gridSpan w:val="8"/>
            <w:tcBorders>
              <w:top w:val="single" w:color="000000" w:sz="4" w:space="0"/>
              <w:left w:val="single" w:color="000000" w:sz="4" w:space="0"/>
              <w:bottom w:val="single" w:color="000000" w:sz="4" w:space="0"/>
              <w:right w:val="single" w:color="000000" w:sz="4" w:space="0"/>
            </w:tcBorders>
            <w:noWrap/>
            <w:vAlign w:val="center"/>
          </w:tcPr>
          <w:p w14:paraId="4E476C26">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党派建言审核</w:t>
            </w:r>
          </w:p>
        </w:tc>
        <w:tc>
          <w:tcPr>
            <w:tcW w:w="3718" w:type="pct"/>
            <w:gridSpan w:val="13"/>
            <w:tcBorders>
              <w:top w:val="single" w:color="000000" w:sz="4" w:space="0"/>
              <w:left w:val="single" w:color="000000" w:sz="4" w:space="0"/>
              <w:bottom w:val="single" w:color="000000" w:sz="4" w:space="0"/>
              <w:right w:val="single" w:color="000000" w:sz="4" w:space="0"/>
            </w:tcBorders>
            <w:noWrap w:val="0"/>
            <w:vAlign w:val="center"/>
          </w:tcPr>
          <w:p w14:paraId="2DAD1CBF">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对党派建言信息进行审核，审核分为多个角色多个流程。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第一步：党派或团体负责人审核，填写审核意见，审核通过后转党委统战部，审核不通过退回重新填写；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第二步：党委统战部审核，填写审核意见，审核通过时需选择转递的职能部门，由下一个部门进行审核，审核不通过退回重新填写。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第三步：职能部门反馈，填写反馈意见并上传签字盖章反馈结果，填写完成后返回党委统战部。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第四步：党委统战部审阅，审阅完成后返回提交的党派或团体可查询结果。</w:t>
            </w:r>
          </w:p>
        </w:tc>
      </w:tr>
      <w:tr w14:paraId="7573A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656"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4D727905">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623" w:type="pct"/>
            <w:gridSpan w:val="8"/>
            <w:tcBorders>
              <w:top w:val="single" w:color="000000" w:sz="4" w:space="0"/>
              <w:left w:val="single" w:color="000000" w:sz="4" w:space="0"/>
              <w:bottom w:val="single" w:color="000000" w:sz="4" w:space="0"/>
              <w:right w:val="single" w:color="000000" w:sz="4" w:space="0"/>
            </w:tcBorders>
            <w:noWrap/>
            <w:vAlign w:val="center"/>
          </w:tcPr>
          <w:p w14:paraId="1DA5C2EB">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color w:val="auto"/>
                <w:kern w:val="0"/>
                <w:sz w:val="21"/>
                <w:szCs w:val="21"/>
                <w:highlight w:val="none"/>
              </w:rPr>
              <w:t>▲</w:t>
            </w:r>
            <w:r>
              <w:rPr>
                <w:rFonts w:hint="eastAsia" w:ascii="宋体" w:hAnsi="宋体" w:eastAsia="宋体" w:cs="宋体"/>
                <w:i w:val="0"/>
                <w:iCs w:val="0"/>
                <w:color w:val="auto"/>
                <w:kern w:val="0"/>
                <w:sz w:val="21"/>
                <w:szCs w:val="21"/>
                <w:highlight w:val="none"/>
                <w:u w:val="none"/>
                <w:lang w:val="en-US" w:eastAsia="zh-CN" w:bidi="ar"/>
              </w:rPr>
              <w:t>党派建言查询</w:t>
            </w:r>
          </w:p>
        </w:tc>
        <w:tc>
          <w:tcPr>
            <w:tcW w:w="3718" w:type="pct"/>
            <w:gridSpan w:val="13"/>
            <w:tcBorders>
              <w:top w:val="single" w:color="000000" w:sz="4" w:space="0"/>
              <w:left w:val="single" w:color="000000" w:sz="4" w:space="0"/>
              <w:bottom w:val="single" w:color="000000" w:sz="4" w:space="0"/>
              <w:right w:val="single" w:color="000000" w:sz="4" w:space="0"/>
            </w:tcBorders>
            <w:noWrap w:val="0"/>
            <w:vAlign w:val="center"/>
          </w:tcPr>
          <w:p w14:paraId="3623F587">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对已经提交的党派建言记录进行查询。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查询可一览整个审核流程。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支持一键导出多个建言记录。</w:t>
            </w:r>
          </w:p>
        </w:tc>
      </w:tr>
      <w:tr w14:paraId="6DECF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656" w:type="pct"/>
            <w:gridSpan w:val="6"/>
            <w:vMerge w:val="continue"/>
            <w:tcBorders>
              <w:top w:val="single" w:color="000000" w:sz="4" w:space="0"/>
              <w:left w:val="single" w:color="000000" w:sz="4" w:space="0"/>
              <w:bottom w:val="single" w:color="000000" w:sz="4" w:space="0"/>
              <w:right w:val="single" w:color="000000" w:sz="4" w:space="0"/>
            </w:tcBorders>
            <w:noWrap/>
            <w:vAlign w:val="center"/>
          </w:tcPr>
          <w:p w14:paraId="7250AAA0">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auto"/>
                <w:sz w:val="21"/>
                <w:szCs w:val="21"/>
                <w:highlight w:val="none"/>
                <w:u w:val="none"/>
              </w:rPr>
            </w:pPr>
          </w:p>
        </w:tc>
        <w:tc>
          <w:tcPr>
            <w:tcW w:w="623" w:type="pct"/>
            <w:gridSpan w:val="8"/>
            <w:tcBorders>
              <w:top w:val="single" w:color="000000" w:sz="4" w:space="0"/>
              <w:left w:val="single" w:color="000000" w:sz="4" w:space="0"/>
              <w:bottom w:val="single" w:color="000000" w:sz="4" w:space="0"/>
              <w:right w:val="single" w:color="000000" w:sz="4" w:space="0"/>
            </w:tcBorders>
            <w:noWrap/>
            <w:vAlign w:val="center"/>
          </w:tcPr>
          <w:p w14:paraId="6BC86A79">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党派建言统计</w:t>
            </w:r>
          </w:p>
        </w:tc>
        <w:tc>
          <w:tcPr>
            <w:tcW w:w="3718" w:type="pct"/>
            <w:gridSpan w:val="13"/>
            <w:tcBorders>
              <w:top w:val="single" w:color="000000" w:sz="4" w:space="0"/>
              <w:left w:val="single" w:color="000000" w:sz="4" w:space="0"/>
              <w:bottom w:val="single" w:color="000000" w:sz="4" w:space="0"/>
              <w:right w:val="single" w:color="000000" w:sz="4" w:space="0"/>
            </w:tcBorders>
            <w:noWrap/>
            <w:vAlign w:val="center"/>
          </w:tcPr>
          <w:p w14:paraId="4BD47F38">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按时间筛选统计党派建言的情况；如发起数量、完成数量、完成率等。</w:t>
            </w:r>
          </w:p>
        </w:tc>
      </w:tr>
      <w:tr w14:paraId="1F559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99" w:type="pct"/>
            <w:gridSpan w:val="27"/>
            <w:tcBorders>
              <w:top w:val="single" w:color="000000" w:sz="4" w:space="0"/>
              <w:left w:val="single" w:color="000000" w:sz="4" w:space="0"/>
              <w:bottom w:val="single" w:color="000000" w:sz="4" w:space="0"/>
              <w:right w:val="single" w:color="000000" w:sz="4" w:space="0"/>
            </w:tcBorders>
            <w:noWrap/>
            <w:vAlign w:val="center"/>
          </w:tcPr>
          <w:p w14:paraId="0489868E">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七、文件废立改系统</w:t>
            </w:r>
          </w:p>
        </w:tc>
      </w:tr>
      <w:tr w14:paraId="41F9F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378" w:type="pct"/>
            <w:gridSpan w:val="2"/>
            <w:tcBorders>
              <w:top w:val="single" w:color="000000" w:sz="4" w:space="0"/>
              <w:left w:val="single" w:color="000000" w:sz="4" w:space="0"/>
              <w:bottom w:val="single" w:color="000000" w:sz="4" w:space="0"/>
              <w:right w:val="single" w:color="000000" w:sz="4" w:space="0"/>
            </w:tcBorders>
            <w:noWrap w:val="0"/>
            <w:vAlign w:val="top"/>
          </w:tcPr>
          <w:p w14:paraId="7BA40F67">
            <w:pPr>
              <w:keepNext w:val="0"/>
              <w:keepLines w:val="0"/>
              <w:widowControl/>
              <w:suppressLineNumbers w:val="0"/>
              <w:spacing w:before="0" w:beforeAutospacing="0" w:after="0" w:afterAutospacing="0" w:line="240" w:lineRule="auto"/>
              <w:ind w:left="0" w:right="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w:t>
            </w:r>
          </w:p>
        </w:tc>
        <w:tc>
          <w:tcPr>
            <w:tcW w:w="1751" w:type="pct"/>
            <w:gridSpan w:val="19"/>
            <w:tcBorders>
              <w:top w:val="single" w:color="000000" w:sz="4" w:space="0"/>
              <w:left w:val="single" w:color="000000" w:sz="4" w:space="0"/>
              <w:bottom w:val="single" w:color="000000" w:sz="4" w:space="0"/>
              <w:right w:val="single" w:color="000000" w:sz="4" w:space="0"/>
            </w:tcBorders>
            <w:noWrap w:val="0"/>
            <w:vAlign w:val="center"/>
          </w:tcPr>
          <w:p w14:paraId="16561D54">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功能模块</w:t>
            </w:r>
          </w:p>
        </w:tc>
        <w:tc>
          <w:tcPr>
            <w:tcW w:w="2868" w:type="pct"/>
            <w:gridSpan w:val="6"/>
            <w:tcBorders>
              <w:top w:val="single" w:color="000000" w:sz="4" w:space="0"/>
              <w:left w:val="single" w:color="000000" w:sz="4" w:space="0"/>
              <w:bottom w:val="single" w:color="000000" w:sz="4" w:space="0"/>
              <w:right w:val="single" w:color="000000" w:sz="4" w:space="0"/>
            </w:tcBorders>
            <w:noWrap w:val="0"/>
            <w:vAlign w:val="center"/>
          </w:tcPr>
          <w:p w14:paraId="613DDDC5">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说明</w:t>
            </w:r>
          </w:p>
        </w:tc>
      </w:tr>
      <w:tr w14:paraId="4A38A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378" w:type="pct"/>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7FD904B8">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文件废立改系统</w:t>
            </w:r>
          </w:p>
        </w:tc>
        <w:tc>
          <w:tcPr>
            <w:tcW w:w="468" w:type="pct"/>
            <w:gridSpan w:val="6"/>
            <w:vMerge w:val="restart"/>
            <w:tcBorders>
              <w:top w:val="single" w:color="000000" w:sz="4" w:space="0"/>
              <w:left w:val="single" w:color="000000" w:sz="4" w:space="0"/>
              <w:bottom w:val="single" w:color="000000" w:sz="4" w:space="0"/>
              <w:right w:val="single" w:color="000000" w:sz="4" w:space="0"/>
            </w:tcBorders>
            <w:noWrap w:val="0"/>
            <w:vAlign w:val="center"/>
          </w:tcPr>
          <w:p w14:paraId="4507A429">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用户端</w:t>
            </w:r>
          </w:p>
        </w:tc>
        <w:tc>
          <w:tcPr>
            <w:tcW w:w="642" w:type="pct"/>
            <w:gridSpan w:val="8"/>
            <w:tcBorders>
              <w:top w:val="single" w:color="000000" w:sz="4" w:space="0"/>
              <w:left w:val="single" w:color="000000" w:sz="4" w:space="0"/>
              <w:bottom w:val="single" w:color="000000" w:sz="4" w:space="0"/>
              <w:right w:val="single" w:color="000000" w:sz="4" w:space="0"/>
            </w:tcBorders>
            <w:noWrap w:val="0"/>
            <w:vAlign w:val="center"/>
          </w:tcPr>
          <w:p w14:paraId="73C4A3CC">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color w:val="auto"/>
                <w:kern w:val="0"/>
                <w:sz w:val="21"/>
                <w:szCs w:val="21"/>
                <w:highlight w:val="none"/>
              </w:rPr>
              <w:t>▲</w:t>
            </w:r>
            <w:r>
              <w:rPr>
                <w:rFonts w:hint="eastAsia" w:ascii="宋体" w:hAnsi="宋体" w:eastAsia="宋体" w:cs="宋体"/>
                <w:b w:val="0"/>
                <w:bCs w:val="0"/>
                <w:i w:val="0"/>
                <w:iCs w:val="0"/>
                <w:color w:val="auto"/>
                <w:kern w:val="0"/>
                <w:sz w:val="21"/>
                <w:szCs w:val="21"/>
                <w:highlight w:val="none"/>
                <w:u w:val="none"/>
                <w:lang w:val="en-US" w:eastAsia="zh-CN" w:bidi="ar"/>
              </w:rPr>
              <w:t>前端</w:t>
            </w:r>
          </w:p>
        </w:tc>
        <w:tc>
          <w:tcPr>
            <w:tcW w:w="641" w:type="pct"/>
            <w:gridSpan w:val="5"/>
            <w:tcBorders>
              <w:top w:val="single" w:color="000000" w:sz="4" w:space="0"/>
              <w:left w:val="single" w:color="000000" w:sz="4" w:space="0"/>
              <w:bottom w:val="single" w:color="000000" w:sz="4" w:space="0"/>
              <w:right w:val="single" w:color="000000" w:sz="4" w:space="0"/>
            </w:tcBorders>
            <w:noWrap/>
            <w:vAlign w:val="center"/>
          </w:tcPr>
          <w:p w14:paraId="392B7DDB">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智慧杭电</w:t>
            </w:r>
          </w:p>
        </w:tc>
        <w:tc>
          <w:tcPr>
            <w:tcW w:w="2868" w:type="pct"/>
            <w:gridSpan w:val="6"/>
            <w:tcBorders>
              <w:top w:val="single" w:color="000000" w:sz="4" w:space="0"/>
              <w:left w:val="single" w:color="000000" w:sz="4" w:space="0"/>
              <w:bottom w:val="single" w:color="000000" w:sz="4" w:space="0"/>
              <w:right w:val="single" w:color="000000" w:sz="4" w:space="0"/>
            </w:tcBorders>
            <w:noWrap w:val="0"/>
            <w:vAlign w:val="center"/>
          </w:tcPr>
          <w:p w14:paraId="0D3D6552">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集成智慧杭电门户，前端页面设计参照智慧杭电。</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支持部门、年度、类型、关键词4个维度的检索。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部门、年度、类型 支持多选，其中“类型”的下拉展开是一个二级的目录树。“关键词”支持标题、全文检索。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检索结果以颁布日期倒序排列返回。每页文章数5。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点击重置时，清空所有检索条件，并更新文件列表。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文件持下载功能，以及展示历史下载次数。</w:t>
            </w:r>
          </w:p>
        </w:tc>
      </w:tr>
      <w:tr w14:paraId="16079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37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7977FB6">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468"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3FFB81FB">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42" w:type="pct"/>
            <w:gridSpan w:val="8"/>
            <w:vMerge w:val="restart"/>
            <w:tcBorders>
              <w:top w:val="single" w:color="000000" w:sz="4" w:space="0"/>
              <w:left w:val="single" w:color="000000" w:sz="4" w:space="0"/>
              <w:bottom w:val="single" w:color="000000" w:sz="4" w:space="0"/>
              <w:right w:val="single" w:color="000000" w:sz="4" w:space="0"/>
            </w:tcBorders>
            <w:noWrap w:val="0"/>
            <w:vAlign w:val="center"/>
          </w:tcPr>
          <w:p w14:paraId="26658B59">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登录</w:t>
            </w:r>
          </w:p>
        </w:tc>
        <w:tc>
          <w:tcPr>
            <w:tcW w:w="641" w:type="pct"/>
            <w:gridSpan w:val="5"/>
            <w:tcBorders>
              <w:top w:val="single" w:color="000000" w:sz="4" w:space="0"/>
              <w:left w:val="single" w:color="000000" w:sz="4" w:space="0"/>
              <w:bottom w:val="single" w:color="000000" w:sz="4" w:space="0"/>
              <w:right w:val="single" w:color="000000" w:sz="4" w:space="0"/>
            </w:tcBorders>
            <w:noWrap/>
            <w:vAlign w:val="center"/>
          </w:tcPr>
          <w:p w14:paraId="1777FE18">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工号，密码登录</w:t>
            </w:r>
          </w:p>
        </w:tc>
        <w:tc>
          <w:tcPr>
            <w:tcW w:w="2868" w:type="pct"/>
            <w:gridSpan w:val="6"/>
            <w:tcBorders>
              <w:top w:val="single" w:color="000000" w:sz="4" w:space="0"/>
              <w:left w:val="single" w:color="000000" w:sz="4" w:space="0"/>
              <w:bottom w:val="single" w:color="000000" w:sz="4" w:space="0"/>
              <w:right w:val="single" w:color="000000" w:sz="4" w:space="0"/>
            </w:tcBorders>
            <w:noWrap/>
            <w:vAlign w:val="center"/>
          </w:tcPr>
          <w:p w14:paraId="7FB013D5">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对接学校数据中台，同步学校用户信息，用户可以通过账号密码登录系统。</w:t>
            </w:r>
          </w:p>
        </w:tc>
      </w:tr>
      <w:tr w14:paraId="23BB9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37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1A91DCA">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468"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47AC3786">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42" w:type="pct"/>
            <w:gridSpan w:val="8"/>
            <w:vMerge w:val="continue"/>
            <w:tcBorders>
              <w:top w:val="single" w:color="000000" w:sz="4" w:space="0"/>
              <w:left w:val="single" w:color="000000" w:sz="4" w:space="0"/>
              <w:bottom w:val="single" w:color="000000" w:sz="4" w:space="0"/>
              <w:right w:val="single" w:color="000000" w:sz="4" w:space="0"/>
            </w:tcBorders>
            <w:noWrap w:val="0"/>
            <w:vAlign w:val="center"/>
          </w:tcPr>
          <w:p w14:paraId="11C139EC">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41" w:type="pct"/>
            <w:gridSpan w:val="5"/>
            <w:tcBorders>
              <w:top w:val="single" w:color="000000" w:sz="4" w:space="0"/>
              <w:left w:val="single" w:color="000000" w:sz="4" w:space="0"/>
              <w:bottom w:val="single" w:color="000000" w:sz="4" w:space="0"/>
              <w:right w:val="single" w:color="000000" w:sz="4" w:space="0"/>
            </w:tcBorders>
            <w:noWrap/>
            <w:vAlign w:val="center"/>
          </w:tcPr>
          <w:p w14:paraId="272ABFDA">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CAS登录</w:t>
            </w:r>
          </w:p>
        </w:tc>
        <w:tc>
          <w:tcPr>
            <w:tcW w:w="2868" w:type="pct"/>
            <w:gridSpan w:val="6"/>
            <w:tcBorders>
              <w:top w:val="single" w:color="000000" w:sz="4" w:space="0"/>
              <w:left w:val="single" w:color="000000" w:sz="4" w:space="0"/>
              <w:bottom w:val="single" w:color="000000" w:sz="4" w:space="0"/>
              <w:right w:val="single" w:color="000000" w:sz="4" w:space="0"/>
            </w:tcBorders>
            <w:noWrap/>
            <w:vAlign w:val="center"/>
          </w:tcPr>
          <w:p w14:paraId="468AAC4E">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对接学校CAS，用户可以通过学校统一认证登录系统，也可通过智慧杭电门户，单点登录系统。</w:t>
            </w:r>
          </w:p>
        </w:tc>
      </w:tr>
      <w:tr w14:paraId="0FBF1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37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EF9B7BD">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468" w:type="pct"/>
            <w:gridSpan w:val="6"/>
            <w:vMerge w:val="restart"/>
            <w:tcBorders>
              <w:top w:val="single" w:color="000000" w:sz="4" w:space="0"/>
              <w:left w:val="single" w:color="000000" w:sz="4" w:space="0"/>
              <w:bottom w:val="single" w:color="000000" w:sz="4" w:space="0"/>
              <w:right w:val="single" w:color="000000" w:sz="4" w:space="0"/>
            </w:tcBorders>
            <w:noWrap w:val="0"/>
            <w:vAlign w:val="center"/>
          </w:tcPr>
          <w:p w14:paraId="3C3811B6">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管理端</w:t>
            </w:r>
          </w:p>
        </w:tc>
        <w:tc>
          <w:tcPr>
            <w:tcW w:w="642" w:type="pct"/>
            <w:gridSpan w:val="8"/>
            <w:vMerge w:val="restart"/>
            <w:tcBorders>
              <w:top w:val="single" w:color="000000" w:sz="4" w:space="0"/>
              <w:left w:val="single" w:color="000000" w:sz="4" w:space="0"/>
              <w:bottom w:val="single" w:color="000000" w:sz="4" w:space="0"/>
              <w:right w:val="single" w:color="000000" w:sz="4" w:space="0"/>
            </w:tcBorders>
            <w:noWrap w:val="0"/>
            <w:vAlign w:val="center"/>
          </w:tcPr>
          <w:p w14:paraId="1D74917D">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系统管理（管理员权限）</w:t>
            </w:r>
          </w:p>
        </w:tc>
        <w:tc>
          <w:tcPr>
            <w:tcW w:w="641" w:type="pct"/>
            <w:gridSpan w:val="5"/>
            <w:tcBorders>
              <w:top w:val="single" w:color="000000" w:sz="4" w:space="0"/>
              <w:left w:val="single" w:color="000000" w:sz="4" w:space="0"/>
              <w:bottom w:val="single" w:color="000000" w:sz="4" w:space="0"/>
              <w:right w:val="single" w:color="000000" w:sz="4" w:space="0"/>
            </w:tcBorders>
            <w:noWrap/>
            <w:vAlign w:val="center"/>
          </w:tcPr>
          <w:p w14:paraId="3F6009BA">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菜单管理</w:t>
            </w:r>
          </w:p>
        </w:tc>
        <w:tc>
          <w:tcPr>
            <w:tcW w:w="2868" w:type="pct"/>
            <w:gridSpan w:val="6"/>
            <w:tcBorders>
              <w:top w:val="single" w:color="000000" w:sz="4" w:space="0"/>
              <w:left w:val="single" w:color="000000" w:sz="4" w:space="0"/>
              <w:bottom w:val="single" w:color="000000" w:sz="4" w:space="0"/>
              <w:right w:val="single" w:color="000000" w:sz="4" w:space="0"/>
            </w:tcBorders>
            <w:noWrap/>
            <w:vAlign w:val="center"/>
          </w:tcPr>
          <w:p w14:paraId="06967639">
            <w:pPr>
              <w:keepNext w:val="0"/>
              <w:keepLines w:val="0"/>
              <w:suppressLineNumbers w:val="0"/>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对系统的</w:t>
            </w:r>
            <w:r>
              <w:rPr>
                <w:rFonts w:hint="eastAsia" w:ascii="宋体" w:hAnsi="宋体" w:eastAsia="宋体" w:cs="宋体"/>
                <w:i w:val="0"/>
                <w:iCs w:val="0"/>
                <w:color w:val="auto"/>
                <w:kern w:val="0"/>
                <w:sz w:val="21"/>
                <w:szCs w:val="21"/>
                <w:highlight w:val="none"/>
                <w:u w:val="none"/>
                <w:lang w:val="en-US" w:eastAsia="zh-CN" w:bidi="ar"/>
              </w:rPr>
              <w:t>菜单进行管理，可以控制菜单的增删改查，显示隐藏，以及跳转的链接。</w:t>
            </w:r>
          </w:p>
        </w:tc>
      </w:tr>
      <w:tr w14:paraId="383BE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37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9E5BD8D">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468"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33461479">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42" w:type="pct"/>
            <w:gridSpan w:val="8"/>
            <w:vMerge w:val="continue"/>
            <w:tcBorders>
              <w:top w:val="single" w:color="000000" w:sz="4" w:space="0"/>
              <w:left w:val="single" w:color="000000" w:sz="4" w:space="0"/>
              <w:bottom w:val="single" w:color="000000" w:sz="4" w:space="0"/>
              <w:right w:val="single" w:color="000000" w:sz="4" w:space="0"/>
            </w:tcBorders>
            <w:noWrap w:val="0"/>
            <w:vAlign w:val="center"/>
          </w:tcPr>
          <w:p w14:paraId="32A44DAB">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41" w:type="pct"/>
            <w:gridSpan w:val="5"/>
            <w:tcBorders>
              <w:top w:val="single" w:color="000000" w:sz="4" w:space="0"/>
              <w:left w:val="single" w:color="000000" w:sz="4" w:space="0"/>
              <w:bottom w:val="single" w:color="000000" w:sz="4" w:space="0"/>
              <w:right w:val="single" w:color="000000" w:sz="4" w:space="0"/>
            </w:tcBorders>
            <w:noWrap/>
            <w:vAlign w:val="center"/>
          </w:tcPr>
          <w:p w14:paraId="7C12373B">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用户管理</w:t>
            </w:r>
          </w:p>
        </w:tc>
        <w:tc>
          <w:tcPr>
            <w:tcW w:w="2868" w:type="pct"/>
            <w:gridSpan w:val="6"/>
            <w:tcBorders>
              <w:top w:val="single" w:color="000000" w:sz="4" w:space="0"/>
              <w:left w:val="single" w:color="000000" w:sz="4" w:space="0"/>
              <w:bottom w:val="single" w:color="000000" w:sz="4" w:space="0"/>
              <w:right w:val="single" w:color="000000" w:sz="4" w:space="0"/>
            </w:tcBorders>
            <w:noWrap/>
            <w:vAlign w:val="center"/>
          </w:tcPr>
          <w:p w14:paraId="7EFA910A">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已对接学校数据中台，同步学校用户信息，新增入职员工，并赋与角色，对已离职员工进行逻辑删除，更新在职员工个人信息。</w:t>
            </w:r>
          </w:p>
        </w:tc>
      </w:tr>
      <w:tr w14:paraId="1881A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37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61EF111">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468"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2B4D20F5">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42" w:type="pct"/>
            <w:gridSpan w:val="8"/>
            <w:vMerge w:val="continue"/>
            <w:tcBorders>
              <w:top w:val="single" w:color="000000" w:sz="4" w:space="0"/>
              <w:left w:val="single" w:color="000000" w:sz="4" w:space="0"/>
              <w:bottom w:val="single" w:color="000000" w:sz="4" w:space="0"/>
              <w:right w:val="single" w:color="000000" w:sz="4" w:space="0"/>
            </w:tcBorders>
            <w:noWrap w:val="0"/>
            <w:vAlign w:val="center"/>
          </w:tcPr>
          <w:p w14:paraId="2898024A">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41" w:type="pct"/>
            <w:gridSpan w:val="5"/>
            <w:tcBorders>
              <w:top w:val="single" w:color="000000" w:sz="4" w:space="0"/>
              <w:left w:val="single" w:color="000000" w:sz="4" w:space="0"/>
              <w:bottom w:val="single" w:color="000000" w:sz="4" w:space="0"/>
              <w:right w:val="single" w:color="000000" w:sz="4" w:space="0"/>
            </w:tcBorders>
            <w:noWrap/>
            <w:vAlign w:val="center"/>
          </w:tcPr>
          <w:p w14:paraId="1CDE052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部门管理</w:t>
            </w:r>
          </w:p>
        </w:tc>
        <w:tc>
          <w:tcPr>
            <w:tcW w:w="2868" w:type="pct"/>
            <w:gridSpan w:val="6"/>
            <w:tcBorders>
              <w:top w:val="single" w:color="000000" w:sz="4" w:space="0"/>
              <w:left w:val="single" w:color="000000" w:sz="4" w:space="0"/>
              <w:bottom w:val="single" w:color="000000" w:sz="4" w:space="0"/>
              <w:right w:val="single" w:color="000000" w:sz="4" w:space="0"/>
            </w:tcBorders>
            <w:noWrap/>
            <w:vAlign w:val="center"/>
          </w:tcPr>
          <w:p w14:paraId="7AEEDF12">
            <w:pPr>
              <w:keepNext w:val="0"/>
              <w:keepLines w:val="0"/>
              <w:suppressLineNumbers w:val="0"/>
              <w:spacing w:before="0" w:beforeAutospacing="0" w:after="0" w:afterAutospacing="0" w:line="240" w:lineRule="auto"/>
              <w:ind w:left="0" w:right="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对接学校数据中台，同步学校部门信息,对部门进行增删改查。</w:t>
            </w:r>
          </w:p>
        </w:tc>
      </w:tr>
      <w:tr w14:paraId="2293F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37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9CAF064">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468"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0533EA62">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42" w:type="pct"/>
            <w:gridSpan w:val="8"/>
            <w:vMerge w:val="continue"/>
            <w:tcBorders>
              <w:top w:val="single" w:color="000000" w:sz="4" w:space="0"/>
              <w:left w:val="single" w:color="000000" w:sz="4" w:space="0"/>
              <w:bottom w:val="single" w:color="000000" w:sz="4" w:space="0"/>
              <w:right w:val="single" w:color="000000" w:sz="4" w:space="0"/>
            </w:tcBorders>
            <w:noWrap w:val="0"/>
            <w:vAlign w:val="center"/>
          </w:tcPr>
          <w:p w14:paraId="00379B1B">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41" w:type="pct"/>
            <w:gridSpan w:val="5"/>
            <w:tcBorders>
              <w:top w:val="single" w:color="000000" w:sz="4" w:space="0"/>
              <w:left w:val="single" w:color="000000" w:sz="4" w:space="0"/>
              <w:bottom w:val="single" w:color="000000" w:sz="4" w:space="0"/>
              <w:right w:val="single" w:color="000000" w:sz="4" w:space="0"/>
            </w:tcBorders>
            <w:noWrap/>
            <w:vAlign w:val="center"/>
          </w:tcPr>
          <w:p w14:paraId="266DFA78">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角色管理</w:t>
            </w:r>
          </w:p>
        </w:tc>
        <w:tc>
          <w:tcPr>
            <w:tcW w:w="2868" w:type="pct"/>
            <w:gridSpan w:val="6"/>
            <w:tcBorders>
              <w:top w:val="single" w:color="000000" w:sz="4" w:space="0"/>
              <w:left w:val="single" w:color="000000" w:sz="4" w:space="0"/>
              <w:bottom w:val="single" w:color="000000" w:sz="4" w:space="0"/>
              <w:right w:val="single" w:color="000000" w:sz="4" w:space="0"/>
            </w:tcBorders>
            <w:noWrap/>
            <w:vAlign w:val="center"/>
          </w:tcPr>
          <w:p w14:paraId="0E5E3C70">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对系统的</w:t>
            </w:r>
            <w:r>
              <w:rPr>
                <w:rFonts w:hint="eastAsia" w:ascii="宋体" w:hAnsi="宋体" w:eastAsia="宋体" w:cs="宋体"/>
                <w:i w:val="0"/>
                <w:iCs w:val="0"/>
                <w:color w:val="auto"/>
                <w:kern w:val="0"/>
                <w:sz w:val="21"/>
                <w:szCs w:val="21"/>
                <w:highlight w:val="none"/>
                <w:u w:val="none"/>
                <w:lang w:val="en-US" w:eastAsia="zh-CN" w:bidi="ar"/>
              </w:rPr>
              <w:t>权限进行管理，新入职员工拥有默认角色。</w:t>
            </w:r>
          </w:p>
        </w:tc>
      </w:tr>
      <w:tr w14:paraId="3485F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37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A811B50">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468"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683653AB">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42" w:type="pct"/>
            <w:gridSpan w:val="8"/>
            <w:vMerge w:val="continue"/>
            <w:tcBorders>
              <w:top w:val="single" w:color="000000" w:sz="4" w:space="0"/>
              <w:left w:val="single" w:color="000000" w:sz="4" w:space="0"/>
              <w:bottom w:val="single" w:color="000000" w:sz="4" w:space="0"/>
              <w:right w:val="single" w:color="000000" w:sz="4" w:space="0"/>
            </w:tcBorders>
            <w:noWrap w:val="0"/>
            <w:vAlign w:val="center"/>
          </w:tcPr>
          <w:p w14:paraId="788F15E1">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41" w:type="pct"/>
            <w:gridSpan w:val="5"/>
            <w:tcBorders>
              <w:top w:val="single" w:color="000000" w:sz="4" w:space="0"/>
              <w:left w:val="single" w:color="000000" w:sz="4" w:space="0"/>
              <w:bottom w:val="single" w:color="000000" w:sz="4" w:space="0"/>
              <w:right w:val="single" w:color="000000" w:sz="4" w:space="0"/>
            </w:tcBorders>
            <w:noWrap/>
            <w:vAlign w:val="center"/>
          </w:tcPr>
          <w:p w14:paraId="123745A4">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字典管理</w:t>
            </w:r>
          </w:p>
        </w:tc>
        <w:tc>
          <w:tcPr>
            <w:tcW w:w="2868" w:type="pct"/>
            <w:gridSpan w:val="6"/>
            <w:tcBorders>
              <w:top w:val="single" w:color="000000" w:sz="4" w:space="0"/>
              <w:left w:val="single" w:color="000000" w:sz="4" w:space="0"/>
              <w:bottom w:val="single" w:color="000000" w:sz="4" w:space="0"/>
              <w:right w:val="single" w:color="000000" w:sz="4" w:space="0"/>
            </w:tcBorders>
            <w:noWrap/>
            <w:vAlign w:val="center"/>
          </w:tcPr>
          <w:p w14:paraId="66B1C3EC">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数据字典，用户可通过对数据字典的条目，以及对应条目的内容，修改系统数据的内容指向说明。</w:t>
            </w:r>
          </w:p>
        </w:tc>
      </w:tr>
      <w:tr w14:paraId="66366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37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D04822A">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468"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07A7C971">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42" w:type="pct"/>
            <w:gridSpan w:val="8"/>
            <w:vMerge w:val="continue"/>
            <w:tcBorders>
              <w:top w:val="single" w:color="000000" w:sz="4" w:space="0"/>
              <w:left w:val="single" w:color="000000" w:sz="4" w:space="0"/>
              <w:bottom w:val="single" w:color="000000" w:sz="4" w:space="0"/>
              <w:right w:val="single" w:color="000000" w:sz="4" w:space="0"/>
            </w:tcBorders>
            <w:noWrap w:val="0"/>
            <w:vAlign w:val="center"/>
          </w:tcPr>
          <w:p w14:paraId="6DF77548">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41" w:type="pct"/>
            <w:gridSpan w:val="5"/>
            <w:tcBorders>
              <w:top w:val="single" w:color="000000" w:sz="4" w:space="0"/>
              <w:left w:val="single" w:color="000000" w:sz="4" w:space="0"/>
              <w:bottom w:val="single" w:color="000000" w:sz="4" w:space="0"/>
              <w:right w:val="single" w:color="000000" w:sz="4" w:space="0"/>
            </w:tcBorders>
            <w:noWrap/>
            <w:vAlign w:val="center"/>
          </w:tcPr>
          <w:p w14:paraId="2D798999">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日志管理</w:t>
            </w:r>
          </w:p>
        </w:tc>
        <w:tc>
          <w:tcPr>
            <w:tcW w:w="2868" w:type="pct"/>
            <w:gridSpan w:val="6"/>
            <w:tcBorders>
              <w:top w:val="single" w:color="000000" w:sz="4" w:space="0"/>
              <w:left w:val="single" w:color="000000" w:sz="4" w:space="0"/>
              <w:bottom w:val="single" w:color="000000" w:sz="4" w:space="0"/>
              <w:right w:val="single" w:color="000000" w:sz="4" w:space="0"/>
            </w:tcBorders>
            <w:noWrap/>
            <w:vAlign w:val="center"/>
          </w:tcPr>
          <w:p w14:paraId="3D62B42A">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用户操作记录，用来查询进行了哪些操作。</w:t>
            </w:r>
          </w:p>
        </w:tc>
      </w:tr>
      <w:tr w14:paraId="161E4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37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A88CE69">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468"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2BE23534">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42" w:type="pct"/>
            <w:gridSpan w:val="8"/>
            <w:vMerge w:val="restart"/>
            <w:tcBorders>
              <w:top w:val="single" w:color="000000" w:sz="4" w:space="0"/>
              <w:left w:val="single" w:color="000000" w:sz="4" w:space="0"/>
              <w:bottom w:val="single" w:color="000000" w:sz="4" w:space="0"/>
              <w:right w:val="single" w:color="000000" w:sz="4" w:space="0"/>
            </w:tcBorders>
            <w:noWrap/>
            <w:vAlign w:val="center"/>
          </w:tcPr>
          <w:p w14:paraId="7596B42E">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文件管理（管理员权限）</w:t>
            </w:r>
          </w:p>
        </w:tc>
        <w:tc>
          <w:tcPr>
            <w:tcW w:w="641" w:type="pct"/>
            <w:gridSpan w:val="5"/>
            <w:tcBorders>
              <w:top w:val="single" w:color="000000" w:sz="4" w:space="0"/>
              <w:left w:val="single" w:color="000000" w:sz="4" w:space="0"/>
              <w:bottom w:val="single" w:color="000000" w:sz="4" w:space="0"/>
              <w:right w:val="single" w:color="000000" w:sz="4" w:space="0"/>
            </w:tcBorders>
            <w:noWrap/>
            <w:vAlign w:val="center"/>
          </w:tcPr>
          <w:p w14:paraId="36FFAA63">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文件管理</w:t>
            </w:r>
          </w:p>
        </w:tc>
        <w:tc>
          <w:tcPr>
            <w:tcW w:w="2868" w:type="pct"/>
            <w:gridSpan w:val="6"/>
            <w:tcBorders>
              <w:top w:val="single" w:color="000000" w:sz="4" w:space="0"/>
              <w:left w:val="single" w:color="000000" w:sz="4" w:space="0"/>
              <w:bottom w:val="single" w:color="000000" w:sz="4" w:space="0"/>
              <w:right w:val="single" w:color="000000" w:sz="4" w:space="0"/>
            </w:tcBorders>
            <w:noWrap w:val="0"/>
            <w:vAlign w:val="center"/>
          </w:tcPr>
          <w:p w14:paraId="67A2D0CE">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导入历史文件。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对接oa系统获得文件及时更新（对接方式待定）。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文件按类型、部门、年度、关键词等分类，自定义文件是否可下载。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近一个月新增/修改的文件，展示new的标识。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文件支持全文检索功能，可以按文件内容中的词句进行搜索，搜索出相关的文件。</w:t>
            </w:r>
          </w:p>
        </w:tc>
      </w:tr>
      <w:tr w14:paraId="6F87A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378"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AD1FDBC">
            <w:pPr>
              <w:keepNext w:val="0"/>
              <w:keepLines w:val="0"/>
              <w:suppressLineNumbers w:val="0"/>
              <w:spacing w:before="0" w:beforeAutospacing="0" w:after="0" w:afterAutospacing="0" w:line="240" w:lineRule="auto"/>
              <w:ind w:left="0" w:right="0"/>
              <w:jc w:val="center"/>
              <w:rPr>
                <w:rFonts w:hint="eastAsia" w:ascii="宋体" w:hAnsi="宋体" w:eastAsia="宋体" w:cs="宋体"/>
                <w:b/>
                <w:bCs/>
                <w:i w:val="0"/>
                <w:iCs w:val="0"/>
                <w:color w:val="auto"/>
                <w:sz w:val="21"/>
                <w:szCs w:val="21"/>
                <w:highlight w:val="none"/>
                <w:u w:val="none"/>
              </w:rPr>
            </w:pPr>
          </w:p>
        </w:tc>
        <w:tc>
          <w:tcPr>
            <w:tcW w:w="468" w:type="pct"/>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59FC0C3C">
            <w:pPr>
              <w:keepNext w:val="0"/>
              <w:keepLines w:val="0"/>
              <w:suppressLineNumbers w:val="0"/>
              <w:spacing w:before="0" w:beforeAutospacing="0" w:after="0" w:afterAutospacing="0" w:line="240" w:lineRule="auto"/>
              <w:ind w:left="0" w:right="0"/>
              <w:jc w:val="center"/>
              <w:rPr>
                <w:rFonts w:hint="eastAsia" w:ascii="宋体" w:hAnsi="宋体" w:eastAsia="宋体" w:cs="宋体"/>
                <w:b/>
                <w:bCs/>
                <w:i w:val="0"/>
                <w:iCs w:val="0"/>
                <w:color w:val="auto"/>
                <w:sz w:val="21"/>
                <w:szCs w:val="21"/>
                <w:highlight w:val="none"/>
                <w:u w:val="none"/>
              </w:rPr>
            </w:pPr>
          </w:p>
        </w:tc>
        <w:tc>
          <w:tcPr>
            <w:tcW w:w="642" w:type="pct"/>
            <w:gridSpan w:val="8"/>
            <w:vMerge w:val="continue"/>
            <w:tcBorders>
              <w:top w:val="single" w:color="000000" w:sz="4" w:space="0"/>
              <w:left w:val="single" w:color="000000" w:sz="4" w:space="0"/>
              <w:bottom w:val="single" w:color="000000" w:sz="4" w:space="0"/>
              <w:right w:val="single" w:color="000000" w:sz="4" w:space="0"/>
            </w:tcBorders>
            <w:noWrap/>
            <w:vAlign w:val="center"/>
          </w:tcPr>
          <w:p w14:paraId="450E8EC3">
            <w:pPr>
              <w:keepNext w:val="0"/>
              <w:keepLines w:val="0"/>
              <w:suppressLineNumbers w:val="0"/>
              <w:spacing w:before="0" w:beforeAutospacing="0" w:after="0" w:afterAutospacing="0" w:line="240" w:lineRule="auto"/>
              <w:ind w:left="0" w:right="0"/>
              <w:jc w:val="center"/>
              <w:rPr>
                <w:rFonts w:hint="eastAsia" w:ascii="宋体" w:hAnsi="宋体" w:eastAsia="宋体" w:cs="宋体"/>
                <w:b/>
                <w:bCs/>
                <w:i w:val="0"/>
                <w:iCs w:val="0"/>
                <w:color w:val="auto"/>
                <w:sz w:val="21"/>
                <w:szCs w:val="21"/>
                <w:highlight w:val="none"/>
                <w:u w:val="none"/>
              </w:rPr>
            </w:pPr>
          </w:p>
        </w:tc>
        <w:tc>
          <w:tcPr>
            <w:tcW w:w="641" w:type="pct"/>
            <w:gridSpan w:val="5"/>
            <w:tcBorders>
              <w:top w:val="single" w:color="000000" w:sz="4" w:space="0"/>
              <w:left w:val="single" w:color="000000" w:sz="4" w:space="0"/>
              <w:bottom w:val="single" w:color="000000" w:sz="4" w:space="0"/>
              <w:right w:val="single" w:color="000000" w:sz="4" w:space="0"/>
            </w:tcBorders>
            <w:noWrap/>
            <w:vAlign w:val="center"/>
          </w:tcPr>
          <w:p w14:paraId="712D842B">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文件审核</w:t>
            </w:r>
          </w:p>
        </w:tc>
        <w:tc>
          <w:tcPr>
            <w:tcW w:w="2868" w:type="pct"/>
            <w:gridSpan w:val="6"/>
            <w:tcBorders>
              <w:top w:val="single" w:color="000000" w:sz="4" w:space="0"/>
              <w:left w:val="single" w:color="000000" w:sz="4" w:space="0"/>
              <w:bottom w:val="single" w:color="000000" w:sz="4" w:space="0"/>
              <w:right w:val="single" w:color="000000" w:sz="4" w:space="0"/>
            </w:tcBorders>
            <w:noWrap/>
            <w:vAlign w:val="center"/>
          </w:tcPr>
          <w:p w14:paraId="73335DD5">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oa对接过来的文件进行审核，审核后前端可以查询，审核时可设置文件是否可下载。</w:t>
            </w:r>
          </w:p>
        </w:tc>
      </w:tr>
      <w:tr w14:paraId="46A22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4999" w:type="pct"/>
            <w:gridSpan w:val="27"/>
            <w:tcBorders>
              <w:top w:val="single" w:color="000000" w:sz="4" w:space="0"/>
              <w:left w:val="single" w:color="000000" w:sz="4" w:space="0"/>
              <w:bottom w:val="single" w:color="000000" w:sz="4" w:space="0"/>
              <w:right w:val="single" w:color="000000" w:sz="4" w:space="0"/>
            </w:tcBorders>
            <w:noWrap w:val="0"/>
            <w:vAlign w:val="center"/>
          </w:tcPr>
          <w:p w14:paraId="1AEFC6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八、</w:t>
            </w:r>
            <w:r>
              <w:rPr>
                <w:rFonts w:hint="eastAsia" w:ascii="宋体" w:hAnsi="宋体" w:eastAsia="宋体" w:cs="宋体"/>
                <w:b/>
                <w:bCs/>
                <w:color w:val="auto"/>
                <w:sz w:val="21"/>
                <w:szCs w:val="21"/>
                <w:highlight w:val="none"/>
                <w:lang w:val="en-US" w:eastAsia="zh-CN"/>
              </w:rPr>
              <w:t>重大制度意见管理系统</w:t>
            </w:r>
          </w:p>
        </w:tc>
      </w:tr>
      <w:tr w14:paraId="19757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567" w:type="pct"/>
            <w:gridSpan w:val="5"/>
            <w:tcBorders>
              <w:top w:val="single" w:color="000000" w:sz="4" w:space="0"/>
              <w:left w:val="single" w:color="000000" w:sz="4" w:space="0"/>
              <w:bottom w:val="single" w:color="000000" w:sz="4" w:space="0"/>
              <w:right w:val="single" w:color="000000" w:sz="4" w:space="0"/>
            </w:tcBorders>
            <w:noWrap w:val="0"/>
            <w:vAlign w:val="top"/>
          </w:tcPr>
          <w:p w14:paraId="6DE20828">
            <w:pPr>
              <w:keepNext w:val="0"/>
              <w:keepLines w:val="0"/>
              <w:widowControl/>
              <w:suppressLineNumbers w:val="0"/>
              <w:spacing w:before="0" w:beforeAutospacing="0" w:after="0" w:afterAutospacing="0" w:line="240" w:lineRule="auto"/>
              <w:ind w:left="0" w:right="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w:t>
            </w:r>
          </w:p>
        </w:tc>
        <w:tc>
          <w:tcPr>
            <w:tcW w:w="1747" w:type="pct"/>
            <w:gridSpan w:val="17"/>
            <w:tcBorders>
              <w:top w:val="single" w:color="000000" w:sz="4" w:space="0"/>
              <w:left w:val="single" w:color="000000" w:sz="4" w:space="0"/>
              <w:bottom w:val="single" w:color="000000" w:sz="4" w:space="0"/>
              <w:right w:val="single" w:color="000000" w:sz="4" w:space="0"/>
            </w:tcBorders>
            <w:noWrap w:val="0"/>
            <w:vAlign w:val="top"/>
          </w:tcPr>
          <w:p w14:paraId="3357EE02">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功能模块</w:t>
            </w:r>
          </w:p>
        </w:tc>
        <w:tc>
          <w:tcPr>
            <w:tcW w:w="2684" w:type="pct"/>
            <w:gridSpan w:val="5"/>
            <w:tcBorders>
              <w:top w:val="single" w:color="000000" w:sz="4" w:space="0"/>
              <w:left w:val="single" w:color="000000" w:sz="4" w:space="0"/>
              <w:bottom w:val="single" w:color="000000" w:sz="4" w:space="0"/>
              <w:right w:val="single" w:color="000000" w:sz="4" w:space="0"/>
            </w:tcBorders>
            <w:noWrap w:val="0"/>
            <w:vAlign w:val="center"/>
          </w:tcPr>
          <w:p w14:paraId="1E131348">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说明</w:t>
            </w:r>
          </w:p>
        </w:tc>
      </w:tr>
      <w:tr w14:paraId="2BDAB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567" w:type="pct"/>
            <w:gridSpan w:val="5"/>
            <w:vMerge w:val="restart"/>
            <w:tcBorders>
              <w:top w:val="single" w:color="000000" w:sz="4" w:space="0"/>
              <w:left w:val="single" w:color="000000" w:sz="4" w:space="0"/>
              <w:bottom w:val="single" w:color="000000" w:sz="4" w:space="0"/>
              <w:right w:val="single" w:color="000000" w:sz="4" w:space="0"/>
            </w:tcBorders>
            <w:noWrap w:val="0"/>
            <w:vAlign w:val="center"/>
          </w:tcPr>
          <w:p w14:paraId="31B82BC3">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重大制度意见管理系统</w:t>
            </w:r>
          </w:p>
        </w:tc>
        <w:tc>
          <w:tcPr>
            <w:tcW w:w="334" w:type="pct"/>
            <w:gridSpan w:val="5"/>
            <w:vMerge w:val="restart"/>
            <w:tcBorders>
              <w:top w:val="single" w:color="000000" w:sz="4" w:space="0"/>
              <w:left w:val="single" w:color="000000" w:sz="4" w:space="0"/>
              <w:bottom w:val="single" w:color="000000" w:sz="4" w:space="0"/>
              <w:right w:val="single" w:color="000000" w:sz="4" w:space="0"/>
            </w:tcBorders>
            <w:noWrap w:val="0"/>
            <w:vAlign w:val="center"/>
          </w:tcPr>
          <w:p w14:paraId="3F5568D2">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用户端</w:t>
            </w:r>
          </w:p>
        </w:tc>
        <w:tc>
          <w:tcPr>
            <w:tcW w:w="637" w:type="pct"/>
            <w:gridSpan w:val="7"/>
            <w:vMerge w:val="restart"/>
            <w:tcBorders>
              <w:top w:val="single" w:color="000000" w:sz="4" w:space="0"/>
              <w:left w:val="single" w:color="000000" w:sz="4" w:space="0"/>
              <w:bottom w:val="single" w:color="000000" w:sz="4" w:space="0"/>
              <w:right w:val="single" w:color="000000" w:sz="4" w:space="0"/>
            </w:tcBorders>
            <w:noWrap w:val="0"/>
            <w:vAlign w:val="center"/>
          </w:tcPr>
          <w:p w14:paraId="2EEB735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前端</w:t>
            </w:r>
          </w:p>
        </w:tc>
        <w:tc>
          <w:tcPr>
            <w:tcW w:w="775" w:type="pct"/>
            <w:gridSpan w:val="5"/>
            <w:tcBorders>
              <w:top w:val="single" w:color="000000" w:sz="4" w:space="0"/>
              <w:left w:val="single" w:color="000000" w:sz="4" w:space="0"/>
              <w:bottom w:val="single" w:color="000000" w:sz="4" w:space="0"/>
              <w:right w:val="single" w:color="000000" w:sz="4" w:space="0"/>
            </w:tcBorders>
            <w:noWrap/>
            <w:vAlign w:val="center"/>
          </w:tcPr>
          <w:p w14:paraId="41E50DC9">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意见征求列表</w:t>
            </w:r>
          </w:p>
        </w:tc>
        <w:tc>
          <w:tcPr>
            <w:tcW w:w="2684" w:type="pct"/>
            <w:gridSpan w:val="5"/>
            <w:tcBorders>
              <w:top w:val="single" w:color="000000" w:sz="4" w:space="0"/>
              <w:left w:val="single" w:color="000000" w:sz="4" w:space="0"/>
              <w:bottom w:val="single" w:color="000000" w:sz="4" w:space="0"/>
              <w:right w:val="single" w:color="000000" w:sz="4" w:space="0"/>
            </w:tcBorders>
            <w:noWrap w:val="0"/>
            <w:vAlign w:val="center"/>
          </w:tcPr>
          <w:p w14:paraId="4488ACD8">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征求列表按时间倒序排列展示；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列表表头包括当前状态、标题、开始时间三个字段，不同的状态采用不同的颜色标识，便于用户识别；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支持标题模糊匹配查询；</w:t>
            </w:r>
          </w:p>
        </w:tc>
      </w:tr>
      <w:tr w14:paraId="3B256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567"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4BEB8457">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34"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4E5C8656">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37" w:type="pct"/>
            <w:gridSpan w:val="7"/>
            <w:vMerge w:val="continue"/>
            <w:tcBorders>
              <w:top w:val="single" w:color="000000" w:sz="4" w:space="0"/>
              <w:left w:val="single" w:color="000000" w:sz="4" w:space="0"/>
              <w:bottom w:val="single" w:color="000000" w:sz="4" w:space="0"/>
              <w:right w:val="single" w:color="000000" w:sz="4" w:space="0"/>
            </w:tcBorders>
            <w:noWrap w:val="0"/>
            <w:vAlign w:val="center"/>
          </w:tcPr>
          <w:p w14:paraId="2AF79529">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75" w:type="pct"/>
            <w:gridSpan w:val="5"/>
            <w:tcBorders>
              <w:top w:val="single" w:color="000000" w:sz="4" w:space="0"/>
              <w:left w:val="single" w:color="000000" w:sz="4" w:space="0"/>
              <w:bottom w:val="single" w:color="000000" w:sz="4" w:space="0"/>
              <w:right w:val="single" w:color="000000" w:sz="4" w:space="0"/>
            </w:tcBorders>
            <w:noWrap/>
            <w:vAlign w:val="center"/>
          </w:tcPr>
          <w:p w14:paraId="66A5A1E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意见征求详情</w:t>
            </w:r>
          </w:p>
        </w:tc>
        <w:tc>
          <w:tcPr>
            <w:tcW w:w="2684" w:type="pct"/>
            <w:gridSpan w:val="5"/>
            <w:tcBorders>
              <w:top w:val="single" w:color="000000" w:sz="4" w:space="0"/>
              <w:left w:val="single" w:color="000000" w:sz="4" w:space="0"/>
              <w:bottom w:val="single" w:color="000000" w:sz="4" w:space="0"/>
              <w:right w:val="single" w:color="000000" w:sz="4" w:space="0"/>
            </w:tcBorders>
            <w:noWrap w:val="0"/>
            <w:vAlign w:val="center"/>
          </w:tcPr>
          <w:p w14:paraId="6B47917B">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提供制度标题、发布时间、起草单位、适用对象、制度摘要等基本信息展示；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每项制度设置专属意见反馈入口，支持实名/匿名提交；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支持文字输入、分条目反馈等功能；</w:t>
            </w:r>
          </w:p>
        </w:tc>
      </w:tr>
      <w:tr w14:paraId="7CE4D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567"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6714CA2E">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34"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096916CB">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37" w:type="pct"/>
            <w:gridSpan w:val="7"/>
            <w:vMerge w:val="continue"/>
            <w:tcBorders>
              <w:top w:val="single" w:color="000000" w:sz="4" w:space="0"/>
              <w:left w:val="single" w:color="000000" w:sz="4" w:space="0"/>
              <w:bottom w:val="single" w:color="000000" w:sz="4" w:space="0"/>
              <w:right w:val="single" w:color="000000" w:sz="4" w:space="0"/>
            </w:tcBorders>
            <w:noWrap w:val="0"/>
            <w:vAlign w:val="center"/>
          </w:tcPr>
          <w:p w14:paraId="76CF22AA">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75" w:type="pct"/>
            <w:gridSpan w:val="5"/>
            <w:tcBorders>
              <w:top w:val="single" w:color="000000" w:sz="4" w:space="0"/>
              <w:left w:val="single" w:color="000000" w:sz="4" w:space="0"/>
              <w:bottom w:val="single" w:color="000000" w:sz="4" w:space="0"/>
              <w:right w:val="single" w:color="000000" w:sz="4" w:space="0"/>
            </w:tcBorders>
            <w:noWrap/>
            <w:vAlign w:val="center"/>
          </w:tcPr>
          <w:p w14:paraId="2BCDDD94">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意见提交</w:t>
            </w:r>
          </w:p>
        </w:tc>
        <w:tc>
          <w:tcPr>
            <w:tcW w:w="2684" w:type="pct"/>
            <w:gridSpan w:val="5"/>
            <w:tcBorders>
              <w:top w:val="single" w:color="000000" w:sz="4" w:space="0"/>
              <w:left w:val="single" w:color="000000" w:sz="4" w:space="0"/>
              <w:bottom w:val="single" w:color="000000" w:sz="4" w:space="0"/>
              <w:right w:val="single" w:color="000000" w:sz="4" w:space="0"/>
            </w:tcBorders>
            <w:noWrap w:val="0"/>
            <w:vAlign w:val="center"/>
          </w:tcPr>
          <w:p w14:paraId="4D8D0712">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各个字段定义长度和内容限制：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姓名：长度20以内，不能包含特殊字符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学号/工号：长度20以内，不能包含特殊字符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联系电话：长度20以内，不能包含特殊字符（-除外）</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邮箱：长度40以内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单位/地址：长度60以内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意见和建议：长文本</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【意见和建议】字段必填，其他字段选填，支持实名/匿名反馈；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系统自动记录反馈时间、用户身份（可选）、联系方式（可选）等信息；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反馈内容可导出、归档、分类统计，便于后续分析与处理；</w:t>
            </w:r>
          </w:p>
        </w:tc>
      </w:tr>
      <w:tr w14:paraId="08DF6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567"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23CB5CEE">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34"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3A6193A3">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37" w:type="pct"/>
            <w:gridSpan w:val="7"/>
            <w:vMerge w:val="continue"/>
            <w:tcBorders>
              <w:top w:val="single" w:color="000000" w:sz="4" w:space="0"/>
              <w:left w:val="single" w:color="000000" w:sz="4" w:space="0"/>
              <w:bottom w:val="single" w:color="000000" w:sz="4" w:space="0"/>
              <w:right w:val="single" w:color="000000" w:sz="4" w:space="0"/>
            </w:tcBorders>
            <w:noWrap w:val="0"/>
            <w:vAlign w:val="center"/>
          </w:tcPr>
          <w:p w14:paraId="742A75EE">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75" w:type="pct"/>
            <w:gridSpan w:val="5"/>
            <w:tcBorders>
              <w:top w:val="single" w:color="000000" w:sz="4" w:space="0"/>
              <w:left w:val="single" w:color="000000" w:sz="4" w:space="0"/>
              <w:bottom w:val="single" w:color="000000" w:sz="4" w:space="0"/>
              <w:right w:val="single" w:color="000000" w:sz="4" w:space="0"/>
            </w:tcBorders>
            <w:noWrap/>
            <w:vAlign w:val="center"/>
          </w:tcPr>
          <w:p w14:paraId="3DA84243">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制度解读列表</w:t>
            </w:r>
          </w:p>
        </w:tc>
        <w:tc>
          <w:tcPr>
            <w:tcW w:w="2684" w:type="pct"/>
            <w:gridSpan w:val="5"/>
            <w:tcBorders>
              <w:top w:val="single" w:color="000000" w:sz="4" w:space="0"/>
              <w:left w:val="single" w:color="000000" w:sz="4" w:space="0"/>
              <w:bottom w:val="single" w:color="000000" w:sz="4" w:space="0"/>
              <w:right w:val="single" w:color="000000" w:sz="4" w:space="0"/>
            </w:tcBorders>
            <w:noWrap w:val="0"/>
            <w:vAlign w:val="center"/>
          </w:tcPr>
          <w:p w14:paraId="2D78FA0D">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解读列表按照时间倒序排列展示；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表头包括标题、发布时间两个字段；</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支持标题模糊匹配查询；</w:t>
            </w:r>
          </w:p>
        </w:tc>
      </w:tr>
      <w:tr w14:paraId="6B766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567"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5EE553A1">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34"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457AD24D">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37" w:type="pct"/>
            <w:gridSpan w:val="7"/>
            <w:vMerge w:val="continue"/>
            <w:tcBorders>
              <w:top w:val="single" w:color="000000" w:sz="4" w:space="0"/>
              <w:left w:val="single" w:color="000000" w:sz="4" w:space="0"/>
              <w:bottom w:val="single" w:color="000000" w:sz="4" w:space="0"/>
              <w:right w:val="single" w:color="000000" w:sz="4" w:space="0"/>
            </w:tcBorders>
            <w:noWrap w:val="0"/>
            <w:vAlign w:val="center"/>
          </w:tcPr>
          <w:p w14:paraId="1C2D2EE8">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75" w:type="pct"/>
            <w:gridSpan w:val="5"/>
            <w:tcBorders>
              <w:top w:val="single" w:color="000000" w:sz="4" w:space="0"/>
              <w:left w:val="single" w:color="000000" w:sz="4" w:space="0"/>
              <w:bottom w:val="single" w:color="000000" w:sz="4" w:space="0"/>
              <w:right w:val="single" w:color="000000" w:sz="4" w:space="0"/>
            </w:tcBorders>
            <w:noWrap/>
            <w:vAlign w:val="center"/>
          </w:tcPr>
          <w:p w14:paraId="14F304D8">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制度解读详情</w:t>
            </w:r>
          </w:p>
        </w:tc>
        <w:tc>
          <w:tcPr>
            <w:tcW w:w="2684" w:type="pct"/>
            <w:gridSpan w:val="5"/>
            <w:tcBorders>
              <w:top w:val="single" w:color="000000" w:sz="4" w:space="0"/>
              <w:left w:val="single" w:color="000000" w:sz="4" w:space="0"/>
              <w:bottom w:val="single" w:color="000000" w:sz="4" w:space="0"/>
              <w:right w:val="single" w:color="000000" w:sz="4" w:space="0"/>
            </w:tcBorders>
            <w:noWrap/>
            <w:vAlign w:val="center"/>
          </w:tcPr>
          <w:p w14:paraId="577A0FB6">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支持文档和图片的形式；（视频的格式需要讨论下是否需要支持？）</w:t>
            </w:r>
          </w:p>
        </w:tc>
      </w:tr>
      <w:tr w14:paraId="3C758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567"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1952BB0A">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34"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519E1066">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37" w:type="pct"/>
            <w:gridSpan w:val="7"/>
            <w:vMerge w:val="restart"/>
            <w:tcBorders>
              <w:top w:val="single" w:color="000000" w:sz="4" w:space="0"/>
              <w:left w:val="single" w:color="000000" w:sz="4" w:space="0"/>
              <w:bottom w:val="single" w:color="000000" w:sz="4" w:space="0"/>
              <w:right w:val="single" w:color="000000" w:sz="4" w:space="0"/>
            </w:tcBorders>
            <w:noWrap w:val="0"/>
            <w:vAlign w:val="center"/>
          </w:tcPr>
          <w:p w14:paraId="729AA748">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登录</w:t>
            </w:r>
          </w:p>
        </w:tc>
        <w:tc>
          <w:tcPr>
            <w:tcW w:w="775" w:type="pct"/>
            <w:gridSpan w:val="5"/>
            <w:tcBorders>
              <w:top w:val="single" w:color="000000" w:sz="4" w:space="0"/>
              <w:left w:val="single" w:color="000000" w:sz="4" w:space="0"/>
              <w:bottom w:val="single" w:color="000000" w:sz="4" w:space="0"/>
              <w:right w:val="single" w:color="000000" w:sz="4" w:space="0"/>
            </w:tcBorders>
            <w:noWrap/>
            <w:vAlign w:val="center"/>
          </w:tcPr>
          <w:p w14:paraId="3B89546F">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工号，密码登录</w:t>
            </w:r>
          </w:p>
        </w:tc>
        <w:tc>
          <w:tcPr>
            <w:tcW w:w="2684" w:type="pct"/>
            <w:gridSpan w:val="5"/>
            <w:tcBorders>
              <w:top w:val="single" w:color="000000" w:sz="4" w:space="0"/>
              <w:left w:val="single" w:color="000000" w:sz="4" w:space="0"/>
              <w:bottom w:val="single" w:color="000000" w:sz="4" w:space="0"/>
              <w:right w:val="single" w:color="000000" w:sz="4" w:space="0"/>
            </w:tcBorders>
            <w:noWrap/>
            <w:vAlign w:val="center"/>
          </w:tcPr>
          <w:p w14:paraId="0125A796">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对接学校数据中台，同步学校用户信息，用户可以通过账号密码登录系统</w:t>
            </w:r>
          </w:p>
        </w:tc>
      </w:tr>
      <w:tr w14:paraId="7EF9A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567"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30017729">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34"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18836333">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37" w:type="pct"/>
            <w:gridSpan w:val="7"/>
            <w:vMerge w:val="continue"/>
            <w:tcBorders>
              <w:top w:val="single" w:color="000000" w:sz="4" w:space="0"/>
              <w:left w:val="single" w:color="000000" w:sz="4" w:space="0"/>
              <w:bottom w:val="single" w:color="000000" w:sz="4" w:space="0"/>
              <w:right w:val="single" w:color="000000" w:sz="4" w:space="0"/>
            </w:tcBorders>
            <w:noWrap w:val="0"/>
            <w:vAlign w:val="center"/>
          </w:tcPr>
          <w:p w14:paraId="21F86311">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75" w:type="pct"/>
            <w:gridSpan w:val="5"/>
            <w:tcBorders>
              <w:top w:val="single" w:color="000000" w:sz="4" w:space="0"/>
              <w:left w:val="single" w:color="000000" w:sz="4" w:space="0"/>
              <w:bottom w:val="single" w:color="000000" w:sz="4" w:space="0"/>
              <w:right w:val="single" w:color="000000" w:sz="4" w:space="0"/>
            </w:tcBorders>
            <w:noWrap/>
            <w:vAlign w:val="center"/>
          </w:tcPr>
          <w:p w14:paraId="3F5B0EAB">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CAS登录</w:t>
            </w:r>
          </w:p>
        </w:tc>
        <w:tc>
          <w:tcPr>
            <w:tcW w:w="2684" w:type="pct"/>
            <w:gridSpan w:val="5"/>
            <w:tcBorders>
              <w:top w:val="single" w:color="000000" w:sz="4" w:space="0"/>
              <w:left w:val="single" w:color="000000" w:sz="4" w:space="0"/>
              <w:bottom w:val="single" w:color="000000" w:sz="4" w:space="0"/>
              <w:right w:val="single" w:color="000000" w:sz="4" w:space="0"/>
            </w:tcBorders>
            <w:noWrap/>
            <w:vAlign w:val="center"/>
          </w:tcPr>
          <w:p w14:paraId="464B5336">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对接学校CAS，用户可以通过学校统一认证登录系统，也可通过智慧杭电门户，单点登录系统</w:t>
            </w:r>
          </w:p>
        </w:tc>
      </w:tr>
      <w:tr w14:paraId="22B65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567"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20CAEDF1">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34" w:type="pct"/>
            <w:gridSpan w:val="5"/>
            <w:vMerge w:val="restart"/>
            <w:tcBorders>
              <w:top w:val="nil"/>
              <w:left w:val="single" w:color="000000" w:sz="4" w:space="0"/>
              <w:bottom w:val="single" w:color="000000" w:sz="4" w:space="0"/>
              <w:right w:val="single" w:color="000000" w:sz="4" w:space="0"/>
            </w:tcBorders>
            <w:noWrap w:val="0"/>
            <w:vAlign w:val="center"/>
          </w:tcPr>
          <w:p w14:paraId="44DF7719">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37" w:type="pct"/>
            <w:gridSpan w:val="7"/>
            <w:vMerge w:val="restart"/>
            <w:tcBorders>
              <w:top w:val="single" w:color="000000" w:sz="4" w:space="0"/>
              <w:left w:val="single" w:color="000000" w:sz="4" w:space="0"/>
              <w:bottom w:val="single" w:color="000000" w:sz="4" w:space="0"/>
              <w:right w:val="single" w:color="000000" w:sz="4" w:space="0"/>
            </w:tcBorders>
            <w:noWrap/>
            <w:vAlign w:val="center"/>
          </w:tcPr>
          <w:p w14:paraId="4432C30F">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文件管理（管理员权限）</w:t>
            </w:r>
          </w:p>
        </w:tc>
        <w:tc>
          <w:tcPr>
            <w:tcW w:w="775" w:type="pct"/>
            <w:gridSpan w:val="5"/>
            <w:tcBorders>
              <w:top w:val="single" w:color="000000" w:sz="4" w:space="0"/>
              <w:left w:val="single" w:color="000000" w:sz="4" w:space="0"/>
              <w:bottom w:val="single" w:color="000000" w:sz="4" w:space="0"/>
              <w:right w:val="single" w:color="000000" w:sz="4" w:space="0"/>
            </w:tcBorders>
            <w:noWrap/>
            <w:vAlign w:val="center"/>
          </w:tcPr>
          <w:p w14:paraId="7DFEF0EB">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意见征求管理</w:t>
            </w:r>
          </w:p>
        </w:tc>
        <w:tc>
          <w:tcPr>
            <w:tcW w:w="2684" w:type="pct"/>
            <w:gridSpan w:val="5"/>
            <w:tcBorders>
              <w:top w:val="single" w:color="000000" w:sz="4" w:space="0"/>
              <w:left w:val="single" w:color="000000" w:sz="4" w:space="0"/>
              <w:bottom w:val="single" w:color="000000" w:sz="4" w:space="0"/>
              <w:right w:val="single" w:color="000000" w:sz="4" w:space="0"/>
            </w:tcBorders>
            <w:noWrap w:val="0"/>
            <w:vAlign w:val="center"/>
          </w:tcPr>
          <w:p w14:paraId="0EDAF577">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有【新增意见征求稿】的功能入口；也支持对接现有的OA系统的能力，稿件在OA系统编辑，提交后写入到这里；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征求列表的数据是自己提交的数据，按时间倒序排列展示；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列表表头包括当前状态、标题、开始时间三个字段，不同的状态采用不同的颜色标识，便于用户识别；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通过点击【编辑】可以跳转到意见征求稿的编辑页面，只有【未开始】状态的稿件可以编辑；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通过点击【停止】可以强行终止意见征求，从【进行中】变为【已完成】；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通过点击【数据分析】可以查看【进行中/已完成】稿件的意见数据报表；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通过点击【删除】可以删除不需要的意见征求稿件，只有【未开始】状态的稿件可以删除；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通过【搜索框】可以进行标题模糊匹配查询；</w:t>
            </w:r>
          </w:p>
        </w:tc>
      </w:tr>
      <w:tr w14:paraId="252CB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567"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60FC7A2A">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34" w:type="pct"/>
            <w:gridSpan w:val="5"/>
            <w:vMerge w:val="continue"/>
            <w:tcBorders>
              <w:top w:val="nil"/>
              <w:left w:val="single" w:color="000000" w:sz="4" w:space="0"/>
              <w:bottom w:val="single" w:color="000000" w:sz="4" w:space="0"/>
              <w:right w:val="single" w:color="000000" w:sz="4" w:space="0"/>
            </w:tcBorders>
            <w:noWrap w:val="0"/>
            <w:vAlign w:val="center"/>
          </w:tcPr>
          <w:p w14:paraId="18EF38E8">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37" w:type="pct"/>
            <w:gridSpan w:val="7"/>
            <w:vMerge w:val="continue"/>
            <w:tcBorders>
              <w:top w:val="single" w:color="000000" w:sz="4" w:space="0"/>
              <w:left w:val="single" w:color="000000" w:sz="4" w:space="0"/>
              <w:bottom w:val="single" w:color="000000" w:sz="4" w:space="0"/>
              <w:right w:val="single" w:color="000000" w:sz="4" w:space="0"/>
            </w:tcBorders>
            <w:noWrap/>
            <w:vAlign w:val="center"/>
          </w:tcPr>
          <w:p w14:paraId="3766C392">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75" w:type="pct"/>
            <w:gridSpan w:val="5"/>
            <w:tcBorders>
              <w:top w:val="single" w:color="000000" w:sz="4" w:space="0"/>
              <w:left w:val="single" w:color="000000" w:sz="4" w:space="0"/>
              <w:bottom w:val="single" w:color="000000" w:sz="4" w:space="0"/>
              <w:right w:val="single" w:color="000000" w:sz="4" w:space="0"/>
            </w:tcBorders>
            <w:noWrap/>
            <w:vAlign w:val="center"/>
          </w:tcPr>
          <w:p w14:paraId="1C1F041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意见征求新增</w:t>
            </w:r>
          </w:p>
        </w:tc>
        <w:tc>
          <w:tcPr>
            <w:tcW w:w="2684" w:type="pct"/>
            <w:gridSpan w:val="5"/>
            <w:tcBorders>
              <w:top w:val="single" w:color="000000" w:sz="4" w:space="0"/>
              <w:left w:val="single" w:color="000000" w:sz="4" w:space="0"/>
              <w:bottom w:val="single" w:color="000000" w:sz="4" w:space="0"/>
              <w:right w:val="single" w:color="000000" w:sz="4" w:space="0"/>
            </w:tcBorders>
            <w:noWrap w:val="0"/>
            <w:vAlign w:val="center"/>
          </w:tcPr>
          <w:p w14:paraId="2CA39FF0">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所有字段均为必填字段</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标题字数限制：30字以内，支持汉字、数字、英文字母、《》，其他特殊字符不允许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制度摘要：200字以内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全文：逐条录入制度内容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适用对象：根据该字段进行权限控制。例如该字段选择为【教师】时，学生角色的用户不能提交意见建议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起草单位：30字以内，汉字、数字、英文字母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联系方式：长文本，包含单位、联系人、电话、邮箱等信息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起止日期：只能选择未来时间，不能选择过去时间。根据选择的起止日期进行操作权限控制：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开始日期之前，起草人员可以编辑，开始日期之后，不允许编辑；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开始~截止日期之间，有权限的用户可以进行意见反馈；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不在该时间区间时，不能提交意见反馈。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所属类别：需要提前梳理出制度类别枚举值，例如人事制度、教学制度、科研制度、学生制度等。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提交后的审核流程：起草人角色发布稿件之后，发布人角色审核，审核通过后前台可以展示。也可遵循OA平台现有的流程：接口人发布稿件-&gt;部门主管审核通过-&gt;前台展示</w:t>
            </w:r>
          </w:p>
        </w:tc>
      </w:tr>
      <w:tr w14:paraId="301F4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567"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485AD547">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34" w:type="pct"/>
            <w:gridSpan w:val="5"/>
            <w:vMerge w:val="continue"/>
            <w:tcBorders>
              <w:top w:val="nil"/>
              <w:left w:val="single" w:color="000000" w:sz="4" w:space="0"/>
              <w:bottom w:val="single" w:color="000000" w:sz="4" w:space="0"/>
              <w:right w:val="single" w:color="000000" w:sz="4" w:space="0"/>
            </w:tcBorders>
            <w:noWrap w:val="0"/>
            <w:vAlign w:val="center"/>
          </w:tcPr>
          <w:p w14:paraId="020E344D">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37" w:type="pct"/>
            <w:gridSpan w:val="7"/>
            <w:vMerge w:val="continue"/>
            <w:tcBorders>
              <w:top w:val="single" w:color="000000" w:sz="4" w:space="0"/>
              <w:left w:val="single" w:color="000000" w:sz="4" w:space="0"/>
              <w:bottom w:val="single" w:color="000000" w:sz="4" w:space="0"/>
              <w:right w:val="single" w:color="000000" w:sz="4" w:space="0"/>
            </w:tcBorders>
            <w:noWrap/>
            <w:vAlign w:val="center"/>
          </w:tcPr>
          <w:p w14:paraId="5ED6432D">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75" w:type="pct"/>
            <w:gridSpan w:val="5"/>
            <w:tcBorders>
              <w:top w:val="single" w:color="000000" w:sz="4" w:space="0"/>
              <w:left w:val="single" w:color="000000" w:sz="4" w:space="0"/>
              <w:bottom w:val="single" w:color="000000" w:sz="4" w:space="0"/>
              <w:right w:val="single" w:color="000000" w:sz="4" w:space="0"/>
            </w:tcBorders>
            <w:noWrap/>
            <w:vAlign w:val="center"/>
          </w:tcPr>
          <w:p w14:paraId="5F449221">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意见征求提交查看</w:t>
            </w:r>
          </w:p>
        </w:tc>
        <w:tc>
          <w:tcPr>
            <w:tcW w:w="2684" w:type="pct"/>
            <w:gridSpan w:val="5"/>
            <w:tcBorders>
              <w:top w:val="single" w:color="000000" w:sz="4" w:space="0"/>
              <w:left w:val="single" w:color="000000" w:sz="4" w:space="0"/>
              <w:bottom w:val="single" w:color="000000" w:sz="4" w:space="0"/>
              <w:right w:val="single" w:color="000000" w:sz="4" w:space="0"/>
            </w:tcBorders>
            <w:noWrap w:val="0"/>
            <w:vAlign w:val="center"/>
          </w:tcPr>
          <w:p w14:paraId="1200A208">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查看所有提交上来的意见</w:t>
            </w:r>
          </w:p>
        </w:tc>
      </w:tr>
      <w:tr w14:paraId="59B2D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567"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3CB3625C">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34" w:type="pct"/>
            <w:gridSpan w:val="5"/>
            <w:vMerge w:val="continue"/>
            <w:tcBorders>
              <w:top w:val="nil"/>
              <w:left w:val="single" w:color="000000" w:sz="4" w:space="0"/>
              <w:bottom w:val="single" w:color="000000" w:sz="4" w:space="0"/>
              <w:right w:val="single" w:color="000000" w:sz="4" w:space="0"/>
            </w:tcBorders>
            <w:noWrap w:val="0"/>
            <w:vAlign w:val="center"/>
          </w:tcPr>
          <w:p w14:paraId="7C664FC9">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37" w:type="pct"/>
            <w:gridSpan w:val="7"/>
            <w:vMerge w:val="continue"/>
            <w:tcBorders>
              <w:top w:val="single" w:color="000000" w:sz="4" w:space="0"/>
              <w:left w:val="single" w:color="000000" w:sz="4" w:space="0"/>
              <w:bottom w:val="single" w:color="000000" w:sz="4" w:space="0"/>
              <w:right w:val="single" w:color="000000" w:sz="4" w:space="0"/>
            </w:tcBorders>
            <w:noWrap/>
            <w:vAlign w:val="center"/>
          </w:tcPr>
          <w:p w14:paraId="2DAF5DBE">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75" w:type="pct"/>
            <w:gridSpan w:val="5"/>
            <w:tcBorders>
              <w:top w:val="single" w:color="000000" w:sz="4" w:space="0"/>
              <w:left w:val="single" w:color="000000" w:sz="4" w:space="0"/>
              <w:bottom w:val="single" w:color="000000" w:sz="4" w:space="0"/>
              <w:right w:val="single" w:color="000000" w:sz="4" w:space="0"/>
            </w:tcBorders>
            <w:noWrap/>
            <w:vAlign w:val="center"/>
          </w:tcPr>
          <w:p w14:paraId="0CBF606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制度解读管理</w:t>
            </w:r>
          </w:p>
        </w:tc>
        <w:tc>
          <w:tcPr>
            <w:tcW w:w="2684" w:type="pct"/>
            <w:gridSpan w:val="5"/>
            <w:tcBorders>
              <w:top w:val="single" w:color="000000" w:sz="4" w:space="0"/>
              <w:left w:val="single" w:color="000000" w:sz="4" w:space="0"/>
              <w:bottom w:val="single" w:color="000000" w:sz="4" w:space="0"/>
              <w:right w:val="single" w:color="000000" w:sz="4" w:space="0"/>
            </w:tcBorders>
            <w:noWrap w:val="0"/>
            <w:vAlign w:val="center"/>
          </w:tcPr>
          <w:p w14:paraId="1E642BA4">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有【新增制度解读稿】的功能入口；也支持对接现有的OA系统的能力，稿件在OA系统编辑，提交后写入到这里；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解读列表的数据是自己提交的数据，按照时间倒序排列展示；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表头包括标题、发布时间两个字段；</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通过点击【标题】可以跳转到编辑制度解读稿的页面；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通过【查看更多】可以跳转到制度解读的列表后台页面;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表格底部有翻页功能</w:t>
            </w:r>
          </w:p>
        </w:tc>
      </w:tr>
      <w:tr w14:paraId="43786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 w:type="dxa"/>
          <w:trHeight w:val="0" w:hRule="atLeast"/>
        </w:trPr>
        <w:tc>
          <w:tcPr>
            <w:tcW w:w="567" w:type="pct"/>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7444FF31">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334" w:type="pct"/>
            <w:gridSpan w:val="5"/>
            <w:vMerge w:val="continue"/>
            <w:tcBorders>
              <w:top w:val="nil"/>
              <w:left w:val="single" w:color="000000" w:sz="4" w:space="0"/>
              <w:bottom w:val="single" w:color="000000" w:sz="4" w:space="0"/>
              <w:right w:val="single" w:color="000000" w:sz="4" w:space="0"/>
            </w:tcBorders>
            <w:noWrap w:val="0"/>
            <w:vAlign w:val="center"/>
          </w:tcPr>
          <w:p w14:paraId="7F2967C7">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637" w:type="pct"/>
            <w:gridSpan w:val="7"/>
            <w:vMerge w:val="continue"/>
            <w:tcBorders>
              <w:top w:val="single" w:color="000000" w:sz="4" w:space="0"/>
              <w:left w:val="single" w:color="000000" w:sz="4" w:space="0"/>
              <w:bottom w:val="single" w:color="000000" w:sz="4" w:space="0"/>
              <w:right w:val="single" w:color="000000" w:sz="4" w:space="0"/>
            </w:tcBorders>
            <w:noWrap/>
            <w:vAlign w:val="center"/>
          </w:tcPr>
          <w:p w14:paraId="7DCAA1CD">
            <w:pPr>
              <w:keepNext w:val="0"/>
              <w:keepLines w:val="0"/>
              <w:suppressLineNumbers w:val="0"/>
              <w:spacing w:before="0" w:beforeAutospacing="0" w:after="0" w:afterAutospacing="0" w:line="240" w:lineRule="auto"/>
              <w:ind w:left="0" w:right="0"/>
              <w:jc w:val="center"/>
              <w:rPr>
                <w:rFonts w:hint="eastAsia" w:ascii="宋体" w:hAnsi="宋体" w:eastAsia="宋体" w:cs="宋体"/>
                <w:b w:val="0"/>
                <w:bCs w:val="0"/>
                <w:i w:val="0"/>
                <w:iCs w:val="0"/>
                <w:color w:val="auto"/>
                <w:sz w:val="21"/>
                <w:szCs w:val="21"/>
                <w:highlight w:val="none"/>
                <w:u w:val="none"/>
              </w:rPr>
            </w:pPr>
          </w:p>
        </w:tc>
        <w:tc>
          <w:tcPr>
            <w:tcW w:w="775" w:type="pct"/>
            <w:gridSpan w:val="5"/>
            <w:tcBorders>
              <w:top w:val="single" w:color="000000" w:sz="4" w:space="0"/>
              <w:left w:val="single" w:color="000000" w:sz="4" w:space="0"/>
              <w:bottom w:val="single" w:color="000000" w:sz="4" w:space="0"/>
              <w:right w:val="single" w:color="000000" w:sz="4" w:space="0"/>
            </w:tcBorders>
            <w:noWrap/>
            <w:vAlign w:val="center"/>
          </w:tcPr>
          <w:p w14:paraId="16F5A01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制度解读新增</w:t>
            </w:r>
          </w:p>
        </w:tc>
        <w:tc>
          <w:tcPr>
            <w:tcW w:w="2684" w:type="pct"/>
            <w:gridSpan w:val="5"/>
            <w:tcBorders>
              <w:top w:val="single" w:color="000000" w:sz="4" w:space="0"/>
              <w:left w:val="single" w:color="000000" w:sz="4" w:space="0"/>
              <w:bottom w:val="single" w:color="000000" w:sz="4" w:space="0"/>
              <w:right w:val="single" w:color="000000" w:sz="4" w:space="0"/>
            </w:tcBorders>
            <w:noWrap w:val="0"/>
            <w:vAlign w:val="center"/>
          </w:tcPr>
          <w:p w14:paraId="65859023">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所有字段均为必填字段</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标题字数限制：30字以内，支持汉字、数字、英文字母、《》，其他特殊字符不允许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制度摘要：200字以内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全文附件：一般是文档格式，doc、docx、pdf、jpg、pgn；mp4等视频格式待定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适用对象：根据该字段进行权限控制。例如该字段选择为【教师】时，学生角色的用户看不到该解读；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起草单位：30字以内，汉字、数字、英文字母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联系方式：长文本，包含单位、联系人、电话、邮箱等信息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所属类别：需要提前梳理出制度类别枚举值，例如人事制度、教学制度、科研制度、学生制度等。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提交后的审核流程：起草人角色发布稿件之后，发布人角色审核，审核通过后前台可以展示。也可遵循OA平台现有的流程：接口人发布稿件-&gt;部门主管审核通过-&gt;前台展示。</w:t>
            </w:r>
          </w:p>
        </w:tc>
      </w:tr>
    </w:tbl>
    <w:p w14:paraId="4C0134B1">
      <w:pPr>
        <w:adjustRightInd w:val="0"/>
        <w:snapToGrid w:val="0"/>
        <w:spacing w:line="288" w:lineRule="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注：</w:t>
      </w:r>
    </w:p>
    <w:p w14:paraId="3EF684CF">
      <w:pPr>
        <w:adjustRightInd w:val="0"/>
        <w:snapToGrid w:val="0"/>
        <w:spacing w:line="288" w:lineRule="auto"/>
        <w:jc w:val="left"/>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（1）本项目所涉及的接口由采购人无条件免费开放，接口文档详见https://sourceid.ruishan.cc/linkid/authentication/public/interface/cas-authentication.html；</w:t>
      </w:r>
    </w:p>
    <w:p w14:paraId="19F2990B">
      <w:pPr>
        <w:adjustRightInd w:val="0"/>
        <w:snapToGrid w:val="0"/>
        <w:spacing w:line="288" w:lineRule="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（2）服务期：自2025年12月10日起至2026年6月9日前开发完成；</w:t>
      </w:r>
    </w:p>
    <w:p w14:paraId="5ACE5AC5">
      <w:pPr>
        <w:adjustRightInd w:val="0"/>
        <w:snapToGrid w:val="0"/>
        <w:spacing w:line="288" w:lineRule="auto"/>
        <w:rPr>
          <w:rFonts w:hint="default"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（3）质保期：自验收合格之日起1年。</w:t>
      </w:r>
    </w:p>
    <w:p w14:paraId="24E811B3">
      <w:pPr>
        <w:adjustRightInd w:val="0"/>
        <w:snapToGrid w:val="0"/>
        <w:spacing w:line="288"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rPr>
        <w:t>演示：</w:t>
      </w:r>
    </w:p>
    <w:p w14:paraId="4D90688B">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供应商演示内容需为真人操作软件DEMO录制的视频进行。</w:t>
      </w:r>
    </w:p>
    <w:p w14:paraId="2A67030A">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未提供任何演示的响应无效。以PPT、非真人操作软件DEMO录制的视频、图片等视同未演示，响应无效。</w:t>
      </w:r>
    </w:p>
    <w:p w14:paraId="3F9A54EB">
      <w:pPr>
        <w:spacing w:line="288"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演示内容</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学科数据审计监测平台</w:t>
      </w:r>
      <w:r>
        <w:rPr>
          <w:rFonts w:hint="eastAsia" w:ascii="宋体" w:hAnsi="宋体" w:eastAsia="宋体" w:cs="宋体"/>
          <w:b/>
          <w:bCs/>
          <w:color w:val="auto"/>
          <w:sz w:val="21"/>
          <w:szCs w:val="21"/>
          <w:highlight w:val="none"/>
          <w:lang w:eastAsia="zh-CN"/>
        </w:rPr>
        <w:t>）：</w:t>
      </w:r>
    </w:p>
    <w:p w14:paraId="2D5C5EA0">
      <w:pPr>
        <w:spacing w:line="288"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3.1 </w:t>
      </w:r>
      <w:r>
        <w:rPr>
          <w:rFonts w:hint="eastAsia" w:ascii="宋体" w:hAnsi="宋体" w:eastAsia="宋体" w:cs="宋体"/>
          <w:b w:val="0"/>
          <w:bCs w:val="0"/>
          <w:color w:val="auto"/>
          <w:sz w:val="21"/>
          <w:szCs w:val="21"/>
          <w:highlight w:val="none"/>
        </w:rPr>
        <w:t>教学信息：支持对数据进行新增（增量上报）、修改。支持删除，删除时会跳出弹窗进行二次确认。【学位点】信息跟【学位点层次】信息需关联。支持数据导出。</w:t>
      </w:r>
    </w:p>
    <w:p w14:paraId="7CCF56E0">
      <w:pPr>
        <w:spacing w:line="288"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3.2 </w:t>
      </w:r>
      <w:r>
        <w:rPr>
          <w:rFonts w:hint="eastAsia" w:ascii="宋体" w:hAnsi="宋体" w:eastAsia="宋体" w:cs="宋体"/>
          <w:b w:val="0"/>
          <w:bCs w:val="0"/>
          <w:color w:val="auto"/>
          <w:sz w:val="21"/>
          <w:szCs w:val="21"/>
          <w:highlight w:val="none"/>
        </w:rPr>
        <w:t>规划期数信息：规划期数信息里存放对于【规划期间】、【年度时间】的时间范围定义，用于学校报送时对学校报送的数据进行时间范围的限制，所有成果库中的数据都需要包含年度字段。支持添加期间，定义时间范围。支持对年度时间，规划期间进行绑定，同时定义时间范围。支持导入，导入时会对导入的数据进行校验。</w:t>
      </w:r>
    </w:p>
    <w:p w14:paraId="5C7C8C60">
      <w:pPr>
        <w:spacing w:line="288"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w:t>
      </w:r>
      <w:r>
        <w:rPr>
          <w:rFonts w:hint="eastAsia" w:ascii="宋体" w:hAnsi="宋体" w:eastAsia="宋体" w:cs="宋体"/>
          <w:b w:val="0"/>
          <w:bCs w:val="0"/>
          <w:color w:val="auto"/>
          <w:sz w:val="21"/>
          <w:szCs w:val="21"/>
          <w:highlight w:val="none"/>
          <w:lang w:val="en-US" w:eastAsia="zh-CN"/>
        </w:rPr>
        <w:t xml:space="preserve">3 </w:t>
      </w:r>
      <w:r>
        <w:rPr>
          <w:rFonts w:hint="eastAsia" w:ascii="宋体" w:hAnsi="宋体" w:eastAsia="宋体" w:cs="宋体"/>
          <w:b w:val="0"/>
          <w:bCs w:val="0"/>
          <w:color w:val="auto"/>
          <w:sz w:val="21"/>
          <w:szCs w:val="21"/>
          <w:highlight w:val="none"/>
        </w:rPr>
        <w:t>人才培养</w:t>
      </w:r>
      <w:r>
        <w:rPr>
          <w:rFonts w:hint="eastAsia" w:ascii="宋体" w:hAnsi="宋体" w:eastAsia="宋体" w:cs="宋体"/>
          <w:b w:val="0"/>
          <w:bCs w:val="0"/>
          <w:color w:val="auto"/>
          <w:sz w:val="21"/>
          <w:szCs w:val="21"/>
          <w:highlight w:val="none"/>
          <w:lang w:val="en-US" w:eastAsia="zh-CN"/>
        </w:rPr>
        <w:t>-学科竞赛</w:t>
      </w:r>
      <w:r>
        <w:rPr>
          <w:rFonts w:hint="eastAsia" w:ascii="宋体" w:hAnsi="宋体" w:eastAsia="宋体" w:cs="宋体"/>
          <w:b w:val="0"/>
          <w:bCs w:val="0"/>
          <w:color w:val="auto"/>
          <w:sz w:val="21"/>
          <w:szCs w:val="21"/>
          <w:highlight w:val="none"/>
        </w:rPr>
        <w:t>：管理员能够进入成果库下的【新成果入档】。根据不同的成果类型分类，展示不同分类下的表格数据。支持统计每个分类下各个状态的数据量。支持对数据进行筛选。支持对数据进行新增导入，新增数据后，数据的状态变为【待下发】。支持查看详情，支持删除数据。支持对数据进行多选，进行批量下发；下发后将会对所关联的学校进行站内通知。对数据进行【下发】或【批量下发】后，状态变更为【待确认】。</w:t>
      </w:r>
    </w:p>
    <w:p w14:paraId="6C964792">
      <w:pPr>
        <w:spacing w:line="288"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3.4 科研项目</w:t>
      </w:r>
      <w:r>
        <w:rPr>
          <w:rFonts w:hint="eastAsia" w:ascii="宋体" w:hAnsi="宋体" w:eastAsia="宋体" w:cs="宋体"/>
          <w:b w:val="0"/>
          <w:bCs w:val="0"/>
          <w:color w:val="auto"/>
          <w:sz w:val="21"/>
          <w:szCs w:val="21"/>
          <w:highlight w:val="none"/>
        </w:rPr>
        <w:t>：管理员登录应用后，选择成果库管理，选择【新成果入档】，选择【学校报送】。可以对报送进行时间范围的设置。支持对开放报送的时间段范围进行选择；支持针对开放报送成果类型进行选择。支持针对开放报送学校名称进行选择；支持针对报送年度进行选择。开放所选学校的上报权限，只有时间范围内才能进行上报。支持在表中查看开放报送的每次操作和详细信息。</w:t>
      </w:r>
    </w:p>
    <w:p w14:paraId="5E98D3A9">
      <w:pPr>
        <w:spacing w:line="288" w:lineRule="auto"/>
        <w:ind w:firstLine="420" w:firstLineChars="200"/>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3.5 </w:t>
      </w:r>
      <w:r>
        <w:rPr>
          <w:rFonts w:hint="eastAsia" w:ascii="宋体" w:hAnsi="宋体" w:eastAsia="宋体" w:cs="宋体"/>
          <w:b w:val="0"/>
          <w:bCs w:val="0"/>
          <w:color w:val="auto"/>
          <w:sz w:val="21"/>
          <w:szCs w:val="21"/>
          <w:highlight w:val="none"/>
        </w:rPr>
        <w:t>一流学科完成率统计表：按学校、学科、一流学科类型、年度分类统计任务条数、任务完成条数、完成率平均值、超额完成条数。</w:t>
      </w:r>
    </w:p>
    <w:p w14:paraId="46E49D49">
      <w:pPr>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4.演示U盘：</w:t>
      </w:r>
    </w:p>
    <w:p w14:paraId="3CC1D9FC">
      <w:pPr>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（1）供应商需将以上演示及讲解过程录制视频，演示时长不超过10分钟以.mp4格式存储于U盘。</w:t>
      </w:r>
    </w:p>
    <w:p w14:paraId="36EDF77A">
      <w:pPr>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（2）演示U盘可以EMS或顺丰邮寄形式在响应截止时间前递交，演示U盘应当密封包装并在包装上标注演示U盘、响应项目名称、</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名称并加盖公章。</w:t>
      </w:r>
    </w:p>
    <w:p w14:paraId="763799C9">
      <w:pPr>
        <w:adjustRightInd w:val="0"/>
        <w:snapToGrid w:val="0"/>
        <w:spacing w:line="288" w:lineRule="auto"/>
        <w:ind w:firstLine="420" w:firstLineChars="200"/>
        <w:rPr>
          <w:rFonts w:hint="default" w:cs="Times New Roman"/>
          <w:b/>
          <w:bCs/>
          <w:color w:val="auto"/>
          <w:sz w:val="21"/>
          <w:szCs w:val="21"/>
          <w:highlight w:val="none"/>
          <w:lang w:val="en-US" w:eastAsia="zh-CN"/>
        </w:rPr>
      </w:pPr>
      <w:r>
        <w:rPr>
          <w:rFonts w:hint="eastAsia" w:ascii="宋体" w:hAnsi="宋体" w:eastAsia="宋体" w:cs="宋体"/>
          <w:color w:val="auto"/>
          <w:sz w:val="21"/>
          <w:szCs w:val="21"/>
          <w:highlight w:val="none"/>
        </w:rPr>
        <w:t>（3）未按磋商文件要求提供演示U盘造成专家无法正常评审的风险由供应商自行承担。</w:t>
      </w:r>
    </w:p>
    <w:p w14:paraId="6BF9D8B9">
      <w:pPr>
        <w:adjustRightInd w:val="0"/>
        <w:snapToGrid w:val="0"/>
        <w:spacing w:line="288" w:lineRule="auto"/>
        <w:rPr>
          <w:rFonts w:hint="default" w:cs="Times New Roman"/>
          <w:b/>
          <w:bCs/>
          <w:color w:val="auto"/>
          <w:sz w:val="21"/>
          <w:szCs w:val="21"/>
          <w:highlight w:val="none"/>
          <w:lang w:val="en-US" w:eastAsia="zh-CN"/>
        </w:rPr>
      </w:pPr>
    </w:p>
    <w:p w14:paraId="5E0C12DB">
      <w:pPr>
        <w:adjustRightInd w:val="0"/>
        <w:snapToGrid w:val="0"/>
        <w:spacing w:line="288" w:lineRule="auto"/>
        <w:rPr>
          <w:rFonts w:hint="default" w:cs="Times New Roman"/>
          <w:b/>
          <w:bCs/>
          <w:color w:val="auto"/>
          <w:sz w:val="21"/>
          <w:szCs w:val="21"/>
          <w:highlight w:val="none"/>
          <w:lang w:val="en-US" w:eastAsia="zh-CN"/>
        </w:rPr>
        <w:sectPr>
          <w:pgSz w:w="16838" w:h="11906" w:orient="landscape"/>
          <w:pgMar w:top="1247" w:right="1247" w:bottom="1247" w:left="1247" w:header="142" w:footer="725" w:gutter="0"/>
          <w:pgBorders>
            <w:top w:val="none" w:sz="0" w:space="0"/>
            <w:left w:val="none" w:sz="0" w:space="0"/>
            <w:bottom w:val="none" w:sz="0" w:space="0"/>
            <w:right w:val="none" w:sz="0" w:space="0"/>
          </w:pgBorders>
          <w:cols w:space="425" w:num="1"/>
          <w:docGrid w:type="lines" w:linePitch="312" w:charSpace="0"/>
        </w:sectPr>
      </w:pPr>
    </w:p>
    <w:p w14:paraId="2582A30B">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14:paraId="029BFC90">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21B8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2ACD8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14:paraId="04C807A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14:paraId="71DC86D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14:paraId="01394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02DCB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14:paraId="11BF2DB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14:paraId="7EDB483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杭州电子科技大学2025年杭州电子科技大学信息化系统定制化开发服务</w:t>
            </w:r>
            <w:r>
              <w:rPr>
                <w:rFonts w:hint="eastAsia"/>
                <w:color w:val="auto"/>
                <w:sz w:val="21"/>
                <w:szCs w:val="21"/>
                <w:highlight w:val="none"/>
              </w:rPr>
              <w:t>的磋商、评审、成交、验收、合同履约、付款等（法律、法规另有规定的，从其规定）。</w:t>
            </w:r>
          </w:p>
        </w:tc>
      </w:tr>
      <w:tr w14:paraId="07209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809B823">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14:paraId="53F25D3A">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14:paraId="18B2746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14:paraId="3A9F1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D1654B4">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14:paraId="09474420">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14:paraId="64B28D4D">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▲1</w:t>
            </w:r>
            <w:r>
              <w:rPr>
                <w:rFonts w:hint="default"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14:paraId="10416B6F">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2</w:t>
            </w:r>
            <w:r>
              <w:rPr>
                <w:rFonts w:hint="eastAsia" w:cstheme="minorBidi"/>
                <w:color w:val="auto"/>
                <w:sz w:val="21"/>
                <w:szCs w:val="21"/>
                <w:highlight w:val="none"/>
              </w:rPr>
              <w:t>.</w:t>
            </w:r>
            <w:r>
              <w:rPr>
                <w:rFonts w:hint="default"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hint="default" w:cstheme="minorBidi"/>
                <w:color w:val="auto"/>
                <w:sz w:val="21"/>
                <w:szCs w:val="21"/>
                <w:highlight w:val="none"/>
              </w:rPr>
              <w:t>，须提供</w:t>
            </w:r>
            <w:r>
              <w:rPr>
                <w:rFonts w:hint="default" w:cstheme="minorBidi"/>
                <w:bCs/>
                <w:color w:val="auto"/>
                <w:sz w:val="21"/>
                <w:szCs w:val="21"/>
                <w:highlight w:val="none"/>
              </w:rPr>
              <w:t>授权</w:t>
            </w:r>
            <w:r>
              <w:rPr>
                <w:rFonts w:hint="eastAsia" w:cstheme="minorBidi"/>
                <w:bCs/>
                <w:color w:val="auto"/>
                <w:sz w:val="21"/>
                <w:szCs w:val="21"/>
                <w:highlight w:val="none"/>
              </w:rPr>
              <w:t>委托</w:t>
            </w:r>
            <w:r>
              <w:rPr>
                <w:rFonts w:hint="default"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w:t>
            </w:r>
            <w:r>
              <w:rPr>
                <w:rFonts w:hint="eastAsia" w:cstheme="minorBidi"/>
                <w:color w:val="auto"/>
                <w:sz w:val="21"/>
                <w:szCs w:val="21"/>
                <w:highlight w:val="none"/>
                <w:lang w:eastAsia="zh-CN"/>
              </w:rPr>
              <w:t>2025年1月（含）</w:t>
            </w:r>
            <w:r>
              <w:rPr>
                <w:rFonts w:hint="default" w:cstheme="minorBidi"/>
                <w:color w:val="auto"/>
                <w:sz w:val="21"/>
                <w:szCs w:val="21"/>
                <w:highlight w:val="none"/>
              </w:rPr>
              <w:t>以后任意一月）；</w:t>
            </w:r>
          </w:p>
          <w:p w14:paraId="1796ABF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14:paraId="2B3AD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1209F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14:paraId="2E95DFA7">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14:paraId="675B49D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14:paraId="7AE8BE4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4E7AE8D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32587BE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1"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w:t>
            </w:r>
          </w:p>
          <w:tbl>
            <w:tblPr>
              <w:tblStyle w:val="12"/>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0147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517" w:type="dxa"/>
                  <w:vAlign w:val="center"/>
                </w:tcPr>
                <w:p w14:paraId="43FCB65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2F84E9D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14:paraId="088F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517" w:type="dxa"/>
                  <w:vAlign w:val="center"/>
                </w:tcPr>
                <w:p w14:paraId="63E0D1D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09C964FB">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kern w:val="0"/>
                      <w:sz w:val="21"/>
                      <w:szCs w:val="21"/>
                      <w:highlight w:val="none"/>
                      <w:lang w:eastAsia="zh-CN"/>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r>
                    <w:rPr>
                      <w:rFonts w:hint="eastAsia"/>
                      <w:color w:val="auto"/>
                      <w:kern w:val="0"/>
                      <w:sz w:val="21"/>
                      <w:szCs w:val="21"/>
                      <w:highlight w:val="none"/>
                      <w:lang w:eastAsia="zh-CN"/>
                    </w:rPr>
                    <w:t>（</w:t>
                  </w:r>
                  <w:r>
                    <w:rPr>
                      <w:rFonts w:hint="eastAsia"/>
                      <w:color w:val="auto"/>
                      <w:kern w:val="0"/>
                      <w:sz w:val="21"/>
                      <w:szCs w:val="21"/>
                      <w:highlight w:val="none"/>
                      <w:lang w:val="en-US" w:eastAsia="zh-CN"/>
                    </w:rPr>
                    <w:t>不足3000元的按3000元计</w:t>
                  </w:r>
                  <w:r>
                    <w:rPr>
                      <w:rFonts w:hint="eastAsia"/>
                      <w:color w:val="auto"/>
                      <w:kern w:val="0"/>
                      <w:sz w:val="21"/>
                      <w:szCs w:val="21"/>
                      <w:highlight w:val="none"/>
                      <w:lang w:eastAsia="zh-CN"/>
                    </w:rPr>
                    <w:t>）</w:t>
                  </w:r>
                </w:p>
              </w:tc>
            </w:tr>
            <w:bookmarkEnd w:id="31"/>
          </w:tbl>
          <w:p w14:paraId="0FCCA21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14:paraId="71A95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D79EA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14:paraId="1D34FF6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14:paraId="1C1B067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14:paraId="6F9C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1FFE8C5">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14:paraId="6335B16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14:paraId="31BDDD9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本项目（是）接受联合体响应。</w:t>
            </w:r>
          </w:p>
        </w:tc>
      </w:tr>
      <w:tr w14:paraId="717E6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3250D6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14:paraId="47B64E3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14:paraId="1D8705E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14:paraId="0DE1D48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2.本项目</w:t>
            </w:r>
            <w:r>
              <w:rPr>
                <w:rFonts w:hint="default"/>
                <w:b/>
                <w:bCs/>
                <w:color w:val="auto"/>
                <w:sz w:val="21"/>
                <w:szCs w:val="21"/>
                <w:highlight w:val="none"/>
                <w:u w:val="single"/>
              </w:rPr>
              <w:t>不允许</w:t>
            </w:r>
            <w:r>
              <w:rPr>
                <w:rFonts w:hint="default"/>
                <w:color w:val="auto"/>
                <w:sz w:val="21"/>
                <w:szCs w:val="21"/>
                <w:highlight w:val="none"/>
              </w:rPr>
              <w:t>分包，不适宜分包的理由是：</w:t>
            </w:r>
            <w:r>
              <w:rPr>
                <w:rFonts w:hint="eastAsia"/>
                <w:color w:val="auto"/>
                <w:sz w:val="21"/>
                <w:szCs w:val="21"/>
                <w:highlight w:val="none"/>
                <w:u w:val="single"/>
                <w:lang w:val="en-US" w:eastAsia="zh-CN"/>
              </w:rPr>
              <w:t>服务内容整体不可分割</w:t>
            </w:r>
            <w:r>
              <w:rPr>
                <w:rFonts w:hint="default"/>
                <w:color w:val="auto"/>
                <w:sz w:val="21"/>
                <w:szCs w:val="21"/>
                <w:highlight w:val="none"/>
                <w:u w:val="single"/>
              </w:rPr>
              <w:t>。</w:t>
            </w:r>
          </w:p>
        </w:tc>
      </w:tr>
      <w:tr w14:paraId="7461B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0E5BC3">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14:paraId="5C0C708A">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14:paraId="4953FADE">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2"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14:paraId="6F0EB31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14:paraId="77DC973B">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047472BB">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2"/>
          </w:p>
        </w:tc>
      </w:tr>
      <w:tr w14:paraId="13D6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EEA2B1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14:paraId="0719A2F5">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14:paraId="13744E82">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14:paraId="21295F6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14:paraId="41EA8EAC">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14:paraId="254DBC7A">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w:t>
            </w:r>
          </w:p>
          <w:p w14:paraId="1BC4309D">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中小企业声明函（若属于中小企业）</w:t>
            </w:r>
          </w:p>
          <w:p w14:paraId="33CC5AFB">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属于监狱企业的证明文件（若属于监狱企业）</w:t>
            </w:r>
          </w:p>
          <w:p w14:paraId="7D354C92">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残疾人福利性单位声明函（若属于残疾人福利性单位）</w:t>
            </w:r>
          </w:p>
          <w:p w14:paraId="76FF8579">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联合协议、分包意向协议（如有）</w:t>
            </w:r>
          </w:p>
          <w:p w14:paraId="2983EAF9">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14:paraId="35742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C871CC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14:paraId="0EC6097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14:paraId="406B7AE9">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3B80873D">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14:paraId="1C73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7F33A09">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14:paraId="719AA6AD">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14:paraId="1D5F01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1.报价应按磋商文件要求的格式编制、填写报价内容（可自行增行），未按磋商文件要求编制、填写的响应文件可能被拒绝；</w:t>
            </w:r>
          </w:p>
          <w:p w14:paraId="24E74E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2.本次磋商采用人民币报价；</w:t>
            </w:r>
          </w:p>
          <w:p w14:paraId="7E94D38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3.最后磋商报价是履行合同的最终价格，有关本项目实施所涉及的一切费用均计入报价。总价不为零，分项报价中部分产品、服务单价为零的，视作已包含在总价中。</w:t>
            </w:r>
          </w:p>
          <w:p w14:paraId="1051BB4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ascii="宋体" w:hAnsi="宋体" w:eastAsia="宋体" w:cs="宋体"/>
                <w:color w:val="auto"/>
                <w:sz w:val="21"/>
                <w:szCs w:val="21"/>
                <w:highlight w:val="none"/>
              </w:rPr>
              <w:t>▲4.采购人将以合同形式有偿取得货物、工程和服务，不接受供应商给予的赠品、回扣或者与采购无关的其他商品、服务。</w:t>
            </w:r>
          </w:p>
        </w:tc>
      </w:tr>
      <w:tr w14:paraId="77038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D914D9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14:paraId="71C0E135">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14:paraId="5C762E0C">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14:paraId="3B7B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2F27D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14:paraId="6797B6FC">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14:paraId="28D64F8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14:paraId="496FC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E4DF9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14:paraId="716DF38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14:paraId="212939B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14:paraId="5A5E0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BAC03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14:paraId="57C50E70">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14:paraId="17B1281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14:paraId="3BF54D9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2BED3768">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14:paraId="4AC081F4">
      <w:pPr>
        <w:adjustRightInd w:val="0"/>
        <w:snapToGrid w:val="0"/>
        <w:spacing w:line="288" w:lineRule="auto"/>
        <w:ind w:firstLine="420" w:firstLineChars="200"/>
        <w:rPr>
          <w:color w:val="auto"/>
          <w:sz w:val="21"/>
          <w:szCs w:val="21"/>
          <w:highlight w:val="none"/>
        </w:rPr>
      </w:pPr>
      <w:bookmarkStart w:id="33"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3"/>
    <w:p w14:paraId="62CB04E6">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14:paraId="438B657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杭州电子科技大学2025年杭州电子科技大学信息化系统定制化开发服务</w:t>
      </w:r>
      <w:r>
        <w:rPr>
          <w:rFonts w:hint="eastAsia"/>
          <w:color w:val="auto"/>
          <w:sz w:val="21"/>
          <w:szCs w:val="21"/>
          <w:highlight w:val="none"/>
        </w:rPr>
        <w:t>的磋商、评审、成交、验收、合同履约、付款等（法律、法规另有规定的，从其规定）。</w:t>
      </w:r>
    </w:p>
    <w:p w14:paraId="18ACAB37">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14:paraId="6D7FB83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14:paraId="3A8D9A3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14:paraId="3462B20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14:paraId="05B9508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14:paraId="7557D3B3">
      <w:pPr>
        <w:adjustRightInd w:val="0"/>
        <w:snapToGrid w:val="0"/>
        <w:spacing w:line="288" w:lineRule="auto"/>
        <w:ind w:firstLine="420" w:firstLineChars="200"/>
        <w:rPr>
          <w:rFonts w:cs="Times New Roman"/>
          <w:color w:val="auto"/>
          <w:sz w:val="21"/>
          <w:szCs w:val="21"/>
          <w:highlight w:val="none"/>
        </w:rPr>
      </w:pPr>
      <w:bookmarkStart w:id="34"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14:paraId="20D8ACD5">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4"/>
    <w:p w14:paraId="36018EDA">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14:paraId="6E3DC995">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14:paraId="350536C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14:paraId="63A9EB9C">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14:paraId="46FDDA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14:paraId="21E22BE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w:t>
      </w:r>
      <w:r>
        <w:rPr>
          <w:rFonts w:hint="eastAsia"/>
          <w:color w:val="auto"/>
          <w:sz w:val="21"/>
          <w:szCs w:val="21"/>
          <w:highlight w:val="none"/>
          <w:lang w:eastAsia="zh-CN"/>
        </w:rPr>
        <w:t>2025年1月（含）</w:t>
      </w:r>
      <w:r>
        <w:rPr>
          <w:color w:val="auto"/>
          <w:sz w:val="21"/>
          <w:szCs w:val="21"/>
          <w:highlight w:val="none"/>
        </w:rPr>
        <w:t>以后任意一月）；</w:t>
      </w:r>
    </w:p>
    <w:p w14:paraId="66FCDA6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14:paraId="205432E7">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14:paraId="7216059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14:paraId="2B01952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0194147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6492939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w:t>
      </w:r>
    </w:p>
    <w:tbl>
      <w:tblPr>
        <w:tblStyle w:val="12"/>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12E6E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6CF4BC95">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5318E25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14:paraId="74EB4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6369E69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5EE4079E">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kern w:val="0"/>
                <w:sz w:val="21"/>
                <w:szCs w:val="21"/>
                <w:highlight w:val="none"/>
                <w:lang w:eastAsia="zh-CN"/>
              </w:rPr>
            </w:pPr>
            <w:r>
              <w:rPr>
                <w:rFonts w:hint="eastAsia"/>
                <w:color w:val="auto"/>
                <w:kern w:val="0"/>
                <w:sz w:val="21"/>
                <w:szCs w:val="21"/>
                <w:highlight w:val="none"/>
              </w:rPr>
              <w:t>1.</w:t>
            </w:r>
            <w:r>
              <w:rPr>
                <w:rFonts w:hint="eastAsia" w:ascii="宋体" w:eastAsia="宋体"/>
                <w:color w:val="auto"/>
                <w:kern w:val="0"/>
                <w:sz w:val="21"/>
                <w:szCs w:val="21"/>
                <w:highlight w:val="none"/>
                <w:lang w:val="en-US" w:eastAsia="zh-CN"/>
              </w:rPr>
              <w:t>0</w:t>
            </w:r>
            <w:r>
              <w:rPr>
                <w:rFonts w:hint="eastAsia"/>
                <w:color w:val="auto"/>
                <w:kern w:val="0"/>
                <w:sz w:val="21"/>
                <w:szCs w:val="21"/>
                <w:highlight w:val="none"/>
              </w:rPr>
              <w:t>5</w:t>
            </w:r>
            <w:r>
              <w:rPr>
                <w:rFonts w:hint="eastAsia" w:eastAsia="宋体"/>
                <w:color w:val="auto"/>
                <w:kern w:val="0"/>
                <w:sz w:val="21"/>
                <w:szCs w:val="21"/>
                <w:highlight w:val="none"/>
                <w:lang w:eastAsia="zh-CN"/>
              </w:rPr>
              <w:t>（</w:t>
            </w:r>
            <w:r>
              <w:rPr>
                <w:rFonts w:hint="eastAsia" w:ascii="宋体" w:eastAsia="宋体"/>
                <w:color w:val="auto"/>
                <w:kern w:val="0"/>
                <w:sz w:val="21"/>
                <w:szCs w:val="21"/>
                <w:highlight w:val="none"/>
                <w:lang w:val="en-US" w:eastAsia="zh-CN"/>
              </w:rPr>
              <w:t>不足3000元的按3000元计</w:t>
            </w:r>
            <w:r>
              <w:rPr>
                <w:rFonts w:hint="eastAsia" w:eastAsia="宋体"/>
                <w:color w:val="auto"/>
                <w:kern w:val="0"/>
                <w:sz w:val="21"/>
                <w:szCs w:val="21"/>
                <w:highlight w:val="none"/>
                <w:lang w:eastAsia="zh-CN"/>
              </w:rPr>
              <w:t>）</w:t>
            </w:r>
          </w:p>
        </w:tc>
      </w:tr>
    </w:tbl>
    <w:p w14:paraId="100F909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14:paraId="02800559">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14:paraId="235BD02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14:paraId="2D28ACBE">
      <w:pPr>
        <w:spacing w:line="288" w:lineRule="auto"/>
        <w:ind w:firstLine="420" w:firstLineChars="200"/>
        <w:rPr>
          <w:rFonts w:cs="Times New Roman"/>
          <w:color w:val="auto"/>
          <w:sz w:val="21"/>
          <w:szCs w:val="22"/>
          <w:highlight w:val="none"/>
        </w:rPr>
      </w:pPr>
      <w:bookmarkStart w:id="35" w:name="_Hlk104288918"/>
      <w:r>
        <w:rPr>
          <w:rFonts w:hint="eastAsia" w:cs="Times New Roman"/>
          <w:color w:val="auto"/>
          <w:sz w:val="21"/>
          <w:szCs w:val="22"/>
          <w:highlight w:val="none"/>
        </w:rPr>
        <w:t>两个以上的自然人、法人或者其他组织可以组成一个联合体，以一个供应商的身份共同参加政府采购。</w:t>
      </w:r>
    </w:p>
    <w:p w14:paraId="2DF43B5F">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5"/>
    </w:p>
    <w:p w14:paraId="78EF89CB">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14:paraId="69C823FC">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1.本项目不允许转包；</w:t>
      </w:r>
    </w:p>
    <w:p w14:paraId="25236424">
      <w:pPr>
        <w:adjustRightInd w:val="0"/>
        <w:snapToGrid w:val="0"/>
        <w:spacing w:line="288" w:lineRule="auto"/>
        <w:ind w:firstLine="424" w:firstLineChars="202"/>
        <w:jc w:val="left"/>
        <w:rPr>
          <w:color w:val="auto"/>
          <w:sz w:val="21"/>
          <w:szCs w:val="21"/>
          <w:highlight w:val="none"/>
        </w:rPr>
      </w:pPr>
      <w:r>
        <w:rPr>
          <w:color w:val="auto"/>
          <w:sz w:val="21"/>
          <w:szCs w:val="21"/>
          <w:highlight w:val="none"/>
        </w:rPr>
        <w:t>2.本项目</w:t>
      </w:r>
      <w:r>
        <w:rPr>
          <w:b/>
          <w:bCs/>
          <w:color w:val="auto"/>
          <w:sz w:val="21"/>
          <w:szCs w:val="21"/>
          <w:highlight w:val="none"/>
          <w:u w:val="single"/>
        </w:rPr>
        <w:t>不允许</w:t>
      </w:r>
      <w:r>
        <w:rPr>
          <w:color w:val="auto"/>
          <w:sz w:val="21"/>
          <w:szCs w:val="21"/>
          <w:highlight w:val="none"/>
        </w:rPr>
        <w:t>分包，不适宜分包的理由是：</w:t>
      </w:r>
      <w:r>
        <w:rPr>
          <w:rFonts w:hint="eastAsia"/>
          <w:color w:val="auto"/>
          <w:sz w:val="21"/>
          <w:szCs w:val="21"/>
          <w:highlight w:val="none"/>
          <w:u w:val="single"/>
        </w:rPr>
        <w:t>服务内容整体不可分割</w:t>
      </w:r>
      <w:r>
        <w:rPr>
          <w:color w:val="auto"/>
          <w:sz w:val="21"/>
          <w:szCs w:val="21"/>
          <w:highlight w:val="none"/>
          <w:u w:val="single"/>
        </w:rPr>
        <w:t>。</w:t>
      </w:r>
    </w:p>
    <w:p w14:paraId="7B03FB5F">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14:paraId="28788EF2">
      <w:pPr>
        <w:adjustRightInd w:val="0"/>
        <w:snapToGrid w:val="0"/>
        <w:spacing w:line="288" w:lineRule="auto"/>
        <w:ind w:firstLine="396" w:firstLineChars="200"/>
        <w:jc w:val="left"/>
        <w:rPr>
          <w:rFonts w:cs="Times New Roman"/>
          <w:color w:val="auto"/>
          <w:spacing w:val="-6"/>
          <w:sz w:val="21"/>
          <w:szCs w:val="21"/>
          <w:highlight w:val="none"/>
        </w:rPr>
      </w:pPr>
      <w:bookmarkStart w:id="36" w:name="_Hlk92273406"/>
      <w:bookmarkStart w:id="37"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6"/>
    </w:p>
    <w:p w14:paraId="70C386B0">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14:paraId="3A96598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14:paraId="47409B3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14:paraId="2ADBB69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14:paraId="0671821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14:paraId="3DFB68F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14:paraId="0BAB8CA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14:paraId="01BE15D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14:paraId="6951AFF7">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14:paraId="20E3FF4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14:paraId="0D1CEAE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14:paraId="168560A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14:paraId="357B6D9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14:paraId="6CBDC60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7"/>
    <w:p w14:paraId="60C7853E">
      <w:pPr>
        <w:adjustRightInd w:val="0"/>
        <w:snapToGrid w:val="0"/>
        <w:spacing w:line="288" w:lineRule="auto"/>
        <w:outlineLvl w:val="2"/>
        <w:rPr>
          <w:b/>
          <w:color w:val="auto"/>
          <w:spacing w:val="-6"/>
          <w:kern w:val="0"/>
          <w:sz w:val="21"/>
          <w:szCs w:val="21"/>
          <w:highlight w:val="none"/>
        </w:rPr>
      </w:pPr>
      <w:bookmarkStart w:id="38"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bookmarkEnd w:id="38"/>
    <w:p w14:paraId="517A7F79">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cs="宋体"/>
          <w:b/>
          <w:bCs/>
          <w:i w:val="0"/>
          <w:iCs w:val="0"/>
          <w:color w:val="auto"/>
          <w:sz w:val="21"/>
          <w:szCs w:val="21"/>
          <w:highlight w:val="none"/>
          <w:lang w:val="en-US" w:eastAsia="zh-CN"/>
        </w:rPr>
        <w:t>1</w:t>
      </w:r>
      <w:r>
        <w:rPr>
          <w:rFonts w:hint="eastAsia" w:ascii="宋体" w:hAnsi="宋体" w:eastAsia="宋体" w:cs="宋体"/>
          <w:b/>
          <w:bCs/>
          <w:i w:val="0"/>
          <w:iCs w:val="0"/>
          <w:color w:val="auto"/>
          <w:sz w:val="21"/>
          <w:szCs w:val="21"/>
          <w:highlight w:val="none"/>
          <w:lang w:val="en-US" w:eastAsia="zh-CN"/>
        </w:rPr>
        <w:t>.</w:t>
      </w:r>
      <w:r>
        <w:rPr>
          <w:rFonts w:hint="eastAsia" w:ascii="宋体" w:hAnsi="宋体" w:eastAsia="宋体" w:cs="宋体"/>
          <w:b/>
          <w:bCs/>
          <w:i w:val="0"/>
          <w:iCs w:val="0"/>
          <w:color w:val="auto"/>
          <w:sz w:val="21"/>
          <w:szCs w:val="21"/>
          <w:highlight w:val="none"/>
        </w:rPr>
        <w:t>支持中小企业发展</w:t>
      </w:r>
    </w:p>
    <w:p w14:paraId="26F733D2">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lang w:val="en-US" w:eastAsia="zh-CN"/>
        </w:rPr>
        <w:t xml:space="preserve">.1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AAB818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lang w:val="en-US" w:eastAsia="zh-CN"/>
        </w:rPr>
        <w:t xml:space="preserve">.2 </w:t>
      </w:r>
      <w:r>
        <w:rPr>
          <w:rFonts w:hint="eastAsia" w:ascii="宋体" w:hAnsi="宋体" w:eastAsia="宋体" w:cs="宋体"/>
          <w:i w:val="0"/>
          <w:iCs w:val="0"/>
          <w:color w:val="auto"/>
          <w:sz w:val="21"/>
          <w:szCs w:val="21"/>
          <w:highlight w:val="none"/>
        </w:rPr>
        <w:t>在政府采购活动中，供应商提供的货物或者服务符合下列情形的，享受中小企业扶持政策：</w:t>
      </w:r>
    </w:p>
    <w:p w14:paraId="3C291A65">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在服务采购项目中，服务由中小企业承接，即提供服务的人员为中小企业依照《中华人民共和国劳动合同法》订立劳动合同的从业人员。</w:t>
      </w:r>
    </w:p>
    <w:p w14:paraId="1209D217">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lang w:val="en-US" w:eastAsia="zh-CN"/>
        </w:rPr>
        <w:t xml:space="preserve">.3 </w:t>
      </w:r>
      <w:r>
        <w:rPr>
          <w:rFonts w:hint="eastAsia" w:ascii="宋体" w:hAnsi="宋体" w:eastAsia="宋体" w:cs="宋体"/>
          <w:i w:val="0"/>
          <w:iCs w:val="0"/>
          <w:color w:val="auto"/>
          <w:sz w:val="21"/>
          <w:szCs w:val="21"/>
          <w:highlight w:val="none"/>
        </w:rPr>
        <w:t>对于联合体中由中小企业承担的部分，或者分包给中小企业的部分，必须全部由中小企业制造、承建或者承接。</w:t>
      </w:r>
    </w:p>
    <w:p w14:paraId="4FE7EF3E">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04F7BD25">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lang w:val="en-US" w:eastAsia="zh-CN"/>
        </w:rPr>
        <w:t xml:space="preserve">.4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786AF445">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lang w:val="en-US" w:eastAsia="zh-CN"/>
        </w:rPr>
        <w:t xml:space="preserve">.5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36867734">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76A6DD91">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专门面向中小企业采购的项目或者采购包，不再执行价格评审优惠的扶持政策。</w:t>
      </w:r>
    </w:p>
    <w:p w14:paraId="0A2FC1A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lang w:val="en-US" w:eastAsia="zh-CN"/>
        </w:rPr>
        <w:t>.</w:t>
      </w:r>
      <w:r>
        <w:rPr>
          <w:rFonts w:hint="eastAsia"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0EC029A7">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5BC9E57E">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u w:val="none"/>
          <w:lang w:val="en-US" w:eastAsia="zh-CN"/>
        </w:rPr>
        <w:t>1</w:t>
      </w:r>
      <w:r>
        <w:rPr>
          <w:rFonts w:hint="eastAsia" w:ascii="宋体" w:hAnsi="宋体" w:eastAsia="宋体" w:cs="宋体"/>
          <w:i w:val="0"/>
          <w:iCs w:val="0"/>
          <w:color w:val="auto"/>
          <w:sz w:val="21"/>
          <w:szCs w:val="21"/>
          <w:highlight w:val="none"/>
          <w:u w:val="none"/>
          <w:lang w:val="en-US" w:eastAsia="zh-CN"/>
        </w:rPr>
        <w:t>.</w:t>
      </w:r>
      <w:r>
        <w:rPr>
          <w:rFonts w:hint="eastAsia" w:cs="宋体"/>
          <w:i w:val="0"/>
          <w:iCs w:val="0"/>
          <w:color w:val="auto"/>
          <w:sz w:val="21"/>
          <w:szCs w:val="21"/>
          <w:highlight w:val="none"/>
          <w:u w:val="none"/>
          <w:lang w:val="en-US" w:eastAsia="zh-CN"/>
        </w:rPr>
        <w:t>7</w:t>
      </w:r>
      <w:r>
        <w:rPr>
          <w:rFonts w:hint="eastAsia" w:ascii="宋体" w:hAnsi="宋体" w:eastAsia="宋体" w:cs="宋体"/>
          <w:i w:val="0"/>
          <w:iCs w:val="0"/>
          <w:color w:val="auto"/>
          <w:sz w:val="21"/>
          <w:szCs w:val="21"/>
          <w:highlight w:val="none"/>
          <w:u w:val="none"/>
          <w:lang w:val="en-US" w:eastAsia="zh-CN"/>
        </w:rPr>
        <w:t xml:space="preserve">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6EFAC2C6">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w:t>
      </w:r>
      <w:r>
        <w:rPr>
          <w:rFonts w:hint="eastAsia" w:cs="宋体"/>
          <w:i w:val="0"/>
          <w:iCs w:val="0"/>
          <w:color w:val="auto"/>
          <w:sz w:val="21"/>
          <w:szCs w:val="21"/>
          <w:highlight w:val="none"/>
          <w:u w:val="single"/>
          <w:lang w:val="en-US" w:eastAsia="zh-CN"/>
        </w:rPr>
        <w:t>1</w:t>
      </w:r>
      <w:r>
        <w:rPr>
          <w:rFonts w:hint="eastAsia" w:ascii="宋体" w:hAnsi="宋体" w:eastAsia="宋体" w:cs="宋体"/>
          <w:i w:val="0"/>
          <w:iCs w:val="0"/>
          <w:color w:val="auto"/>
          <w:sz w:val="21"/>
          <w:szCs w:val="21"/>
          <w:highlight w:val="none"/>
          <w:u w:val="single"/>
          <w:lang w:val="en-US" w:eastAsia="zh-CN"/>
        </w:rPr>
        <w:t>.</w:t>
      </w:r>
      <w:r>
        <w:rPr>
          <w:rFonts w:hint="eastAsia" w:cs="宋体"/>
          <w:i w:val="0"/>
          <w:iCs w:val="0"/>
          <w:color w:val="auto"/>
          <w:sz w:val="21"/>
          <w:szCs w:val="21"/>
          <w:highlight w:val="none"/>
          <w:u w:val="single"/>
          <w:lang w:val="en-US" w:eastAsia="zh-CN"/>
        </w:rPr>
        <w:t>8</w:t>
      </w:r>
      <w:r>
        <w:rPr>
          <w:rFonts w:hint="eastAsia" w:ascii="宋体" w:hAnsi="宋体" w:eastAsia="宋体" w:cs="宋体"/>
          <w:i w:val="0"/>
          <w:iCs w:val="0"/>
          <w:color w:val="auto"/>
          <w:sz w:val="21"/>
          <w:szCs w:val="21"/>
          <w:highlight w:val="none"/>
          <w:u w:val="single"/>
          <w:lang w:val="en-US" w:eastAsia="zh-CN"/>
        </w:rPr>
        <w:t xml:space="preserve">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425E35F8">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（工业和信息化部中小企业局）中小企业规模类型自测小程序：http://baosong.miit.gov.cn/ScaleTest。</w:t>
      </w:r>
    </w:p>
    <w:p w14:paraId="31D099C8">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cs="宋体"/>
          <w:b/>
          <w:bCs/>
          <w:i w:val="0"/>
          <w:iCs w:val="0"/>
          <w:color w:val="auto"/>
          <w:sz w:val="21"/>
          <w:szCs w:val="21"/>
          <w:highlight w:val="none"/>
          <w:lang w:val="en-US" w:eastAsia="zh-CN"/>
        </w:rPr>
        <w:t>2</w:t>
      </w:r>
      <w:r>
        <w:rPr>
          <w:rFonts w:hint="eastAsia" w:ascii="宋体" w:hAnsi="宋体" w:eastAsia="宋体" w:cs="宋体"/>
          <w:b/>
          <w:bCs/>
          <w:i w:val="0"/>
          <w:iCs w:val="0"/>
          <w:color w:val="auto"/>
          <w:sz w:val="21"/>
          <w:szCs w:val="21"/>
          <w:highlight w:val="none"/>
          <w:lang w:val="en-US" w:eastAsia="zh-CN"/>
        </w:rPr>
        <w:t>.</w:t>
      </w:r>
      <w:r>
        <w:rPr>
          <w:rFonts w:hint="eastAsia" w:ascii="宋体" w:hAnsi="宋体" w:eastAsia="宋体" w:cs="宋体"/>
          <w:b/>
          <w:bCs/>
          <w:i w:val="0"/>
          <w:iCs w:val="0"/>
          <w:color w:val="auto"/>
          <w:sz w:val="21"/>
          <w:szCs w:val="21"/>
          <w:highlight w:val="none"/>
        </w:rPr>
        <w:t>支持监狱企业发展</w:t>
      </w:r>
    </w:p>
    <w:p w14:paraId="57DAAA8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4ED33C68">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lang w:val="en-US" w:eastAsia="zh-CN"/>
        </w:rPr>
        <w:t>.</w:t>
      </w:r>
      <w:r>
        <w:rPr>
          <w:rFonts w:hint="eastAsia" w:ascii="宋体" w:hAnsi="宋体" w:eastAsia="宋体" w:cs="宋体"/>
          <w:b/>
          <w:bCs/>
          <w:i w:val="0"/>
          <w:iCs w:val="0"/>
          <w:color w:val="auto"/>
          <w:sz w:val="21"/>
          <w:szCs w:val="21"/>
          <w:highlight w:val="none"/>
        </w:rPr>
        <w:t>促进残疾人就业</w:t>
      </w:r>
    </w:p>
    <w:p w14:paraId="32CBD3F2">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p w14:paraId="37DDF56B">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CA4280F">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14:paraId="763DBD47">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14:paraId="4599C6B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14:paraId="48191E5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14:paraId="709855F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14:paraId="777227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14:paraId="4297C06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14:paraId="7114FBA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14:paraId="0493801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14:paraId="357839E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14:paraId="320EB8DC">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14:paraId="3C6B992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14:paraId="3C508D8C">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14:paraId="695C043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14:paraId="2D8FB98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14:paraId="3BBCC3F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14:paraId="297A07E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14:paraId="7BF0E0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14:paraId="796B7CC4">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210CF70">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14:paraId="6ADC93B3">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14:paraId="2608C822">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14:paraId="0AB9F66F">
      <w:pPr>
        <w:adjustRightInd w:val="0"/>
        <w:snapToGrid w:val="0"/>
        <w:spacing w:line="288" w:lineRule="auto"/>
        <w:ind w:firstLine="396" w:firstLineChars="200"/>
        <w:jc w:val="left"/>
        <w:rPr>
          <w:rFonts w:cs="Times New Roman"/>
          <w:color w:val="auto"/>
          <w:spacing w:val="-6"/>
          <w:sz w:val="21"/>
          <w:szCs w:val="21"/>
          <w:highlight w:val="none"/>
        </w:rPr>
      </w:pPr>
      <w:bookmarkStart w:id="39"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bookmarkEnd w:id="39"/>
    <w:p w14:paraId="53DBCAB8">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14:paraId="11A36DE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3F037B2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0" w:name="_Hlk96329193"/>
      <w:r>
        <w:rPr>
          <w:rFonts w:hint="eastAsia"/>
          <w:color w:val="auto"/>
          <w:sz w:val="21"/>
          <w:szCs w:val="21"/>
          <w:highlight w:val="none"/>
        </w:rPr>
        <w:t>，供应商应写全称。</w:t>
      </w:r>
      <w:bookmarkEnd w:id="40"/>
    </w:p>
    <w:p w14:paraId="2DA63028">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14:paraId="28BB1652">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14:paraId="45DFC8A1">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2ABC7025">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14:paraId="098046D8">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0A25983D">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14:paraId="5579C8E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14:paraId="2300574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14:paraId="66F1317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14:paraId="52E1C4A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14:paraId="4005B46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14:paraId="7F8A389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14:paraId="7607ACA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14:paraId="21E6408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14:paraId="19327C8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14:paraId="091325F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14:paraId="3F6FB2DC">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14:paraId="56973E31">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14:paraId="0ECB4683">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22DFB16C">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14:paraId="68BA41C4">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14:paraId="09D9C1C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14:paraId="1E2A6866">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14:paraId="3BD85724">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1.报价应按磋商文件要求的格式编制、填写报价内容（可自行增行），未按磋商文件要求编制、填写的响应文件可能被拒绝；</w:t>
      </w:r>
    </w:p>
    <w:p w14:paraId="25B61D0F">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2.本次磋商采用人民币报价；</w:t>
      </w:r>
    </w:p>
    <w:p w14:paraId="781FA479">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3.最后磋商报价是履行合同的最终价格，有关本项目实施所涉及的一切费用均计入报价。总价不为零，分项报价中部分产品、服务单价为零的，视作已包含在总价中。</w:t>
      </w:r>
    </w:p>
    <w:p w14:paraId="3389B130">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▲4.采购人将以合同形式有偿取得货物、工程和服务，不接受供应商给予的赠品、回扣或者与采购无关的其他商品、服务。</w:t>
      </w:r>
    </w:p>
    <w:p w14:paraId="56D05486">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14:paraId="27A501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14:paraId="0B0573F6">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14:paraId="7DCDC749">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14:paraId="2710C19B">
      <w:pPr>
        <w:adjustRightInd w:val="0"/>
        <w:snapToGrid w:val="0"/>
        <w:spacing w:line="288" w:lineRule="auto"/>
        <w:ind w:firstLine="420" w:firstLineChars="200"/>
        <w:rPr>
          <w:color w:val="auto"/>
          <w:sz w:val="21"/>
          <w:szCs w:val="21"/>
          <w:highlight w:val="none"/>
        </w:rPr>
      </w:pPr>
      <w:bookmarkStart w:id="41" w:name="_Hlk97039899"/>
      <w:r>
        <w:rPr>
          <w:rFonts w:hint="eastAsia"/>
          <w:color w:val="auto"/>
          <w:sz w:val="21"/>
          <w:szCs w:val="21"/>
          <w:highlight w:val="none"/>
        </w:rPr>
        <w:t>未响应磋商文件“▲”标记条款要求的，响应无效。</w:t>
      </w:r>
    </w:p>
    <w:bookmarkEnd w:id="41"/>
    <w:p w14:paraId="7CA55D2C">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14:paraId="34DF8F4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w:t>
      </w:r>
    </w:p>
    <w:p w14:paraId="59FBB38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w:t>
      </w:r>
    </w:p>
    <w:p w14:paraId="7C48A8D1">
      <w:pPr>
        <w:adjustRightInd w:val="0"/>
        <w:snapToGrid w:val="0"/>
        <w:spacing w:line="288" w:lineRule="auto"/>
        <w:ind w:firstLine="420" w:firstLineChars="200"/>
        <w:rPr>
          <w:color w:val="auto"/>
          <w:sz w:val="21"/>
          <w:szCs w:val="21"/>
          <w:highlight w:val="none"/>
        </w:rPr>
      </w:pPr>
      <w:bookmarkStart w:id="42" w:name="_Hlk97039841"/>
      <w:r>
        <w:rPr>
          <w:rFonts w:hint="eastAsia"/>
          <w:color w:val="auto"/>
          <w:sz w:val="21"/>
          <w:szCs w:val="21"/>
          <w:highlight w:val="none"/>
        </w:rPr>
        <w:t>（3）资格文件未按要求签署、盖章。</w:t>
      </w:r>
    </w:p>
    <w:bookmarkEnd w:id="42"/>
    <w:p w14:paraId="77540441">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14:paraId="78375AC5">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14:paraId="5A4CD27C">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14:paraId="03DCAE93">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14:paraId="3A1AC078">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14:paraId="30C89DDF">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rFonts w:hint="eastAsia"/>
          <w:color w:val="auto"/>
          <w:spacing w:val="-6"/>
          <w:sz w:val="21"/>
          <w:szCs w:val="21"/>
          <w:highlight w:val="none"/>
        </w:rPr>
        <w:t>视为采购人不能接受的附加条件；</w:t>
      </w:r>
    </w:p>
    <w:p w14:paraId="4C44E9D7">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w:t>
      </w:r>
      <w:r>
        <w:rPr>
          <w:rFonts w:hint="eastAsia"/>
          <w:color w:val="auto"/>
          <w:sz w:val="21"/>
          <w:szCs w:val="21"/>
          <w:highlight w:val="none"/>
          <w:lang w:val="en-US" w:eastAsia="zh-CN"/>
        </w:rPr>
        <w:t>服务</w:t>
      </w:r>
      <w:r>
        <w:rPr>
          <w:rFonts w:hint="eastAsia"/>
          <w:color w:val="auto"/>
          <w:sz w:val="21"/>
          <w:szCs w:val="21"/>
          <w:highlight w:val="none"/>
        </w:rPr>
        <w:t>方案不明确，存在一个或一个以上备选（替代）响应方案；</w:t>
      </w:r>
    </w:p>
    <w:p w14:paraId="4577F7E1">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14:paraId="09B8140A">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14:paraId="49030772">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14:paraId="4B8F9669">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w:t>
      </w:r>
    </w:p>
    <w:p w14:paraId="26A4FEED">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14:paraId="5CF008B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（3）未按规定提交磋商记录或最后报价的，视为退出磋商，响应无效。</w:t>
      </w:r>
    </w:p>
    <w:p w14:paraId="72852549">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不能诚信履约的，应当要求其在评审现场合理的时间内提供书面说明，必要时提交相关证明材料；供应商不能证明其最后报价合理性的，磋商小组应当将其作为无效响应处理。</w:t>
      </w:r>
    </w:p>
    <w:p w14:paraId="2DC48F12">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14:paraId="006EBCF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14:paraId="403E35B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14:paraId="4366564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14:paraId="745F6AC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14:paraId="2175F2E4">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（5）不同供应商的响应文件相互混装。</w:t>
      </w:r>
    </w:p>
    <w:p w14:paraId="45DDDCD7">
      <w:pPr>
        <w:keepNext w:val="0"/>
        <w:keepLines w:val="0"/>
        <w:pageBreakBefore w:val="0"/>
        <w:widowControl w:val="0"/>
        <w:kinsoku/>
        <w:wordWrap/>
        <w:overflowPunct/>
        <w:topLinePunct w:val="0"/>
        <w:autoSpaceDE/>
        <w:bidi w:val="0"/>
        <w:adjustRightInd w:val="0"/>
        <w:snapToGrid w:val="0"/>
        <w:spacing w:line="288" w:lineRule="auto"/>
        <w:ind w:firstLine="398" w:firstLineChars="200"/>
        <w:textAlignment w:val="auto"/>
        <w:outlineLvl w:val="9"/>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color w:val="auto"/>
          <w:spacing w:val="-6"/>
          <w:sz w:val="21"/>
          <w:szCs w:val="21"/>
          <w:highlight w:val="none"/>
          <w:lang w:val="en-US" w:eastAsia="zh-CN"/>
        </w:rPr>
        <w:t>5.</w:t>
      </w:r>
      <w:r>
        <w:rPr>
          <w:rFonts w:hint="eastAsia" w:ascii="宋体" w:hAnsi="宋体" w:eastAsia="宋体" w:cs="宋体"/>
          <w:b/>
          <w:bCs/>
          <w:i w:val="0"/>
          <w:iCs w:val="0"/>
          <w:color w:val="auto"/>
          <w:sz w:val="21"/>
          <w:szCs w:val="21"/>
          <w:highlight w:val="none"/>
          <w:lang w:val="en-US" w:eastAsia="zh-CN"/>
        </w:rPr>
        <w:t>参与同一个采购包（标项）的供应商存在下列情形之一且无法合理解释的，其</w:t>
      </w:r>
      <w:r>
        <w:rPr>
          <w:rFonts w:hint="eastAsia" w:cs="宋体"/>
          <w:b/>
          <w:bCs/>
          <w:i w:val="0"/>
          <w:iCs w:val="0"/>
          <w:color w:val="auto"/>
          <w:sz w:val="21"/>
          <w:szCs w:val="21"/>
          <w:highlight w:val="none"/>
          <w:lang w:val="en-US" w:eastAsia="zh-CN"/>
        </w:rPr>
        <w:t>响应</w:t>
      </w:r>
      <w:r>
        <w:rPr>
          <w:rFonts w:hint="eastAsia" w:ascii="宋体" w:hAnsi="宋体" w:eastAsia="宋体" w:cs="宋体"/>
          <w:b/>
          <w:bCs/>
          <w:i w:val="0"/>
          <w:iCs w:val="0"/>
          <w:color w:val="auto"/>
          <w:sz w:val="21"/>
          <w:szCs w:val="21"/>
          <w:highlight w:val="none"/>
          <w:lang w:val="en-US" w:eastAsia="zh-CN"/>
        </w:rPr>
        <w:t>文件无效：</w:t>
      </w:r>
    </w:p>
    <w:p w14:paraId="1D0E91F0">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（1）不同供应商的电子响应文件上传计算机的网卡MAC地址或硬盘序列号等硬件信息相同的；</w:t>
      </w:r>
    </w:p>
    <w:p w14:paraId="6BFB3BFA">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（2）上传的电子响应文件若出现使用本项目其他响应供应商的数字证书加密的，或者加盖本项目其他响应供应商的电子印章的；</w:t>
      </w:r>
    </w:p>
    <w:p w14:paraId="5B927173">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（3）不同供应商的响应文件的内容存在3处（含）以上错误一致的；</w:t>
      </w:r>
    </w:p>
    <w:p w14:paraId="3CD41DEA">
      <w:pPr>
        <w:adjustRightInd w:val="0"/>
        <w:snapToGrid w:val="0"/>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lang w:val="en-US" w:eastAsia="zh-CN"/>
        </w:rPr>
        <w:t>（4）不同供应商联系人为同一人或不同联系人的联系电话一致的。</w:t>
      </w:r>
    </w:p>
    <w:p w14:paraId="0050193E">
      <w:pPr>
        <w:adjustRightInd w:val="0"/>
        <w:snapToGrid w:val="0"/>
        <w:spacing w:line="288" w:lineRule="auto"/>
        <w:ind w:firstLine="420" w:firstLineChars="200"/>
        <w:rPr>
          <w:rFonts w:hint="eastAsia"/>
          <w:color w:val="auto"/>
          <w:sz w:val="21"/>
          <w:szCs w:val="21"/>
          <w:highlight w:val="none"/>
        </w:rPr>
      </w:pPr>
    </w:p>
    <w:p w14:paraId="2A8B377D">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6788172A">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14:paraId="672677D7">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14:paraId="2E61E124">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14:paraId="7D80FC7E">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14:paraId="099A2CEB">
      <w:pPr>
        <w:adjustRightInd w:val="0"/>
        <w:snapToGrid w:val="0"/>
        <w:spacing w:line="288" w:lineRule="auto"/>
        <w:ind w:firstLine="398" w:firstLineChars="200"/>
        <w:rPr>
          <w:rFonts w:cs="Times New Roman"/>
          <w:b/>
          <w:bCs/>
          <w:color w:val="auto"/>
          <w:spacing w:val="-6"/>
          <w:sz w:val="21"/>
          <w:szCs w:val="21"/>
          <w:highlight w:val="none"/>
        </w:rPr>
      </w:pPr>
    </w:p>
    <w:p w14:paraId="4AF0998F">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14:paraId="6204A9F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D78978E">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14:paraId="7660BD76">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48C3150">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14:paraId="5B408AAA">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14:paraId="7466BF07">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14:paraId="604F378D">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14:paraId="77CB0FAE">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通过资格审查的供应商不足3家的，不再评审。</w:t>
      </w:r>
    </w:p>
    <w:p w14:paraId="2D61BC62">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14:paraId="49BEA96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14:paraId="6093205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14:paraId="01B88F3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16D25561">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14:paraId="713F1C4A">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14:paraId="3FC801B9">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14:paraId="2C7B7CE3">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14:paraId="616E4D11">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14:paraId="0B2CAFCC">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14:paraId="5FAC23A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4FF3E60F">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14:paraId="7BF17840">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14:paraId="32241802">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14:paraId="2613E0F0">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14:paraId="50E1F03B">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14:paraId="138AC172">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14:paraId="09DA9C2D">
      <w:pPr>
        <w:adjustRightInd w:val="0"/>
        <w:snapToGrid w:val="0"/>
        <w:spacing w:line="288" w:lineRule="auto"/>
        <w:ind w:firstLine="420" w:firstLineChars="200"/>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）第三条第四项情形的，提交最后报价的供应商可以为</w:t>
      </w:r>
      <w:r>
        <w:rPr>
          <w:rFonts w:cs="Arial"/>
          <w:color w:val="auto"/>
          <w:kern w:val="0"/>
          <w:sz w:val="21"/>
          <w:szCs w:val="21"/>
          <w:highlight w:val="none"/>
        </w:rPr>
        <w:t>2家。</w:t>
      </w:r>
    </w:p>
    <w:p w14:paraId="61715D80">
      <w:pPr>
        <w:adjustRightInd w:val="0"/>
        <w:snapToGrid w:val="0"/>
        <w:spacing w:line="288" w:lineRule="auto"/>
        <w:ind w:firstLine="422"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最后报价出现前后不一致的，按照下列规定修正：</w:t>
      </w:r>
    </w:p>
    <w:p w14:paraId="09F222DA">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（一）最后报价内容与响应文件中相应内容不一致的，以最后报价为准；</w:t>
      </w:r>
    </w:p>
    <w:p w14:paraId="1FF65603">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（二）大写金额和小写金额不一致的，以大写金额为准；</w:t>
      </w:r>
    </w:p>
    <w:p w14:paraId="3E6B2067">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（三）单价金额小数点或者百分比有明显错位的，以最后报价的总价为准，并修改单价；</w:t>
      </w:r>
    </w:p>
    <w:p w14:paraId="7FCB5F28">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14:paraId="124FB89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供应商电子签名（加盖公章）、法定代表人（单位负责人、自然人本人）或授权代表签字确认后产生约束力，供应商不确认的，其响应无效。</w:t>
      </w:r>
    </w:p>
    <w:p w14:paraId="54B5F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w:t>
      </w:r>
      <w:r>
        <w:rPr>
          <w:rFonts w:hint="eastAsia" w:cs="宋体"/>
          <w:b/>
          <w:bCs/>
          <w:i w:val="0"/>
          <w:iCs w:val="0"/>
          <w:caps w:val="0"/>
          <w:color w:val="auto"/>
          <w:spacing w:val="-2"/>
          <w:kern w:val="0"/>
          <w:sz w:val="21"/>
          <w:szCs w:val="21"/>
          <w:highlight w:val="none"/>
          <w:shd w:val="clear" w:fill="FFFFFF"/>
          <w:lang w:val="en-US" w:eastAsia="zh-CN" w:bidi="ar"/>
        </w:rPr>
        <w:t>磋商</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应当启动异常低价</w:t>
      </w:r>
      <w:r>
        <w:rPr>
          <w:rFonts w:hint="eastAsia" w:cs="宋体"/>
          <w:b/>
          <w:bCs/>
          <w:i w:val="0"/>
          <w:iCs w:val="0"/>
          <w:caps w:val="0"/>
          <w:color w:val="auto"/>
          <w:spacing w:val="-2"/>
          <w:kern w:val="0"/>
          <w:sz w:val="21"/>
          <w:szCs w:val="21"/>
          <w:highlight w:val="none"/>
          <w:shd w:val="clear" w:fill="FFFFFF"/>
          <w:lang w:val="en-US" w:eastAsia="zh-CN" w:bidi="ar"/>
        </w:rPr>
        <w:t>响应</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审查程序：</w:t>
      </w:r>
    </w:p>
    <w:p w14:paraId="5F8090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（一）</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低于全部通过符合性审查供应商</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平均值50%的，即</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&lt;全部通过符合性审查供应商</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平均值×50%；</w:t>
      </w:r>
    </w:p>
    <w:p w14:paraId="1E0F60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（二）</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低于通过符合性审查且报价次低供应商</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50%的，即</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&lt;通过符合性审查且报价次低供应商</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×50%；</w:t>
      </w:r>
    </w:p>
    <w:p w14:paraId="4EC949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（三）</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低于采购项目最高限价45%的，即</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&lt;采购项目最高限价×45%；</w:t>
      </w:r>
    </w:p>
    <w:p w14:paraId="4C9D5A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（四）其他</w:t>
      </w:r>
      <w:r>
        <w:rPr>
          <w:rFonts w:hint="eastAsia" w:cs="宋体"/>
          <w:i w:val="0"/>
          <w:iCs w:val="0"/>
          <w:caps w:val="0"/>
          <w:color w:val="auto"/>
          <w:spacing w:val="-2"/>
          <w:kern w:val="0"/>
          <w:sz w:val="21"/>
          <w:szCs w:val="21"/>
          <w:highlight w:val="none"/>
          <w:shd w:val="clear" w:fill="FFFFFF"/>
          <w:lang w:val="en-US" w:eastAsia="zh-CN" w:bidi="ar"/>
        </w:rPr>
        <w:t>磋商小组</w:t>
      </w:r>
      <w:r>
        <w:rPr>
          <w:rFonts w:hint="eastAsia" w:ascii="宋体" w:hAnsi="宋体" w:eastAsia="宋体" w:cs="宋体"/>
          <w:i w:val="0"/>
          <w:iCs w:val="0"/>
          <w:caps w:val="0"/>
          <w:color w:val="auto"/>
          <w:spacing w:val="-2"/>
          <w:kern w:val="0"/>
          <w:sz w:val="21"/>
          <w:szCs w:val="21"/>
          <w:highlight w:val="none"/>
          <w:shd w:val="clear" w:fill="FFFFFF"/>
          <w:lang w:val="en-US" w:eastAsia="zh-CN" w:bidi="ar"/>
        </w:rPr>
        <w:t>认为供应商报价过低，有可能影响产品质量或者不能诚信履约的情形。</w:t>
      </w:r>
    </w:p>
    <w:p w14:paraId="399A31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cs="宋体"/>
          <w:i w:val="0"/>
          <w:iCs w:val="0"/>
          <w:caps w:val="0"/>
          <w:color w:val="auto"/>
          <w:spacing w:val="-2"/>
          <w:kern w:val="0"/>
          <w:sz w:val="21"/>
          <w:szCs w:val="21"/>
          <w:highlight w:val="none"/>
          <w:shd w:val="clear" w:fill="FFFFFF"/>
          <w:lang w:val="en-US" w:eastAsia="zh-CN" w:bidi="ar"/>
        </w:rPr>
        <w:t>磋商小组</w:t>
      </w:r>
      <w:r>
        <w:rPr>
          <w:rFonts w:hint="eastAsia" w:ascii="宋体" w:hAnsi="宋体" w:eastAsia="宋体" w:cs="宋体"/>
          <w:i w:val="0"/>
          <w:iCs w:val="0"/>
          <w:caps w:val="0"/>
          <w:color w:val="auto"/>
          <w:spacing w:val="-2"/>
          <w:kern w:val="0"/>
          <w:sz w:val="21"/>
          <w:szCs w:val="21"/>
          <w:highlight w:val="none"/>
          <w:shd w:val="clear" w:fill="FFFFFF"/>
          <w:lang w:val="en-US" w:eastAsia="zh-CN" w:bidi="ar"/>
        </w:rPr>
        <w:t>启动异常低价</w:t>
      </w:r>
      <w:r>
        <w:rPr>
          <w:rFonts w:hint="eastAsia" w:cs="宋体"/>
          <w:i w:val="0"/>
          <w:iCs w:val="0"/>
          <w:caps w:val="0"/>
          <w:color w:val="auto"/>
          <w:spacing w:val="-2"/>
          <w:kern w:val="0"/>
          <w:sz w:val="21"/>
          <w:szCs w:val="21"/>
          <w:highlight w:val="none"/>
          <w:shd w:val="clear" w:fill="FFFFFF"/>
          <w:lang w:val="en-US" w:eastAsia="zh-CN" w:bidi="ar"/>
        </w:rPr>
        <w:t>响应</w:t>
      </w:r>
      <w:r>
        <w:rPr>
          <w:rFonts w:hint="eastAsia" w:ascii="宋体" w:hAnsi="宋体" w:eastAsia="宋体" w:cs="宋体"/>
          <w:i w:val="0"/>
          <w:iCs w:val="0"/>
          <w:caps w:val="0"/>
          <w:color w:val="auto"/>
          <w:spacing w:val="-2"/>
          <w:kern w:val="0"/>
          <w:sz w:val="21"/>
          <w:szCs w:val="21"/>
          <w:highlight w:val="none"/>
          <w:shd w:val="clear" w:fill="FFFFFF"/>
          <w:lang w:val="en-US" w:eastAsia="zh-CN" w:bidi="ar"/>
        </w:rPr>
        <w:t>审查后，</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w:t>
      </w:r>
      <w:r>
        <w:rPr>
          <w:rFonts w:hint="eastAsia" w:cs="宋体"/>
          <w:i w:val="0"/>
          <w:iCs w:val="0"/>
          <w:caps w:val="0"/>
          <w:color w:val="auto"/>
          <w:spacing w:val="-2"/>
          <w:kern w:val="0"/>
          <w:sz w:val="21"/>
          <w:szCs w:val="21"/>
          <w:highlight w:val="none"/>
          <w:u w:val="single"/>
          <w:shd w:val="clear" w:fill="FFFFFF"/>
          <w:lang w:val="en-US" w:eastAsia="zh-CN" w:bidi="ar"/>
        </w:rPr>
        <w:t>响应</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价格作出解释。</w:t>
      </w:r>
      <w:r>
        <w:rPr>
          <w:rFonts w:hint="eastAsia" w:ascii="宋体" w:hAnsi="宋体" w:eastAsia="宋体" w:cs="宋体"/>
          <w:i w:val="0"/>
          <w:iCs w:val="0"/>
          <w:caps w:val="0"/>
          <w:color w:val="auto"/>
          <w:spacing w:val="-2"/>
          <w:kern w:val="0"/>
          <w:sz w:val="21"/>
          <w:szCs w:val="21"/>
          <w:highlight w:val="none"/>
          <w:shd w:val="clear" w:fill="FFFFFF"/>
          <w:lang w:val="en-US" w:eastAsia="zh-CN" w:bidi="ar"/>
        </w:rPr>
        <w:t>书面说明、证明材料主要是</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项目具体成本测算等与报价合理性相关的说明、材料</w:t>
      </w:r>
      <w:r>
        <w:rPr>
          <w:rFonts w:hint="eastAsia" w:ascii="宋体" w:hAnsi="宋体" w:eastAsia="宋体" w:cs="宋体"/>
          <w:i w:val="0"/>
          <w:iCs w:val="0"/>
          <w:caps w:val="0"/>
          <w:color w:val="auto"/>
          <w:spacing w:val="-2"/>
          <w:kern w:val="0"/>
          <w:sz w:val="21"/>
          <w:szCs w:val="21"/>
          <w:highlight w:val="none"/>
          <w:shd w:val="clear" w:fill="FFFFFF"/>
          <w:lang w:val="en-US" w:eastAsia="zh-CN" w:bidi="ar"/>
        </w:rPr>
        <w:t>。</w:t>
      </w:r>
    </w:p>
    <w:p w14:paraId="71249989">
      <w:pPr>
        <w:adjustRightInd w:val="0"/>
        <w:snapToGrid w:val="0"/>
        <w:spacing w:line="288" w:lineRule="auto"/>
        <w:ind w:firstLine="416" w:firstLineChars="202"/>
        <w:rPr>
          <w:rFonts w:cs="Arial"/>
          <w:color w:val="auto"/>
          <w:kern w:val="0"/>
          <w:sz w:val="21"/>
          <w:szCs w:val="21"/>
          <w:highlight w:val="none"/>
        </w:rPr>
      </w:pPr>
      <w:r>
        <w:rPr>
          <w:rFonts w:hint="eastAsia" w:cs="宋体"/>
          <w:i w:val="0"/>
          <w:iCs w:val="0"/>
          <w:caps w:val="0"/>
          <w:color w:val="auto"/>
          <w:spacing w:val="-2"/>
          <w:kern w:val="0"/>
          <w:sz w:val="21"/>
          <w:szCs w:val="21"/>
          <w:highlight w:val="none"/>
          <w:shd w:val="clear" w:fill="FFFFFF"/>
          <w:lang w:val="en-US" w:eastAsia="zh-CN" w:bidi="ar"/>
        </w:rPr>
        <w:t>磋商小组</w:t>
      </w:r>
      <w:r>
        <w:rPr>
          <w:rFonts w:hint="eastAsia" w:ascii="宋体" w:hAnsi="宋体" w:eastAsia="宋体" w:cs="宋体"/>
          <w:i w:val="0"/>
          <w:iCs w:val="0"/>
          <w:caps w:val="0"/>
          <w:color w:val="auto"/>
          <w:spacing w:val="-2"/>
          <w:kern w:val="0"/>
          <w:sz w:val="21"/>
          <w:szCs w:val="21"/>
          <w:highlight w:val="none"/>
          <w:shd w:val="clear" w:fill="FFFFFF"/>
          <w:lang w:val="en-US" w:eastAsia="zh-CN" w:bidi="ar"/>
        </w:rPr>
        <w:t>应当</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结合该行业当地薪资水平等情况，依据专业经验对报价合理性进行判断。</w:t>
      </w:r>
      <w:r>
        <w:rPr>
          <w:rFonts w:hint="eastAsia" w:ascii="宋体" w:hAnsi="宋体" w:eastAsia="宋体" w:cs="宋体"/>
          <w:i w:val="0"/>
          <w:iCs w:val="0"/>
          <w:caps w:val="0"/>
          <w:color w:val="auto"/>
          <w:spacing w:val="-2"/>
          <w:kern w:val="0"/>
          <w:sz w:val="21"/>
          <w:szCs w:val="21"/>
          <w:highlight w:val="none"/>
          <w:shd w:val="clear" w:fill="FFFFFF"/>
          <w:lang w:val="en-US" w:eastAsia="zh-CN" w:bidi="ar"/>
        </w:rPr>
        <w:t>如果</w:t>
      </w:r>
      <w:r>
        <w:rPr>
          <w:rFonts w:hint="eastAsia" w:cs="宋体"/>
          <w:i w:val="0"/>
          <w:iCs w:val="0"/>
          <w:caps w:val="0"/>
          <w:color w:val="auto"/>
          <w:spacing w:val="-2"/>
          <w:kern w:val="0"/>
          <w:sz w:val="21"/>
          <w:szCs w:val="21"/>
          <w:highlight w:val="none"/>
          <w:shd w:val="clear" w:fill="FFFFFF"/>
          <w:lang w:val="en-US" w:eastAsia="zh-CN" w:bidi="ar"/>
        </w:rPr>
        <w:t>响应</w:t>
      </w:r>
      <w:r>
        <w:rPr>
          <w:rFonts w:hint="eastAsia" w:ascii="宋体" w:hAnsi="宋体" w:eastAsia="宋体" w:cs="宋体"/>
          <w:i w:val="0"/>
          <w:iCs w:val="0"/>
          <w:caps w:val="0"/>
          <w:color w:val="auto"/>
          <w:spacing w:val="-2"/>
          <w:kern w:val="0"/>
          <w:sz w:val="21"/>
          <w:szCs w:val="21"/>
          <w:highlight w:val="none"/>
          <w:shd w:val="clear" w:fill="FFFFFF"/>
          <w:lang w:val="en-US" w:eastAsia="zh-CN" w:bidi="ar"/>
        </w:rPr>
        <w:t>供应商不提供书面说明、证明材料，或者提供的书面说明、证明材料不能证明其报价合理性的，应当将其作为无效</w:t>
      </w:r>
      <w:r>
        <w:rPr>
          <w:rFonts w:hint="eastAsia" w:cs="宋体"/>
          <w:i w:val="0"/>
          <w:iCs w:val="0"/>
          <w:caps w:val="0"/>
          <w:color w:val="auto"/>
          <w:spacing w:val="-2"/>
          <w:kern w:val="0"/>
          <w:sz w:val="21"/>
          <w:szCs w:val="21"/>
          <w:highlight w:val="none"/>
          <w:shd w:val="clear" w:fill="FFFFFF"/>
          <w:lang w:val="en-US" w:eastAsia="zh-CN" w:bidi="ar"/>
        </w:rPr>
        <w:t>响应</w:t>
      </w:r>
      <w:r>
        <w:rPr>
          <w:rFonts w:hint="eastAsia" w:ascii="宋体" w:hAnsi="宋体" w:eastAsia="宋体" w:cs="宋体"/>
          <w:i w:val="0"/>
          <w:iCs w:val="0"/>
          <w:caps w:val="0"/>
          <w:color w:val="auto"/>
          <w:spacing w:val="-2"/>
          <w:kern w:val="0"/>
          <w:sz w:val="21"/>
          <w:szCs w:val="21"/>
          <w:highlight w:val="none"/>
          <w:shd w:val="clear" w:fill="FFFFFF"/>
          <w:lang w:val="en-US" w:eastAsia="zh-CN" w:bidi="ar"/>
        </w:rPr>
        <w:t>处理。审查相关情况应当在评审报告中记录。</w:t>
      </w:r>
    </w:p>
    <w:p w14:paraId="10FBF018">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14:paraId="42D77CD1">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14:paraId="62DEF021">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14:paraId="72366261">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14:paraId="30B8534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14:paraId="55629AC0">
      <w:pPr>
        <w:adjustRightInd w:val="0"/>
        <w:snapToGrid w:val="0"/>
        <w:spacing w:line="288" w:lineRule="auto"/>
        <w:ind w:firstLine="424" w:firstLineChars="202"/>
        <w:rPr>
          <w:rFonts w:cs="Arial"/>
          <w:color w:val="auto"/>
          <w:kern w:val="0"/>
          <w:sz w:val="21"/>
          <w:szCs w:val="21"/>
          <w:highlight w:val="none"/>
        </w:rPr>
      </w:pPr>
      <w:bookmarkStart w:id="43"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3"/>
    <w:p w14:paraId="22D24627">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14:paraId="222A70BD">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14:paraId="238C34FC">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编写评审报告</w:t>
      </w:r>
    </w:p>
    <w:p w14:paraId="0A675BE7">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2D2456FB">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14:paraId="535FA7E1">
      <w:pPr>
        <w:adjustRightInd w:val="0"/>
        <w:snapToGrid w:val="0"/>
        <w:spacing w:line="288" w:lineRule="auto"/>
        <w:ind w:firstLine="420" w:firstLineChars="200"/>
        <w:rPr>
          <w:rFonts w:cs="Times New Roman"/>
          <w:b/>
          <w:color w:val="auto"/>
          <w:spacing w:val="-6"/>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r>
        <w:rPr>
          <w:rFonts w:cs="Times New Roman"/>
          <w:b/>
          <w:color w:val="auto"/>
          <w:spacing w:val="-6"/>
          <w:sz w:val="21"/>
          <w:szCs w:val="21"/>
          <w:highlight w:val="none"/>
        </w:rPr>
        <w:br w:type="page"/>
      </w:r>
    </w:p>
    <w:p w14:paraId="0718EE23">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14:paraId="3DCDC982">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14:paraId="36D4C9F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5CC7A8A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14:paraId="6D48094A">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14:paraId="6CBC8A3E">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14:paraId="2152648C">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498F59B0">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72C53F40">
      <w:pPr>
        <w:adjustRightInd w:val="0"/>
        <w:snapToGrid w:val="0"/>
        <w:spacing w:line="288" w:lineRule="auto"/>
        <w:rPr>
          <w:color w:val="auto"/>
          <w:sz w:val="21"/>
          <w:szCs w:val="21"/>
          <w:highlight w:val="none"/>
        </w:rPr>
      </w:pPr>
    </w:p>
    <w:p w14:paraId="61C0967E">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14:paraId="3FF1CC7C">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44D38538">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14:paraId="231F9F7A">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7DC5A4FB">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342A1D3">
      <w:pPr>
        <w:adjustRightInd w:val="0"/>
        <w:snapToGrid w:val="0"/>
        <w:spacing w:line="288" w:lineRule="auto"/>
        <w:rPr>
          <w:color w:val="auto"/>
          <w:sz w:val="21"/>
          <w:szCs w:val="21"/>
          <w:highlight w:val="none"/>
        </w:rPr>
      </w:pPr>
    </w:p>
    <w:p w14:paraId="62DBE00C">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14:paraId="79A1B11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14:paraId="5E86674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14:paraId="4D6B116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14:paraId="78996D7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14:paraId="7160219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14:paraId="012A08B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14:paraId="06BCF1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14:paraId="3A49395C">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14:paraId="4E513C25">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14:paraId="1D104E3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14:paraId="698FBC6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14:paraId="64A3497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7D5870B9">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12"/>
        <w:tblW w:w="94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5"/>
        <w:gridCol w:w="682"/>
        <w:gridCol w:w="7071"/>
      </w:tblGrid>
      <w:tr w14:paraId="57C10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31A04DA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评审因素</w:t>
            </w:r>
          </w:p>
        </w:tc>
        <w:tc>
          <w:tcPr>
            <w:tcW w:w="682" w:type="dxa"/>
            <w:vAlign w:val="center"/>
          </w:tcPr>
          <w:p w14:paraId="3ABC465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分值</w:t>
            </w:r>
          </w:p>
        </w:tc>
        <w:tc>
          <w:tcPr>
            <w:tcW w:w="7071" w:type="dxa"/>
            <w:vAlign w:val="center"/>
          </w:tcPr>
          <w:p w14:paraId="359215D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评分标准</w:t>
            </w:r>
          </w:p>
        </w:tc>
      </w:tr>
      <w:tr w14:paraId="2AB7E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498" w:type="dxa"/>
            <w:gridSpan w:val="3"/>
            <w:vAlign w:val="center"/>
          </w:tcPr>
          <w:p w14:paraId="4AFA6B17">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价格分（</w:t>
            </w:r>
            <w:r>
              <w:rPr>
                <w:rFonts w:hint="eastAsia"/>
                <w:b/>
                <w:bCs/>
                <w:color w:val="auto"/>
                <w:kern w:val="0"/>
                <w:sz w:val="21"/>
                <w:szCs w:val="21"/>
                <w:highlight w:val="none"/>
                <w:lang w:val="en-US" w:eastAsia="zh-CN"/>
              </w:rPr>
              <w:t>1</w:t>
            </w:r>
            <w:r>
              <w:rPr>
                <w:rFonts w:hint="eastAsia"/>
                <w:b/>
                <w:bCs/>
                <w:color w:val="auto"/>
                <w:kern w:val="0"/>
                <w:sz w:val="21"/>
                <w:szCs w:val="21"/>
                <w:highlight w:val="none"/>
              </w:rPr>
              <w:t>0）</w:t>
            </w:r>
          </w:p>
        </w:tc>
      </w:tr>
      <w:tr w14:paraId="010FB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320E0A15">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最后磋商报价</w:t>
            </w:r>
          </w:p>
        </w:tc>
        <w:tc>
          <w:tcPr>
            <w:tcW w:w="682" w:type="dxa"/>
            <w:vAlign w:val="center"/>
          </w:tcPr>
          <w:p w14:paraId="453841E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lang w:val="en-US" w:eastAsia="zh-CN"/>
              </w:rPr>
              <w:t>1</w:t>
            </w:r>
            <w:r>
              <w:rPr>
                <w:rFonts w:hint="eastAsia"/>
                <w:b/>
                <w:bCs/>
                <w:color w:val="auto"/>
                <w:kern w:val="0"/>
                <w:sz w:val="21"/>
                <w:szCs w:val="21"/>
                <w:highlight w:val="none"/>
              </w:rPr>
              <w:t>0</w:t>
            </w:r>
          </w:p>
        </w:tc>
        <w:tc>
          <w:tcPr>
            <w:tcW w:w="7071" w:type="dxa"/>
            <w:vAlign w:val="center"/>
          </w:tcPr>
          <w:p w14:paraId="259B99D3">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rPr>
              <w:t>价格分统一采用低价优先法计算，即满足磋商文件要求且最后报价最低的供应商的价格为磋商基准价，其价格分为满分。其他供应商的价格分统一按照下列公式计算：</w:t>
            </w:r>
          </w:p>
          <w:p w14:paraId="536C5FA8">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rPr>
              <w:t>磋商报价得分</w:t>
            </w:r>
            <w:r>
              <w:rPr>
                <w:rFonts w:hint="default"/>
                <w:color w:val="auto"/>
                <w:kern w:val="0"/>
                <w:sz w:val="21"/>
                <w:szCs w:val="21"/>
                <w:highlight w:val="none"/>
              </w:rPr>
              <w:t>=（磋商基准价/最后磋商报价）×</w:t>
            </w:r>
            <w:r>
              <w:rPr>
                <w:rFonts w:hint="eastAsia"/>
                <w:color w:val="auto"/>
                <w:kern w:val="0"/>
                <w:sz w:val="21"/>
                <w:szCs w:val="21"/>
                <w:highlight w:val="none"/>
                <w:lang w:val="en-US" w:eastAsia="zh-CN"/>
              </w:rPr>
              <w:t>1</w:t>
            </w:r>
            <w:r>
              <w:rPr>
                <w:rFonts w:hint="default"/>
                <w:color w:val="auto"/>
                <w:kern w:val="0"/>
                <w:sz w:val="21"/>
                <w:szCs w:val="21"/>
                <w:highlight w:val="none"/>
              </w:rPr>
              <w:t>0</w:t>
            </w:r>
            <w:r>
              <w:rPr>
                <w:rFonts w:hint="eastAsia"/>
                <w:color w:val="auto"/>
                <w:kern w:val="0"/>
                <w:sz w:val="21"/>
                <w:szCs w:val="21"/>
                <w:highlight w:val="none"/>
              </w:rPr>
              <w:t>%</w:t>
            </w:r>
            <w:r>
              <w:rPr>
                <w:rFonts w:hint="default"/>
                <w:color w:val="auto"/>
                <w:kern w:val="0"/>
                <w:sz w:val="21"/>
                <w:szCs w:val="21"/>
                <w:highlight w:val="none"/>
              </w:rPr>
              <w:t>×100</w:t>
            </w:r>
          </w:p>
        </w:tc>
      </w:tr>
      <w:tr w14:paraId="73D16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498" w:type="dxa"/>
            <w:gridSpan w:val="3"/>
            <w:vAlign w:val="center"/>
          </w:tcPr>
          <w:p w14:paraId="18D39425">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商务分（</w:t>
            </w:r>
            <w:r>
              <w:rPr>
                <w:rFonts w:hint="eastAsia"/>
                <w:b/>
                <w:bCs/>
                <w:color w:val="auto"/>
                <w:kern w:val="0"/>
                <w:sz w:val="21"/>
                <w:szCs w:val="21"/>
                <w:highlight w:val="none"/>
                <w:lang w:val="en-US" w:eastAsia="zh-CN"/>
              </w:rPr>
              <w:t>1</w:t>
            </w:r>
            <w:r>
              <w:rPr>
                <w:rFonts w:hint="eastAsia"/>
                <w:b/>
                <w:bCs/>
                <w:color w:val="auto"/>
                <w:kern w:val="0"/>
                <w:sz w:val="21"/>
                <w:szCs w:val="21"/>
                <w:highlight w:val="none"/>
              </w:rPr>
              <w:t>）</w:t>
            </w:r>
          </w:p>
        </w:tc>
      </w:tr>
      <w:tr w14:paraId="0D97C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3CCED98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业绩</w:t>
            </w:r>
          </w:p>
        </w:tc>
        <w:tc>
          <w:tcPr>
            <w:tcW w:w="682" w:type="dxa"/>
            <w:vAlign w:val="center"/>
          </w:tcPr>
          <w:p w14:paraId="3E1534FF">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kern w:val="0"/>
                <w:sz w:val="21"/>
                <w:szCs w:val="21"/>
                <w:highlight w:val="none"/>
                <w:lang w:eastAsia="zh-CN"/>
              </w:rPr>
            </w:pPr>
            <w:r>
              <w:rPr>
                <w:rFonts w:hint="eastAsia"/>
                <w:b/>
                <w:bCs/>
                <w:color w:val="auto"/>
                <w:kern w:val="0"/>
                <w:sz w:val="21"/>
                <w:szCs w:val="21"/>
                <w:highlight w:val="none"/>
                <w:lang w:val="en-US" w:eastAsia="zh-CN"/>
              </w:rPr>
              <w:t>1</w:t>
            </w:r>
          </w:p>
        </w:tc>
        <w:tc>
          <w:tcPr>
            <w:tcW w:w="7071" w:type="dxa"/>
            <w:vAlign w:val="center"/>
          </w:tcPr>
          <w:p w14:paraId="4598ABF8">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rPr>
              <w:t>【客观分】</w:t>
            </w:r>
          </w:p>
          <w:p w14:paraId="71AEEECC">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rPr>
              <w:t>供应商自20</w:t>
            </w:r>
            <w:r>
              <w:rPr>
                <w:rFonts w:hint="eastAsia"/>
                <w:color w:val="auto"/>
                <w:kern w:val="0"/>
                <w:sz w:val="21"/>
                <w:szCs w:val="21"/>
                <w:highlight w:val="none"/>
                <w:lang w:val="en-US" w:eastAsia="zh-CN"/>
              </w:rPr>
              <w:t>22</w:t>
            </w:r>
            <w:r>
              <w:rPr>
                <w:rFonts w:hint="eastAsia"/>
                <w:color w:val="auto"/>
                <w:kern w:val="0"/>
                <w:sz w:val="21"/>
                <w:szCs w:val="21"/>
                <w:highlight w:val="none"/>
              </w:rPr>
              <w:t>年1月1日以来（以合同签订时间为准）同类合同业绩（以提供的合同扫描件为准）：每提供1份合同业绩得</w:t>
            </w:r>
            <w:r>
              <w:rPr>
                <w:rFonts w:hint="eastAsia"/>
                <w:color w:val="auto"/>
                <w:kern w:val="0"/>
                <w:sz w:val="21"/>
                <w:szCs w:val="21"/>
                <w:highlight w:val="none"/>
                <w:lang w:val="en-US" w:eastAsia="zh-CN"/>
              </w:rPr>
              <w:t>0.5</w:t>
            </w:r>
            <w:r>
              <w:rPr>
                <w:rFonts w:hint="eastAsia"/>
                <w:color w:val="auto"/>
                <w:kern w:val="0"/>
                <w:sz w:val="21"/>
                <w:szCs w:val="21"/>
                <w:highlight w:val="none"/>
              </w:rPr>
              <w:t>分，最高得</w:t>
            </w:r>
            <w:r>
              <w:rPr>
                <w:rFonts w:hint="eastAsia"/>
                <w:color w:val="auto"/>
                <w:kern w:val="0"/>
                <w:sz w:val="21"/>
                <w:szCs w:val="21"/>
                <w:highlight w:val="none"/>
                <w:lang w:val="en-US" w:eastAsia="zh-CN"/>
              </w:rPr>
              <w:t>1</w:t>
            </w:r>
            <w:r>
              <w:rPr>
                <w:rFonts w:hint="eastAsia"/>
                <w:color w:val="auto"/>
                <w:kern w:val="0"/>
                <w:sz w:val="21"/>
                <w:szCs w:val="21"/>
                <w:highlight w:val="none"/>
              </w:rPr>
              <w:t>分。</w:t>
            </w:r>
          </w:p>
        </w:tc>
      </w:tr>
      <w:tr w14:paraId="36F58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498" w:type="dxa"/>
            <w:gridSpan w:val="3"/>
            <w:vAlign w:val="center"/>
          </w:tcPr>
          <w:p w14:paraId="6DE791D7">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技术分（</w:t>
            </w:r>
            <w:r>
              <w:rPr>
                <w:rFonts w:hint="eastAsia"/>
                <w:b/>
                <w:bCs/>
                <w:color w:val="auto"/>
                <w:kern w:val="0"/>
                <w:sz w:val="21"/>
                <w:szCs w:val="21"/>
                <w:highlight w:val="none"/>
                <w:lang w:val="en-US" w:eastAsia="zh-CN"/>
              </w:rPr>
              <w:t>89</w:t>
            </w:r>
            <w:r>
              <w:rPr>
                <w:rFonts w:hint="eastAsia"/>
                <w:b/>
                <w:bCs/>
                <w:color w:val="auto"/>
                <w:kern w:val="0"/>
                <w:sz w:val="21"/>
                <w:szCs w:val="21"/>
                <w:highlight w:val="none"/>
              </w:rPr>
              <w:t>）</w:t>
            </w:r>
          </w:p>
        </w:tc>
      </w:tr>
      <w:tr w14:paraId="39C49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8E7A12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响应程度</w:t>
            </w:r>
          </w:p>
        </w:tc>
        <w:tc>
          <w:tcPr>
            <w:tcW w:w="682" w:type="dxa"/>
            <w:vAlign w:val="center"/>
          </w:tcPr>
          <w:p w14:paraId="7872F64C">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kern w:val="0"/>
                <w:sz w:val="21"/>
                <w:szCs w:val="21"/>
                <w:highlight w:val="none"/>
                <w:lang w:eastAsia="zh-CN"/>
              </w:rPr>
            </w:pPr>
            <w:r>
              <w:rPr>
                <w:rFonts w:hint="eastAsia"/>
                <w:b/>
                <w:bCs/>
                <w:color w:val="auto"/>
                <w:kern w:val="0"/>
                <w:sz w:val="21"/>
                <w:szCs w:val="21"/>
                <w:highlight w:val="none"/>
                <w:lang w:val="en-US" w:eastAsia="zh-CN"/>
              </w:rPr>
              <w:t>20</w:t>
            </w:r>
          </w:p>
        </w:tc>
        <w:tc>
          <w:tcPr>
            <w:tcW w:w="7071" w:type="dxa"/>
            <w:vAlign w:val="center"/>
          </w:tcPr>
          <w:p w14:paraId="506C486B">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rPr>
              <w:t>【客观分】</w:t>
            </w:r>
          </w:p>
          <w:p w14:paraId="4231140E">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rPr>
              <w:t>不符合（负偏离）</w:t>
            </w:r>
            <w:r>
              <w:rPr>
                <w:rFonts w:hint="eastAsia"/>
                <w:color w:val="auto"/>
                <w:kern w:val="0"/>
                <w:sz w:val="21"/>
                <w:szCs w:val="21"/>
                <w:highlight w:val="none"/>
                <w:lang w:val="en-US" w:eastAsia="zh-CN"/>
              </w:rPr>
              <w:t>服务</w:t>
            </w:r>
            <w:r>
              <w:rPr>
                <w:rFonts w:hint="eastAsia"/>
                <w:color w:val="auto"/>
                <w:kern w:val="0"/>
                <w:sz w:val="21"/>
                <w:szCs w:val="21"/>
                <w:highlight w:val="none"/>
              </w:rPr>
              <w:t>要求中标注“▲”条款（不可偏离）的响应文件无效，满足或明显优于磋商文件明确的全部</w:t>
            </w:r>
            <w:r>
              <w:rPr>
                <w:rFonts w:hint="eastAsia"/>
                <w:color w:val="auto"/>
                <w:kern w:val="0"/>
                <w:sz w:val="21"/>
                <w:szCs w:val="21"/>
                <w:highlight w:val="none"/>
                <w:lang w:val="en-US" w:eastAsia="zh-CN"/>
              </w:rPr>
              <w:t>服务</w:t>
            </w:r>
            <w:r>
              <w:rPr>
                <w:rFonts w:hint="eastAsia"/>
                <w:color w:val="auto"/>
                <w:kern w:val="0"/>
                <w:sz w:val="21"/>
                <w:szCs w:val="21"/>
                <w:highlight w:val="none"/>
              </w:rPr>
              <w:t>要求的该项得满分；</w:t>
            </w:r>
          </w:p>
          <w:p w14:paraId="5D1B3CD6">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lang w:val="en-US" w:eastAsia="zh-CN"/>
              </w:rPr>
              <w:t>响应</w:t>
            </w:r>
            <w:r>
              <w:rPr>
                <w:rFonts w:hint="eastAsia"/>
                <w:color w:val="auto"/>
                <w:kern w:val="0"/>
                <w:sz w:val="21"/>
                <w:szCs w:val="21"/>
                <w:highlight w:val="none"/>
              </w:rPr>
              <w:t>条款低于</w:t>
            </w:r>
            <w:r>
              <w:rPr>
                <w:rFonts w:hint="eastAsia"/>
                <w:color w:val="auto"/>
                <w:kern w:val="0"/>
                <w:sz w:val="21"/>
                <w:szCs w:val="21"/>
                <w:highlight w:val="none"/>
                <w:lang w:val="en-US" w:eastAsia="zh-CN"/>
              </w:rPr>
              <w:t>服务</w:t>
            </w:r>
            <w:r>
              <w:rPr>
                <w:rFonts w:hint="eastAsia"/>
                <w:color w:val="auto"/>
                <w:kern w:val="0"/>
                <w:sz w:val="21"/>
                <w:szCs w:val="21"/>
                <w:highlight w:val="none"/>
              </w:rPr>
              <w:t>要求（负偏离）的每项扣</w:t>
            </w:r>
            <w:r>
              <w:rPr>
                <w:rFonts w:hint="eastAsia"/>
                <w:color w:val="auto"/>
                <w:kern w:val="0"/>
                <w:sz w:val="21"/>
                <w:szCs w:val="21"/>
                <w:highlight w:val="none"/>
                <w:lang w:val="en-US" w:eastAsia="zh-CN"/>
              </w:rPr>
              <w:t>2</w:t>
            </w:r>
            <w:r>
              <w:rPr>
                <w:rFonts w:hint="eastAsia"/>
                <w:color w:val="auto"/>
                <w:kern w:val="0"/>
                <w:sz w:val="21"/>
                <w:szCs w:val="21"/>
                <w:highlight w:val="none"/>
              </w:rPr>
              <w:t>分；</w:t>
            </w:r>
          </w:p>
          <w:p w14:paraId="519A7DC0">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rPr>
              <w:t>负偏离</w:t>
            </w:r>
            <w:r>
              <w:rPr>
                <w:rFonts w:hint="eastAsia"/>
                <w:color w:val="auto"/>
                <w:kern w:val="0"/>
                <w:sz w:val="21"/>
                <w:szCs w:val="21"/>
                <w:highlight w:val="none"/>
                <w:lang w:val="en-US" w:eastAsia="zh-CN"/>
              </w:rPr>
              <w:t>10</w:t>
            </w:r>
            <w:r>
              <w:rPr>
                <w:rFonts w:hint="default"/>
                <w:color w:val="auto"/>
                <w:kern w:val="0"/>
                <w:sz w:val="21"/>
                <w:szCs w:val="21"/>
                <w:highlight w:val="none"/>
              </w:rPr>
              <w:t>项及以上的，视为采购人不能接受的附加条件。</w:t>
            </w:r>
          </w:p>
        </w:tc>
      </w:tr>
      <w:tr w14:paraId="3A66F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vAlign w:val="center"/>
          </w:tcPr>
          <w:p w14:paraId="4F19667C">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kern w:val="0"/>
                <w:sz w:val="21"/>
                <w:szCs w:val="21"/>
                <w:highlight w:val="none"/>
                <w:lang w:val="en-US" w:eastAsia="zh-CN"/>
              </w:rPr>
            </w:pPr>
            <w:r>
              <w:rPr>
                <w:rFonts w:hint="eastAsia"/>
                <w:b/>
                <w:bCs/>
                <w:color w:val="auto"/>
                <w:kern w:val="0"/>
                <w:sz w:val="21"/>
                <w:szCs w:val="21"/>
                <w:highlight w:val="none"/>
                <w:lang w:val="en-US" w:eastAsia="zh-CN"/>
              </w:rPr>
              <w:t>技术开发方案</w:t>
            </w:r>
          </w:p>
        </w:tc>
        <w:tc>
          <w:tcPr>
            <w:tcW w:w="682" w:type="dxa"/>
            <w:vAlign w:val="center"/>
          </w:tcPr>
          <w:p w14:paraId="2D29DA42">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kern w:val="0"/>
                <w:sz w:val="21"/>
                <w:szCs w:val="21"/>
                <w:highlight w:val="none"/>
                <w:lang w:val="en-US" w:eastAsia="zh-CN"/>
              </w:rPr>
            </w:pPr>
            <w:r>
              <w:rPr>
                <w:rFonts w:hint="eastAsia"/>
                <w:b/>
                <w:bCs/>
                <w:color w:val="auto"/>
                <w:kern w:val="0"/>
                <w:sz w:val="21"/>
                <w:szCs w:val="21"/>
                <w:highlight w:val="none"/>
                <w:lang w:val="en-US" w:eastAsia="zh-CN"/>
              </w:rPr>
              <w:t>5</w:t>
            </w:r>
          </w:p>
        </w:tc>
        <w:tc>
          <w:tcPr>
            <w:tcW w:w="7071" w:type="dxa"/>
            <w:vAlign w:val="center"/>
          </w:tcPr>
          <w:p w14:paraId="6B548775">
            <w:pPr>
              <w:keepNext w:val="0"/>
              <w:keepLines w:val="0"/>
              <w:suppressLineNumbers w:val="0"/>
              <w:adjustRightInd w:val="0"/>
              <w:snapToGrid w:val="0"/>
              <w:spacing w:before="0" w:beforeAutospacing="0" w:after="0" w:afterAutospacing="0" w:line="288" w:lineRule="auto"/>
              <w:ind w:left="0" w:right="0"/>
              <w:rPr>
                <w:rFonts w:hint="default" w:eastAsia="宋体"/>
                <w:color w:val="auto"/>
                <w:kern w:val="0"/>
                <w:sz w:val="21"/>
                <w:szCs w:val="21"/>
                <w:highlight w:val="none"/>
                <w:lang w:val="en-US" w:eastAsia="zh-CN"/>
              </w:rPr>
            </w:pPr>
            <w:r>
              <w:rPr>
                <w:rFonts w:hint="eastAsia"/>
                <w:color w:val="auto"/>
                <w:kern w:val="0"/>
                <w:sz w:val="21"/>
                <w:szCs w:val="21"/>
                <w:highlight w:val="none"/>
                <w:lang w:eastAsia="zh-CN"/>
              </w:rPr>
              <w:t>【</w:t>
            </w:r>
            <w:r>
              <w:rPr>
                <w:rFonts w:hint="eastAsia"/>
                <w:color w:val="auto"/>
                <w:kern w:val="0"/>
                <w:sz w:val="21"/>
                <w:szCs w:val="21"/>
                <w:highlight w:val="none"/>
                <w:lang w:val="en-US" w:eastAsia="zh-CN"/>
              </w:rPr>
              <w:t>主观分</w:t>
            </w:r>
            <w:r>
              <w:rPr>
                <w:rFonts w:hint="eastAsia"/>
                <w:color w:val="auto"/>
                <w:kern w:val="0"/>
                <w:sz w:val="21"/>
                <w:szCs w:val="21"/>
                <w:highlight w:val="none"/>
                <w:lang w:eastAsia="zh-CN"/>
              </w:rPr>
              <w:t>】学科数据审计监测平台</w:t>
            </w:r>
            <w:r>
              <w:rPr>
                <w:rFonts w:hint="eastAsia"/>
                <w:color w:val="auto"/>
                <w:kern w:val="0"/>
                <w:sz w:val="21"/>
                <w:szCs w:val="21"/>
                <w:highlight w:val="none"/>
                <w:lang w:val="en-US" w:eastAsia="zh-CN"/>
              </w:rPr>
              <w:t>开发方案的全面性、先进性（评分范围：5,4,3,2,1,0）。</w:t>
            </w:r>
          </w:p>
        </w:tc>
      </w:tr>
      <w:tr w14:paraId="0EF27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5267817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p>
        </w:tc>
        <w:tc>
          <w:tcPr>
            <w:tcW w:w="682" w:type="dxa"/>
            <w:vAlign w:val="center"/>
          </w:tcPr>
          <w:p w14:paraId="47F86297">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kern w:val="0"/>
                <w:sz w:val="21"/>
                <w:szCs w:val="21"/>
                <w:highlight w:val="none"/>
                <w:lang w:val="en-US" w:eastAsia="zh-CN"/>
              </w:rPr>
            </w:pPr>
            <w:r>
              <w:rPr>
                <w:rFonts w:hint="eastAsia"/>
                <w:b/>
                <w:bCs/>
                <w:color w:val="auto"/>
                <w:kern w:val="0"/>
                <w:sz w:val="21"/>
                <w:szCs w:val="21"/>
                <w:highlight w:val="none"/>
                <w:lang w:val="en-US" w:eastAsia="zh-CN"/>
              </w:rPr>
              <w:t>5</w:t>
            </w:r>
          </w:p>
        </w:tc>
        <w:tc>
          <w:tcPr>
            <w:tcW w:w="7071" w:type="dxa"/>
            <w:vAlign w:val="center"/>
          </w:tcPr>
          <w:p w14:paraId="77993252">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rPr>
              <w:t>【主观分】干部考核系统开发方案的全面性、先进性（评分范围：5,4,3,2,1,0）。</w:t>
            </w:r>
          </w:p>
        </w:tc>
      </w:tr>
      <w:tr w14:paraId="254AC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28234BE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p>
        </w:tc>
        <w:tc>
          <w:tcPr>
            <w:tcW w:w="682" w:type="dxa"/>
            <w:vAlign w:val="center"/>
          </w:tcPr>
          <w:p w14:paraId="13C27B7C">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kern w:val="0"/>
                <w:sz w:val="21"/>
                <w:szCs w:val="21"/>
                <w:highlight w:val="none"/>
                <w:lang w:val="en-US" w:eastAsia="zh-CN"/>
              </w:rPr>
            </w:pPr>
            <w:r>
              <w:rPr>
                <w:rFonts w:hint="eastAsia"/>
                <w:b/>
                <w:bCs/>
                <w:color w:val="auto"/>
                <w:kern w:val="0"/>
                <w:sz w:val="21"/>
                <w:szCs w:val="21"/>
                <w:highlight w:val="none"/>
                <w:lang w:val="en-US" w:eastAsia="zh-CN"/>
              </w:rPr>
              <w:t>5</w:t>
            </w:r>
          </w:p>
        </w:tc>
        <w:tc>
          <w:tcPr>
            <w:tcW w:w="7071" w:type="dxa"/>
            <w:vAlign w:val="center"/>
          </w:tcPr>
          <w:p w14:paraId="31DB6EEC">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rPr>
              <w:t>【主观分】人事花名册系统开发方案的全面性、先进性（评分范围：5,4,3,2,1,0）。</w:t>
            </w:r>
          </w:p>
        </w:tc>
      </w:tr>
      <w:tr w14:paraId="1ED06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3E3FC41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p>
        </w:tc>
        <w:tc>
          <w:tcPr>
            <w:tcW w:w="682" w:type="dxa"/>
            <w:vAlign w:val="center"/>
          </w:tcPr>
          <w:p w14:paraId="330F60C4">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kern w:val="0"/>
                <w:sz w:val="21"/>
                <w:szCs w:val="21"/>
                <w:highlight w:val="none"/>
                <w:lang w:val="en-US" w:eastAsia="zh-CN"/>
              </w:rPr>
            </w:pPr>
            <w:r>
              <w:rPr>
                <w:rFonts w:hint="eastAsia"/>
                <w:b/>
                <w:bCs/>
                <w:color w:val="auto"/>
                <w:kern w:val="0"/>
                <w:sz w:val="21"/>
                <w:szCs w:val="21"/>
                <w:highlight w:val="none"/>
                <w:lang w:val="en-US" w:eastAsia="zh-CN"/>
              </w:rPr>
              <w:t>5</w:t>
            </w:r>
          </w:p>
        </w:tc>
        <w:tc>
          <w:tcPr>
            <w:tcW w:w="7071" w:type="dxa"/>
            <w:vAlign w:val="center"/>
          </w:tcPr>
          <w:p w14:paraId="7C5F5067">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rPr>
              <w:t>【主观分】空闲教室大屏开发方案的全面性、先进性（评分范围：5,4,3,2,1,0）。</w:t>
            </w:r>
          </w:p>
        </w:tc>
      </w:tr>
      <w:tr w14:paraId="5046A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61AAD88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p>
        </w:tc>
        <w:tc>
          <w:tcPr>
            <w:tcW w:w="682" w:type="dxa"/>
            <w:vAlign w:val="center"/>
          </w:tcPr>
          <w:p w14:paraId="0C1D1802">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kern w:val="0"/>
                <w:sz w:val="21"/>
                <w:szCs w:val="21"/>
                <w:highlight w:val="none"/>
                <w:lang w:val="en-US" w:eastAsia="zh-CN"/>
              </w:rPr>
            </w:pPr>
            <w:r>
              <w:rPr>
                <w:rFonts w:hint="eastAsia"/>
                <w:b/>
                <w:bCs/>
                <w:color w:val="auto"/>
                <w:kern w:val="0"/>
                <w:sz w:val="21"/>
                <w:szCs w:val="21"/>
                <w:highlight w:val="none"/>
                <w:lang w:val="en-US" w:eastAsia="zh-CN"/>
              </w:rPr>
              <w:t>5</w:t>
            </w:r>
          </w:p>
        </w:tc>
        <w:tc>
          <w:tcPr>
            <w:tcW w:w="7071" w:type="dxa"/>
            <w:vAlign w:val="center"/>
          </w:tcPr>
          <w:p w14:paraId="5643499E">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rPr>
              <w:t>【主观分】床位自选系统开发方案的全面性、先进性（评分范围：5,4,3,2,1,0）。</w:t>
            </w:r>
          </w:p>
        </w:tc>
      </w:tr>
      <w:tr w14:paraId="71984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503A2A7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p>
        </w:tc>
        <w:tc>
          <w:tcPr>
            <w:tcW w:w="682" w:type="dxa"/>
            <w:vAlign w:val="center"/>
          </w:tcPr>
          <w:p w14:paraId="5DE7CA79">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kern w:val="0"/>
                <w:sz w:val="21"/>
                <w:szCs w:val="21"/>
                <w:highlight w:val="none"/>
                <w:lang w:val="en-US" w:eastAsia="zh-CN"/>
              </w:rPr>
            </w:pPr>
            <w:r>
              <w:rPr>
                <w:rFonts w:hint="eastAsia"/>
                <w:b/>
                <w:bCs/>
                <w:color w:val="auto"/>
                <w:kern w:val="0"/>
                <w:sz w:val="21"/>
                <w:szCs w:val="21"/>
                <w:highlight w:val="none"/>
                <w:lang w:val="en-US" w:eastAsia="zh-CN"/>
              </w:rPr>
              <w:t>5</w:t>
            </w:r>
          </w:p>
        </w:tc>
        <w:tc>
          <w:tcPr>
            <w:tcW w:w="7071" w:type="dxa"/>
            <w:vAlign w:val="center"/>
          </w:tcPr>
          <w:p w14:paraId="35A7AC6E">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rPr>
              <w:t>【主观分】党派建言平台开发方案的全面性、先进性（评分范围：5,4,3,2,1,0）。</w:t>
            </w:r>
          </w:p>
        </w:tc>
      </w:tr>
      <w:tr w14:paraId="6C50E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4F81FDF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p>
        </w:tc>
        <w:tc>
          <w:tcPr>
            <w:tcW w:w="682" w:type="dxa"/>
            <w:vAlign w:val="center"/>
          </w:tcPr>
          <w:p w14:paraId="4C6787AD">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kern w:val="0"/>
                <w:sz w:val="21"/>
                <w:szCs w:val="21"/>
                <w:highlight w:val="none"/>
                <w:lang w:val="en-US" w:eastAsia="zh-CN"/>
              </w:rPr>
            </w:pPr>
            <w:r>
              <w:rPr>
                <w:rFonts w:hint="eastAsia"/>
                <w:b/>
                <w:bCs/>
                <w:color w:val="auto"/>
                <w:kern w:val="0"/>
                <w:sz w:val="21"/>
                <w:szCs w:val="21"/>
                <w:highlight w:val="none"/>
                <w:lang w:val="en-US" w:eastAsia="zh-CN"/>
              </w:rPr>
              <w:t>5</w:t>
            </w:r>
          </w:p>
        </w:tc>
        <w:tc>
          <w:tcPr>
            <w:tcW w:w="7071" w:type="dxa"/>
            <w:vAlign w:val="center"/>
          </w:tcPr>
          <w:p w14:paraId="350B4E03">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rPr>
              <w:t>【主观分】文件废立改系统开发方案的全面性、先进性（评分范围：5,4,3,2,1,0）。</w:t>
            </w:r>
          </w:p>
        </w:tc>
      </w:tr>
      <w:tr w14:paraId="7967C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3FDF808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p>
        </w:tc>
        <w:tc>
          <w:tcPr>
            <w:tcW w:w="682" w:type="dxa"/>
            <w:vAlign w:val="center"/>
          </w:tcPr>
          <w:p w14:paraId="25D52B15">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kern w:val="0"/>
                <w:sz w:val="21"/>
                <w:szCs w:val="21"/>
                <w:highlight w:val="none"/>
                <w:lang w:val="en-US" w:eastAsia="zh-CN"/>
              </w:rPr>
            </w:pPr>
            <w:r>
              <w:rPr>
                <w:rFonts w:hint="eastAsia"/>
                <w:b/>
                <w:bCs/>
                <w:color w:val="auto"/>
                <w:kern w:val="0"/>
                <w:sz w:val="21"/>
                <w:szCs w:val="21"/>
                <w:highlight w:val="none"/>
                <w:lang w:val="en-US" w:eastAsia="zh-CN"/>
              </w:rPr>
              <w:t>5</w:t>
            </w:r>
          </w:p>
        </w:tc>
        <w:tc>
          <w:tcPr>
            <w:tcW w:w="7071" w:type="dxa"/>
            <w:vAlign w:val="center"/>
          </w:tcPr>
          <w:p w14:paraId="71034230">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rPr>
              <w:t>【主观分】重大制度意见管理系统开发方案的全面性、先进性（评分范围：5,4,3,2,1,0）。</w:t>
            </w:r>
          </w:p>
        </w:tc>
      </w:tr>
      <w:tr w14:paraId="4EF99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18F9EA5">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项目团队</w:t>
            </w:r>
          </w:p>
        </w:tc>
        <w:tc>
          <w:tcPr>
            <w:tcW w:w="682" w:type="dxa"/>
            <w:vAlign w:val="center"/>
          </w:tcPr>
          <w:p w14:paraId="0369ADD1">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kern w:val="0"/>
                <w:sz w:val="21"/>
                <w:szCs w:val="21"/>
                <w:highlight w:val="none"/>
                <w:lang w:val="en-US" w:eastAsia="zh-CN"/>
              </w:rPr>
            </w:pPr>
            <w:r>
              <w:rPr>
                <w:rFonts w:hint="eastAsia"/>
                <w:b/>
                <w:bCs/>
                <w:color w:val="auto"/>
                <w:kern w:val="0"/>
                <w:sz w:val="21"/>
                <w:szCs w:val="21"/>
                <w:highlight w:val="none"/>
                <w:lang w:val="en-US" w:eastAsia="zh-CN"/>
              </w:rPr>
              <w:t>5</w:t>
            </w:r>
          </w:p>
        </w:tc>
        <w:tc>
          <w:tcPr>
            <w:tcW w:w="7071" w:type="dxa"/>
            <w:vAlign w:val="center"/>
          </w:tcPr>
          <w:p w14:paraId="73F79958">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rPr>
              <w:t>【主观分】拟派团队人员组织结构的合理性、专业性，对团队人员的分工的明确、合理性（评分范围：5,4,3,2,1,0）。</w:t>
            </w:r>
          </w:p>
        </w:tc>
      </w:tr>
      <w:tr w14:paraId="45C7E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39313AF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项目实施方案</w:t>
            </w:r>
          </w:p>
        </w:tc>
        <w:tc>
          <w:tcPr>
            <w:tcW w:w="682" w:type="dxa"/>
            <w:vAlign w:val="center"/>
          </w:tcPr>
          <w:p w14:paraId="13CF8AB6">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kern w:val="0"/>
                <w:sz w:val="21"/>
                <w:szCs w:val="21"/>
                <w:highlight w:val="none"/>
                <w:lang w:val="en-US" w:eastAsia="zh-CN"/>
              </w:rPr>
            </w:pPr>
            <w:r>
              <w:rPr>
                <w:rFonts w:hint="eastAsia"/>
                <w:b/>
                <w:bCs/>
                <w:color w:val="auto"/>
                <w:kern w:val="0"/>
                <w:sz w:val="21"/>
                <w:szCs w:val="21"/>
                <w:highlight w:val="none"/>
                <w:lang w:val="en-US" w:eastAsia="zh-CN"/>
              </w:rPr>
              <w:t>5</w:t>
            </w:r>
          </w:p>
        </w:tc>
        <w:tc>
          <w:tcPr>
            <w:tcW w:w="7071" w:type="dxa"/>
            <w:vAlign w:val="center"/>
          </w:tcPr>
          <w:p w14:paraId="557A563B">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color w:val="auto"/>
                <w:kern w:val="0"/>
                <w:sz w:val="21"/>
                <w:szCs w:val="21"/>
                <w:highlight w:val="none"/>
              </w:rPr>
              <w:t>【主观分】实施进度计划安排的合理性、可行性，组织机构和分工安排的合理性、可行性（评分范围：5,4,3,2,1,0）。</w:t>
            </w:r>
          </w:p>
        </w:tc>
      </w:tr>
      <w:tr w14:paraId="0435F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74886051">
            <w:pPr>
              <w:keepNext w:val="0"/>
              <w:keepLines w:val="0"/>
              <w:widowControl w:val="0"/>
              <w:suppressLineNumbers w:val="0"/>
              <w:autoSpaceDE w:val="0"/>
              <w:autoSpaceDN w:val="0"/>
              <w:adjustRightInd w:val="0"/>
              <w:snapToGrid w:val="0"/>
              <w:spacing w:before="0" w:beforeAutospacing="0" w:after="0" w:afterAutospacing="0" w:line="288" w:lineRule="auto"/>
              <w:ind w:left="0" w:leftChars="0" w:right="0" w:rightChars="0" w:firstLine="0" w:firstLineChars="0"/>
              <w:jc w:val="center"/>
              <w:rPr>
                <w:rFonts w:hint="default"/>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售后服务</w:t>
            </w:r>
          </w:p>
        </w:tc>
        <w:tc>
          <w:tcPr>
            <w:tcW w:w="682" w:type="dxa"/>
            <w:vAlign w:val="center"/>
          </w:tcPr>
          <w:p w14:paraId="4C07F0B2">
            <w:pPr>
              <w:keepNext w:val="0"/>
              <w:keepLines w:val="0"/>
              <w:widowControl w:val="0"/>
              <w:suppressLineNumbers w:val="0"/>
              <w:adjustRightInd w:val="0"/>
              <w:snapToGrid w:val="0"/>
              <w:spacing w:before="0" w:beforeAutospacing="0" w:after="0" w:afterAutospacing="0" w:line="288" w:lineRule="auto"/>
              <w:ind w:left="0" w:leftChars="0" w:right="0" w:rightChars="0" w:firstLine="0" w:firstLineChars="0"/>
              <w:jc w:val="center"/>
              <w:rPr>
                <w:rFonts w:hint="eastAsia" w:eastAsia="宋体"/>
                <w:b/>
                <w:bCs/>
                <w:color w:val="auto"/>
                <w:kern w:val="0"/>
                <w:sz w:val="21"/>
                <w:szCs w:val="21"/>
                <w:highlight w:val="none"/>
                <w:lang w:val="en-US" w:eastAsia="zh-CN"/>
              </w:rPr>
            </w:pPr>
            <w:r>
              <w:rPr>
                <w:rFonts w:hint="eastAsia" w:ascii="宋体" w:hAnsi="宋体" w:eastAsia="宋体" w:cs="宋体"/>
                <w:b/>
                <w:bCs/>
                <w:color w:val="auto"/>
                <w:kern w:val="2"/>
                <w:sz w:val="21"/>
                <w:szCs w:val="21"/>
                <w:highlight w:val="none"/>
                <w:lang w:val="en-US" w:eastAsia="zh-CN" w:bidi="ar"/>
              </w:rPr>
              <w:t>5</w:t>
            </w:r>
          </w:p>
        </w:tc>
        <w:tc>
          <w:tcPr>
            <w:tcW w:w="7071" w:type="dxa"/>
            <w:vAlign w:val="center"/>
          </w:tcPr>
          <w:p w14:paraId="5624F274">
            <w:pPr>
              <w:pStyle w:val="9"/>
              <w:keepNext w:val="0"/>
              <w:keepLines w:val="0"/>
              <w:widowControl w:val="0"/>
              <w:suppressLineNumbers w:val="0"/>
              <w:spacing w:before="0" w:beforeAutospacing="0" w:after="0" w:afterAutospacing="0" w:line="288" w:lineRule="auto"/>
              <w:ind w:left="0" w:leftChars="0" w:right="0" w:rightChars="0" w:firstLine="0" w:firstLineChars="0"/>
              <w:jc w:val="both"/>
              <w:rPr>
                <w:rFonts w:hint="default"/>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【主观分】投标人售后服务方案（服务流程、故障维修等）、售后服务承诺的可行性及服务承诺落实的保障措施，质保期外的后续技术支持和维护能力情况（评分范围：5,4,3,2,1,0）。</w:t>
            </w:r>
          </w:p>
        </w:tc>
      </w:tr>
      <w:tr w14:paraId="28559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C9FD931">
            <w:pPr>
              <w:keepNext w:val="0"/>
              <w:keepLines w:val="0"/>
              <w:widowControl w:val="0"/>
              <w:suppressLineNumbers w:val="0"/>
              <w:autoSpaceDE w:val="0"/>
              <w:autoSpaceDN w:val="0"/>
              <w:adjustRightInd w:val="0"/>
              <w:snapToGrid w:val="0"/>
              <w:spacing w:before="0" w:beforeAutospacing="0" w:after="0" w:afterAutospacing="0" w:line="288" w:lineRule="auto"/>
              <w:ind w:left="0" w:leftChars="0" w:right="0" w:rightChars="0" w:firstLine="0" w:firstLineChars="0"/>
              <w:jc w:val="center"/>
              <w:rPr>
                <w:rFonts w:hint="default"/>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技术服务、培训</w:t>
            </w:r>
          </w:p>
        </w:tc>
        <w:tc>
          <w:tcPr>
            <w:tcW w:w="682" w:type="dxa"/>
            <w:vAlign w:val="center"/>
          </w:tcPr>
          <w:p w14:paraId="43079BD1">
            <w:pPr>
              <w:keepNext w:val="0"/>
              <w:keepLines w:val="0"/>
              <w:widowControl w:val="0"/>
              <w:suppressLineNumbers w:val="0"/>
              <w:adjustRightInd w:val="0"/>
              <w:snapToGrid w:val="0"/>
              <w:spacing w:before="0" w:beforeAutospacing="0" w:after="0" w:afterAutospacing="0" w:line="288" w:lineRule="auto"/>
              <w:ind w:left="0" w:leftChars="0" w:right="0" w:rightChars="0" w:firstLine="0" w:firstLineChars="0"/>
              <w:jc w:val="center"/>
              <w:rPr>
                <w:rFonts w:hint="default"/>
                <w:b/>
                <w:bCs/>
                <w:color w:val="auto"/>
                <w:kern w:val="0"/>
                <w:sz w:val="21"/>
                <w:szCs w:val="21"/>
                <w:highlight w:val="none"/>
              </w:rPr>
            </w:pPr>
            <w:r>
              <w:rPr>
                <w:rFonts w:hint="eastAsia" w:cs="宋体"/>
                <w:b/>
                <w:bCs/>
                <w:color w:val="auto"/>
                <w:kern w:val="2"/>
                <w:sz w:val="21"/>
                <w:szCs w:val="21"/>
                <w:highlight w:val="none"/>
                <w:lang w:val="en-US" w:eastAsia="zh-CN" w:bidi="ar"/>
              </w:rPr>
              <w:t>4</w:t>
            </w:r>
          </w:p>
        </w:tc>
        <w:tc>
          <w:tcPr>
            <w:tcW w:w="7071" w:type="dxa"/>
            <w:vAlign w:val="center"/>
          </w:tcPr>
          <w:p w14:paraId="01839ECF">
            <w:pPr>
              <w:pStyle w:val="9"/>
              <w:keepNext w:val="0"/>
              <w:keepLines w:val="0"/>
              <w:widowControl w:val="0"/>
              <w:suppressLineNumbers w:val="0"/>
              <w:spacing w:before="0" w:beforeAutospacing="0" w:after="0" w:afterAutospacing="0" w:line="288" w:lineRule="auto"/>
              <w:ind w:left="0" w:leftChars="0" w:right="0" w:rightChars="0" w:firstLine="0" w:firstLineChars="0"/>
              <w:jc w:val="both"/>
              <w:rPr>
                <w:rFonts w:hint="default"/>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【主观分】服务力量和服务保障、技术支持，培训计划内容、培训范围，实施及针对性（评分范围：4,3,2,1,0）。</w:t>
            </w:r>
          </w:p>
        </w:tc>
      </w:tr>
      <w:tr w14:paraId="771D2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1EB7F10B">
            <w:pPr>
              <w:keepNext w:val="0"/>
              <w:keepLines w:val="0"/>
              <w:widowControl w:val="0"/>
              <w:suppressLineNumbers w:val="0"/>
              <w:autoSpaceDE w:val="0"/>
              <w:autoSpaceDN w:val="0"/>
              <w:adjustRightInd w:val="0"/>
              <w:snapToGrid w:val="0"/>
              <w:spacing w:before="0" w:beforeAutospacing="0" w:after="0" w:afterAutospacing="0" w:line="288" w:lineRule="auto"/>
              <w:ind w:left="0" w:leftChars="0" w:right="0" w:rightChars="0" w:firstLine="0" w:firstLineChars="0"/>
              <w:jc w:val="center"/>
              <w:rPr>
                <w:rFonts w:hint="default" w:ascii="宋体" w:hAnsi="宋体" w:eastAsia="宋体" w:cs="宋体"/>
                <w:b/>
                <w:bCs/>
                <w:color w:val="auto"/>
                <w:kern w:val="0"/>
                <w:sz w:val="21"/>
                <w:szCs w:val="21"/>
                <w:highlight w:val="none"/>
                <w:lang w:val="en-US" w:eastAsia="zh-CN" w:bidi="ar"/>
              </w:rPr>
            </w:pPr>
            <w:r>
              <w:rPr>
                <w:rFonts w:hint="eastAsia" w:cs="宋体"/>
                <w:b/>
                <w:bCs/>
                <w:color w:val="auto"/>
                <w:kern w:val="0"/>
                <w:sz w:val="21"/>
                <w:szCs w:val="21"/>
                <w:highlight w:val="none"/>
                <w:lang w:val="en-US" w:eastAsia="zh-CN" w:bidi="ar"/>
              </w:rPr>
              <w:t>演示</w:t>
            </w:r>
          </w:p>
        </w:tc>
        <w:tc>
          <w:tcPr>
            <w:tcW w:w="682" w:type="dxa"/>
            <w:vAlign w:val="center"/>
          </w:tcPr>
          <w:p w14:paraId="69AF1F2E">
            <w:pPr>
              <w:keepNext w:val="0"/>
              <w:keepLines w:val="0"/>
              <w:widowControl w:val="0"/>
              <w:suppressLineNumbers w:val="0"/>
              <w:adjustRightInd w:val="0"/>
              <w:snapToGrid w:val="0"/>
              <w:spacing w:before="0" w:beforeAutospacing="0" w:after="0" w:afterAutospacing="0" w:line="288" w:lineRule="auto"/>
              <w:ind w:left="0" w:leftChars="0" w:right="0" w:rightChars="0" w:firstLine="0" w:firstLineChars="0"/>
              <w:jc w:val="center"/>
              <w:rPr>
                <w:rFonts w:hint="default" w:cs="宋体"/>
                <w:b/>
                <w:bCs/>
                <w:color w:val="auto"/>
                <w:kern w:val="2"/>
                <w:sz w:val="21"/>
                <w:szCs w:val="21"/>
                <w:highlight w:val="none"/>
                <w:lang w:val="en-US" w:eastAsia="zh-CN" w:bidi="ar"/>
              </w:rPr>
            </w:pPr>
            <w:r>
              <w:rPr>
                <w:rFonts w:hint="eastAsia" w:cs="宋体"/>
                <w:b/>
                <w:bCs/>
                <w:color w:val="auto"/>
                <w:kern w:val="2"/>
                <w:sz w:val="21"/>
                <w:szCs w:val="21"/>
                <w:highlight w:val="none"/>
                <w:lang w:val="en-US" w:eastAsia="zh-CN" w:bidi="ar"/>
              </w:rPr>
              <w:t>10</w:t>
            </w:r>
          </w:p>
        </w:tc>
        <w:tc>
          <w:tcPr>
            <w:tcW w:w="7071" w:type="dxa"/>
            <w:vAlign w:val="center"/>
          </w:tcPr>
          <w:p w14:paraId="3C7F0B92">
            <w:pPr>
              <w:pStyle w:val="9"/>
              <w:keepNext w:val="0"/>
              <w:keepLines w:val="0"/>
              <w:widowControl w:val="0"/>
              <w:suppressLineNumbers w:val="0"/>
              <w:spacing w:before="0" w:beforeAutospacing="0" w:after="0" w:afterAutospacing="0" w:line="288" w:lineRule="auto"/>
              <w:ind w:left="0" w:leftChars="0" w:right="0" w:rightChars="0" w:firstLine="0" w:firstLineChars="0"/>
              <w:jc w:val="both"/>
              <w:rPr>
                <w:rFonts w:hint="eastAsia" w:cs="宋体"/>
                <w:color w:val="auto"/>
                <w:kern w:val="2"/>
                <w:sz w:val="21"/>
                <w:szCs w:val="21"/>
                <w:highlight w:val="none"/>
                <w:lang w:val="en-US" w:eastAsia="zh-CN" w:bidi="ar"/>
              </w:rPr>
            </w:pPr>
            <w:r>
              <w:rPr>
                <w:rFonts w:hint="eastAsia" w:cs="宋体"/>
                <w:color w:val="auto"/>
                <w:kern w:val="2"/>
                <w:sz w:val="21"/>
                <w:szCs w:val="21"/>
                <w:highlight w:val="none"/>
                <w:lang w:val="en-US" w:eastAsia="zh-CN" w:bidi="ar"/>
              </w:rPr>
              <w:t>【主观分】</w:t>
            </w:r>
          </w:p>
          <w:p w14:paraId="5C83D323">
            <w:pPr>
              <w:pStyle w:val="9"/>
              <w:keepNext w:val="0"/>
              <w:keepLines w:val="0"/>
              <w:widowControl w:val="0"/>
              <w:suppressLineNumbers w:val="0"/>
              <w:spacing w:before="0" w:beforeAutospacing="0" w:after="0" w:afterAutospacing="0" w:line="288" w:lineRule="auto"/>
              <w:ind w:left="0" w:leftChars="0" w:right="0" w:rightChars="0" w:firstLine="0" w:firstLineChars="0"/>
              <w:jc w:val="both"/>
              <w:rPr>
                <w:rFonts w:hint="eastAsia" w:cs="宋体"/>
                <w:color w:val="auto"/>
                <w:kern w:val="2"/>
                <w:sz w:val="21"/>
                <w:szCs w:val="21"/>
                <w:highlight w:val="none"/>
                <w:lang w:val="en-US" w:eastAsia="zh-CN" w:bidi="ar"/>
              </w:rPr>
            </w:pPr>
            <w:r>
              <w:rPr>
                <w:rFonts w:hint="eastAsia" w:cs="宋体"/>
                <w:color w:val="auto"/>
                <w:kern w:val="2"/>
                <w:sz w:val="21"/>
                <w:szCs w:val="21"/>
                <w:highlight w:val="none"/>
                <w:lang w:val="en-US" w:eastAsia="zh-CN" w:bidi="ar"/>
              </w:rPr>
              <w:t>▲1.供应商演示内容需为真人操作软件DEMO录制的视频进行。</w:t>
            </w:r>
          </w:p>
          <w:p w14:paraId="3391AAD8">
            <w:pPr>
              <w:pStyle w:val="9"/>
              <w:keepNext w:val="0"/>
              <w:keepLines w:val="0"/>
              <w:widowControl w:val="0"/>
              <w:suppressLineNumbers w:val="0"/>
              <w:spacing w:before="0" w:beforeAutospacing="0" w:after="0" w:afterAutospacing="0" w:line="288" w:lineRule="auto"/>
              <w:ind w:left="0" w:leftChars="0" w:right="0" w:rightChars="0" w:firstLine="0" w:firstLineChars="0"/>
              <w:jc w:val="both"/>
              <w:rPr>
                <w:rFonts w:hint="eastAsia" w:cs="宋体"/>
                <w:color w:val="auto"/>
                <w:kern w:val="2"/>
                <w:sz w:val="21"/>
                <w:szCs w:val="21"/>
                <w:highlight w:val="none"/>
                <w:lang w:val="en-US" w:eastAsia="zh-CN" w:bidi="ar"/>
              </w:rPr>
            </w:pPr>
            <w:r>
              <w:rPr>
                <w:rFonts w:hint="eastAsia" w:cs="宋体"/>
                <w:color w:val="auto"/>
                <w:kern w:val="2"/>
                <w:sz w:val="21"/>
                <w:szCs w:val="21"/>
                <w:highlight w:val="none"/>
                <w:lang w:val="en-US" w:eastAsia="zh-CN" w:bidi="ar"/>
              </w:rPr>
              <w:t>▲2.未提供任何演示的响应无效。以PPT、非真人操作软件DEMO录制的视频、图片等视同未演示，响应无效。</w:t>
            </w:r>
          </w:p>
          <w:p w14:paraId="414BCE25">
            <w:pPr>
              <w:pStyle w:val="9"/>
              <w:keepNext w:val="0"/>
              <w:keepLines w:val="0"/>
              <w:widowControl w:val="0"/>
              <w:suppressLineNumbers w:val="0"/>
              <w:spacing w:before="0" w:beforeAutospacing="0" w:after="0" w:afterAutospacing="0" w:line="288" w:lineRule="auto"/>
              <w:ind w:left="0" w:leftChars="0" w:right="0" w:rightChars="0" w:firstLine="0" w:firstLineChars="0"/>
              <w:jc w:val="both"/>
              <w:rPr>
                <w:rFonts w:hint="eastAsia" w:cs="宋体"/>
                <w:color w:val="auto"/>
                <w:kern w:val="2"/>
                <w:sz w:val="21"/>
                <w:szCs w:val="21"/>
                <w:highlight w:val="none"/>
                <w:lang w:val="en-US" w:eastAsia="zh-CN" w:bidi="ar"/>
              </w:rPr>
            </w:pPr>
            <w:r>
              <w:rPr>
                <w:rFonts w:hint="eastAsia" w:cs="宋体"/>
                <w:color w:val="auto"/>
                <w:kern w:val="2"/>
                <w:sz w:val="21"/>
                <w:szCs w:val="21"/>
                <w:highlight w:val="none"/>
                <w:lang w:val="en-US" w:eastAsia="zh-CN" w:bidi="ar"/>
              </w:rPr>
              <w:t>3.演示内容（学科数据审计监测平台）（每项演示评分范围：2,1,0.5</w:t>
            </w:r>
            <w:bookmarkStart w:id="62" w:name="_GoBack"/>
            <w:bookmarkEnd w:id="62"/>
            <w:r>
              <w:rPr>
                <w:rFonts w:hint="eastAsia" w:cs="宋体"/>
                <w:color w:val="auto"/>
                <w:kern w:val="2"/>
                <w:sz w:val="21"/>
                <w:szCs w:val="21"/>
                <w:highlight w:val="none"/>
                <w:lang w:val="en-US" w:eastAsia="zh-CN" w:bidi="ar"/>
              </w:rPr>
              <w:t>,0）：</w:t>
            </w:r>
          </w:p>
          <w:p w14:paraId="60E4CA00">
            <w:pPr>
              <w:pStyle w:val="9"/>
              <w:keepNext w:val="0"/>
              <w:keepLines w:val="0"/>
              <w:widowControl w:val="0"/>
              <w:suppressLineNumbers w:val="0"/>
              <w:spacing w:before="0" w:beforeAutospacing="0" w:after="0" w:afterAutospacing="0" w:line="288" w:lineRule="auto"/>
              <w:ind w:left="0" w:leftChars="0" w:right="0" w:rightChars="0" w:firstLine="0" w:firstLineChars="0"/>
              <w:jc w:val="both"/>
              <w:rPr>
                <w:rFonts w:hint="eastAsia" w:cs="宋体"/>
                <w:color w:val="auto"/>
                <w:kern w:val="2"/>
                <w:sz w:val="21"/>
                <w:szCs w:val="21"/>
                <w:highlight w:val="none"/>
                <w:lang w:val="en-US" w:eastAsia="zh-CN" w:bidi="ar"/>
              </w:rPr>
            </w:pPr>
            <w:r>
              <w:rPr>
                <w:rFonts w:hint="eastAsia" w:cs="宋体"/>
                <w:color w:val="auto"/>
                <w:kern w:val="2"/>
                <w:sz w:val="21"/>
                <w:szCs w:val="21"/>
                <w:highlight w:val="none"/>
                <w:lang w:val="en-US" w:eastAsia="zh-CN" w:bidi="ar"/>
              </w:rPr>
              <w:t>3.1 教学信息：支持对数据进行新增（增量上报）、修改。支持删除，删除时会跳出弹窗进行二次确认。【学位点】信息跟【学位点层次】信息需关联。支持数据导出。</w:t>
            </w:r>
          </w:p>
          <w:p w14:paraId="562DB066">
            <w:pPr>
              <w:pStyle w:val="9"/>
              <w:keepNext w:val="0"/>
              <w:keepLines w:val="0"/>
              <w:widowControl w:val="0"/>
              <w:suppressLineNumbers w:val="0"/>
              <w:spacing w:before="0" w:beforeAutospacing="0" w:after="0" w:afterAutospacing="0" w:line="288" w:lineRule="auto"/>
              <w:ind w:left="0" w:leftChars="0" w:right="0" w:rightChars="0" w:firstLine="0" w:firstLineChars="0"/>
              <w:jc w:val="both"/>
              <w:rPr>
                <w:rFonts w:hint="eastAsia" w:cs="宋体"/>
                <w:color w:val="auto"/>
                <w:kern w:val="2"/>
                <w:sz w:val="21"/>
                <w:szCs w:val="21"/>
                <w:highlight w:val="none"/>
                <w:lang w:val="en-US" w:eastAsia="zh-CN" w:bidi="ar"/>
              </w:rPr>
            </w:pPr>
            <w:r>
              <w:rPr>
                <w:rFonts w:hint="eastAsia" w:cs="宋体"/>
                <w:color w:val="auto"/>
                <w:kern w:val="2"/>
                <w:sz w:val="21"/>
                <w:szCs w:val="21"/>
                <w:highlight w:val="none"/>
                <w:lang w:val="en-US" w:eastAsia="zh-CN" w:bidi="ar"/>
              </w:rPr>
              <w:t>3.2 规划期数信息：规划期数信息里存放对于【规划期间】、【年度时间】的时间范围定义，用于学校报送时对学校报送的数据进行时间范围的限制，所有成果库中的数据都需要包含年度字段。支持添加期间，定义时间范围。支持对年度时间，规划期间进行绑定，同时定义时间范围。支持导入，导入时会对导入的数据进行校验。</w:t>
            </w:r>
          </w:p>
          <w:p w14:paraId="4AB5A776">
            <w:pPr>
              <w:pStyle w:val="9"/>
              <w:keepNext w:val="0"/>
              <w:keepLines w:val="0"/>
              <w:widowControl w:val="0"/>
              <w:suppressLineNumbers w:val="0"/>
              <w:spacing w:before="0" w:beforeAutospacing="0" w:after="0" w:afterAutospacing="0" w:line="288" w:lineRule="auto"/>
              <w:ind w:left="0" w:leftChars="0" w:right="0" w:rightChars="0" w:firstLine="0" w:firstLineChars="0"/>
              <w:jc w:val="both"/>
              <w:rPr>
                <w:rFonts w:hint="eastAsia" w:cs="宋体"/>
                <w:color w:val="auto"/>
                <w:kern w:val="2"/>
                <w:sz w:val="21"/>
                <w:szCs w:val="21"/>
                <w:highlight w:val="none"/>
                <w:lang w:val="en-US" w:eastAsia="zh-CN" w:bidi="ar"/>
              </w:rPr>
            </w:pPr>
            <w:r>
              <w:rPr>
                <w:rFonts w:hint="eastAsia" w:cs="宋体"/>
                <w:color w:val="auto"/>
                <w:kern w:val="2"/>
                <w:sz w:val="21"/>
                <w:szCs w:val="21"/>
                <w:highlight w:val="none"/>
                <w:lang w:val="en-US" w:eastAsia="zh-CN" w:bidi="ar"/>
              </w:rPr>
              <w:t>3.3 人才培养-学科竞赛：管理员能够进入成果库下的【新成果入档】。根据不同的成果类型分类，展示不同分类下的表格数据。支持统计每个分类下各个状态的数据量。支持对数据进行筛选。支持对数据进行新增导入，新增数据后，数据的状态变为【待下发】。支持查看详情，支持删除数据。支持对数据进行多选，进行批量下发；下发后将会对所关联的学校进行站内通知。对数据进行【下发】或【批量下发】后，状态变更为【待确认】。</w:t>
            </w:r>
          </w:p>
          <w:p w14:paraId="38FB97FF">
            <w:pPr>
              <w:pStyle w:val="9"/>
              <w:keepNext w:val="0"/>
              <w:keepLines w:val="0"/>
              <w:widowControl w:val="0"/>
              <w:suppressLineNumbers w:val="0"/>
              <w:spacing w:before="0" w:beforeAutospacing="0" w:after="0" w:afterAutospacing="0" w:line="288" w:lineRule="auto"/>
              <w:ind w:left="0" w:leftChars="0" w:right="0" w:rightChars="0" w:firstLine="0" w:firstLineChars="0"/>
              <w:jc w:val="both"/>
              <w:rPr>
                <w:rFonts w:hint="eastAsia" w:cs="宋体"/>
                <w:color w:val="auto"/>
                <w:kern w:val="2"/>
                <w:sz w:val="21"/>
                <w:szCs w:val="21"/>
                <w:highlight w:val="none"/>
                <w:lang w:val="en-US" w:eastAsia="zh-CN" w:bidi="ar"/>
              </w:rPr>
            </w:pPr>
            <w:r>
              <w:rPr>
                <w:rFonts w:hint="eastAsia" w:cs="宋体"/>
                <w:color w:val="auto"/>
                <w:kern w:val="2"/>
                <w:sz w:val="21"/>
                <w:szCs w:val="21"/>
                <w:highlight w:val="none"/>
                <w:lang w:val="en-US" w:eastAsia="zh-CN" w:bidi="ar"/>
              </w:rPr>
              <w:t>3.4 科研项目：管理员登录应用后，选择成果库管理，选择【新成果入档】，选择【学校报送】。可以对报送进行时间范围的设置。支持对开放报送的时间段范围进行选择；支持针对开放报送成果类型进行选择。支持针对开放报送学校名称进行选择；支持针对报送年度进行选择。开放所选学校的上报权限，只有时间范围内才能进行上报。支持在表中查看开放报送的每次操作和详细信息。</w:t>
            </w:r>
          </w:p>
          <w:p w14:paraId="2F7833F1">
            <w:pPr>
              <w:pStyle w:val="9"/>
              <w:keepNext w:val="0"/>
              <w:keepLines w:val="0"/>
              <w:widowControl w:val="0"/>
              <w:suppressLineNumbers w:val="0"/>
              <w:spacing w:before="0" w:beforeAutospacing="0" w:after="0" w:afterAutospacing="0" w:line="288" w:lineRule="auto"/>
              <w:ind w:left="0" w:leftChars="0" w:right="0" w:rightChars="0" w:firstLine="0" w:firstLineChars="0"/>
              <w:jc w:val="both"/>
              <w:rPr>
                <w:rFonts w:hint="eastAsia" w:ascii="宋体" w:hAnsi="宋体" w:eastAsia="宋体" w:cs="宋体"/>
                <w:color w:val="auto"/>
                <w:kern w:val="2"/>
                <w:sz w:val="21"/>
                <w:szCs w:val="21"/>
                <w:highlight w:val="none"/>
                <w:lang w:val="en-US" w:eastAsia="zh-CN" w:bidi="ar"/>
              </w:rPr>
            </w:pPr>
            <w:r>
              <w:rPr>
                <w:rFonts w:hint="eastAsia" w:cs="宋体"/>
                <w:color w:val="auto"/>
                <w:kern w:val="2"/>
                <w:sz w:val="21"/>
                <w:szCs w:val="21"/>
                <w:highlight w:val="none"/>
                <w:lang w:val="en-US" w:eastAsia="zh-CN" w:bidi="ar"/>
              </w:rPr>
              <w:t>3.5 一流学科完成率统计表：按学校、学科、一流学科类型、年度分类统计任务条数、任务完成条数、完成率平均值、超额完成条数。</w:t>
            </w:r>
          </w:p>
        </w:tc>
      </w:tr>
    </w:tbl>
    <w:p w14:paraId="7BD44C42">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r>
        <w:rPr>
          <w:rFonts w:hint="eastAsia"/>
          <w:b/>
          <w:color w:val="auto"/>
          <w:sz w:val="21"/>
          <w:szCs w:val="21"/>
          <w:highlight w:val="none"/>
        </w:rPr>
        <w:t>本项目专门面向中小企业采购，不再执行价格评审优惠的扶持政策。</w:t>
      </w:r>
    </w:p>
    <w:p w14:paraId="24F297A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47936D1D">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14:paraId="48DE1EB2">
      <w:pPr>
        <w:adjustRightInd w:val="0"/>
        <w:snapToGrid w:val="0"/>
        <w:spacing w:line="288" w:lineRule="auto"/>
        <w:rPr>
          <w:color w:val="auto"/>
          <w:sz w:val="21"/>
          <w:szCs w:val="21"/>
          <w:highlight w:val="none"/>
        </w:rPr>
      </w:pPr>
    </w:p>
    <w:p w14:paraId="4AEB1728">
      <w:pPr>
        <w:pageBreakBefore w:val="0"/>
        <w:widowControl w:val="0"/>
        <w:kinsoku/>
        <w:wordWrap/>
        <w:overflowPunct/>
        <w:topLinePunct w:val="0"/>
        <w:bidi w:val="0"/>
        <w:spacing w:line="288" w:lineRule="auto"/>
        <w:ind w:firstLine="562" w:firstLineChars="200"/>
        <w:jc w:val="center"/>
        <w:textAlignment w:val="auto"/>
        <w:rPr>
          <w:rFonts w:hint="eastAsia" w:ascii="宋体" w:hAnsi="宋体" w:eastAsia="宋体" w:cs="宋体"/>
          <w:color w:val="auto"/>
          <w:kern w:val="0"/>
          <w:sz w:val="21"/>
          <w:szCs w:val="20"/>
          <w:highlight w:val="none"/>
        </w:rPr>
      </w:pPr>
      <w:r>
        <w:rPr>
          <w:rFonts w:hint="eastAsia" w:ascii="宋体" w:hAnsi="宋体" w:eastAsia="宋体" w:cs="宋体"/>
          <w:b/>
          <w:bCs/>
          <w:color w:val="auto"/>
          <w:kern w:val="0"/>
          <w:sz w:val="28"/>
          <w:szCs w:val="28"/>
          <w:highlight w:val="none"/>
        </w:rPr>
        <w:t>杭州电子科技大学采购合同（服务类）</w:t>
      </w:r>
    </w:p>
    <w:p w14:paraId="0AA6B5B3">
      <w:pPr>
        <w:pageBreakBefore w:val="0"/>
        <w:widowControl w:val="0"/>
        <w:kinsoku/>
        <w:wordWrap/>
        <w:overflowPunct/>
        <w:topLinePunct w:val="0"/>
        <w:bidi w:val="0"/>
        <w:spacing w:line="288" w:lineRule="auto"/>
        <w:ind w:firstLine="420" w:firstLineChars="200"/>
        <w:jc w:val="right"/>
        <w:textAlignment w:val="auto"/>
        <w:rPr>
          <w:rFonts w:hint="eastAsia" w:ascii="宋体" w:hAnsi="宋体" w:eastAsia="宋体" w:cs="宋体"/>
          <w:b/>
          <w:bCs/>
          <w:color w:val="auto"/>
          <w:kern w:val="0"/>
          <w:sz w:val="21"/>
          <w:szCs w:val="20"/>
          <w:highlight w:val="none"/>
        </w:rPr>
      </w:pPr>
      <w:r>
        <w:rPr>
          <w:rFonts w:hint="eastAsia" w:ascii="宋体" w:hAnsi="宋体" w:eastAsia="宋体" w:cs="宋体"/>
          <w:color w:val="auto"/>
          <w:kern w:val="0"/>
          <w:sz w:val="21"/>
          <w:szCs w:val="20"/>
          <w:highlight w:val="none"/>
        </w:rPr>
        <w:t>合同编号_________________</w:t>
      </w:r>
    </w:p>
    <w:p w14:paraId="0CDDBC2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确认书号：</w:t>
      </w:r>
    </w:p>
    <w:p w14:paraId="19857DC4">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项目编号：</w:t>
      </w:r>
    </w:p>
    <w:p w14:paraId="21A36DE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甲方（采购人）：杭州电子科技大学</w:t>
      </w:r>
    </w:p>
    <w:p w14:paraId="4A0AEB2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乙方（供应商）：</w:t>
      </w:r>
    </w:p>
    <w:p w14:paraId="0BFA7F5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spacing w:val="-6"/>
          <w:kern w:val="0"/>
          <w:sz w:val="21"/>
          <w:szCs w:val="21"/>
          <w:highlight w:val="none"/>
        </w:rPr>
        <w:t>采购代理机构（鉴证方）：</w:t>
      </w:r>
    </w:p>
    <w:p w14:paraId="6094224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为了保护甲乙双方合法权益，根据项目</w:t>
      </w:r>
      <w:r>
        <w:rPr>
          <w:rFonts w:hint="eastAsia" w:ascii="宋体" w:hAnsi="宋体" w:eastAsia="宋体" w:cs="宋体"/>
          <w:color w:val="auto"/>
          <w:kern w:val="0"/>
          <w:sz w:val="21"/>
          <w:szCs w:val="20"/>
          <w:highlight w:val="none"/>
          <w:u w:val="single"/>
        </w:rPr>
        <w:t xml:space="preserve">   (填项目名称)      </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u w:val="single"/>
        </w:rPr>
        <w:t xml:space="preserve"> （填采购方式）   </w:t>
      </w:r>
      <w:r>
        <w:rPr>
          <w:rFonts w:hint="eastAsia" w:ascii="宋体" w:hAnsi="宋体" w:eastAsia="宋体" w:cs="宋体"/>
          <w:color w:val="auto"/>
          <w:kern w:val="0"/>
          <w:sz w:val="21"/>
          <w:szCs w:val="20"/>
          <w:highlight w:val="none"/>
        </w:rPr>
        <w:t>的中标（成交）结果，签署本合同，以资共同遵守。</w:t>
      </w:r>
    </w:p>
    <w:p w14:paraId="4A55359F">
      <w:pPr>
        <w:pageBreakBefore w:val="0"/>
        <w:widowControl w:val="0"/>
        <w:numPr>
          <w:ilvl w:val="0"/>
          <w:numId w:val="0"/>
        </w:numPr>
        <w:kinsoku/>
        <w:wordWrap/>
        <w:overflowPunct/>
        <w:topLinePunct w:val="0"/>
        <w:bidi w:val="0"/>
        <w:spacing w:line="288"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一、采购服务内容及合同价格</w:t>
      </w:r>
    </w:p>
    <w:tbl>
      <w:tblPr>
        <w:tblStyle w:val="1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2"/>
        <w:gridCol w:w="1226"/>
        <w:gridCol w:w="3423"/>
        <w:gridCol w:w="3895"/>
      </w:tblGrid>
      <w:tr w14:paraId="1FB68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pct"/>
            <w:shd w:val="clear" w:color="auto" w:fill="auto"/>
            <w:vAlign w:val="center"/>
          </w:tcPr>
          <w:p w14:paraId="39AF7F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leftChars="0" w:right="0" w:firstLine="0" w:firstLineChars="0"/>
              <w:jc w:val="center"/>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序号</w:t>
            </w:r>
          </w:p>
        </w:tc>
        <w:tc>
          <w:tcPr>
            <w:tcW w:w="637" w:type="pct"/>
            <w:shd w:val="clear" w:color="auto" w:fill="auto"/>
            <w:vAlign w:val="center"/>
          </w:tcPr>
          <w:p w14:paraId="707EFB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名称</w:t>
            </w:r>
          </w:p>
        </w:tc>
        <w:tc>
          <w:tcPr>
            <w:tcW w:w="1778" w:type="pct"/>
            <w:shd w:val="clear" w:color="auto" w:fill="auto"/>
            <w:vAlign w:val="center"/>
          </w:tcPr>
          <w:p w14:paraId="53B1C4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主要内容</w:t>
            </w:r>
          </w:p>
        </w:tc>
        <w:tc>
          <w:tcPr>
            <w:tcW w:w="2020" w:type="pct"/>
            <w:shd w:val="clear" w:color="auto" w:fill="auto"/>
            <w:vAlign w:val="center"/>
          </w:tcPr>
          <w:p w14:paraId="2C66C2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服务费用</w:t>
            </w:r>
          </w:p>
        </w:tc>
      </w:tr>
      <w:tr w14:paraId="1BB3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643CC53F">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p>
        </w:tc>
        <w:tc>
          <w:tcPr>
            <w:tcW w:w="637" w:type="pct"/>
            <w:vAlign w:val="center"/>
          </w:tcPr>
          <w:p w14:paraId="5EC6DE6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rPr>
            </w:pPr>
          </w:p>
        </w:tc>
        <w:tc>
          <w:tcPr>
            <w:tcW w:w="1778" w:type="pct"/>
            <w:vAlign w:val="center"/>
          </w:tcPr>
          <w:p w14:paraId="502B0729">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rPr>
            </w:pPr>
          </w:p>
        </w:tc>
        <w:tc>
          <w:tcPr>
            <w:tcW w:w="2020" w:type="pct"/>
            <w:vAlign w:val="center"/>
          </w:tcPr>
          <w:p w14:paraId="0142D0D7">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rPr>
            </w:pPr>
          </w:p>
        </w:tc>
      </w:tr>
      <w:tr w14:paraId="7667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1F72E085">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rPr>
            </w:pPr>
          </w:p>
        </w:tc>
        <w:tc>
          <w:tcPr>
            <w:tcW w:w="637" w:type="pct"/>
            <w:vAlign w:val="center"/>
          </w:tcPr>
          <w:p w14:paraId="65E6CA8E">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rPr>
            </w:pPr>
          </w:p>
        </w:tc>
        <w:tc>
          <w:tcPr>
            <w:tcW w:w="1778" w:type="pct"/>
            <w:vAlign w:val="center"/>
          </w:tcPr>
          <w:p w14:paraId="128B6152">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rPr>
            </w:pPr>
          </w:p>
        </w:tc>
        <w:tc>
          <w:tcPr>
            <w:tcW w:w="2020" w:type="pct"/>
            <w:vAlign w:val="center"/>
          </w:tcPr>
          <w:p w14:paraId="71D5449A">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rPr>
            </w:pPr>
          </w:p>
        </w:tc>
      </w:tr>
      <w:tr w14:paraId="2BC6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000" w:type="pct"/>
            <w:gridSpan w:val="4"/>
            <w:vAlign w:val="center"/>
          </w:tcPr>
          <w:p w14:paraId="5453446D">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合同总价（元，人民币）：小写￥              ，大写：</w:t>
            </w:r>
          </w:p>
        </w:tc>
      </w:tr>
    </w:tbl>
    <w:p w14:paraId="30E45B3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rPr>
      </w:pPr>
      <w:r>
        <w:rPr>
          <w:rFonts w:hint="eastAsia" w:ascii="宋体" w:hAnsi="宋体" w:eastAsia="宋体" w:cs="宋体"/>
          <w:color w:val="auto"/>
          <w:kern w:val="0"/>
          <w:sz w:val="21"/>
          <w:szCs w:val="20"/>
          <w:highlight w:val="none"/>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06589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二、服务内容与要求</w:t>
      </w:r>
    </w:p>
    <w:p w14:paraId="5B9EEF4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（按采购文件及采购结果填写</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rPr>
        <w:t>）</w:t>
      </w:r>
    </w:p>
    <w:p w14:paraId="6113576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三、服务时间与地点</w:t>
      </w:r>
    </w:p>
    <w:p w14:paraId="60726A8D">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highlight w:val="none"/>
          <w:u w:val="single"/>
          <w:lang w:val="en-US" w:eastAsia="zh-CN" w:bidi="ar-SA"/>
        </w:rPr>
      </w:pPr>
      <w:r>
        <w:rPr>
          <w:rFonts w:hint="eastAsia" w:ascii="宋体" w:hAnsi="宋体" w:eastAsia="宋体" w:cs="宋体"/>
          <w:color w:val="auto"/>
          <w:kern w:val="2"/>
          <w:sz w:val="21"/>
          <w:highlight w:val="none"/>
          <w:lang w:val="en-US" w:eastAsia="zh-CN" w:bidi="ar-SA"/>
        </w:rPr>
        <w:t>1</w:t>
      </w:r>
      <w:r>
        <w:rPr>
          <w:rFonts w:hint="eastAsia" w:ascii="宋体" w:hAnsi="宋体" w:eastAsia="宋体" w:cs="宋体"/>
          <w:color w:val="auto"/>
          <w:spacing w:val="-6"/>
          <w:kern w:val="2"/>
          <w:sz w:val="21"/>
          <w:highlight w:val="none"/>
          <w:lang w:val="en-US" w:eastAsia="zh-CN" w:bidi="ar-SA"/>
        </w:rPr>
        <w:t>.</w:t>
      </w:r>
      <w:r>
        <w:rPr>
          <w:rFonts w:hint="eastAsia" w:ascii="宋体" w:hAnsi="宋体" w:eastAsia="宋体" w:cs="宋体"/>
          <w:color w:val="auto"/>
          <w:kern w:val="2"/>
          <w:sz w:val="21"/>
          <w:highlight w:val="none"/>
          <w:lang w:val="en-US" w:eastAsia="zh-CN" w:bidi="ar-SA"/>
        </w:rPr>
        <w:t>服务时间：</w:t>
      </w:r>
    </w:p>
    <w:p w14:paraId="1C744C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u w:val="single"/>
          <w:lang w:val="en-US" w:eastAsia="zh-CN"/>
        </w:rPr>
      </w:pPr>
      <w:r>
        <w:rPr>
          <w:rFonts w:hint="eastAsia" w:ascii="宋体" w:hAnsi="宋体" w:eastAsia="宋体" w:cs="宋体"/>
          <w:color w:val="auto"/>
          <w:kern w:val="0"/>
          <w:sz w:val="21"/>
          <w:szCs w:val="20"/>
          <w:highlight w:val="none"/>
        </w:rPr>
        <w:t>服务期限：</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lang w:val="en-US" w:eastAsia="zh-CN"/>
        </w:rPr>
        <w:t>月</w:t>
      </w:r>
      <w:r>
        <w:rPr>
          <w:rFonts w:hint="eastAsia" w:ascii="宋体" w:hAnsi="宋体" w:eastAsia="宋体" w:cs="宋体"/>
          <w:color w:val="auto"/>
          <w:kern w:val="0"/>
          <w:sz w:val="21"/>
          <w:szCs w:val="20"/>
          <w:highlight w:val="none"/>
        </w:rPr>
        <w:t>，从</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月</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日至</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月</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日。</w:t>
      </w:r>
      <w:r>
        <w:rPr>
          <w:rFonts w:hint="eastAsia" w:ascii="宋体" w:hAnsi="宋体" w:eastAsia="宋体" w:cs="宋体"/>
          <w:color w:val="auto"/>
          <w:kern w:val="0"/>
          <w:sz w:val="21"/>
          <w:szCs w:val="20"/>
          <w:highlight w:val="none"/>
          <w:lang w:val="en-US" w:eastAsia="zh-CN"/>
        </w:rPr>
        <w:t>乙方须在</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月</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日</w:t>
      </w:r>
      <w:r>
        <w:rPr>
          <w:rFonts w:hint="eastAsia" w:ascii="宋体" w:hAnsi="宋体" w:eastAsia="宋体" w:cs="宋体"/>
          <w:color w:val="auto"/>
          <w:kern w:val="0"/>
          <w:sz w:val="21"/>
          <w:szCs w:val="20"/>
          <w:highlight w:val="none"/>
          <w:lang w:val="en-US" w:eastAsia="zh-CN"/>
        </w:rPr>
        <w:t>前完成本项目并经甲方验收合格；其他质保及服务时间说明（如有）：</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u w:val="none"/>
          <w:lang w:val="en-US" w:eastAsia="zh-CN"/>
        </w:rPr>
        <w:t xml:space="preserve"> 。</w:t>
      </w:r>
    </w:p>
    <w:p w14:paraId="6835C31E">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2.服务地点：甲方指定地点。</w:t>
      </w:r>
    </w:p>
    <w:p w14:paraId="4896CC7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3.联系人及电话：</w:t>
      </w:r>
      <w:bookmarkStart w:id="44" w:name="_Hlk155181628"/>
      <w:r>
        <w:rPr>
          <w:rFonts w:hint="eastAsia" w:ascii="宋体" w:hAnsi="宋体" w:eastAsia="宋体" w:cs="宋体"/>
          <w:color w:val="auto"/>
          <w:kern w:val="0"/>
          <w:sz w:val="21"/>
          <w:szCs w:val="20"/>
          <w:highlight w:val="none"/>
        </w:rPr>
        <w:t>甲方 姓名</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rPr>
        <w:t>联系</w:t>
      </w:r>
      <w:r>
        <w:rPr>
          <w:rFonts w:hint="eastAsia" w:ascii="宋体" w:hAnsi="宋体" w:eastAsia="宋体" w:cs="宋体"/>
          <w:color w:val="auto"/>
          <w:kern w:val="0"/>
          <w:sz w:val="21"/>
          <w:szCs w:val="20"/>
          <w:highlight w:val="none"/>
          <w:lang w:val="en-US" w:eastAsia="zh-CN"/>
        </w:rPr>
        <w:t>电话</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；乙方 姓名</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rPr>
        <w:t>联系</w:t>
      </w:r>
      <w:r>
        <w:rPr>
          <w:rFonts w:hint="eastAsia" w:ascii="宋体" w:hAnsi="宋体" w:eastAsia="宋体" w:cs="宋体"/>
          <w:color w:val="auto"/>
          <w:kern w:val="0"/>
          <w:sz w:val="21"/>
          <w:szCs w:val="20"/>
          <w:highlight w:val="none"/>
          <w:lang w:val="en-US" w:eastAsia="zh-CN"/>
        </w:rPr>
        <w:t>电话</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u w:val="single"/>
        </w:rPr>
        <w:t xml:space="preserve"> </w:t>
      </w:r>
      <w:bookmarkEnd w:id="44"/>
      <w:r>
        <w:rPr>
          <w:rFonts w:hint="eastAsia" w:ascii="宋体" w:hAnsi="宋体" w:eastAsia="宋体" w:cs="宋体"/>
          <w:color w:val="auto"/>
          <w:kern w:val="0"/>
          <w:sz w:val="21"/>
          <w:szCs w:val="20"/>
          <w:highlight w:val="none"/>
        </w:rPr>
        <w:t>。</w:t>
      </w:r>
    </w:p>
    <w:p w14:paraId="7B65C237">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四、履约保证金与付款方式</w:t>
      </w:r>
    </w:p>
    <w:p w14:paraId="2295AA8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履约保证金（如</w:t>
      </w:r>
      <w:r>
        <w:rPr>
          <w:rFonts w:hint="eastAsia" w:ascii="宋体" w:hAnsi="宋体" w:eastAsia="宋体" w:cs="宋体"/>
          <w:color w:val="auto"/>
          <w:kern w:val="0"/>
          <w:sz w:val="21"/>
          <w:szCs w:val="20"/>
          <w:highlight w:val="none"/>
          <w:lang w:val="en-US" w:eastAsia="zh-CN"/>
        </w:rPr>
        <w:t>有</w:t>
      </w:r>
      <w:r>
        <w:rPr>
          <w:rFonts w:hint="eastAsia" w:ascii="宋体" w:hAnsi="宋体" w:eastAsia="宋体" w:cs="宋体"/>
          <w:color w:val="auto"/>
          <w:kern w:val="0"/>
          <w:sz w:val="21"/>
          <w:szCs w:val="20"/>
          <w:highlight w:val="none"/>
        </w:rPr>
        <w:t>）</w:t>
      </w:r>
      <w:r>
        <w:rPr>
          <w:rFonts w:hint="eastAsia" w:ascii="宋体" w:hAnsi="宋体" w:eastAsia="宋体" w:cs="宋体"/>
          <w:b/>
          <w:bCs/>
          <w:color w:val="auto"/>
          <w:kern w:val="0"/>
          <w:sz w:val="21"/>
          <w:szCs w:val="20"/>
          <w:highlight w:val="none"/>
        </w:rPr>
        <w:t>：</w:t>
      </w:r>
      <w:r>
        <w:rPr>
          <w:rFonts w:hint="eastAsia" w:ascii="宋体" w:hAnsi="宋体" w:eastAsia="宋体" w:cs="宋体"/>
          <w:color w:val="auto"/>
          <w:kern w:val="0"/>
          <w:sz w:val="21"/>
          <w:szCs w:val="20"/>
          <w:highlight w:val="none"/>
        </w:rPr>
        <w:t>合同总金额的</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合同签订后5个工作日内交纳。交付方式:保函/汇票/支票/电汇/转账等。交付完毕后提供保函或联系杭州电子科技大学计划财务处大厅开收据，服务完成验收合格后7个工作日内凭原始收据不计息退还，以保函形式提交的履约保证金无需办理退还手续。收款单位（户名）:杭州电子科技大学。开户银行：工行高新支行。银行账号：1202026209008806216。</w:t>
      </w:r>
    </w:p>
    <w:p w14:paraId="1440483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付款方式：按以下第</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种方式支付乙方合同价款。</w:t>
      </w:r>
    </w:p>
    <w:p w14:paraId="16896FA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w:t>
      </w:r>
      <w:r>
        <w:rPr>
          <w:rFonts w:hint="eastAsia" w:ascii="宋体" w:hAnsi="宋体" w:eastAsia="宋体" w:cs="宋体"/>
          <w:color w:val="auto"/>
          <w:spacing w:val="-6"/>
          <w:kern w:val="0"/>
          <w:sz w:val="21"/>
          <w:szCs w:val="20"/>
          <w:highlight w:val="none"/>
        </w:rPr>
        <w:t>1</w:t>
      </w:r>
      <w:r>
        <w:rPr>
          <w:rFonts w:hint="eastAsia" w:ascii="宋体" w:hAnsi="宋体" w:eastAsia="宋体" w:cs="宋体"/>
          <w:color w:val="auto"/>
          <w:kern w:val="0"/>
          <w:sz w:val="21"/>
          <w:szCs w:val="20"/>
          <w:highlight w:val="none"/>
        </w:rPr>
        <w:t>）预付款方式：合同生效以及具备实施条件且乙方已向甲方提交银行、保险公司等金融机构出具的预付款保函</w:t>
      </w:r>
      <w:r>
        <w:rPr>
          <w:rFonts w:hint="eastAsia" w:ascii="宋体" w:hAnsi="宋体" w:eastAsia="宋体" w:cs="宋体"/>
          <w:color w:val="auto"/>
          <w:kern w:val="0"/>
          <w:sz w:val="21"/>
          <w:szCs w:val="20"/>
          <w:highlight w:val="none"/>
          <w:lang w:val="en-US" w:eastAsia="zh-CN"/>
        </w:rPr>
        <w:t>后</w:t>
      </w:r>
      <w:r>
        <w:rPr>
          <w:rFonts w:hint="eastAsia" w:ascii="宋体" w:hAnsi="宋体" w:eastAsia="宋体" w:cs="宋体"/>
          <w:color w:val="auto"/>
          <w:kern w:val="0"/>
          <w:sz w:val="21"/>
          <w:szCs w:val="20"/>
          <w:highlight w:val="none"/>
        </w:rPr>
        <w:t>，7个工作日内，甲方向乙方支付合同总价的</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w:t>
      </w:r>
      <w:r>
        <w:rPr>
          <w:rFonts w:hint="eastAsia" w:ascii="宋体" w:hAnsi="宋体" w:eastAsia="宋体" w:cs="宋体"/>
          <w:color w:val="auto"/>
          <w:kern w:val="0"/>
          <w:sz w:val="21"/>
          <w:szCs w:val="20"/>
          <w:highlight w:val="none"/>
          <w:lang w:val="en-US" w:eastAsia="zh-CN"/>
        </w:rPr>
        <w:t>中小微企业限</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0％</w:t>
      </w:r>
      <w:r>
        <w:rPr>
          <w:rFonts w:hint="eastAsia" w:ascii="宋体" w:hAnsi="宋体" w:eastAsia="宋体" w:cs="宋体"/>
          <w:color w:val="auto"/>
          <w:kern w:val="2"/>
          <w:sz w:val="24"/>
          <w:szCs w:val="24"/>
          <w:highlight w:val="none"/>
          <w:lang w:val="en-US" w:eastAsia="zh-CN"/>
        </w:rPr>
        <w:t>-7</w:t>
      </w:r>
      <w:r>
        <w:rPr>
          <w:rFonts w:hint="eastAsia" w:ascii="宋体" w:hAnsi="宋体" w:eastAsia="宋体" w:cs="宋体"/>
          <w:color w:val="auto"/>
          <w:kern w:val="2"/>
          <w:sz w:val="24"/>
          <w:szCs w:val="24"/>
          <w:highlight w:val="none"/>
        </w:rPr>
        <w:t>0%</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0"/>
          <w:sz w:val="21"/>
          <w:szCs w:val="20"/>
          <w:highlight w:val="none"/>
          <w:lang w:val="en-US" w:eastAsia="zh-CN"/>
        </w:rPr>
        <w:t>项目实施以人工投入为主的，中小微企业限20%-70%</w:t>
      </w:r>
      <w:r>
        <w:rPr>
          <w:rFonts w:hint="eastAsia" w:ascii="宋体" w:hAnsi="宋体" w:eastAsia="宋体" w:cs="宋体"/>
          <w:color w:val="auto"/>
          <w:kern w:val="0"/>
          <w:sz w:val="21"/>
          <w:szCs w:val="20"/>
          <w:highlight w:val="none"/>
        </w:rPr>
        <w:t>）；</w:t>
      </w:r>
      <w:r>
        <w:rPr>
          <w:rFonts w:hint="eastAsia" w:ascii="宋体" w:hAnsi="宋体" w:eastAsia="宋体" w:cs="宋体"/>
          <w:color w:val="auto"/>
          <w:kern w:val="0"/>
          <w:sz w:val="21"/>
          <w:szCs w:val="20"/>
          <w:highlight w:val="none"/>
          <w:lang w:val="en-US" w:eastAsia="zh-CN"/>
        </w:rPr>
        <w:t>服务完成，</w:t>
      </w:r>
      <w:r>
        <w:rPr>
          <w:rFonts w:hint="eastAsia" w:ascii="宋体" w:hAnsi="宋体" w:eastAsia="宋体" w:cs="宋体"/>
          <w:color w:val="auto"/>
          <w:kern w:val="0"/>
          <w:sz w:val="21"/>
          <w:szCs w:val="20"/>
          <w:highlight w:val="none"/>
        </w:rPr>
        <w:t>经甲方验收合格并收到增值税发票后7个工作日内，向乙方支付合同总价的</w:t>
      </w:r>
      <w:r>
        <w:rPr>
          <w:rFonts w:hint="eastAsia" w:ascii="宋体" w:hAnsi="宋体" w:eastAsia="宋体" w:cs="宋体"/>
          <w:color w:val="auto"/>
          <w:kern w:val="0"/>
          <w:sz w:val="21"/>
          <w:szCs w:val="20"/>
          <w:highlight w:val="none"/>
          <w:u w:val="single"/>
        </w:rPr>
        <w:t>　　　</w:t>
      </w:r>
      <w:r>
        <w:rPr>
          <w:rFonts w:hint="eastAsia" w:ascii="宋体" w:hAnsi="宋体" w:eastAsia="宋体" w:cs="宋体"/>
          <w:color w:val="auto"/>
          <w:kern w:val="0"/>
          <w:sz w:val="21"/>
          <w:szCs w:val="20"/>
          <w:highlight w:val="none"/>
        </w:rPr>
        <w:t>%。若供应商收取预付款，要求预付款保函有效期覆盖项目验收合格时间；提供了预付款保函则供应商无需再缴纳履约保证金。</w:t>
      </w:r>
    </w:p>
    <w:p w14:paraId="51295CA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（2）以人工投入为主且实行按月定期结算支付款项的项目，按月结算付款。</w:t>
      </w:r>
    </w:p>
    <w:p w14:paraId="234F4BD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（3）签订合同时乙方明确表示无需预付款，可以采用以下付款方式：</w:t>
      </w:r>
    </w:p>
    <w:p w14:paraId="03738D4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①</w:t>
      </w:r>
      <w:r>
        <w:rPr>
          <w:rFonts w:hint="eastAsia" w:ascii="宋体" w:hAnsi="宋体" w:eastAsia="宋体" w:cs="宋体"/>
          <w:b/>
          <w:color w:val="auto"/>
          <w:kern w:val="0"/>
          <w:sz w:val="21"/>
          <w:szCs w:val="20"/>
          <w:highlight w:val="none"/>
        </w:rPr>
        <w:t>一</w:t>
      </w:r>
      <w:r>
        <w:rPr>
          <w:rFonts w:hint="eastAsia" w:ascii="宋体" w:hAnsi="宋体" w:eastAsia="宋体" w:cs="宋体"/>
          <w:bCs/>
          <w:color w:val="auto"/>
          <w:kern w:val="0"/>
          <w:sz w:val="21"/>
          <w:szCs w:val="20"/>
          <w:highlight w:val="none"/>
        </w:rPr>
        <w:t>次性付款</w:t>
      </w:r>
      <w:r>
        <w:rPr>
          <w:rFonts w:hint="eastAsia" w:ascii="宋体" w:hAnsi="宋体" w:eastAsia="宋体" w:cs="宋体"/>
          <w:b/>
          <w:color w:val="auto"/>
          <w:kern w:val="0"/>
          <w:sz w:val="21"/>
          <w:szCs w:val="20"/>
          <w:highlight w:val="none"/>
        </w:rPr>
        <w:t>：</w:t>
      </w:r>
      <w:r>
        <w:rPr>
          <w:rFonts w:hint="eastAsia" w:ascii="宋体" w:hAnsi="宋体" w:eastAsia="宋体" w:cs="宋体"/>
          <w:color w:val="auto"/>
          <w:kern w:val="0"/>
          <w:sz w:val="21"/>
          <w:szCs w:val="20"/>
          <w:highlight w:val="none"/>
        </w:rPr>
        <w:t>服务</w:t>
      </w:r>
      <w:r>
        <w:rPr>
          <w:rFonts w:hint="eastAsia" w:ascii="宋体" w:hAnsi="宋体" w:eastAsia="宋体" w:cs="宋体"/>
          <w:color w:val="auto"/>
          <w:kern w:val="0"/>
          <w:sz w:val="21"/>
          <w:szCs w:val="21"/>
          <w:highlight w:val="none"/>
          <w:lang w:val="en-US" w:eastAsia="zh-CN"/>
        </w:rPr>
        <w:t>完成</w:t>
      </w:r>
      <w:r>
        <w:rPr>
          <w:rFonts w:hint="eastAsia" w:ascii="宋体" w:hAnsi="宋体" w:eastAsia="宋体" w:cs="宋体"/>
          <w:color w:val="auto"/>
          <w:kern w:val="0"/>
          <w:sz w:val="21"/>
          <w:szCs w:val="20"/>
          <w:highlight w:val="none"/>
        </w:rPr>
        <w:t>，甲方验收合格并收到发票后10个工作日内，甲方向乙方支付全部合同价款。</w:t>
      </w:r>
    </w:p>
    <w:p w14:paraId="4AA668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②</w:t>
      </w:r>
      <w:r>
        <w:rPr>
          <w:rFonts w:hint="eastAsia" w:ascii="宋体" w:hAnsi="宋体" w:eastAsia="宋体" w:cs="宋体"/>
          <w:bCs/>
          <w:color w:val="auto"/>
          <w:kern w:val="0"/>
          <w:sz w:val="21"/>
          <w:szCs w:val="20"/>
          <w:highlight w:val="none"/>
        </w:rPr>
        <w:t>按期结算</w:t>
      </w:r>
      <w:r>
        <w:rPr>
          <w:rFonts w:hint="eastAsia" w:ascii="宋体" w:hAnsi="宋体" w:eastAsia="宋体" w:cs="宋体"/>
          <w:b/>
          <w:color w:val="auto"/>
          <w:kern w:val="0"/>
          <w:sz w:val="21"/>
          <w:szCs w:val="20"/>
          <w:highlight w:val="none"/>
        </w:rPr>
        <w:t>：</w:t>
      </w:r>
      <w:r>
        <w:rPr>
          <w:rFonts w:hint="eastAsia" w:ascii="宋体" w:hAnsi="宋体" w:eastAsia="宋体" w:cs="宋体"/>
          <w:color w:val="auto"/>
          <w:kern w:val="0"/>
          <w:sz w:val="21"/>
          <w:szCs w:val="20"/>
          <w:highlight w:val="none"/>
        </w:rPr>
        <w:t>每</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末（月</w:t>
      </w:r>
      <w:r>
        <w:rPr>
          <w:rFonts w:hint="eastAsia" w:ascii="宋体" w:hAnsi="宋体" w:eastAsia="宋体" w:cs="宋体"/>
          <w:color w:val="auto"/>
          <w:kern w:val="0"/>
          <w:sz w:val="21"/>
          <w:szCs w:val="20"/>
          <w:highlight w:val="none"/>
          <w:lang w:val="en-US" w:eastAsia="zh-CN"/>
        </w:rPr>
        <w:t>\</w:t>
      </w:r>
      <w:r>
        <w:rPr>
          <w:rFonts w:hint="eastAsia" w:ascii="宋体" w:hAnsi="宋体" w:eastAsia="宋体" w:cs="宋体"/>
          <w:color w:val="auto"/>
          <w:kern w:val="0"/>
          <w:sz w:val="21"/>
          <w:szCs w:val="20"/>
          <w:highlight w:val="none"/>
        </w:rPr>
        <w:t>季度</w:t>
      </w:r>
      <w:r>
        <w:rPr>
          <w:rFonts w:hint="eastAsia" w:ascii="宋体" w:hAnsi="宋体" w:eastAsia="宋体" w:cs="宋体"/>
          <w:color w:val="auto"/>
          <w:kern w:val="0"/>
          <w:sz w:val="21"/>
          <w:szCs w:val="20"/>
          <w:highlight w:val="none"/>
          <w:lang w:val="en-US" w:eastAsia="zh-CN"/>
        </w:rPr>
        <w:t>\</w:t>
      </w:r>
      <w:r>
        <w:rPr>
          <w:rFonts w:hint="eastAsia" w:ascii="宋体" w:hAnsi="宋体" w:eastAsia="宋体" w:cs="宋体"/>
          <w:color w:val="auto"/>
          <w:kern w:val="0"/>
          <w:sz w:val="21"/>
          <w:szCs w:val="20"/>
          <w:highlight w:val="none"/>
        </w:rPr>
        <w:t>半年</w:t>
      </w:r>
      <w:r>
        <w:rPr>
          <w:rFonts w:hint="eastAsia" w:ascii="宋体" w:hAnsi="宋体" w:eastAsia="宋体" w:cs="宋体"/>
          <w:color w:val="auto"/>
          <w:kern w:val="0"/>
          <w:sz w:val="21"/>
          <w:szCs w:val="20"/>
          <w:highlight w:val="none"/>
          <w:lang w:val="en-US" w:eastAsia="zh-CN"/>
        </w:rPr>
        <w:t>\年</w:t>
      </w:r>
      <w:r>
        <w:rPr>
          <w:rFonts w:hint="eastAsia" w:ascii="宋体" w:hAnsi="宋体" w:eastAsia="宋体" w:cs="宋体"/>
          <w:color w:val="auto"/>
          <w:kern w:val="0"/>
          <w:sz w:val="21"/>
          <w:szCs w:val="20"/>
          <w:highlight w:val="none"/>
        </w:rPr>
        <w:t xml:space="preserve">），合同生效、具备使用条件并经甲方验收合格并收到发票后 10个工作日内，甲方向乙方支付本期款项。 </w:t>
      </w:r>
    </w:p>
    <w:p w14:paraId="14C8D3A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③按进度付款</w:t>
      </w:r>
      <w:r>
        <w:rPr>
          <w:rFonts w:hint="eastAsia" w:ascii="宋体" w:hAnsi="宋体" w:eastAsia="宋体" w:cs="宋体"/>
          <w:b/>
          <w:bCs/>
          <w:color w:val="auto"/>
          <w:kern w:val="0"/>
          <w:sz w:val="21"/>
          <w:szCs w:val="20"/>
          <w:highlight w:val="none"/>
        </w:rPr>
        <w:t>：</w:t>
      </w:r>
      <w:r>
        <w:rPr>
          <w:rFonts w:hint="eastAsia" w:ascii="宋体" w:hAnsi="宋体" w:eastAsia="宋体" w:cs="宋体"/>
          <w:color w:val="auto"/>
          <w:kern w:val="0"/>
          <w:sz w:val="21"/>
          <w:szCs w:val="20"/>
          <w:highlight w:val="none"/>
        </w:rPr>
        <w:t>每个进度节点，</w:t>
      </w:r>
      <w:r>
        <w:rPr>
          <w:rFonts w:hint="eastAsia" w:ascii="宋体" w:hAnsi="宋体" w:eastAsia="宋体" w:cs="宋体"/>
          <w:bCs/>
          <w:color w:val="auto"/>
          <w:kern w:val="0"/>
          <w:sz w:val="21"/>
          <w:szCs w:val="20"/>
          <w:highlight w:val="none"/>
        </w:rPr>
        <w:t>甲方</w:t>
      </w:r>
      <w:r>
        <w:rPr>
          <w:rFonts w:hint="eastAsia" w:ascii="宋体" w:hAnsi="宋体" w:eastAsia="宋体" w:cs="宋体"/>
          <w:color w:val="auto"/>
          <w:kern w:val="0"/>
          <w:sz w:val="21"/>
          <w:szCs w:val="20"/>
          <w:highlight w:val="none"/>
        </w:rPr>
        <w:t>验收合格并收到发票后10个工作日内，甲方向乙方支付对应款项</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lang w:val="en-US" w:eastAsia="zh-CN"/>
        </w:rPr>
        <w:t>具体结点及付款额度为</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rPr>
        <w:t>。</w:t>
      </w:r>
    </w:p>
    <w:p w14:paraId="454D63B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④其它支付形式</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rPr>
        <w:t>双方协商一致，</w:t>
      </w:r>
      <w:r>
        <w:rPr>
          <w:rFonts w:hint="eastAsia" w:ascii="宋体" w:hAnsi="宋体" w:eastAsia="宋体" w:cs="宋体"/>
          <w:color w:val="auto"/>
          <w:kern w:val="0"/>
          <w:sz w:val="21"/>
          <w:szCs w:val="20"/>
          <w:highlight w:val="none"/>
          <w:lang w:val="en-US" w:eastAsia="zh-CN"/>
        </w:rPr>
        <w:t>需</w:t>
      </w:r>
      <w:r>
        <w:rPr>
          <w:rFonts w:hint="eastAsia" w:ascii="宋体" w:hAnsi="宋体" w:eastAsia="宋体" w:cs="宋体"/>
          <w:color w:val="auto"/>
          <w:kern w:val="0"/>
          <w:sz w:val="21"/>
          <w:szCs w:val="20"/>
          <w:highlight w:val="none"/>
        </w:rPr>
        <w:t>符合采购法规</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rPr>
        <w:t>。</w:t>
      </w:r>
    </w:p>
    <w:p w14:paraId="7F80544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（4）房屋租赁、服务器租用、数据库使用等租用型项目，合同生效、具备使用条件并经甲方验收合格后按期支付费用</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lang w:val="en-US" w:eastAsia="zh-CN"/>
        </w:rPr>
        <w:t>按</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（月</w:t>
      </w:r>
      <w:r>
        <w:rPr>
          <w:rFonts w:hint="eastAsia" w:ascii="宋体" w:hAnsi="宋体" w:eastAsia="宋体" w:cs="宋体"/>
          <w:color w:val="auto"/>
          <w:kern w:val="0"/>
          <w:sz w:val="21"/>
          <w:szCs w:val="20"/>
          <w:highlight w:val="none"/>
          <w:lang w:val="en-US" w:eastAsia="zh-CN"/>
        </w:rPr>
        <w:t>\</w:t>
      </w:r>
      <w:r>
        <w:rPr>
          <w:rFonts w:hint="eastAsia" w:ascii="宋体" w:hAnsi="宋体" w:eastAsia="宋体" w:cs="宋体"/>
          <w:color w:val="auto"/>
          <w:kern w:val="0"/>
          <w:sz w:val="21"/>
          <w:szCs w:val="20"/>
          <w:highlight w:val="none"/>
        </w:rPr>
        <w:t>季度</w:t>
      </w:r>
      <w:r>
        <w:rPr>
          <w:rFonts w:hint="eastAsia" w:ascii="宋体" w:hAnsi="宋体" w:eastAsia="宋体" w:cs="宋体"/>
          <w:color w:val="auto"/>
          <w:kern w:val="0"/>
          <w:sz w:val="21"/>
          <w:szCs w:val="20"/>
          <w:highlight w:val="none"/>
          <w:lang w:val="en-US" w:eastAsia="zh-CN"/>
        </w:rPr>
        <w:t>\</w:t>
      </w:r>
      <w:r>
        <w:rPr>
          <w:rFonts w:hint="eastAsia" w:ascii="宋体" w:hAnsi="宋体" w:eastAsia="宋体" w:cs="宋体"/>
          <w:color w:val="auto"/>
          <w:kern w:val="0"/>
          <w:sz w:val="21"/>
          <w:szCs w:val="20"/>
          <w:highlight w:val="none"/>
        </w:rPr>
        <w:t>半年</w:t>
      </w:r>
      <w:r>
        <w:rPr>
          <w:rFonts w:hint="eastAsia" w:ascii="宋体" w:hAnsi="宋体" w:eastAsia="宋体" w:cs="宋体"/>
          <w:color w:val="auto"/>
          <w:kern w:val="0"/>
          <w:sz w:val="21"/>
          <w:szCs w:val="20"/>
          <w:highlight w:val="none"/>
          <w:lang w:val="en-US" w:eastAsia="zh-CN"/>
        </w:rPr>
        <w:t>\</w:t>
      </w:r>
      <w:r>
        <w:rPr>
          <w:rFonts w:hint="eastAsia" w:ascii="宋体" w:hAnsi="宋体" w:eastAsia="宋体" w:cs="宋体"/>
          <w:color w:val="auto"/>
          <w:kern w:val="0"/>
          <w:sz w:val="21"/>
          <w:szCs w:val="20"/>
          <w:highlight w:val="none"/>
        </w:rPr>
        <w:t>年）</w:t>
      </w:r>
      <w:r>
        <w:rPr>
          <w:rFonts w:hint="eastAsia" w:ascii="宋体" w:hAnsi="宋体" w:eastAsia="宋体" w:cs="宋体"/>
          <w:color w:val="auto"/>
          <w:kern w:val="0"/>
          <w:sz w:val="21"/>
          <w:szCs w:val="20"/>
          <w:highlight w:val="none"/>
          <w:lang w:val="en-US" w:eastAsia="zh-CN"/>
        </w:rPr>
        <w:t>支付</w:t>
      </w:r>
      <w:r>
        <w:rPr>
          <w:rFonts w:hint="eastAsia" w:ascii="宋体" w:hAnsi="宋体" w:eastAsia="宋体" w:cs="宋体"/>
          <w:color w:val="auto"/>
          <w:kern w:val="0"/>
          <w:sz w:val="21"/>
          <w:szCs w:val="20"/>
          <w:highlight w:val="none"/>
        </w:rPr>
        <w:t>。</w:t>
      </w:r>
    </w:p>
    <w:p w14:paraId="2797210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无论何种结算方式，付款前</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rPr>
        <w:t>乙方须交纳合同约定的履约保证金（如有）并提供甲方财务处开具的履约保证金收据，乙方向甲方开具等额有效的发票。</w:t>
      </w:r>
    </w:p>
    <w:p w14:paraId="086AEF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开票信息如下：</w:t>
      </w:r>
    </w:p>
    <w:p w14:paraId="720352B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单位名称：杭州电子科技大学。税号：12330000470009026T</w:t>
      </w:r>
    </w:p>
    <w:p w14:paraId="22D23C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开户银行：工行杭州高新支行。账号：1202026209008806216</w:t>
      </w:r>
    </w:p>
    <w:p w14:paraId="0C42B3D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五、双方权利与义务：</w:t>
      </w:r>
    </w:p>
    <w:p w14:paraId="3582AD5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（按采购文件及采购结果填写，如有）</w:t>
      </w:r>
    </w:p>
    <w:p w14:paraId="1C12509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六、知识产权要求</w:t>
      </w:r>
    </w:p>
    <w:p w14:paraId="3AC8E7B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4D960B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265E483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七、转包或分包</w:t>
      </w:r>
    </w:p>
    <w:p w14:paraId="0E5946A6">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1</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snapToGrid w:val="0"/>
          <w:color w:val="auto"/>
          <w:sz w:val="21"/>
          <w:szCs w:val="21"/>
          <w:highlight w:val="none"/>
          <w:lang w:val="en-US" w:eastAsia="zh-CN" w:bidi="ar-SA"/>
        </w:rPr>
        <w:t>本合同范围的标的，应由乙方直接供应，不得转让他人供应。</w:t>
      </w:r>
    </w:p>
    <w:p w14:paraId="5C5CD5F0">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2</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snapToGrid w:val="0"/>
          <w:color w:val="auto"/>
          <w:sz w:val="21"/>
          <w:szCs w:val="21"/>
          <w:highlight w:val="none"/>
          <w:lang w:val="en-US" w:eastAsia="zh-CN" w:bidi="ar-SA"/>
        </w:rPr>
        <w:t>除非得到甲方的书面同意，乙方不得将本合同范围的货物分包给他人供应。</w:t>
      </w:r>
    </w:p>
    <w:p w14:paraId="78EC7E3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如有转让或未经甲方同意的分包行为，甲方有权解除合同，没收履约保证金并要求乙方支付合同总价15%的违约金。</w:t>
      </w:r>
    </w:p>
    <w:p w14:paraId="570A07A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bookmarkStart w:id="45" w:name="_Hlk155173514"/>
      <w:r>
        <w:rPr>
          <w:rFonts w:hint="eastAsia" w:ascii="宋体" w:hAnsi="宋体" w:eastAsia="宋体" w:cs="宋体"/>
          <w:color w:val="auto"/>
          <w:kern w:val="0"/>
          <w:sz w:val="21"/>
          <w:szCs w:val="20"/>
          <w:highlight w:val="none"/>
        </w:rPr>
        <w:t>八、</w:t>
      </w:r>
      <w:bookmarkEnd w:id="45"/>
      <w:r>
        <w:rPr>
          <w:rFonts w:hint="eastAsia" w:ascii="宋体" w:hAnsi="宋体" w:eastAsia="宋体" w:cs="宋体"/>
          <w:color w:val="auto"/>
          <w:kern w:val="0"/>
          <w:sz w:val="21"/>
          <w:szCs w:val="20"/>
          <w:highlight w:val="none"/>
        </w:rPr>
        <w:t>验收</w:t>
      </w:r>
    </w:p>
    <w:p w14:paraId="26FA6A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1.验收前乙方应对所提供服务作出全面检查及对验收文件进行整理，并列出清单，作为甲方验收和使用的技术条件依据，检验的结果应交甲方。</w:t>
      </w:r>
    </w:p>
    <w:p w14:paraId="53600E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2.如甲方需要，验收时乙方应在现场，验收完毕后作出验收结果报告。 </w:t>
      </w:r>
    </w:p>
    <w:p w14:paraId="5BF09FC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color w:val="auto"/>
          <w:kern w:val="0"/>
          <w:sz w:val="21"/>
          <w:szCs w:val="20"/>
          <w:highlight w:val="none"/>
          <w:u w:val="single"/>
        </w:rPr>
        <w:t xml:space="preserve">    </w:t>
      </w:r>
      <w:r>
        <w:rPr>
          <w:rFonts w:hint="eastAsia" w:ascii="宋体" w:hAnsi="宋体" w:eastAsia="宋体" w:cs="宋体"/>
          <w:color w:val="auto"/>
          <w:kern w:val="0"/>
          <w:sz w:val="21"/>
          <w:szCs w:val="20"/>
          <w:highlight w:val="none"/>
        </w:rPr>
        <w:t>个工作日内开始验收。</w:t>
      </w:r>
    </w:p>
    <w:p w14:paraId="313F6C7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strike/>
          <w:color w:val="auto"/>
          <w:kern w:val="0"/>
          <w:sz w:val="21"/>
          <w:szCs w:val="20"/>
          <w:highlight w:val="none"/>
        </w:rPr>
      </w:pPr>
      <w:r>
        <w:rPr>
          <w:rFonts w:hint="eastAsia" w:ascii="宋体" w:hAnsi="宋体" w:eastAsia="宋体" w:cs="宋体"/>
          <w:color w:val="auto"/>
          <w:kern w:val="0"/>
          <w:sz w:val="21"/>
          <w:szCs w:val="20"/>
          <w:highlight w:val="none"/>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1EA19B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九、质量保证与售后服务</w:t>
      </w:r>
    </w:p>
    <w:p w14:paraId="607EB54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26AD35A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rPr>
      </w:pPr>
      <w:r>
        <w:rPr>
          <w:rFonts w:hint="eastAsia" w:ascii="宋体" w:hAnsi="宋体" w:eastAsia="宋体" w:cs="宋体"/>
          <w:color w:val="auto"/>
          <w:kern w:val="0"/>
          <w:sz w:val="21"/>
          <w:szCs w:val="20"/>
          <w:highlight w:val="none"/>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33A885D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rPr>
      </w:pPr>
      <w:r>
        <w:rPr>
          <w:rFonts w:hint="eastAsia" w:ascii="宋体" w:hAnsi="宋体" w:eastAsia="宋体" w:cs="宋体"/>
          <w:color w:val="auto"/>
          <w:kern w:val="0"/>
          <w:sz w:val="21"/>
          <w:szCs w:val="20"/>
          <w:highlight w:val="none"/>
        </w:rPr>
        <w:t>3.质量保证期内，乙方对本项目所含货物类产品免费提供维护、维修或更换，包括设备维修所需的零配件及不能解决的故障需要返回生产厂家维修时所发生的一切费用。</w:t>
      </w:r>
    </w:p>
    <w:p w14:paraId="2644551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十、保密条款</w:t>
      </w:r>
    </w:p>
    <w:p w14:paraId="13AF48C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445C60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十一、违约责任</w:t>
      </w:r>
    </w:p>
    <w:p w14:paraId="35173C6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甲方逾期支付款项的，每逾期一日，应按逾期付款总额</w:t>
      </w:r>
      <w:r>
        <w:rPr>
          <w:rFonts w:hint="eastAsia" w:ascii="宋体" w:hAnsi="宋体" w:eastAsia="宋体" w:cs="宋体"/>
          <w:color w:val="auto"/>
          <w:kern w:val="0"/>
          <w:sz w:val="21"/>
          <w:szCs w:val="20"/>
          <w:highlight w:val="none"/>
          <w:u w:val="single"/>
          <w:lang w:val="en-US" w:eastAsia="zh-CN"/>
        </w:rPr>
        <w:t>0.3‰</w:t>
      </w:r>
      <w:r>
        <w:rPr>
          <w:rFonts w:hint="eastAsia" w:ascii="宋体" w:hAnsi="宋体" w:eastAsia="宋体" w:cs="宋体"/>
          <w:color w:val="auto"/>
          <w:kern w:val="0"/>
          <w:sz w:val="21"/>
          <w:szCs w:val="20"/>
          <w:highlight w:val="none"/>
        </w:rPr>
        <w:t>向乙方支付违约金。</w:t>
      </w:r>
    </w:p>
    <w:p w14:paraId="569DD8D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乙方逾期履行合同的，每逾期一日，应按合同总价</w:t>
      </w:r>
      <w:r>
        <w:rPr>
          <w:rFonts w:hint="eastAsia" w:ascii="宋体" w:hAnsi="宋体" w:eastAsia="宋体" w:cs="宋体"/>
          <w:color w:val="auto"/>
          <w:kern w:val="0"/>
          <w:sz w:val="21"/>
          <w:szCs w:val="20"/>
          <w:highlight w:val="none"/>
          <w:u w:val="single"/>
          <w:lang w:val="en-US" w:eastAsia="zh-CN"/>
        </w:rPr>
        <w:t>0.3‰</w:t>
      </w:r>
      <w:r>
        <w:rPr>
          <w:rFonts w:hint="eastAsia" w:ascii="宋体" w:hAnsi="宋体" w:eastAsia="宋体" w:cs="宋体"/>
          <w:color w:val="auto"/>
          <w:kern w:val="0"/>
          <w:sz w:val="21"/>
          <w:szCs w:val="20"/>
          <w:highlight w:val="none"/>
        </w:rPr>
        <w:t>向甲方支付违约金。累计逾期超过约定日期</w:t>
      </w:r>
      <w:r>
        <w:rPr>
          <w:rFonts w:hint="eastAsia" w:ascii="宋体" w:hAnsi="宋体" w:eastAsia="宋体" w:cs="宋体"/>
          <w:color w:val="auto"/>
          <w:kern w:val="0"/>
          <w:sz w:val="21"/>
          <w:szCs w:val="20"/>
          <w:highlight w:val="none"/>
          <w:u w:val="single"/>
        </w:rPr>
        <w:t xml:space="preserve"> 10 </w:t>
      </w:r>
      <w:r>
        <w:rPr>
          <w:rFonts w:hint="eastAsia" w:ascii="宋体" w:hAnsi="宋体" w:eastAsia="宋体" w:cs="宋体"/>
          <w:color w:val="auto"/>
          <w:kern w:val="0"/>
          <w:sz w:val="21"/>
          <w:szCs w:val="20"/>
          <w:highlight w:val="none"/>
        </w:rPr>
        <w:t>个工作日的，甲方有权解除本合同，乙方应向</w:t>
      </w:r>
      <w:r>
        <w:rPr>
          <w:rFonts w:hint="eastAsia" w:ascii="宋体" w:hAnsi="宋体" w:eastAsia="宋体" w:cs="宋体"/>
          <w:color w:val="auto"/>
          <w:spacing w:val="-6"/>
          <w:kern w:val="0"/>
          <w:sz w:val="21"/>
          <w:szCs w:val="20"/>
          <w:highlight w:val="none"/>
        </w:rPr>
        <w:t>甲方返还全部已支付价款，并按合同总价的</w:t>
      </w:r>
      <w:r>
        <w:rPr>
          <w:rFonts w:hint="eastAsia" w:ascii="宋体" w:hAnsi="宋体" w:eastAsia="宋体" w:cs="宋体"/>
          <w:color w:val="auto"/>
          <w:kern w:val="0"/>
          <w:sz w:val="21"/>
          <w:szCs w:val="20"/>
          <w:highlight w:val="none"/>
          <w:u w:val="single"/>
        </w:rPr>
        <w:t>5 %</w:t>
      </w:r>
      <w:r>
        <w:rPr>
          <w:rFonts w:hint="eastAsia" w:ascii="宋体" w:hAnsi="宋体" w:eastAsia="宋体" w:cs="宋体"/>
          <w:color w:val="auto"/>
          <w:spacing w:val="-6"/>
          <w:kern w:val="0"/>
          <w:sz w:val="21"/>
          <w:szCs w:val="20"/>
          <w:highlight w:val="none"/>
        </w:rPr>
        <w:t>向甲方支付违约金，</w:t>
      </w:r>
      <w:r>
        <w:rPr>
          <w:rFonts w:hint="eastAsia" w:ascii="宋体" w:hAnsi="宋体" w:eastAsia="宋体" w:cs="宋体"/>
          <w:color w:val="auto"/>
          <w:kern w:val="0"/>
          <w:sz w:val="21"/>
          <w:szCs w:val="20"/>
          <w:highlight w:val="none"/>
        </w:rPr>
        <w:t>违约金不足以弥补甲方损失的，乙方还应向</w:t>
      </w:r>
      <w:r>
        <w:rPr>
          <w:rFonts w:hint="eastAsia" w:ascii="宋体" w:hAnsi="宋体" w:eastAsia="宋体" w:cs="宋体"/>
          <w:color w:val="auto"/>
          <w:spacing w:val="-6"/>
          <w:kern w:val="0"/>
          <w:sz w:val="21"/>
          <w:szCs w:val="20"/>
          <w:highlight w:val="none"/>
        </w:rPr>
        <w:t>甲方赔偿遭受的全部损失。</w:t>
      </w:r>
      <w:r>
        <w:rPr>
          <w:rFonts w:hint="eastAsia" w:ascii="宋体" w:hAnsi="宋体" w:eastAsia="宋体" w:cs="宋体"/>
          <w:color w:val="auto"/>
          <w:kern w:val="0"/>
          <w:sz w:val="21"/>
          <w:szCs w:val="20"/>
          <w:highlight w:val="none"/>
        </w:rPr>
        <w:t xml:space="preserve"> </w:t>
      </w:r>
    </w:p>
    <w:p w14:paraId="5D4E318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color w:val="auto"/>
          <w:kern w:val="0"/>
          <w:sz w:val="21"/>
          <w:szCs w:val="20"/>
          <w:highlight w:val="none"/>
          <w:u w:val="single"/>
        </w:rPr>
        <w:t>5 %</w:t>
      </w:r>
      <w:r>
        <w:rPr>
          <w:rFonts w:hint="eastAsia" w:ascii="宋体" w:hAnsi="宋体" w:eastAsia="宋体" w:cs="宋体"/>
          <w:color w:val="auto"/>
          <w:kern w:val="0"/>
          <w:sz w:val="21"/>
          <w:szCs w:val="20"/>
          <w:highlight w:val="none"/>
        </w:rPr>
        <w:t>向甲方支付违约金，违约金不足以弥补甲方损失的，乙方还应向甲方赔偿遭受的全部损失。</w:t>
      </w:r>
    </w:p>
    <w:p w14:paraId="76545CE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rPr>
      </w:pPr>
      <w:r>
        <w:rPr>
          <w:rFonts w:hint="eastAsia" w:ascii="宋体" w:hAnsi="宋体" w:eastAsia="宋体" w:cs="宋体"/>
          <w:color w:val="auto"/>
          <w:kern w:val="0"/>
          <w:sz w:val="21"/>
          <w:szCs w:val="20"/>
          <w:highlight w:val="none"/>
        </w:rPr>
        <w:t>4.</w:t>
      </w:r>
      <w:r>
        <w:rPr>
          <w:rFonts w:hint="eastAsia" w:ascii="宋体" w:hAnsi="宋体" w:eastAsia="宋体" w:cs="宋体"/>
          <w:color w:val="auto"/>
          <w:spacing w:val="-6"/>
          <w:kern w:val="0"/>
          <w:sz w:val="21"/>
          <w:szCs w:val="20"/>
          <w:highlight w:val="none"/>
        </w:rPr>
        <w:t>服务期内乙方未在约定时间内作出服务响应的，</w:t>
      </w:r>
      <w:r>
        <w:rPr>
          <w:rFonts w:hint="eastAsia" w:ascii="宋体" w:hAnsi="宋体" w:eastAsia="宋体" w:cs="宋体"/>
          <w:color w:val="auto"/>
          <w:kern w:val="0"/>
          <w:sz w:val="21"/>
          <w:szCs w:val="20"/>
          <w:highlight w:val="none"/>
        </w:rPr>
        <w:t>每发生一次应向甲方支付</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u w:val="single"/>
          <w:lang w:val="en-US" w:eastAsia="zh-CN"/>
        </w:rPr>
        <w:t>2000</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元的违约金，</w:t>
      </w:r>
      <w:r>
        <w:rPr>
          <w:rFonts w:hint="eastAsia" w:ascii="宋体" w:hAnsi="宋体" w:eastAsia="宋体" w:cs="宋体"/>
          <w:color w:val="auto"/>
          <w:spacing w:val="-6"/>
          <w:kern w:val="0"/>
          <w:sz w:val="21"/>
          <w:szCs w:val="20"/>
          <w:highlight w:val="none"/>
        </w:rPr>
        <w:t>甲方有权委托第三方提供服务，</w:t>
      </w:r>
      <w:r>
        <w:rPr>
          <w:rFonts w:hint="eastAsia" w:ascii="宋体" w:hAnsi="宋体" w:eastAsia="宋体" w:cs="宋体"/>
          <w:color w:val="auto"/>
          <w:kern w:val="0"/>
          <w:sz w:val="21"/>
          <w:szCs w:val="20"/>
          <w:highlight w:val="none"/>
        </w:rPr>
        <w:t>所产生的费用由乙方承担。</w:t>
      </w:r>
    </w:p>
    <w:p w14:paraId="2FBEF26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19B24F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十二、不可抗力</w:t>
      </w:r>
    </w:p>
    <w:p w14:paraId="38D567B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在合同有效期内，任何一方因不可抗力事件导致不能履行合同，则合同履行期可延长，其延长期与不可抗力影响期相同。</w:t>
      </w:r>
    </w:p>
    <w:p w14:paraId="78383B4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 xml:space="preserve"> 不可抗力事件发生后，受不可抗力事件影响的一方应在事件发生后3日内立即通知对方，并寄送有关权威机构出具的证明。同时应立即尽一切合理努力采取措施，消除影响，减少损失。</w:t>
      </w:r>
    </w:p>
    <w:p w14:paraId="3C983C8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 xml:space="preserve"> 不可抗力事件延续30天以上，双方应通过友好协商，确定是否继续履行合同。</w:t>
      </w:r>
    </w:p>
    <w:p w14:paraId="60D5BAD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4. 本条所述的“不可抗力”依法律规定。</w:t>
      </w:r>
    </w:p>
    <w:p w14:paraId="496A933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十三、法律适用与争议解决</w:t>
      </w:r>
    </w:p>
    <w:p w14:paraId="05FE217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本合同的订立、解释、履行及争议解决，均适用中华人民共和国法律。</w:t>
      </w:r>
    </w:p>
    <w:p w14:paraId="19FFA02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本合同履行过程中发生争议的，甲乙双方应友好协商；协商不成的，任何一方可向甲方所在地人民法院起诉。</w:t>
      </w:r>
    </w:p>
    <w:p w14:paraId="4750DDB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十四、合同生效及其他</w:t>
      </w:r>
    </w:p>
    <w:p w14:paraId="5E598A7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本合同经甲、乙双方代表签字并加盖单位公章或合同专用章后生效，甲方的单位公章盖采购中心合同专用章。</w:t>
      </w:r>
    </w:p>
    <w:p w14:paraId="391D1DB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bookmarkStart w:id="46" w:name="_Hlk154756484"/>
      <w:r>
        <w:rPr>
          <w:rFonts w:hint="eastAsia" w:ascii="宋体" w:hAnsi="宋体" w:eastAsia="宋体" w:cs="宋体"/>
          <w:color w:val="auto"/>
          <w:kern w:val="0"/>
          <w:sz w:val="21"/>
          <w:szCs w:val="20"/>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46"/>
    <w:p w14:paraId="21C5BCC8">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zh-CN"/>
        </w:rPr>
      </w:pPr>
      <w:bookmarkStart w:id="47" w:name="_Hlk154756502"/>
      <w:r>
        <w:rPr>
          <w:rFonts w:hint="eastAsia" w:ascii="宋体" w:hAnsi="宋体" w:eastAsia="宋体" w:cs="宋体"/>
          <w:color w:val="auto"/>
          <w:spacing w:val="-6"/>
          <w:kern w:val="0"/>
          <w:sz w:val="21"/>
          <w:szCs w:val="20"/>
          <w:highlight w:val="none"/>
        </w:rPr>
        <w:t>3.</w:t>
      </w:r>
      <w:bookmarkEnd w:id="47"/>
      <w:r>
        <w:rPr>
          <w:rFonts w:hint="eastAsia" w:ascii="宋体" w:hAnsi="宋体" w:eastAsia="宋体" w:cs="宋体"/>
          <w:color w:val="auto"/>
          <w:kern w:val="0"/>
          <w:sz w:val="21"/>
          <w:szCs w:val="20"/>
          <w:highlight w:val="none"/>
        </w:rPr>
        <w:t>本次采购过程中形成的招标（非招标）</w:t>
      </w:r>
      <w:r>
        <w:rPr>
          <w:rFonts w:hint="eastAsia" w:ascii="宋体" w:hAnsi="宋体" w:eastAsia="宋体" w:cs="宋体"/>
          <w:color w:val="auto"/>
          <w:kern w:val="0"/>
          <w:sz w:val="21"/>
          <w:szCs w:val="20"/>
          <w:highlight w:val="none"/>
          <w:lang w:val="zh-CN"/>
        </w:rPr>
        <w:t>文件</w:t>
      </w:r>
      <w:r>
        <w:rPr>
          <w:rFonts w:hint="eastAsia" w:ascii="宋体" w:hAnsi="宋体" w:eastAsia="宋体" w:cs="宋体"/>
          <w:color w:val="auto"/>
          <w:kern w:val="0"/>
          <w:sz w:val="21"/>
          <w:szCs w:val="20"/>
          <w:highlight w:val="none"/>
        </w:rPr>
        <w:t>、投标（响应）文件、澄清承诺、补充协议、附件等</w:t>
      </w:r>
      <w:r>
        <w:rPr>
          <w:rFonts w:hint="eastAsia" w:ascii="宋体" w:hAnsi="宋体" w:eastAsia="宋体" w:cs="宋体"/>
          <w:color w:val="auto"/>
          <w:kern w:val="0"/>
          <w:sz w:val="21"/>
          <w:szCs w:val="20"/>
          <w:highlight w:val="none"/>
          <w:lang w:val="zh-CN"/>
        </w:rPr>
        <w:t>为本合同的组成部分，并构成一个整体，需综合解释、相互补充。如果</w:t>
      </w:r>
      <w:r>
        <w:rPr>
          <w:rFonts w:hint="eastAsia" w:ascii="宋体" w:hAnsi="宋体" w:eastAsia="宋体" w:cs="宋体"/>
          <w:color w:val="auto"/>
          <w:kern w:val="0"/>
          <w:sz w:val="21"/>
          <w:szCs w:val="20"/>
          <w:highlight w:val="none"/>
        </w:rPr>
        <w:t>上述</w:t>
      </w:r>
      <w:r>
        <w:rPr>
          <w:rFonts w:hint="eastAsia" w:ascii="宋体" w:hAnsi="宋体" w:eastAsia="宋体" w:cs="宋体"/>
          <w:color w:val="auto"/>
          <w:kern w:val="0"/>
          <w:sz w:val="21"/>
          <w:szCs w:val="20"/>
          <w:highlight w:val="none"/>
          <w:lang w:val="zh-CN"/>
        </w:rPr>
        <w:t>文件内容出现不一致的情形，那么在保证按照采购文件确定的事项的前提下，组成本合同的多个文件的优先适用顺序如下：</w:t>
      </w:r>
    </w:p>
    <w:p w14:paraId="674510D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rPr>
      </w:pPr>
      <w:r>
        <w:rPr>
          <w:rFonts w:hint="eastAsia" w:ascii="宋体" w:hAnsi="宋体" w:eastAsia="宋体" w:cs="宋体"/>
          <w:color w:val="auto"/>
          <w:kern w:val="0"/>
          <w:sz w:val="21"/>
          <w:szCs w:val="20"/>
          <w:highlight w:val="none"/>
          <w:lang w:val="zh-CN"/>
        </w:rPr>
        <w:t>（1）本合同及其补充合同、变更协议；</w:t>
      </w:r>
    </w:p>
    <w:p w14:paraId="37072C3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rPr>
      </w:pPr>
      <w:r>
        <w:rPr>
          <w:rFonts w:hint="eastAsia" w:ascii="宋体" w:hAnsi="宋体" w:eastAsia="宋体" w:cs="宋体"/>
          <w:color w:val="auto"/>
          <w:kern w:val="0"/>
          <w:sz w:val="21"/>
          <w:szCs w:val="20"/>
          <w:highlight w:val="none"/>
        </w:rPr>
        <w:t>（2）中标（成交）</w:t>
      </w:r>
      <w:r>
        <w:rPr>
          <w:rFonts w:hint="eastAsia" w:ascii="宋体" w:hAnsi="宋体" w:eastAsia="宋体" w:cs="宋体"/>
          <w:color w:val="auto"/>
          <w:kern w:val="0"/>
          <w:sz w:val="21"/>
          <w:szCs w:val="20"/>
          <w:highlight w:val="none"/>
          <w:lang w:val="zh-CN"/>
        </w:rPr>
        <w:t>通知书；</w:t>
      </w:r>
    </w:p>
    <w:p w14:paraId="21D2E7B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rPr>
      </w:pPr>
      <w:r>
        <w:rPr>
          <w:rFonts w:hint="eastAsia" w:ascii="宋体" w:hAnsi="宋体" w:eastAsia="宋体" w:cs="宋体"/>
          <w:color w:val="auto"/>
          <w:kern w:val="0"/>
          <w:sz w:val="21"/>
          <w:szCs w:val="20"/>
          <w:highlight w:val="none"/>
        </w:rPr>
        <w:t>（3）投标（</w:t>
      </w:r>
      <w:r>
        <w:rPr>
          <w:rFonts w:hint="eastAsia" w:ascii="宋体" w:hAnsi="宋体" w:eastAsia="宋体" w:cs="宋体"/>
          <w:color w:val="auto"/>
          <w:kern w:val="0"/>
          <w:sz w:val="21"/>
          <w:szCs w:val="20"/>
          <w:highlight w:val="none"/>
          <w:lang w:val="zh-CN"/>
        </w:rPr>
        <w:t>响应）文件（含澄清或者说明文件）；</w:t>
      </w:r>
    </w:p>
    <w:p w14:paraId="192C0C6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rPr>
      </w:pPr>
      <w:r>
        <w:rPr>
          <w:rFonts w:hint="eastAsia" w:ascii="宋体" w:hAnsi="宋体" w:eastAsia="宋体" w:cs="宋体"/>
          <w:color w:val="auto"/>
          <w:kern w:val="0"/>
          <w:sz w:val="21"/>
          <w:szCs w:val="20"/>
          <w:highlight w:val="none"/>
        </w:rPr>
        <w:t>（4）招标（非招标）</w:t>
      </w:r>
      <w:r>
        <w:rPr>
          <w:rFonts w:hint="eastAsia" w:ascii="宋体" w:hAnsi="宋体" w:eastAsia="宋体" w:cs="宋体"/>
          <w:color w:val="auto"/>
          <w:kern w:val="0"/>
          <w:sz w:val="21"/>
          <w:szCs w:val="20"/>
          <w:highlight w:val="none"/>
          <w:lang w:val="zh-CN"/>
        </w:rPr>
        <w:t>文件（含澄清或者修改文件）；</w:t>
      </w:r>
    </w:p>
    <w:p w14:paraId="7530F18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（5）</w:t>
      </w:r>
      <w:r>
        <w:rPr>
          <w:rFonts w:hint="eastAsia" w:ascii="宋体" w:hAnsi="宋体" w:eastAsia="宋体" w:cs="宋体"/>
          <w:color w:val="auto"/>
          <w:kern w:val="0"/>
          <w:sz w:val="21"/>
          <w:szCs w:val="20"/>
          <w:highlight w:val="none"/>
          <w:lang w:val="zh-CN"/>
        </w:rPr>
        <w:t>其他相关采购文件。</w:t>
      </w:r>
    </w:p>
    <w:p w14:paraId="70C2ABC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bookmarkStart w:id="48" w:name="_Hlk154756515"/>
      <w:r>
        <w:rPr>
          <w:rFonts w:hint="eastAsia" w:ascii="宋体" w:hAnsi="宋体" w:eastAsia="宋体" w:cs="宋体"/>
          <w:color w:val="auto"/>
          <w:kern w:val="0"/>
          <w:sz w:val="21"/>
          <w:szCs w:val="20"/>
          <w:highlight w:val="none"/>
        </w:rPr>
        <w:t>4.本合同未尽事宜，遵照《中华人民共和国民法典》有关条文执行。</w:t>
      </w:r>
    </w:p>
    <w:p w14:paraId="5319B317">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spacing w:val="-6"/>
          <w:kern w:val="0"/>
          <w:sz w:val="21"/>
          <w:szCs w:val="20"/>
          <w:highlight w:val="none"/>
        </w:rPr>
        <w:t>5.</w:t>
      </w:r>
      <w:r>
        <w:rPr>
          <w:rFonts w:hint="eastAsia" w:ascii="宋体" w:hAnsi="宋体" w:eastAsia="宋体" w:cs="宋体"/>
          <w:color w:val="auto"/>
          <w:kern w:val="0"/>
          <w:sz w:val="21"/>
          <w:szCs w:val="20"/>
          <w:highlight w:val="none"/>
        </w:rPr>
        <w:t>本合同一式伍份，甲方执三份，乙方和鉴证方各执一份，具有同等法律效力。</w:t>
      </w:r>
    </w:p>
    <w:bookmarkEnd w:id="48"/>
    <w:p w14:paraId="0F985B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合同附件：（附件名称</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u w:val="none"/>
        </w:rPr>
        <w:t>）</w:t>
      </w:r>
      <w:r>
        <w:rPr>
          <w:rFonts w:hint="eastAsia" w:ascii="宋体" w:hAnsi="宋体" w:eastAsia="宋体" w:cs="宋体"/>
          <w:color w:val="auto"/>
          <w:kern w:val="0"/>
          <w:sz w:val="21"/>
          <w:szCs w:val="20"/>
          <w:highlight w:val="none"/>
        </w:rPr>
        <w:t>（如有）</w:t>
      </w:r>
    </w:p>
    <w:tbl>
      <w:tblPr>
        <w:tblStyle w:val="1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79"/>
        <w:gridCol w:w="4347"/>
      </w:tblGrid>
      <w:tr w14:paraId="6724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742" w:type="pct"/>
            <w:tcBorders>
              <w:tl2br w:val="nil"/>
              <w:tr2bl w:val="nil"/>
            </w:tcBorders>
            <w:vAlign w:val="center"/>
          </w:tcPr>
          <w:p w14:paraId="74FE1DD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甲方：杭州电子科技大学（公章）</w:t>
            </w:r>
          </w:p>
        </w:tc>
        <w:tc>
          <w:tcPr>
            <w:tcW w:w="2257" w:type="pct"/>
            <w:tcBorders>
              <w:tl2br w:val="nil"/>
              <w:tr2bl w:val="nil"/>
            </w:tcBorders>
            <w:vAlign w:val="center"/>
          </w:tcPr>
          <w:p w14:paraId="3B4098A9">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乙方：（公章）</w:t>
            </w:r>
          </w:p>
        </w:tc>
      </w:tr>
      <w:tr w14:paraId="24C1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2742" w:type="pct"/>
            <w:tcBorders>
              <w:tl2br w:val="nil"/>
              <w:tr2bl w:val="nil"/>
            </w:tcBorders>
            <w:vAlign w:val="center"/>
          </w:tcPr>
          <w:p w14:paraId="02B75B9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6DF4047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c>
          <w:tcPr>
            <w:tcW w:w="2257" w:type="pct"/>
            <w:tcBorders>
              <w:tl2br w:val="nil"/>
              <w:tr2bl w:val="nil"/>
            </w:tcBorders>
            <w:vAlign w:val="center"/>
          </w:tcPr>
          <w:p w14:paraId="63EA094F">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0E1E0C3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r>
      <w:tr w14:paraId="3C2B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74EE359A">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地址：杭州下沙高教园区二号大街1158号</w:t>
            </w:r>
          </w:p>
        </w:tc>
        <w:tc>
          <w:tcPr>
            <w:tcW w:w="2257" w:type="pct"/>
            <w:tcBorders>
              <w:tl2br w:val="nil"/>
              <w:tr2bl w:val="nil"/>
            </w:tcBorders>
            <w:vAlign w:val="center"/>
          </w:tcPr>
          <w:p w14:paraId="08F6DD1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地址</w:t>
            </w:r>
            <w:r>
              <w:rPr>
                <w:rFonts w:hint="eastAsia" w:ascii="宋体" w:hAnsi="宋体" w:eastAsia="宋体" w:cs="宋体"/>
                <w:color w:val="auto"/>
                <w:spacing w:val="-6"/>
                <w:kern w:val="0"/>
                <w:sz w:val="21"/>
                <w:szCs w:val="21"/>
                <w:highlight w:val="none"/>
                <w:lang w:eastAsia="zh-CN"/>
              </w:rPr>
              <w:t>：</w:t>
            </w:r>
          </w:p>
        </w:tc>
      </w:tr>
      <w:tr w14:paraId="2758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4656E17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tc>
        <w:tc>
          <w:tcPr>
            <w:tcW w:w="2257" w:type="pct"/>
            <w:tcBorders>
              <w:tl2br w:val="nil"/>
              <w:tr2bl w:val="nil"/>
            </w:tcBorders>
            <w:vAlign w:val="center"/>
          </w:tcPr>
          <w:p w14:paraId="7A6A0A2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tc>
      </w:tr>
      <w:tr w14:paraId="5AF6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DFD28B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开户银行：工行高新支行</w:t>
            </w:r>
          </w:p>
        </w:tc>
        <w:tc>
          <w:tcPr>
            <w:tcW w:w="2257" w:type="pct"/>
            <w:tcBorders>
              <w:tl2br w:val="nil"/>
              <w:tr2bl w:val="nil"/>
            </w:tcBorders>
            <w:vAlign w:val="center"/>
          </w:tcPr>
          <w:p w14:paraId="15933EB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w:t>
            </w:r>
          </w:p>
        </w:tc>
      </w:tr>
      <w:tr w14:paraId="4619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0CDB785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帐号：1202026209008806216</w:t>
            </w:r>
          </w:p>
        </w:tc>
        <w:tc>
          <w:tcPr>
            <w:tcW w:w="2257" w:type="pct"/>
            <w:tcBorders>
              <w:tl2br w:val="nil"/>
              <w:tr2bl w:val="nil"/>
            </w:tcBorders>
            <w:vAlign w:val="center"/>
          </w:tcPr>
          <w:p w14:paraId="03DFD34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w:t>
            </w:r>
          </w:p>
        </w:tc>
      </w:tr>
      <w:tr w14:paraId="2E2B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241E32B">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c>
          <w:tcPr>
            <w:tcW w:w="2257" w:type="pct"/>
            <w:tcBorders>
              <w:tl2br w:val="nil"/>
              <w:tr2bl w:val="nil"/>
            </w:tcBorders>
            <w:vAlign w:val="center"/>
          </w:tcPr>
          <w:p w14:paraId="374F2674">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r w14:paraId="16A3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2"/>
            <w:tcBorders>
              <w:tl2br w:val="nil"/>
              <w:tr2bl w:val="nil"/>
            </w:tcBorders>
          </w:tcPr>
          <w:p w14:paraId="7831CD4A">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合同鉴证方（公章）：</w:t>
            </w:r>
          </w:p>
          <w:p w14:paraId="2C3F08BC">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代表人：</w:t>
            </w:r>
          </w:p>
          <w:p w14:paraId="4D58C453">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p w14:paraId="437E0F81">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p w14:paraId="66BC8D12">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p w14:paraId="20DD0D3B">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bl>
    <w:p w14:paraId="2C50C931">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0AB7BCE">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14:paraId="15EF7AC3">
      <w:pPr>
        <w:adjustRightInd w:val="0"/>
        <w:snapToGrid w:val="0"/>
        <w:spacing w:line="288" w:lineRule="auto"/>
        <w:rPr>
          <w:color w:val="auto"/>
          <w:sz w:val="21"/>
          <w:szCs w:val="21"/>
          <w:highlight w:val="none"/>
        </w:rPr>
      </w:pPr>
    </w:p>
    <w:p w14:paraId="60B48F7C">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14:paraId="3D49684F">
      <w:pPr>
        <w:adjustRightInd w:val="0"/>
        <w:snapToGrid w:val="0"/>
        <w:spacing w:line="288" w:lineRule="auto"/>
        <w:rPr>
          <w:color w:val="auto"/>
          <w:sz w:val="21"/>
          <w:szCs w:val="21"/>
          <w:highlight w:val="none"/>
        </w:rPr>
      </w:pPr>
    </w:p>
    <w:p w14:paraId="155DC7D9">
      <w:pPr>
        <w:adjustRightInd w:val="0"/>
        <w:snapToGrid w:val="0"/>
        <w:spacing w:line="288" w:lineRule="auto"/>
        <w:ind w:firstLine="422" w:firstLineChars="200"/>
        <w:rPr>
          <w:b/>
          <w:bCs/>
          <w:color w:val="auto"/>
          <w:sz w:val="21"/>
          <w:szCs w:val="21"/>
          <w:highlight w:val="none"/>
        </w:rPr>
      </w:pPr>
      <w:bookmarkStart w:id="49" w:name="_Hlk71884160"/>
      <w:r>
        <w:rPr>
          <w:rFonts w:hint="eastAsia"/>
          <w:b/>
          <w:bCs/>
          <w:color w:val="auto"/>
          <w:sz w:val="21"/>
          <w:szCs w:val="21"/>
          <w:highlight w:val="none"/>
        </w:rPr>
        <w:t>▲1.资格文件（单独上传）。资格审查要求的资格证明材料（均需加盖公章）。</w:t>
      </w:r>
    </w:p>
    <w:bookmarkEnd w:id="49"/>
    <w:p w14:paraId="3739038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14:paraId="355EE811">
      <w:pPr>
        <w:adjustRightInd w:val="0"/>
        <w:snapToGrid w:val="0"/>
        <w:spacing w:line="288" w:lineRule="auto"/>
        <w:ind w:firstLine="420" w:firstLineChars="200"/>
        <w:rPr>
          <w:color w:val="auto"/>
          <w:sz w:val="21"/>
          <w:szCs w:val="21"/>
          <w:highlight w:val="none"/>
        </w:rPr>
      </w:pPr>
      <w:bookmarkStart w:id="50" w:name="_Hlk71884127"/>
      <w:r>
        <w:rPr>
          <w:rFonts w:hint="eastAsia"/>
          <w:color w:val="auto"/>
          <w:sz w:val="21"/>
          <w:szCs w:val="21"/>
          <w:highlight w:val="none"/>
        </w:rPr>
        <w:t>（</w:t>
      </w:r>
      <w:r>
        <w:rPr>
          <w:color w:val="auto"/>
          <w:sz w:val="21"/>
          <w:szCs w:val="21"/>
          <w:highlight w:val="none"/>
        </w:rPr>
        <w:t>2）符合参加政府采购活动应当具备的一般条件的承诺函</w:t>
      </w:r>
    </w:p>
    <w:p w14:paraId="20F43B9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3）落实政府采购政策需满足的资格要求：</w:t>
      </w:r>
    </w:p>
    <w:p w14:paraId="55EB92C5">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中小企业声明函（若属于中小企业）</w:t>
      </w:r>
    </w:p>
    <w:p w14:paraId="2E9FAF5D">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属于监狱企业的证明文件（若属于监狱企业）</w:t>
      </w:r>
    </w:p>
    <w:p w14:paraId="3D06A809">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残疾人福利性单位声明函（若属于残疾人福利性单位）</w:t>
      </w:r>
    </w:p>
    <w:p w14:paraId="0F6452E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联合协议、分包意向协议（如有）</w:t>
      </w:r>
    </w:p>
    <w:p w14:paraId="15EA5C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本项目的特定资格要求</w:t>
      </w:r>
      <w:r>
        <w:rPr>
          <w:color w:val="auto"/>
          <w:sz w:val="21"/>
          <w:szCs w:val="21"/>
          <w:highlight w:val="none"/>
        </w:rPr>
        <w:t>证明材料：无</w:t>
      </w:r>
    </w:p>
    <w:p w14:paraId="59F79014">
      <w:pPr>
        <w:adjustRightInd w:val="0"/>
        <w:snapToGrid w:val="0"/>
        <w:spacing w:line="288" w:lineRule="auto"/>
        <w:ind w:firstLine="396" w:firstLineChars="200"/>
        <w:rPr>
          <w:bCs/>
          <w:color w:val="auto"/>
          <w:sz w:val="21"/>
          <w:szCs w:val="21"/>
          <w:highlight w:val="none"/>
        </w:rPr>
      </w:pPr>
      <w:r>
        <w:rPr>
          <w:rFonts w:hint="eastAsia"/>
          <w:bCs/>
          <w:color w:val="auto"/>
          <w:spacing w:val="-6"/>
          <w:sz w:val="21"/>
          <w:szCs w:val="21"/>
          <w:highlight w:val="none"/>
        </w:rPr>
        <w:t>▲</w:t>
      </w:r>
      <w:r>
        <w:rPr>
          <w:rFonts w:hint="eastAsia"/>
          <w:bCs/>
          <w:color w:val="auto"/>
          <w:spacing w:val="-6"/>
          <w:sz w:val="21"/>
          <w:szCs w:val="21"/>
          <w:highlight w:val="none"/>
          <w:lang w:eastAsia="zh-CN"/>
        </w:rPr>
        <w:t>联合体响应的，联合体各方均应提供资格文件材料</w:t>
      </w:r>
      <w:r>
        <w:rPr>
          <w:bCs/>
          <w:color w:val="auto"/>
          <w:spacing w:val="-6"/>
          <w:sz w:val="21"/>
          <w:szCs w:val="21"/>
          <w:highlight w:val="none"/>
        </w:rPr>
        <w:t>。</w:t>
      </w:r>
    </w:p>
    <w:p w14:paraId="4AF0C040">
      <w:pPr>
        <w:adjustRightInd w:val="0"/>
        <w:snapToGrid w:val="0"/>
        <w:spacing w:line="288" w:lineRule="auto"/>
        <w:ind w:firstLine="422" w:firstLineChars="200"/>
        <w:rPr>
          <w:b/>
          <w:bCs/>
          <w:color w:val="auto"/>
          <w:sz w:val="21"/>
          <w:szCs w:val="21"/>
          <w:highlight w:val="none"/>
        </w:rPr>
      </w:pPr>
    </w:p>
    <w:bookmarkEnd w:id="50"/>
    <w:p w14:paraId="42898F2F">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14:paraId="5F5E6EB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14:paraId="1BD75B6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14:paraId="4E0710A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2025年1月（含）</w:t>
      </w:r>
      <w:r>
        <w:rPr>
          <w:color w:val="auto"/>
          <w:sz w:val="21"/>
          <w:szCs w:val="21"/>
          <w:highlight w:val="none"/>
        </w:rPr>
        <w:t>以后任意一月）</w:t>
      </w:r>
    </w:p>
    <w:p w14:paraId="7CBF732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14:paraId="52817A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14:paraId="35E4647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w:t>
      </w:r>
      <w:bookmarkStart w:id="51" w:name="_Hlk71884196"/>
      <w:r>
        <w:rPr>
          <w:rFonts w:hint="eastAsia"/>
          <w:color w:val="auto"/>
          <w:sz w:val="21"/>
          <w:szCs w:val="21"/>
          <w:highlight w:val="none"/>
          <w:lang w:val="en-US" w:eastAsia="zh-CN"/>
        </w:rPr>
        <w:t>服务</w:t>
      </w:r>
      <w:r>
        <w:rPr>
          <w:color w:val="auto"/>
          <w:sz w:val="21"/>
          <w:szCs w:val="21"/>
          <w:highlight w:val="none"/>
        </w:rPr>
        <w:t>方案</w:t>
      </w:r>
    </w:p>
    <w:p w14:paraId="726709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6</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51"/>
    </w:p>
    <w:p w14:paraId="7C925DF3">
      <w:pPr>
        <w:adjustRightInd w:val="0"/>
        <w:snapToGrid w:val="0"/>
        <w:spacing w:line="288" w:lineRule="auto"/>
        <w:ind w:firstLine="420" w:firstLineChars="200"/>
        <w:rPr>
          <w:color w:val="auto"/>
          <w:sz w:val="21"/>
          <w:szCs w:val="21"/>
          <w:highlight w:val="none"/>
        </w:rPr>
      </w:pPr>
    </w:p>
    <w:p w14:paraId="13E33326">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14:paraId="710F7AA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14:paraId="3F4D354A">
      <w:pPr>
        <w:widowControl/>
        <w:jc w:val="left"/>
        <w:rPr>
          <w:color w:val="auto"/>
          <w:sz w:val="21"/>
          <w:szCs w:val="21"/>
          <w:highlight w:val="none"/>
        </w:rPr>
      </w:pPr>
      <w:r>
        <w:rPr>
          <w:color w:val="auto"/>
          <w:sz w:val="21"/>
          <w:szCs w:val="21"/>
          <w:highlight w:val="none"/>
        </w:rPr>
        <w:br w:type="page"/>
      </w:r>
    </w:p>
    <w:p w14:paraId="2C402E32">
      <w:pPr>
        <w:tabs>
          <w:tab w:val="center" w:pos="4706"/>
        </w:tabs>
        <w:adjustRightInd w:val="0"/>
        <w:snapToGrid w:val="0"/>
        <w:spacing w:line="288" w:lineRule="auto"/>
        <w:jc w:val="center"/>
        <w:outlineLvl w:val="2"/>
        <w:rPr>
          <w:rFonts w:cs="Times New Roman"/>
          <w:b/>
          <w:color w:val="auto"/>
          <w:spacing w:val="-6"/>
          <w:sz w:val="21"/>
          <w:szCs w:val="21"/>
          <w:highlight w:val="none"/>
        </w:rPr>
      </w:pPr>
      <w:bookmarkStart w:id="52" w:name="_Hlk140130228"/>
      <w:r>
        <w:rPr>
          <w:rFonts w:hint="eastAsia" w:cs="Times New Roman"/>
          <w:b/>
          <w:color w:val="auto"/>
          <w:spacing w:val="-6"/>
          <w:sz w:val="21"/>
          <w:szCs w:val="21"/>
          <w:highlight w:val="none"/>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DCCA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E79006D">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序号</w:t>
            </w:r>
          </w:p>
        </w:tc>
        <w:tc>
          <w:tcPr>
            <w:tcW w:w="2091" w:type="dxa"/>
            <w:vAlign w:val="center"/>
          </w:tcPr>
          <w:p w14:paraId="7A3F097A">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评审因素</w:t>
            </w:r>
          </w:p>
        </w:tc>
        <w:tc>
          <w:tcPr>
            <w:tcW w:w="709" w:type="dxa"/>
            <w:vAlign w:val="center"/>
          </w:tcPr>
          <w:p w14:paraId="7A6CBC1F">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分值</w:t>
            </w:r>
          </w:p>
        </w:tc>
        <w:tc>
          <w:tcPr>
            <w:tcW w:w="3040" w:type="dxa"/>
            <w:vAlign w:val="center"/>
          </w:tcPr>
          <w:p w14:paraId="6C97ACD9">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评分标准</w:t>
            </w:r>
          </w:p>
        </w:tc>
        <w:tc>
          <w:tcPr>
            <w:tcW w:w="967" w:type="dxa"/>
            <w:vAlign w:val="center"/>
          </w:tcPr>
          <w:p w14:paraId="6BDD1FEB">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自评分</w:t>
            </w:r>
          </w:p>
        </w:tc>
        <w:tc>
          <w:tcPr>
            <w:tcW w:w="1053" w:type="dxa"/>
            <w:vAlign w:val="center"/>
          </w:tcPr>
          <w:p w14:paraId="22C2FFD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自评依据</w:t>
            </w:r>
          </w:p>
        </w:tc>
        <w:tc>
          <w:tcPr>
            <w:tcW w:w="882" w:type="dxa"/>
            <w:vAlign w:val="center"/>
          </w:tcPr>
          <w:p w14:paraId="2581901E">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页码</w:t>
            </w:r>
          </w:p>
        </w:tc>
      </w:tr>
      <w:tr w14:paraId="2B699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472494B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商务分</w:t>
            </w:r>
          </w:p>
        </w:tc>
      </w:tr>
      <w:tr w14:paraId="43F0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5C8F91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52A0A7BC">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3623687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5B5EB34">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6573E2BD">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57582E0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5D85F35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28376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EAED1DE">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00DC50E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25A9CBF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2982FAA">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4B1699D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217DC95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2B05C0D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3A8D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25357B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2091" w:type="dxa"/>
            <w:vAlign w:val="center"/>
          </w:tcPr>
          <w:p w14:paraId="3EA48A4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709" w:type="dxa"/>
            <w:vAlign w:val="center"/>
          </w:tcPr>
          <w:p w14:paraId="27DDB21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3040" w:type="dxa"/>
            <w:vAlign w:val="center"/>
          </w:tcPr>
          <w:p w14:paraId="41633EE2">
            <w:pPr>
              <w:keepNext w:val="0"/>
              <w:keepLines w:val="0"/>
              <w:suppressLineNumbers w:val="0"/>
              <w:adjustRightInd w:val="0"/>
              <w:snapToGrid w:val="0"/>
              <w:spacing w:before="0" w:beforeAutospacing="0" w:after="0" w:afterAutospacing="0" w:line="288" w:lineRule="auto"/>
              <w:ind w:left="0" w:right="0"/>
              <w:rPr>
                <w:rFonts w:hint="default" w:cs="Times New Roman"/>
                <w:color w:val="auto"/>
                <w:kern w:val="0"/>
                <w:sz w:val="21"/>
                <w:szCs w:val="21"/>
                <w:highlight w:val="none"/>
              </w:rPr>
            </w:pPr>
          </w:p>
        </w:tc>
        <w:tc>
          <w:tcPr>
            <w:tcW w:w="967" w:type="dxa"/>
            <w:vAlign w:val="center"/>
          </w:tcPr>
          <w:p w14:paraId="6777509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1053" w:type="dxa"/>
            <w:vAlign w:val="center"/>
          </w:tcPr>
          <w:p w14:paraId="415055F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882" w:type="dxa"/>
          </w:tcPr>
          <w:p w14:paraId="14957C7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r>
      <w:tr w14:paraId="06B5D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CBF589D">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3C774E8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2F98432E">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CA08CFC">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1E51BA8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5A4F12B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08356D4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46638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6C4831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5F8565C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481ECA0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748FBB71">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3105C93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6FB601E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41111CE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4AD6A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9F7F7A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58FCAB1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3A61D0B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3E3EA2A1">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0EBBF16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377BC0A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147FFA3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37F40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6732B9F">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技术</w:t>
            </w:r>
            <w:r>
              <w:rPr>
                <w:rFonts w:hint="default" w:cs="Times New Roman"/>
                <w:b/>
                <w:color w:val="auto"/>
                <w:spacing w:val="-6"/>
                <w:sz w:val="21"/>
                <w:szCs w:val="21"/>
                <w:highlight w:val="none"/>
              </w:rPr>
              <w:t>分</w:t>
            </w:r>
          </w:p>
        </w:tc>
      </w:tr>
      <w:tr w14:paraId="6BCA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3B8FF7A">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3C00535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5FE93B6C">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082A5CB">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2238647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49168F1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16D62884">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239C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5F7370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16942E7E">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70B6DF9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8D4D26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6026219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2A1CD4E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263E4FE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09F4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D741AF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131AA53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7D90095D">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42E811C8">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506AB73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2EC6C5C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5BEFF6B4">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26D5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F87D77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0A1E562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76669A4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34AAD3CE">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1528D11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5C72B454">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7AEDF86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560B2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45B3B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6305C5EA">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18B056FA">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59E5E77D">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37FC7C0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0A51C7A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60357D5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bl>
    <w:p w14:paraId="2FF1BECC">
      <w:pPr>
        <w:adjustRightInd w:val="0"/>
        <w:snapToGrid w:val="0"/>
        <w:spacing w:line="288" w:lineRule="auto"/>
        <w:rPr>
          <w:rFonts w:cs="Times New Roman"/>
          <w:color w:val="auto"/>
          <w:spacing w:val="-6"/>
          <w:sz w:val="21"/>
          <w:szCs w:val="21"/>
          <w:highlight w:val="none"/>
        </w:rPr>
      </w:pPr>
    </w:p>
    <w:p w14:paraId="5F657855">
      <w:pPr>
        <w:widowControl/>
        <w:jc w:val="left"/>
        <w:rPr>
          <w:rFonts w:cs="Times New Roman"/>
          <w:color w:val="auto"/>
          <w:spacing w:val="-6"/>
          <w:sz w:val="21"/>
          <w:szCs w:val="21"/>
          <w:highlight w:val="none"/>
        </w:rPr>
      </w:pPr>
      <w:r>
        <w:rPr>
          <w:rFonts w:hint="eastAsia" w:cs="Times New Roman"/>
          <w:color w:val="auto"/>
          <w:spacing w:val="-6"/>
          <w:sz w:val="21"/>
          <w:szCs w:val="21"/>
          <w:highlight w:val="none"/>
        </w:rPr>
        <w:t>备注：本表仅为方便磋商小组评审使用，不作为判别响应文件是否有效的依据。</w:t>
      </w:r>
    </w:p>
    <w:bookmarkEnd w:id="52"/>
    <w:p w14:paraId="497B34E3">
      <w:pPr>
        <w:widowControl/>
        <w:jc w:val="left"/>
        <w:rPr>
          <w:b/>
          <w:bCs/>
          <w:color w:val="auto"/>
          <w:sz w:val="21"/>
          <w:szCs w:val="21"/>
          <w:highlight w:val="none"/>
        </w:rPr>
      </w:pPr>
      <w:r>
        <w:rPr>
          <w:b/>
          <w:bCs/>
          <w:color w:val="auto"/>
          <w:sz w:val="21"/>
          <w:szCs w:val="21"/>
          <w:highlight w:val="none"/>
        </w:rPr>
        <w:br w:type="page"/>
      </w:r>
    </w:p>
    <w:p w14:paraId="7DF14F01">
      <w:pPr>
        <w:adjustRightInd w:val="0"/>
        <w:snapToGrid w:val="0"/>
        <w:spacing w:line="288" w:lineRule="auto"/>
        <w:rPr>
          <w:color w:val="auto"/>
          <w:highlight w:val="none"/>
        </w:rPr>
      </w:pPr>
    </w:p>
    <w:p w14:paraId="5AA76319">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14:paraId="488A660A">
      <w:pPr>
        <w:adjustRightInd w:val="0"/>
        <w:snapToGrid w:val="0"/>
        <w:spacing w:line="288" w:lineRule="auto"/>
        <w:jc w:val="center"/>
        <w:rPr>
          <w:b/>
          <w:bCs/>
          <w:color w:val="auto"/>
          <w:sz w:val="21"/>
          <w:szCs w:val="21"/>
          <w:highlight w:val="none"/>
        </w:rPr>
      </w:pPr>
    </w:p>
    <w:p w14:paraId="67F67905">
      <w:pPr>
        <w:adjustRightInd w:val="0"/>
        <w:snapToGrid w:val="0"/>
        <w:spacing w:line="288" w:lineRule="auto"/>
        <w:jc w:val="center"/>
        <w:rPr>
          <w:b/>
          <w:bCs/>
          <w:color w:val="auto"/>
          <w:sz w:val="21"/>
          <w:szCs w:val="21"/>
          <w:highlight w:val="none"/>
        </w:rPr>
      </w:pPr>
    </w:p>
    <w:p w14:paraId="3F9F2D41">
      <w:pPr>
        <w:adjustRightInd w:val="0"/>
        <w:snapToGrid w:val="0"/>
        <w:spacing w:line="288" w:lineRule="auto"/>
        <w:jc w:val="center"/>
        <w:rPr>
          <w:b/>
          <w:bCs/>
          <w:color w:val="auto"/>
          <w:sz w:val="21"/>
          <w:szCs w:val="21"/>
          <w:highlight w:val="none"/>
        </w:rPr>
      </w:pPr>
      <w:bookmarkStart w:id="53" w:name="_Hlk94097338"/>
      <w:r>
        <w:rPr>
          <w:rFonts w:hint="eastAsia"/>
          <w:b/>
          <w:bCs/>
          <w:color w:val="auto"/>
          <w:sz w:val="21"/>
          <w:szCs w:val="21"/>
          <w:highlight w:val="none"/>
        </w:rPr>
        <w:t>资格审查要求的资格证明材料（均需加盖公章）</w:t>
      </w:r>
    </w:p>
    <w:bookmarkEnd w:id="53"/>
    <w:p w14:paraId="0B552A1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7E76A60">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14:paraId="71118F86">
      <w:pPr>
        <w:adjustRightInd w:val="0"/>
        <w:snapToGrid w:val="0"/>
        <w:spacing w:line="288" w:lineRule="auto"/>
        <w:rPr>
          <w:color w:val="auto"/>
          <w:sz w:val="21"/>
          <w:szCs w:val="21"/>
          <w:highlight w:val="none"/>
        </w:rPr>
      </w:pPr>
    </w:p>
    <w:p w14:paraId="5896ABCF">
      <w:pPr>
        <w:adjustRightInd w:val="0"/>
        <w:snapToGrid w:val="0"/>
        <w:spacing w:line="288" w:lineRule="auto"/>
        <w:rPr>
          <w:color w:val="auto"/>
          <w:sz w:val="21"/>
          <w:szCs w:val="21"/>
          <w:highlight w:val="none"/>
        </w:rPr>
      </w:pPr>
      <w:r>
        <w:rPr>
          <w:rFonts w:hint="eastAsia"/>
          <w:color w:val="auto"/>
          <w:sz w:val="21"/>
          <w:szCs w:val="21"/>
          <w:highlight w:val="none"/>
        </w:rPr>
        <w:t>说明：</w:t>
      </w:r>
    </w:p>
    <w:p w14:paraId="031C1FEF">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14:paraId="4F08A4CE">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14:paraId="0383C68F">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14:paraId="75C1E10B">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14:paraId="5D02E8D8">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14:paraId="0C3F7BA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2695A27">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14:paraId="3CD63F93">
      <w:pPr>
        <w:adjustRightInd w:val="0"/>
        <w:snapToGrid w:val="0"/>
        <w:spacing w:line="288" w:lineRule="auto"/>
        <w:rPr>
          <w:rFonts w:cs="Times New Roman"/>
          <w:color w:val="auto"/>
          <w:sz w:val="21"/>
          <w:szCs w:val="21"/>
          <w:highlight w:val="none"/>
          <w:shd w:val="clear" w:color="auto" w:fill="FFFFFF"/>
        </w:rPr>
      </w:pPr>
    </w:p>
    <w:p w14:paraId="76C28DB5">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14:paraId="6BBAA089">
      <w:pPr>
        <w:adjustRightInd w:val="0"/>
        <w:snapToGrid w:val="0"/>
        <w:spacing w:line="288" w:lineRule="auto"/>
        <w:rPr>
          <w:rFonts w:cs="Times New Roman"/>
          <w:color w:val="auto"/>
          <w:spacing w:val="-6"/>
          <w:sz w:val="21"/>
          <w:szCs w:val="21"/>
          <w:highlight w:val="none"/>
        </w:rPr>
      </w:pPr>
    </w:p>
    <w:p w14:paraId="5230C73B">
      <w:pPr>
        <w:adjustRightInd w:val="0"/>
        <w:snapToGrid w:val="0"/>
        <w:spacing w:line="288" w:lineRule="auto"/>
        <w:ind w:firstLine="396" w:firstLineChars="200"/>
        <w:rPr>
          <w:rFonts w:cs="Times New Roman"/>
          <w:color w:val="auto"/>
          <w:spacing w:val="-6"/>
          <w:sz w:val="21"/>
          <w:szCs w:val="21"/>
          <w:highlight w:val="none"/>
        </w:rPr>
      </w:pPr>
      <w:bookmarkStart w:id="54"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14:paraId="7E189CE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14:paraId="062151F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14:paraId="43883DA8">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14:paraId="60493BA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14:paraId="35951F8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14:paraId="51175BE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14:paraId="39AAA90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14:paraId="263DF0A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14:paraId="461F26A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14:paraId="5A533FE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14:paraId="0CCFBAE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14:paraId="53F692C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14:paraId="2DDAD274">
      <w:pPr>
        <w:adjustRightInd w:val="0"/>
        <w:snapToGrid w:val="0"/>
        <w:spacing w:line="288" w:lineRule="auto"/>
        <w:rPr>
          <w:rFonts w:cs="Times New Roman"/>
          <w:color w:val="auto"/>
          <w:sz w:val="21"/>
          <w:szCs w:val="21"/>
          <w:highlight w:val="none"/>
        </w:rPr>
      </w:pPr>
    </w:p>
    <w:p w14:paraId="33ADA3CA">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14697773">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4"/>
    <w:p w14:paraId="7A3D3F6B">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6E40B5CE">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14:paraId="5ABDFEA5">
      <w:pPr>
        <w:adjustRightInd w:val="0"/>
        <w:snapToGrid w:val="0"/>
        <w:spacing w:line="288" w:lineRule="auto"/>
        <w:ind w:firstLine="498" w:firstLineChars="236"/>
        <w:jc w:val="center"/>
        <w:outlineLvl w:val="2"/>
        <w:rPr>
          <w:rFonts w:hint="eastAsia"/>
          <w:b/>
          <w:bCs/>
          <w:color w:val="auto"/>
          <w:sz w:val="21"/>
          <w:szCs w:val="21"/>
          <w:highlight w:val="none"/>
        </w:rPr>
      </w:pPr>
    </w:p>
    <w:p w14:paraId="0249C144">
      <w:pPr>
        <w:adjustRightInd w:val="0"/>
        <w:snapToGrid w:val="0"/>
        <w:spacing w:line="288" w:lineRule="auto"/>
        <w:ind w:firstLine="498" w:firstLineChars="236"/>
        <w:jc w:val="center"/>
        <w:outlineLvl w:val="2"/>
        <w:rPr>
          <w:b/>
          <w:bCs/>
          <w:i w:val="0"/>
          <w:iCs w:val="0"/>
          <w:color w:val="auto"/>
          <w:sz w:val="21"/>
          <w:szCs w:val="21"/>
          <w:highlight w:val="none"/>
        </w:rPr>
      </w:pPr>
      <w:r>
        <w:rPr>
          <w:b/>
          <w:bCs/>
          <w:color w:val="auto"/>
          <w:sz w:val="21"/>
          <w:szCs w:val="21"/>
          <w:highlight w:val="none"/>
        </w:rPr>
        <w:t>中小企业声明函（服务）</w:t>
      </w:r>
      <w:r>
        <w:rPr>
          <w:rFonts w:hint="eastAsia"/>
          <w:b/>
          <w:bCs/>
          <w:color w:val="auto"/>
          <w:sz w:val="21"/>
          <w:szCs w:val="21"/>
          <w:highlight w:val="none"/>
        </w:rPr>
        <w:t>（若属于中小</w:t>
      </w:r>
      <w:r>
        <w:rPr>
          <w:rFonts w:hint="eastAsia"/>
          <w:b/>
          <w:bCs/>
          <w:i w:val="0"/>
          <w:iCs w:val="0"/>
          <w:color w:val="auto"/>
          <w:sz w:val="21"/>
          <w:szCs w:val="21"/>
          <w:highlight w:val="none"/>
        </w:rPr>
        <w:t>企业）</w:t>
      </w:r>
    </w:p>
    <w:p w14:paraId="17455D5A">
      <w:pPr>
        <w:adjustRightInd w:val="0"/>
        <w:snapToGrid w:val="0"/>
        <w:spacing w:line="288" w:lineRule="auto"/>
        <w:ind w:firstLine="498" w:firstLineChars="236"/>
        <w:rPr>
          <w:b/>
          <w:i w:val="0"/>
          <w:iCs w:val="0"/>
          <w:color w:val="auto"/>
          <w:sz w:val="21"/>
          <w:szCs w:val="21"/>
          <w:highlight w:val="none"/>
        </w:rPr>
      </w:pPr>
    </w:p>
    <w:p w14:paraId="79F4E943">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本公司（联合体）郑重声明，根据《政府采购促进中小企业发展管理办法》（财库</w:t>
      </w:r>
      <w:r>
        <w:rPr>
          <w:rFonts w:hint="eastAsia"/>
          <w:i w:val="0"/>
          <w:iCs w:val="0"/>
          <w:color w:val="auto"/>
          <w:sz w:val="21"/>
          <w:szCs w:val="21"/>
          <w:highlight w:val="none"/>
        </w:rPr>
        <w:t>﹝</w:t>
      </w:r>
      <w:r>
        <w:rPr>
          <w:i w:val="0"/>
          <w:iCs w:val="0"/>
          <w:color w:val="auto"/>
          <w:sz w:val="21"/>
          <w:szCs w:val="21"/>
          <w:highlight w:val="none"/>
        </w:rPr>
        <w:t>2020</w:t>
      </w:r>
      <w:r>
        <w:rPr>
          <w:rFonts w:hint="eastAsia"/>
          <w:i w:val="0"/>
          <w:iCs w:val="0"/>
          <w:color w:val="auto"/>
          <w:sz w:val="21"/>
          <w:szCs w:val="21"/>
          <w:highlight w:val="none"/>
        </w:rPr>
        <w:t>﹞</w:t>
      </w:r>
      <w:r>
        <w:rPr>
          <w:i w:val="0"/>
          <w:iCs w:val="0"/>
          <w:color w:val="auto"/>
          <w:sz w:val="21"/>
          <w:szCs w:val="21"/>
          <w:highlight w:val="none"/>
        </w:rPr>
        <w:t>46 号）的规定，本公司（联合体）参加</w:t>
      </w:r>
      <w:r>
        <w:rPr>
          <w:rFonts w:hint="eastAsia"/>
          <w:i w:val="0"/>
          <w:iCs w:val="0"/>
          <w:color w:val="auto"/>
          <w:sz w:val="21"/>
          <w:szCs w:val="21"/>
          <w:highlight w:val="none"/>
          <w:u w:val="single"/>
          <w:lang w:val="en-US" w:eastAsia="zh-CN"/>
        </w:rPr>
        <w:t>杭州电子科技大学</w:t>
      </w:r>
      <w:r>
        <w:rPr>
          <w:i w:val="0"/>
          <w:iCs w:val="0"/>
          <w:color w:val="auto"/>
          <w:sz w:val="21"/>
          <w:szCs w:val="21"/>
          <w:highlight w:val="none"/>
        </w:rPr>
        <w:t>的</w:t>
      </w:r>
      <w:r>
        <w:rPr>
          <w:rFonts w:hint="eastAsia"/>
          <w:i w:val="0"/>
          <w:iCs w:val="0"/>
          <w:color w:val="auto"/>
          <w:sz w:val="21"/>
          <w:szCs w:val="21"/>
          <w:highlight w:val="none"/>
          <w:u w:val="single"/>
        </w:rPr>
        <w:t>2025年杭州电子科技大学信息化系统定制化开发服务</w:t>
      </w:r>
      <w:r>
        <w:rPr>
          <w:i w:val="0"/>
          <w:iCs w:val="0"/>
          <w:color w:val="auto"/>
          <w:sz w:val="21"/>
          <w:szCs w:val="21"/>
          <w:highlight w:val="none"/>
        </w:rPr>
        <w:t>采购活动，服务全部由符合政策要求的中小企业承接。相关企业（含联合体中的中小企业、签订分包意向协议的中小企业）的具体情况如下：</w:t>
      </w:r>
    </w:p>
    <w:p w14:paraId="0A42C013">
      <w:pPr>
        <w:adjustRightInd w:val="0"/>
        <w:snapToGrid w:val="0"/>
        <w:spacing w:line="288" w:lineRule="auto"/>
        <w:ind w:firstLine="495" w:firstLineChars="236"/>
        <w:rPr>
          <w:rFonts w:hint="eastAsia" w:eastAsia="宋体"/>
          <w:i w:val="0"/>
          <w:iCs w:val="0"/>
          <w:color w:val="auto"/>
          <w:sz w:val="21"/>
          <w:szCs w:val="21"/>
          <w:highlight w:val="none"/>
          <w:lang w:eastAsia="zh-CN"/>
        </w:rPr>
      </w:pPr>
      <w:r>
        <w:rPr>
          <w:rFonts w:hint="eastAsia"/>
          <w:i w:val="0"/>
          <w:iCs w:val="0"/>
          <w:color w:val="auto"/>
          <w:sz w:val="21"/>
          <w:szCs w:val="21"/>
          <w:highlight w:val="none"/>
          <w:u w:val="single"/>
        </w:rPr>
        <w:t>1</w:t>
      </w:r>
      <w:r>
        <w:rPr>
          <w:i w:val="0"/>
          <w:iCs w:val="0"/>
          <w:color w:val="auto"/>
          <w:sz w:val="21"/>
          <w:szCs w:val="21"/>
          <w:highlight w:val="none"/>
          <w:u w:val="single"/>
        </w:rPr>
        <w:t>.</w:t>
      </w:r>
      <w:r>
        <w:rPr>
          <w:rFonts w:hint="eastAsia"/>
          <w:i w:val="0"/>
          <w:iCs w:val="0"/>
          <w:color w:val="auto"/>
          <w:sz w:val="21"/>
          <w:szCs w:val="21"/>
          <w:highlight w:val="none"/>
          <w:u w:val="single"/>
        </w:rPr>
        <w:t>2025年杭州电子科技大学信息化系统定制化开发服务</w:t>
      </w:r>
      <w:r>
        <w:rPr>
          <w:i w:val="0"/>
          <w:iCs w:val="0"/>
          <w:color w:val="auto"/>
          <w:sz w:val="21"/>
          <w:szCs w:val="21"/>
          <w:highlight w:val="none"/>
          <w:u w:val="single"/>
        </w:rPr>
        <w:t>，属于</w:t>
      </w:r>
      <w:r>
        <w:rPr>
          <w:rFonts w:hint="eastAsia"/>
          <w:i w:val="0"/>
          <w:iCs w:val="0"/>
          <w:color w:val="auto"/>
          <w:sz w:val="21"/>
          <w:szCs w:val="21"/>
          <w:highlight w:val="none"/>
          <w:u w:val="single"/>
          <w:lang w:val="en-US" w:eastAsia="zh-CN"/>
        </w:rPr>
        <w:t>软件和信息技术服务业</w:t>
      </w:r>
      <w:r>
        <w:rPr>
          <w:i w:val="0"/>
          <w:iCs w:val="0"/>
          <w:color w:val="auto"/>
          <w:sz w:val="21"/>
          <w:szCs w:val="21"/>
          <w:highlight w:val="none"/>
          <w:u w:val="single"/>
        </w:rPr>
        <w:t>；</w:t>
      </w:r>
      <w:r>
        <w:rPr>
          <w:i w:val="0"/>
          <w:iCs w:val="0"/>
          <w:color w:val="auto"/>
          <w:sz w:val="21"/>
          <w:szCs w:val="21"/>
          <w:highlight w:val="none"/>
        </w:rPr>
        <w:t>承接企业为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lang w:eastAsia="zh-CN"/>
        </w:rPr>
        <w:t>。</w:t>
      </w:r>
    </w:p>
    <w:p w14:paraId="313F0E95">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以上企业，不属于大企业的分支机构，不存在控股股东为大企业的情形，也不存在与大企业的负责人为同一人的情形。</w:t>
      </w:r>
    </w:p>
    <w:p w14:paraId="4DCB0466">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本企业对上述声明内容的真实性负责。如有虚假，将依法承担相应责任。</w:t>
      </w:r>
    </w:p>
    <w:p w14:paraId="35378752">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企业名称（盖章）：</w:t>
      </w:r>
    </w:p>
    <w:p w14:paraId="4A3ACD13">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日期：</w:t>
      </w:r>
    </w:p>
    <w:p w14:paraId="04A5ED35">
      <w:pPr>
        <w:adjustRightInd w:val="0"/>
        <w:snapToGrid w:val="0"/>
        <w:spacing w:line="288" w:lineRule="auto"/>
        <w:ind w:firstLine="495" w:firstLineChars="236"/>
        <w:rPr>
          <w:color w:val="auto"/>
          <w:sz w:val="21"/>
          <w:szCs w:val="21"/>
          <w:highlight w:val="none"/>
        </w:rPr>
      </w:pPr>
    </w:p>
    <w:p w14:paraId="63DDD0DF">
      <w:pPr>
        <w:adjustRightInd w:val="0"/>
        <w:snapToGrid w:val="0"/>
        <w:spacing w:line="288" w:lineRule="auto"/>
        <w:ind w:firstLine="495" w:firstLineChars="2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203F8658">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1.标的名称，按照【磋商文件】中明确的标的填写；</w:t>
      </w:r>
    </w:p>
    <w:p w14:paraId="7D35F1FA">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2.所属行业，按照【磋商文件】中明确的标的“所属行业”填写；</w:t>
      </w:r>
    </w:p>
    <w:p w14:paraId="135244F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承建（承接）企业</w:t>
      </w:r>
      <w:r>
        <w:rPr>
          <w:rFonts w:hint="eastAsia" w:ascii="宋体" w:hAnsi="宋体" w:eastAsia="宋体" w:cs="宋体"/>
          <w:i w:val="0"/>
          <w:iCs w:val="0"/>
          <w:color w:val="auto"/>
          <w:sz w:val="21"/>
          <w:szCs w:val="21"/>
          <w:highlight w:val="none"/>
          <w:lang w:eastAsia="zh-CN"/>
        </w:rPr>
        <w:t>，工程由中小企业承建，即工程施工单位为中小企业（服务由中小企业承接，即提供服务的人员为中小企业依照《中华人民共和国劳动合同法》订立劳动合同的从业人员）</w:t>
      </w:r>
      <w:r>
        <w:rPr>
          <w:rFonts w:hint="eastAsia" w:ascii="宋体" w:hAnsi="宋体" w:eastAsia="宋体" w:cs="宋体"/>
          <w:i w:val="0"/>
          <w:iCs w:val="0"/>
          <w:color w:val="auto"/>
          <w:sz w:val="21"/>
          <w:szCs w:val="21"/>
          <w:highlight w:val="none"/>
          <w:lang w:val="en-US" w:eastAsia="zh-CN"/>
        </w:rPr>
        <w:t>；</w:t>
      </w:r>
    </w:p>
    <w:p w14:paraId="38349A70">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7758EC42">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5.企业类型（包括新成立企业），按照《中小企业划型标准规定》（工信部联企业〔2011〕300号）规定和【磋商文件】中明确的标的“所属行业”，选择“中型企业、小型企业、微型企业”其中之一；</w:t>
      </w:r>
    </w:p>
    <w:p w14:paraId="464D44F3">
      <w:pPr>
        <w:adjustRightInd w:val="0"/>
        <w:snapToGrid w:val="0"/>
        <w:spacing w:line="288" w:lineRule="auto"/>
        <w:ind w:firstLine="495" w:firstLineChars="236"/>
        <w:rPr>
          <w:rFonts w:cs="Times New Roman"/>
          <w:color w:val="auto"/>
          <w:sz w:val="21"/>
          <w:szCs w:val="21"/>
          <w:highlight w:val="none"/>
          <w:u w:val="singl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lang w:eastAsia="zh-CN"/>
        </w:rPr>
        <w:t>磋商文件</w:t>
      </w:r>
      <w:r>
        <w:rPr>
          <w:rFonts w:hint="eastAsia" w:ascii="宋体" w:hAnsi="宋体" w:eastAsia="宋体" w:cs="宋体"/>
          <w:i w:val="0"/>
          <w:iCs w:val="0"/>
          <w:color w:val="auto"/>
          <w:sz w:val="21"/>
          <w:szCs w:val="21"/>
          <w:highlight w:val="none"/>
        </w:rPr>
        <w:t>中明确的标的是能够独立发挥功能的产品，配件、辅料不作为标的，不需要在《中小企业声明函》里填列。</w:t>
      </w:r>
    </w:p>
    <w:p w14:paraId="02C5E0BB">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br w:type="page"/>
      </w:r>
    </w:p>
    <w:p w14:paraId="451789F8">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w:t>
      </w:r>
      <w:r>
        <w:rPr>
          <w:b/>
          <w:color w:val="auto"/>
          <w:spacing w:val="-6"/>
          <w:sz w:val="21"/>
          <w:szCs w:val="21"/>
          <w:highlight w:val="none"/>
        </w:rPr>
        <w:t>3</w:t>
      </w:r>
      <w:r>
        <w:rPr>
          <w:rFonts w:hint="eastAsia"/>
          <w:b/>
          <w:color w:val="auto"/>
          <w:spacing w:val="-6"/>
          <w:sz w:val="21"/>
          <w:szCs w:val="21"/>
          <w:highlight w:val="none"/>
        </w:rPr>
        <w:t>）属于监狱企业的证明文件（若属于监狱企业）</w:t>
      </w:r>
    </w:p>
    <w:p w14:paraId="3096E710">
      <w:pPr>
        <w:adjustRightInd w:val="0"/>
        <w:snapToGrid w:val="0"/>
        <w:spacing w:line="288" w:lineRule="auto"/>
        <w:rPr>
          <w:color w:val="auto"/>
          <w:kern w:val="0"/>
          <w:sz w:val="21"/>
          <w:szCs w:val="21"/>
          <w:highlight w:val="none"/>
        </w:rPr>
      </w:pPr>
    </w:p>
    <w:p w14:paraId="567C1E2F">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14:paraId="16FEA418">
      <w:pPr>
        <w:adjustRightInd w:val="0"/>
        <w:snapToGrid w:val="0"/>
        <w:spacing w:line="288" w:lineRule="auto"/>
        <w:rPr>
          <w:color w:val="auto"/>
          <w:sz w:val="21"/>
          <w:szCs w:val="21"/>
          <w:highlight w:val="none"/>
        </w:rPr>
      </w:pPr>
    </w:p>
    <w:p w14:paraId="69A81B98">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1D0A8F03">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F2E9BF9">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14:paraId="65A4F853">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14:paraId="5AA5CE14">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）残疾人福利性单位声明函（若属于残疾人福利性单位）</w:t>
      </w:r>
    </w:p>
    <w:p w14:paraId="71A2478E">
      <w:pPr>
        <w:adjustRightInd w:val="0"/>
        <w:snapToGrid w:val="0"/>
        <w:spacing w:line="288" w:lineRule="auto"/>
        <w:rPr>
          <w:rFonts w:cs="Times New Roman"/>
          <w:b/>
          <w:color w:val="auto"/>
          <w:spacing w:val="6"/>
          <w:sz w:val="21"/>
          <w:szCs w:val="21"/>
          <w:highlight w:val="none"/>
        </w:rPr>
      </w:pPr>
    </w:p>
    <w:p w14:paraId="4BD51DBB">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，且本单位参加______（采购人）单位的______（项目名称）项目采购活动提供本单位服务。</w:t>
      </w:r>
    </w:p>
    <w:p w14:paraId="022377C6">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14:paraId="3454B06D">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14:paraId="5B1C3F8A">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14:paraId="0525CD8B">
      <w:pPr>
        <w:adjustRightInd w:val="0"/>
        <w:snapToGrid w:val="0"/>
        <w:spacing w:line="288" w:lineRule="auto"/>
        <w:rPr>
          <w:color w:val="auto"/>
          <w:sz w:val="21"/>
          <w:szCs w:val="21"/>
          <w:highlight w:val="none"/>
        </w:rPr>
      </w:pPr>
    </w:p>
    <w:p w14:paraId="2721C212">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3F0F9D7C">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14:paraId="5A43C43B">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14:paraId="0F44FBF2">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14:paraId="131BA17F">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14:paraId="53203D31">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14:paraId="5450F48D">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14:paraId="5D0F6C62">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24A7100">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14:paraId="64772DB1">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14:paraId="668EB8D7">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14:paraId="6B1EB9DF">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14:paraId="47B75C99">
      <w:pPr>
        <w:adjustRightInd w:val="0"/>
        <w:snapToGrid w:val="0"/>
        <w:spacing w:line="288" w:lineRule="auto"/>
        <w:jc w:val="left"/>
        <w:outlineLvl w:val="2"/>
        <w:rPr>
          <w:b/>
          <w:color w:val="auto"/>
          <w:spacing w:val="-6"/>
          <w:sz w:val="21"/>
          <w:szCs w:val="21"/>
          <w:highlight w:val="none"/>
        </w:rPr>
      </w:pPr>
    </w:p>
    <w:p w14:paraId="3C23420D">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14:paraId="280AA9D2">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04385E4">
      <w:pPr>
        <w:adjustRightInd w:val="0"/>
        <w:snapToGrid w:val="0"/>
        <w:spacing w:line="288" w:lineRule="auto"/>
        <w:rPr>
          <w:color w:val="auto"/>
          <w:highlight w:val="none"/>
        </w:rPr>
      </w:pPr>
    </w:p>
    <w:p w14:paraId="306E0862">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14:paraId="0086D41A">
      <w:pPr>
        <w:adjustRightInd w:val="0"/>
        <w:snapToGrid w:val="0"/>
        <w:spacing w:line="288" w:lineRule="auto"/>
        <w:rPr>
          <w:color w:val="auto"/>
          <w:highlight w:val="none"/>
        </w:rPr>
      </w:pPr>
      <w:r>
        <w:rPr>
          <w:rFonts w:hint="eastAsia"/>
          <w:color w:val="auto"/>
          <w:highlight w:val="none"/>
        </w:rPr>
        <w:br w:type="page"/>
      </w:r>
    </w:p>
    <w:p w14:paraId="6375D663">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14:paraId="0444669E">
      <w:pPr>
        <w:adjustRightInd w:val="0"/>
        <w:snapToGrid w:val="0"/>
        <w:spacing w:line="288" w:lineRule="auto"/>
        <w:rPr>
          <w:color w:val="auto"/>
          <w:sz w:val="21"/>
          <w:szCs w:val="21"/>
          <w:highlight w:val="none"/>
        </w:rPr>
      </w:pPr>
    </w:p>
    <w:p w14:paraId="76E7190B">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14:paraId="0083B3DD">
      <w:pPr>
        <w:adjustRightInd w:val="0"/>
        <w:snapToGrid w:val="0"/>
        <w:spacing w:line="288" w:lineRule="auto"/>
        <w:rPr>
          <w:rFonts w:cs="Times New Roman"/>
          <w:color w:val="auto"/>
          <w:spacing w:val="-6"/>
          <w:sz w:val="21"/>
          <w:szCs w:val="21"/>
          <w:highlight w:val="none"/>
        </w:rPr>
      </w:pPr>
    </w:p>
    <w:p w14:paraId="1DB59376">
      <w:pPr>
        <w:adjustRightInd w:val="0"/>
        <w:snapToGrid w:val="0"/>
        <w:spacing w:line="288" w:lineRule="auto"/>
        <w:ind w:firstLine="396" w:firstLineChars="200"/>
        <w:rPr>
          <w:color w:val="auto"/>
          <w:sz w:val="21"/>
          <w:szCs w:val="21"/>
          <w:highlight w:val="none"/>
        </w:rPr>
      </w:pPr>
      <w:bookmarkStart w:id="55"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杭州电子科技大学2025年杭州电子科技大学信息化系统定制化开发服务</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QSZBB250390ZFCS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55"/>
    <w:p w14:paraId="5619FE6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14:paraId="3A3AB71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14:paraId="3760A0C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14:paraId="11E3598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14:paraId="07E8004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14:paraId="41550C4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0E31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2A5733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bookmarkStart w:id="56" w:name="_Hlk97040154"/>
            <w:r>
              <w:rPr>
                <w:rFonts w:hint="eastAsia" w:cs="Times New Roman"/>
                <w:color w:val="auto"/>
                <w:spacing w:val="-6"/>
                <w:kern w:val="0"/>
                <w:sz w:val="21"/>
                <w:szCs w:val="21"/>
                <w:highlight w:val="none"/>
              </w:rPr>
              <w:t>联系人：</w:t>
            </w:r>
          </w:p>
        </w:tc>
        <w:tc>
          <w:tcPr>
            <w:tcW w:w="6808" w:type="dxa"/>
          </w:tcPr>
          <w:p w14:paraId="672F718F">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70EA4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EC52D36">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14:paraId="308A6362">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2BD2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9442AA">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14:paraId="64455CEF">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7BE7B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tcPr>
          <w:p w14:paraId="567E458D">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14:paraId="5040D949">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0D493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57F1787">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14:paraId="4747C58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1323A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10459C">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14:paraId="4130F34B">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43B4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68A8803">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14:paraId="7A38B8E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bookmarkEnd w:id="56"/>
    </w:tbl>
    <w:p w14:paraId="3EC68717">
      <w:pPr>
        <w:adjustRightInd w:val="0"/>
        <w:snapToGrid w:val="0"/>
        <w:spacing w:line="288" w:lineRule="auto"/>
        <w:rPr>
          <w:color w:val="auto"/>
          <w:sz w:val="21"/>
          <w:szCs w:val="21"/>
          <w:highlight w:val="none"/>
        </w:rPr>
      </w:pPr>
    </w:p>
    <w:p w14:paraId="3A69E034">
      <w:pPr>
        <w:adjustRightInd w:val="0"/>
        <w:snapToGrid w:val="0"/>
        <w:spacing w:line="288" w:lineRule="auto"/>
        <w:rPr>
          <w:color w:val="auto"/>
          <w:sz w:val="21"/>
          <w:szCs w:val="21"/>
          <w:highlight w:val="none"/>
        </w:rPr>
      </w:pPr>
    </w:p>
    <w:p w14:paraId="1997269D">
      <w:pPr>
        <w:adjustRightInd w:val="0"/>
        <w:snapToGrid w:val="0"/>
        <w:spacing w:line="288" w:lineRule="auto"/>
        <w:rPr>
          <w:rFonts w:cs="Times New Roman"/>
          <w:b/>
          <w:bCs/>
          <w:color w:val="auto"/>
          <w:spacing w:val="-6"/>
          <w:sz w:val="21"/>
          <w:szCs w:val="21"/>
          <w:highlight w:val="none"/>
        </w:rPr>
      </w:pPr>
      <w:bookmarkStart w:id="57"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16E9AB18">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7"/>
    <w:p w14:paraId="03F0248C">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085090AF">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14:paraId="54F106A5">
      <w:pPr>
        <w:adjustRightInd w:val="0"/>
        <w:snapToGrid w:val="0"/>
        <w:spacing w:line="288" w:lineRule="auto"/>
        <w:rPr>
          <w:rFonts w:cs="Times New Roman"/>
          <w:b/>
          <w:bCs/>
          <w:color w:val="auto"/>
          <w:spacing w:val="-6"/>
          <w:sz w:val="21"/>
          <w:szCs w:val="21"/>
          <w:highlight w:val="none"/>
        </w:rPr>
      </w:pPr>
    </w:p>
    <w:p w14:paraId="464F5CB6">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14:paraId="1F05650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杭州电子科技大学2025年杭州电子科技大学信息化系统定制化开发服务</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QSZBB250390ZFCS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14:paraId="04D18B9F">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14:paraId="5B83C0A0">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14:paraId="2F0F8F5B">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14:paraId="4794A4D9">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2025年1月（含）</w:t>
      </w:r>
      <w:r>
        <w:rPr>
          <w:rFonts w:hint="eastAsia" w:cs="Times New Roman"/>
          <w:color w:val="auto"/>
          <w:spacing w:val="-6"/>
          <w:sz w:val="21"/>
          <w:szCs w:val="21"/>
          <w:highlight w:val="none"/>
          <w:u w:val="single"/>
        </w:rPr>
        <w:t>以后任意一月）。</w:t>
      </w:r>
    </w:p>
    <w:p w14:paraId="12F18054">
      <w:pPr>
        <w:adjustRightInd w:val="0"/>
        <w:snapToGrid w:val="0"/>
        <w:spacing w:line="288" w:lineRule="auto"/>
        <w:rPr>
          <w:rFonts w:cs="Times New Roman"/>
          <w:color w:val="auto"/>
          <w:spacing w:val="-6"/>
          <w:sz w:val="21"/>
          <w:szCs w:val="21"/>
          <w:highlight w:val="none"/>
        </w:rPr>
      </w:pPr>
    </w:p>
    <w:p w14:paraId="63A7C617">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43EF6BDD">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162AD257">
      <w:pPr>
        <w:adjustRightInd w:val="0"/>
        <w:snapToGrid w:val="0"/>
        <w:spacing w:line="288" w:lineRule="auto"/>
        <w:rPr>
          <w:rFonts w:cs="Times New Roman"/>
          <w:color w:val="auto"/>
          <w:sz w:val="21"/>
          <w:szCs w:val="21"/>
          <w:highlight w:val="none"/>
        </w:rPr>
      </w:pPr>
    </w:p>
    <w:p w14:paraId="31DC604F">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14:paraId="39B18C29">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14:paraId="1F8BF631">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14:paraId="3A233EE9">
      <w:pPr>
        <w:adjustRightInd w:val="0"/>
        <w:snapToGrid w:val="0"/>
        <w:spacing w:line="288" w:lineRule="auto"/>
        <w:rPr>
          <w:rFonts w:cs="Times New Roman"/>
          <w:color w:val="auto"/>
          <w:sz w:val="21"/>
          <w:szCs w:val="21"/>
          <w:highlight w:val="none"/>
        </w:rPr>
      </w:pPr>
    </w:p>
    <w:p w14:paraId="22E5907E">
      <w:pPr>
        <w:adjustRightInd w:val="0"/>
        <w:snapToGrid w:val="0"/>
        <w:spacing w:line="288" w:lineRule="auto"/>
        <w:rPr>
          <w:rFonts w:cs="Times New Roman"/>
          <w:color w:val="auto"/>
          <w:sz w:val="21"/>
          <w:szCs w:val="21"/>
          <w:highlight w:val="none"/>
        </w:rPr>
      </w:pPr>
    </w:p>
    <w:p w14:paraId="58AFF068">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14:paraId="4A0CC8D0">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14:paraId="36BC4C58">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5EF01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33AA0DB9">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正面：</w:t>
            </w:r>
          </w:p>
        </w:tc>
        <w:tc>
          <w:tcPr>
            <w:tcW w:w="4701" w:type="dxa"/>
          </w:tcPr>
          <w:p w14:paraId="457BDA97">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反面：</w:t>
            </w:r>
          </w:p>
        </w:tc>
      </w:tr>
    </w:tbl>
    <w:p w14:paraId="62F91883">
      <w:pPr>
        <w:adjustRightInd w:val="0"/>
        <w:snapToGrid w:val="0"/>
        <w:spacing w:line="288" w:lineRule="auto"/>
        <w:rPr>
          <w:rFonts w:cs="Times New Roman"/>
          <w:color w:val="auto"/>
          <w:sz w:val="21"/>
          <w:szCs w:val="21"/>
          <w:highlight w:val="none"/>
        </w:rPr>
      </w:pPr>
    </w:p>
    <w:p w14:paraId="731836BF">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18C08C09">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2025年1月（含）</w:t>
      </w:r>
      <w:r>
        <w:rPr>
          <w:rFonts w:hint="eastAsia" w:cs="Times New Roman"/>
          <w:b/>
          <w:bCs/>
          <w:color w:val="auto"/>
          <w:sz w:val="21"/>
          <w:szCs w:val="21"/>
          <w:highlight w:val="none"/>
        </w:rPr>
        <w:t>以后任意一月）</w:t>
      </w:r>
    </w:p>
    <w:p w14:paraId="2964A484">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543D4EA">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14:paraId="04EA6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31FDD1B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14:paraId="6027F0D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14:paraId="750CCE1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14:paraId="6EA76DC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14:paraId="348A3CF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合同金额</w:t>
            </w:r>
          </w:p>
          <w:p w14:paraId="4FA6586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14:paraId="59BCB3D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14:paraId="0FBBC66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14:paraId="3BD6FE4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采购人联系人</w:t>
            </w:r>
          </w:p>
          <w:p w14:paraId="2B60E6F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联系方式</w:t>
            </w:r>
          </w:p>
        </w:tc>
      </w:tr>
      <w:tr w14:paraId="42C0A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5EBDD6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5572F1C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7A810F5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56BE8B2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1156790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465F44F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5A9C0F9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21329C5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464C3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EA5A75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79530BA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512D612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670FD9F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1FF3598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52867C0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15A096E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156DB1E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3C4D2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65" w:type="dxa"/>
            <w:vAlign w:val="center"/>
          </w:tcPr>
          <w:p w14:paraId="10EFBFD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1265FB8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5D57DD5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2F14D3A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010FE8C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5480096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2DBAF6A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699374C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60560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A1F67B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04C080F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05551A6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0B41006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4B37F86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6814D05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51F6EB2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5CDA74F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bl>
    <w:p w14:paraId="651EC1AA">
      <w:pPr>
        <w:adjustRightInd w:val="0"/>
        <w:snapToGrid w:val="0"/>
        <w:spacing w:line="288" w:lineRule="auto"/>
        <w:rPr>
          <w:color w:val="auto"/>
          <w:sz w:val="21"/>
          <w:szCs w:val="21"/>
          <w:highlight w:val="none"/>
        </w:rPr>
      </w:pPr>
    </w:p>
    <w:p w14:paraId="406E77CB">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00849F02">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14:paraId="6E480702">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14:paraId="0788A22E">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14:paraId="3F5F045E">
      <w:pPr>
        <w:adjustRightInd w:val="0"/>
        <w:snapToGrid w:val="0"/>
        <w:spacing w:line="288" w:lineRule="auto"/>
        <w:rPr>
          <w:color w:val="auto"/>
          <w:sz w:val="21"/>
          <w:szCs w:val="21"/>
          <w:highlight w:val="none"/>
        </w:rPr>
      </w:pPr>
    </w:p>
    <w:p w14:paraId="08355CFC">
      <w:pPr>
        <w:adjustRightInd w:val="0"/>
        <w:snapToGrid w:val="0"/>
        <w:spacing w:line="288" w:lineRule="auto"/>
        <w:rPr>
          <w:color w:val="auto"/>
          <w:sz w:val="21"/>
          <w:szCs w:val="21"/>
          <w:highlight w:val="none"/>
        </w:rPr>
      </w:pPr>
    </w:p>
    <w:p w14:paraId="32D29633">
      <w:pPr>
        <w:adjustRightInd w:val="0"/>
        <w:snapToGrid w:val="0"/>
        <w:spacing w:line="288" w:lineRule="auto"/>
        <w:rPr>
          <w:color w:val="auto"/>
          <w:sz w:val="21"/>
          <w:szCs w:val="21"/>
          <w:highlight w:val="none"/>
        </w:rPr>
      </w:pPr>
    </w:p>
    <w:p w14:paraId="1C09DCAE">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760429CF">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7DCE11A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6F6176D">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14:paraId="7F01589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39BD2415">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2025年杭州电子科技大学信息化系统定制化开发服务</w:t>
      </w:r>
    </w:p>
    <w:p w14:paraId="1C0F244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QSZBB250390ZFCS</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14:paraId="66D98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348200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bookmarkStart w:id="58" w:name="_Hlk97040421"/>
            <w:r>
              <w:rPr>
                <w:rFonts w:hint="eastAsia"/>
                <w:b/>
                <w:bCs/>
                <w:color w:val="auto"/>
                <w:kern w:val="0"/>
                <w:sz w:val="21"/>
                <w:szCs w:val="21"/>
                <w:highlight w:val="none"/>
              </w:rPr>
              <w:t>序号</w:t>
            </w:r>
          </w:p>
        </w:tc>
        <w:tc>
          <w:tcPr>
            <w:tcW w:w="3200" w:type="dxa"/>
            <w:vAlign w:val="center"/>
          </w:tcPr>
          <w:p w14:paraId="0BAE3B0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14:paraId="7883A33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14:paraId="7CFE7C3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是否偏离（提供说明）</w:t>
            </w:r>
          </w:p>
        </w:tc>
      </w:tr>
      <w:tr w14:paraId="4F90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57885B76">
            <w:pPr>
              <w:keepNext w:val="0"/>
              <w:keepLines w:val="0"/>
              <w:suppressLineNumbers w:val="0"/>
              <w:adjustRightInd w:val="0"/>
              <w:snapToGrid w:val="0"/>
              <w:spacing w:before="0" w:beforeAutospacing="0" w:after="0" w:afterAutospacing="0" w:line="288" w:lineRule="auto"/>
              <w:ind w:left="0" w:right="0"/>
              <w:rPr>
                <w:rFonts w:hint="default"/>
                <w:b/>
                <w:bCs/>
                <w:color w:val="auto"/>
                <w:kern w:val="0"/>
                <w:sz w:val="21"/>
                <w:szCs w:val="21"/>
                <w:highlight w:val="none"/>
              </w:rPr>
            </w:pPr>
            <w:r>
              <w:rPr>
                <w:rFonts w:hint="eastAsia"/>
                <w:b/>
                <w:bCs/>
                <w:color w:val="auto"/>
                <w:kern w:val="0"/>
                <w:sz w:val="21"/>
                <w:szCs w:val="21"/>
                <w:highlight w:val="none"/>
              </w:rPr>
              <w:t>采购资金的支付方式、时间、条件</w:t>
            </w:r>
          </w:p>
        </w:tc>
      </w:tr>
      <w:tr w14:paraId="1AA67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35C67F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2E248EB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526AAB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6560ED2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5250C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1FE526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54DEF0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48DE635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222E0EC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3A10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68871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47B2A9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00FE8BF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349CE34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4682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3D9AC999">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服务要求</w:t>
            </w:r>
          </w:p>
        </w:tc>
      </w:tr>
      <w:tr w14:paraId="3D76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9A49CF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779DA3C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3B542C9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259B5CA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27AA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5C99D1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0F368E8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282C449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0B18575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7B26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5E390DF">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1873D5B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089465F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67DBD3B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bookmarkEnd w:id="58"/>
    </w:tbl>
    <w:p w14:paraId="0EBADFFB">
      <w:pPr>
        <w:adjustRightInd w:val="0"/>
        <w:snapToGrid w:val="0"/>
        <w:spacing w:line="288" w:lineRule="auto"/>
        <w:rPr>
          <w:color w:val="auto"/>
          <w:sz w:val="21"/>
          <w:szCs w:val="21"/>
          <w:highlight w:val="none"/>
        </w:rPr>
      </w:pPr>
    </w:p>
    <w:p w14:paraId="052914EA">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45BDF547">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14:paraId="18DFBA59">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14:paraId="5D7A77BD">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14:paraId="6AFF8D4C">
      <w:pPr>
        <w:adjustRightInd w:val="0"/>
        <w:snapToGrid w:val="0"/>
        <w:spacing w:line="288" w:lineRule="auto"/>
        <w:rPr>
          <w:color w:val="auto"/>
          <w:sz w:val="21"/>
          <w:szCs w:val="21"/>
          <w:highlight w:val="none"/>
        </w:rPr>
      </w:pPr>
    </w:p>
    <w:p w14:paraId="1E107727">
      <w:pPr>
        <w:adjustRightInd w:val="0"/>
        <w:snapToGrid w:val="0"/>
        <w:spacing w:line="288" w:lineRule="auto"/>
        <w:rPr>
          <w:color w:val="auto"/>
          <w:sz w:val="21"/>
          <w:szCs w:val="21"/>
          <w:highlight w:val="none"/>
        </w:rPr>
      </w:pPr>
    </w:p>
    <w:p w14:paraId="462A4E36">
      <w:pPr>
        <w:adjustRightInd w:val="0"/>
        <w:snapToGrid w:val="0"/>
        <w:spacing w:line="288" w:lineRule="auto"/>
        <w:rPr>
          <w:color w:val="auto"/>
          <w:sz w:val="21"/>
          <w:szCs w:val="21"/>
          <w:highlight w:val="none"/>
        </w:rPr>
      </w:pPr>
    </w:p>
    <w:p w14:paraId="24D40ACC">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0D43CA24">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230176CF">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F38D4B3">
      <w:pPr>
        <w:adjustRightInd w:val="0"/>
        <w:snapToGrid w:val="0"/>
        <w:spacing w:line="288" w:lineRule="auto"/>
        <w:jc w:val="left"/>
        <w:outlineLvl w:val="2"/>
        <w:rPr>
          <w:b/>
          <w:color w:val="auto"/>
          <w:spacing w:val="-6"/>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w:t>
      </w:r>
      <w:bookmarkStart w:id="59" w:name="_Hlk71885757"/>
      <w:r>
        <w:rPr>
          <w:rFonts w:hint="eastAsia"/>
          <w:b/>
          <w:bCs/>
          <w:color w:val="auto"/>
          <w:sz w:val="21"/>
          <w:szCs w:val="21"/>
          <w:highlight w:val="none"/>
          <w:lang w:val="en-US" w:eastAsia="zh-CN"/>
        </w:rPr>
        <w:t>服务</w:t>
      </w:r>
      <w:r>
        <w:rPr>
          <w:rFonts w:hint="eastAsia"/>
          <w:b/>
          <w:color w:val="auto"/>
          <w:spacing w:val="-6"/>
          <w:sz w:val="21"/>
          <w:szCs w:val="21"/>
          <w:highlight w:val="none"/>
        </w:rPr>
        <w:t>方案</w:t>
      </w:r>
    </w:p>
    <w:p w14:paraId="4D5C8727">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6</w:t>
      </w:r>
      <w:r>
        <w:rPr>
          <w:rFonts w:hint="eastAsia"/>
          <w:b/>
          <w:color w:val="auto"/>
          <w:spacing w:val="-6"/>
          <w:sz w:val="21"/>
          <w:szCs w:val="21"/>
          <w:highlight w:val="none"/>
        </w:rPr>
        <w:t>）供应商需要说明的其他文件和材料。</w:t>
      </w:r>
      <w:bookmarkEnd w:id="59"/>
    </w:p>
    <w:p w14:paraId="239CF706">
      <w:pPr>
        <w:widowControl/>
        <w:jc w:val="left"/>
        <w:rPr>
          <w:b/>
          <w:color w:val="auto"/>
          <w:spacing w:val="-6"/>
          <w:sz w:val="21"/>
          <w:szCs w:val="21"/>
          <w:highlight w:val="none"/>
        </w:rPr>
      </w:pPr>
      <w:r>
        <w:rPr>
          <w:b/>
          <w:color w:val="auto"/>
          <w:spacing w:val="-6"/>
          <w:sz w:val="21"/>
          <w:szCs w:val="21"/>
          <w:highlight w:val="none"/>
        </w:rPr>
        <w:br w:type="page"/>
      </w:r>
    </w:p>
    <w:p w14:paraId="17033529">
      <w:pPr>
        <w:adjustRightInd w:val="0"/>
        <w:snapToGrid w:val="0"/>
        <w:spacing w:line="288" w:lineRule="auto"/>
        <w:rPr>
          <w:color w:val="auto"/>
          <w:highlight w:val="none"/>
        </w:rPr>
      </w:pPr>
    </w:p>
    <w:p w14:paraId="1C78312D">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14:paraId="37417BF1">
      <w:pPr>
        <w:adjustRightInd w:val="0"/>
        <w:snapToGrid w:val="0"/>
        <w:spacing w:line="288" w:lineRule="auto"/>
        <w:rPr>
          <w:color w:val="auto"/>
          <w:highlight w:val="none"/>
        </w:rPr>
      </w:pPr>
      <w:r>
        <w:rPr>
          <w:rFonts w:hint="eastAsia"/>
          <w:color w:val="auto"/>
          <w:highlight w:val="none"/>
        </w:rPr>
        <w:br w:type="page"/>
      </w:r>
    </w:p>
    <w:p w14:paraId="5184B57D">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14:paraId="42577783">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529F3E05">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2025年杭州电子科技大学信息化系统定制化开发服务</w:t>
      </w:r>
    </w:p>
    <w:p w14:paraId="7F7DB56B">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QSZBB250390ZFCS</w:t>
      </w:r>
    </w:p>
    <w:tbl>
      <w:tblPr>
        <w:tblStyle w:val="11"/>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bookmarkStart w:id="60" w:name="_Hlk97040072"/>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bookmarkStart w:id="61" w:name="_Hlk177717733"/>
            <w:r>
              <w:rPr>
                <w:rFonts w:hint="eastAsia" w:ascii="宋体" w:hAnsi="宋体" w:eastAsia="宋体" w:cs="宋体"/>
                <w:b/>
                <w:bCs/>
                <w:color w:val="auto"/>
                <w:sz w:val="21"/>
                <w:szCs w:val="21"/>
                <w:highlight w:val="none"/>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bookmarkEnd w:id="61"/>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 w:val="21"/>
                <w:szCs w:val="21"/>
                <w:highlight w:val="none"/>
              </w:rPr>
            </w:pPr>
          </w:p>
          <w:p w14:paraId="0C631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 w:val="21"/>
                <w:szCs w:val="21"/>
                <w:highlight w:val="none"/>
              </w:rPr>
            </w:pPr>
          </w:p>
          <w:p w14:paraId="5FEFE13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 w:val="21"/>
                <w:szCs w:val="21"/>
                <w:highlight w:val="none"/>
              </w:rPr>
            </w:pPr>
          </w:p>
        </w:tc>
      </w:tr>
    </w:tbl>
    <w:p w14:paraId="3D76638D">
      <w:pPr>
        <w:adjustRightInd w:val="0"/>
        <w:snapToGrid w:val="0"/>
        <w:spacing w:line="288" w:lineRule="auto"/>
        <w:rPr>
          <w:rFonts w:hint="eastAsia" w:ascii="宋体" w:hAnsi="宋体" w:eastAsia="宋体" w:cs="宋体"/>
          <w:color w:val="auto"/>
          <w:spacing w:val="-6"/>
          <w:sz w:val="21"/>
          <w:szCs w:val="21"/>
          <w:highlight w:val="none"/>
        </w:rPr>
      </w:pPr>
    </w:p>
    <w:p w14:paraId="42BE46DF">
      <w:pPr>
        <w:adjustRightInd w:val="0"/>
        <w:snapToGrid w:val="0"/>
        <w:spacing w:line="288" w:lineRule="auto"/>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说明：</w:t>
      </w:r>
    </w:p>
    <w:p w14:paraId="7760D6D1">
      <w:pPr>
        <w:adjustRightInd w:val="0"/>
        <w:snapToGrid w:val="0"/>
        <w:spacing w:line="288"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r>
        <w:rPr>
          <w:rFonts w:hint="eastAsia" w:cs="宋体"/>
          <w:b w:val="0"/>
          <w:bCs w:val="0"/>
          <w:color w:val="auto"/>
          <w:sz w:val="21"/>
          <w:szCs w:val="21"/>
          <w:highlight w:val="none"/>
          <w:lang w:val="en-US" w:eastAsia="zh-CN"/>
        </w:rPr>
        <w:t>初次报价</w:t>
      </w:r>
      <w:r>
        <w:rPr>
          <w:rFonts w:hint="eastAsia" w:ascii="宋体" w:hAnsi="宋体" w:eastAsia="宋体" w:cs="宋体"/>
          <w:b w:val="0"/>
          <w:bCs w:val="0"/>
          <w:color w:val="auto"/>
          <w:sz w:val="21"/>
          <w:szCs w:val="21"/>
          <w:highlight w:val="none"/>
          <w:lang w:val="en-US" w:eastAsia="zh-CN"/>
        </w:rPr>
        <w:t>一览表应按照本</w:t>
      </w:r>
      <w:r>
        <w:rPr>
          <w:rFonts w:hint="eastAsia" w:cs="宋体"/>
          <w:b w:val="0"/>
          <w:bCs w:val="0"/>
          <w:color w:val="auto"/>
          <w:sz w:val="21"/>
          <w:szCs w:val="21"/>
          <w:highlight w:val="none"/>
          <w:lang w:val="en-US" w:eastAsia="zh-CN"/>
        </w:rPr>
        <w:t>磋商</w:t>
      </w:r>
      <w:r>
        <w:rPr>
          <w:rFonts w:hint="eastAsia" w:ascii="宋体" w:hAnsi="宋体" w:eastAsia="宋体" w:cs="宋体"/>
          <w:b w:val="0"/>
          <w:bCs w:val="0"/>
          <w:color w:val="auto"/>
          <w:sz w:val="21"/>
          <w:szCs w:val="21"/>
          <w:highlight w:val="none"/>
          <w:lang w:val="en-US" w:eastAsia="zh-CN"/>
        </w:rPr>
        <w:t xml:space="preserve">文件“第三章 </w:t>
      </w:r>
      <w:r>
        <w:rPr>
          <w:rFonts w:hint="eastAsia" w:cs="宋体"/>
          <w:b w:val="0"/>
          <w:bCs w:val="0"/>
          <w:color w:val="auto"/>
          <w:sz w:val="21"/>
          <w:szCs w:val="21"/>
          <w:highlight w:val="none"/>
          <w:lang w:val="en-US" w:eastAsia="zh-CN"/>
        </w:rPr>
        <w:t>供应商</w:t>
      </w:r>
      <w:r>
        <w:rPr>
          <w:rFonts w:hint="eastAsia" w:ascii="宋体" w:hAnsi="宋体" w:eastAsia="宋体" w:cs="宋体"/>
          <w:b w:val="0"/>
          <w:bCs w:val="0"/>
          <w:color w:val="auto"/>
          <w:sz w:val="21"/>
          <w:szCs w:val="21"/>
          <w:highlight w:val="none"/>
          <w:lang w:val="en-US" w:eastAsia="zh-CN"/>
        </w:rPr>
        <w:t>须知”关于“磋商报价”的规定填写；</w:t>
      </w:r>
    </w:p>
    <w:p w14:paraId="11678105">
      <w:pPr>
        <w:adjustRightInd w:val="0"/>
        <w:snapToGrid w:val="0"/>
        <w:spacing w:line="288"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服务项目不涉及提供货物的，规格型号、品牌、制造商、产地的可不填写；</w:t>
      </w:r>
    </w:p>
    <w:p w14:paraId="56EF55DE">
      <w:pPr>
        <w:adjustRightInd w:val="0"/>
        <w:snapToGrid w:val="0"/>
        <w:spacing w:line="288"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联合体其他成员承担的部分、分包单位承担的部分，应在表中列明。</w:t>
      </w:r>
    </w:p>
    <w:p w14:paraId="14FDCBF5">
      <w:pPr>
        <w:adjustRightInd w:val="0"/>
        <w:snapToGrid w:val="0"/>
        <w:spacing w:line="288" w:lineRule="auto"/>
        <w:rPr>
          <w:color w:val="auto"/>
          <w:sz w:val="21"/>
          <w:szCs w:val="21"/>
          <w:highlight w:val="none"/>
        </w:rPr>
      </w:pPr>
    </w:p>
    <w:p w14:paraId="728B78EB">
      <w:pPr>
        <w:adjustRightInd w:val="0"/>
        <w:snapToGrid w:val="0"/>
        <w:spacing w:line="288" w:lineRule="auto"/>
        <w:rPr>
          <w:color w:val="auto"/>
          <w:sz w:val="21"/>
          <w:szCs w:val="21"/>
          <w:highlight w:val="none"/>
        </w:rPr>
      </w:pPr>
    </w:p>
    <w:p w14:paraId="1E2488BC">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317A65E7">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0"/>
    <w:p w14:paraId="217AE34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439DB2D2">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14:paraId="00A2DED0">
      <w:pPr>
        <w:snapToGrid w:val="0"/>
        <w:spacing w:line="288" w:lineRule="auto"/>
        <w:rPr>
          <w:rFonts w:cs="仿宋_GB2312"/>
          <w:color w:val="auto"/>
          <w:sz w:val="21"/>
          <w:szCs w:val="21"/>
          <w:highlight w:val="none"/>
          <w:u w:val="single"/>
        </w:rPr>
      </w:pPr>
    </w:p>
    <w:p w14:paraId="13C66A61">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14:paraId="42E5CDFD">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14:paraId="278A361F">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14:paraId="57D59D32">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14:paraId="5B2D83A6">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14:paraId="5FAAEAA3">
      <w:pPr>
        <w:snapToGrid w:val="0"/>
        <w:spacing w:line="288" w:lineRule="auto"/>
        <w:rPr>
          <w:b/>
          <w:bCs/>
          <w:color w:val="auto"/>
          <w:sz w:val="21"/>
          <w:szCs w:val="21"/>
          <w:highlight w:val="none"/>
        </w:rPr>
      </w:pPr>
    </w:p>
    <w:p w14:paraId="1F2E0AF6">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tbl>
      <w:tblPr>
        <w:tblStyle w:val="12"/>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vAlign w:val="top"/>
          </w:tcPr>
          <w:p w14:paraId="31FDF98D">
            <w:pPr>
              <w:keepNext w:val="0"/>
              <w:keepLines w:val="0"/>
              <w:suppressLineNumbers w:val="0"/>
              <w:snapToGrid w:val="0"/>
              <w:spacing w:before="0" w:beforeAutospacing="0" w:after="0" w:afterAutospacing="0" w:line="288" w:lineRule="auto"/>
              <w:ind w:left="0" w:right="0"/>
              <w:rPr>
                <w:rFonts w:hint="eastAsia" w:ascii="宋体" w:hAnsi="宋体" w:eastAsia="宋体" w:cs="宋体"/>
                <w:color w:val="auto"/>
                <w:spacing w:val="0"/>
                <w:kern w:val="2"/>
                <w:sz w:val="21"/>
                <w:szCs w:val="21"/>
                <w:highlight w:val="none"/>
                <w:vertAlign w:val="baseline"/>
              </w:rPr>
            </w:pPr>
          </w:p>
        </w:tc>
        <w:tc>
          <w:tcPr>
            <w:tcW w:w="4814" w:type="dxa"/>
          </w:tcPr>
          <w:p w14:paraId="6E2B4F3D">
            <w:pPr>
              <w:keepNext w:val="0"/>
              <w:keepLines w:val="0"/>
              <w:suppressLineNumbers w:val="0"/>
              <w:snapToGrid w:val="0"/>
              <w:spacing w:before="0" w:beforeAutospacing="0" w:after="0" w:afterAutospacing="0" w:line="288" w:lineRule="auto"/>
              <w:ind w:left="0" w:right="0"/>
              <w:rPr>
                <w:rFonts w:hint="eastAsia" w:ascii="宋体" w:hAnsi="宋体" w:eastAsia="宋体" w:cs="宋体"/>
                <w:color w:val="auto"/>
                <w:spacing w:val="0"/>
                <w:kern w:val="2"/>
                <w:sz w:val="21"/>
                <w:szCs w:val="21"/>
                <w:highlight w:val="none"/>
                <w:vertAlign w:val="baseline"/>
              </w:rPr>
            </w:pPr>
          </w:p>
        </w:tc>
      </w:tr>
    </w:tbl>
    <w:p w14:paraId="6264EFA1">
      <w:pPr>
        <w:snapToGrid w:val="0"/>
        <w:spacing w:line="288" w:lineRule="auto"/>
        <w:rPr>
          <w:color w:val="auto"/>
          <w:sz w:val="21"/>
          <w:szCs w:val="21"/>
          <w:highlight w:val="none"/>
        </w:rPr>
      </w:pPr>
    </w:p>
    <w:p w14:paraId="5489A6C3">
      <w:pPr>
        <w:widowControl/>
        <w:jc w:val="left"/>
        <w:rPr>
          <w:b/>
          <w:color w:val="auto"/>
          <w:spacing w:val="-6"/>
          <w:sz w:val="21"/>
          <w:szCs w:val="21"/>
          <w:highlight w:val="none"/>
        </w:rPr>
      </w:pPr>
      <w:r>
        <w:rPr>
          <w:b/>
          <w:color w:val="auto"/>
          <w:spacing w:val="-6"/>
          <w:sz w:val="21"/>
          <w:szCs w:val="21"/>
          <w:highlight w:val="none"/>
        </w:rPr>
        <w:br w:type="page"/>
      </w:r>
    </w:p>
    <w:p w14:paraId="648D1916">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14:paraId="4D2C1AA1">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（以联合体形式响应的，提供联合协议；本项目不接受联合体响应或者供应商不以联合体形式响应的，则不需要提供）</w:t>
      </w:r>
    </w:p>
    <w:p w14:paraId="4996BCA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14:paraId="49923D81">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14:paraId="3B039ED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授权代表根据磋商文件规定及响应内容而对采购人、采购代理机构所作的任何合法承诺，包括书面澄清及</w:t>
      </w:r>
      <w:r>
        <w:rPr>
          <w:rFonts w:hint="eastAsia" w:cs="仿宋_GB2312"/>
          <w:color w:val="auto"/>
          <w:kern w:val="0"/>
          <w:sz w:val="21"/>
          <w:szCs w:val="21"/>
          <w:highlight w:val="none"/>
          <w:lang w:val="en-US" w:eastAsia="zh-CN"/>
        </w:rPr>
        <w:t>响</w:t>
      </w:r>
      <w:r>
        <w:rPr>
          <w:rFonts w:hint="eastAsia" w:cs="仿宋_GB2312"/>
          <w:color w:val="auto"/>
          <w:kern w:val="0"/>
          <w:sz w:val="21"/>
          <w:szCs w:val="21"/>
          <w:highlight w:val="none"/>
          <w:lang w:val="zh-CN"/>
        </w:rPr>
        <w:t>应等均对联合响应各方产生约束力。</w:t>
      </w:r>
    </w:p>
    <w:p w14:paraId="68A14B3C">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14:paraId="6D1E8A15">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w:t>
      </w:r>
      <w:r>
        <w:rPr>
          <w:rFonts w:hint="eastAsia" w:cs="仿宋_GB2312"/>
          <w:color w:val="auto"/>
          <w:kern w:val="0"/>
          <w:sz w:val="21"/>
          <w:szCs w:val="21"/>
          <w:highlight w:val="none"/>
          <w:lang w:val="en-US" w:eastAsia="zh-CN"/>
        </w:rPr>
        <w:t>服务</w:t>
      </w:r>
      <w:r>
        <w:rPr>
          <w:rFonts w:hint="eastAsia" w:cs="仿宋_GB2312"/>
          <w:color w:val="auto"/>
          <w:kern w:val="0"/>
          <w:sz w:val="21"/>
          <w:szCs w:val="21"/>
          <w:highlight w:val="none"/>
        </w:rPr>
        <w:t>全部由小微企业</w:t>
      </w:r>
      <w:r>
        <w:rPr>
          <w:rFonts w:hint="eastAsia" w:cs="仿宋_GB2312"/>
          <w:color w:val="auto"/>
          <w:kern w:val="0"/>
          <w:sz w:val="21"/>
          <w:szCs w:val="21"/>
          <w:highlight w:val="none"/>
          <w:lang w:val="en-US" w:eastAsia="zh-CN"/>
        </w:rPr>
        <w:t>承接</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p>
    <w:p w14:paraId="25662AB3">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14:paraId="7AAB05DD">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14:paraId="0F295CC2">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14:paraId="2E4431BC">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14:paraId="60BBA10F">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w:t>
      </w:r>
      <w:r>
        <w:rPr>
          <w:rFonts w:hint="eastAsia" w:cs="仿宋_GB2312"/>
          <w:color w:val="auto"/>
          <w:kern w:val="0"/>
          <w:sz w:val="21"/>
          <w:szCs w:val="21"/>
          <w:highlight w:val="none"/>
          <w:lang w:val="zh-CN"/>
        </w:rPr>
        <w:t>采购代理机构</w:t>
      </w:r>
      <w:r>
        <w:rPr>
          <w:rFonts w:cs="仿宋_GB2312"/>
          <w:color w:val="auto"/>
          <w:kern w:val="0"/>
          <w:sz w:val="21"/>
          <w:szCs w:val="21"/>
          <w:highlight w:val="none"/>
          <w:lang w:val="zh-CN"/>
        </w:rPr>
        <w:t>后，联合体各方不得以任何形式对上述内容进行修改或撤销。</w:t>
      </w:r>
    </w:p>
    <w:p w14:paraId="6CBBCD4C">
      <w:pPr>
        <w:snapToGrid w:val="0"/>
        <w:spacing w:line="288" w:lineRule="auto"/>
        <w:ind w:firstLine="422" w:firstLineChars="201"/>
        <w:rPr>
          <w:rFonts w:cs="仿宋_GB2312"/>
          <w:color w:val="auto"/>
          <w:kern w:val="0"/>
          <w:sz w:val="21"/>
          <w:szCs w:val="21"/>
          <w:highlight w:val="none"/>
          <w:lang w:val="zh-CN"/>
        </w:rPr>
      </w:pPr>
    </w:p>
    <w:p w14:paraId="43766920">
      <w:pPr>
        <w:snapToGrid w:val="0"/>
        <w:spacing w:line="288" w:lineRule="auto"/>
        <w:ind w:firstLine="422" w:firstLineChars="201"/>
        <w:rPr>
          <w:rFonts w:cs="仿宋_GB2312"/>
          <w:color w:val="auto"/>
          <w:kern w:val="0"/>
          <w:sz w:val="21"/>
          <w:szCs w:val="21"/>
          <w:highlight w:val="none"/>
          <w:lang w:val="zh-CN"/>
        </w:rPr>
      </w:pPr>
    </w:p>
    <w:p w14:paraId="3C47684A">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14:paraId="794647AD">
      <w:pPr>
        <w:snapToGrid w:val="0"/>
        <w:spacing w:line="288" w:lineRule="auto"/>
        <w:ind w:firstLine="424" w:firstLineChars="201"/>
        <w:rPr>
          <w:rFonts w:cs="仿宋_GB2312"/>
          <w:b/>
          <w:bCs/>
          <w:color w:val="auto"/>
          <w:kern w:val="0"/>
          <w:sz w:val="21"/>
          <w:szCs w:val="21"/>
          <w:highlight w:val="none"/>
          <w:lang w:val="zh-CN"/>
        </w:rPr>
      </w:pPr>
    </w:p>
    <w:p w14:paraId="27BA2E8E">
      <w:pPr>
        <w:snapToGrid w:val="0"/>
        <w:spacing w:line="288" w:lineRule="auto"/>
        <w:ind w:firstLine="424" w:firstLineChars="201"/>
        <w:rPr>
          <w:rFonts w:cs="Times New Roman"/>
          <w:b/>
          <w:bCs/>
          <w:color w:val="auto"/>
          <w:sz w:val="21"/>
          <w:szCs w:val="21"/>
          <w:highlight w:val="none"/>
        </w:rPr>
      </w:pPr>
    </w:p>
    <w:p w14:paraId="0342129C">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14:paraId="1192B007">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14:paraId="3ABCED8F">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14:paraId="33647986">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14:paraId="761E594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14:paraId="06F4392F">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14:paraId="33958C37">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14:paraId="6C81C042">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14:paraId="113285EB">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14:paraId="0806D614">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14:paraId="14A48321">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14:paraId="3B23785C">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6E50BAD4">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14:paraId="5453E594">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338FE68E">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14:paraId="315FF32F">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3CBF609E">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14:paraId="767E52F1">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4282B355">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14:paraId="2A1199C3">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w:t>
      </w:r>
      <w:r>
        <w:rPr>
          <w:rFonts w:hint="eastAsia" w:cs="仿宋_GB2312"/>
          <w:color w:val="auto"/>
          <w:kern w:val="0"/>
          <w:sz w:val="21"/>
          <w:szCs w:val="21"/>
          <w:highlight w:val="none"/>
          <w:u w:val="single"/>
          <w:lang w:val="en-US" w:eastAsia="zh-CN"/>
        </w:rPr>
        <w:t>服务</w:t>
      </w:r>
      <w:r>
        <w:rPr>
          <w:rFonts w:hint="eastAsia" w:cs="仿宋_GB2312"/>
          <w:color w:val="auto"/>
          <w:kern w:val="0"/>
          <w:sz w:val="21"/>
          <w:szCs w:val="21"/>
          <w:highlight w:val="none"/>
          <w:u w:val="single"/>
        </w:rPr>
        <w:t>全部由小微企业</w:t>
      </w:r>
      <w:r>
        <w:rPr>
          <w:rFonts w:hint="eastAsia" w:cs="仿宋_GB2312"/>
          <w:color w:val="auto"/>
          <w:kern w:val="0"/>
          <w:sz w:val="21"/>
          <w:szCs w:val="21"/>
          <w:highlight w:val="none"/>
          <w:u w:val="single"/>
          <w:lang w:val="en-US" w:eastAsia="zh-CN"/>
        </w:rPr>
        <w:t>承接</w:t>
      </w:r>
      <w:r>
        <w:rPr>
          <w:rFonts w:hint="eastAsia" w:cs="仿宋_GB2312"/>
          <w:color w:val="auto"/>
          <w:kern w:val="0"/>
          <w:sz w:val="21"/>
          <w:szCs w:val="21"/>
          <w:highlight w:val="none"/>
          <w:u w:val="single"/>
        </w:rPr>
        <w:t>，</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p>
    <w:p w14:paraId="0796A8FD">
      <w:pPr>
        <w:snapToGrid w:val="0"/>
        <w:spacing w:line="288" w:lineRule="auto"/>
        <w:rPr>
          <w:rFonts w:cs="仿宋_GB2312"/>
          <w:color w:val="auto"/>
          <w:kern w:val="0"/>
          <w:sz w:val="21"/>
          <w:szCs w:val="21"/>
          <w:highlight w:val="none"/>
          <w:lang w:val="zh-CN"/>
        </w:rPr>
      </w:pPr>
    </w:p>
    <w:p w14:paraId="43F4BD78">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14:paraId="3BD2AC5C">
      <w:pPr>
        <w:snapToGrid w:val="0"/>
        <w:spacing w:line="288" w:lineRule="auto"/>
        <w:ind w:firstLine="424" w:firstLineChars="201"/>
        <w:rPr>
          <w:rFonts w:cs="仿宋_GB2312"/>
          <w:b/>
          <w:bCs/>
          <w:color w:val="auto"/>
          <w:kern w:val="0"/>
          <w:sz w:val="21"/>
          <w:szCs w:val="21"/>
          <w:highlight w:val="none"/>
          <w:lang w:val="zh-CN"/>
        </w:rPr>
      </w:pPr>
    </w:p>
    <w:p w14:paraId="251DAFB1">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分包供应商名称（电子签名</w:t>
      </w:r>
      <w:r>
        <w:rPr>
          <w:rFonts w:cs="仿宋_GB2312"/>
          <w:b/>
          <w:bCs/>
          <w:color w:val="auto"/>
          <w:kern w:val="0"/>
          <w:sz w:val="21"/>
          <w:szCs w:val="21"/>
          <w:highlight w:val="none"/>
          <w:lang w:val="zh-CN"/>
        </w:rPr>
        <w:t>/公章）</w:t>
      </w:r>
      <w:r>
        <w:rPr>
          <w:rFonts w:hint="eastAsia" w:cs="仿宋_GB2312"/>
          <w:b/>
          <w:bCs/>
          <w:color w:val="auto"/>
          <w:kern w:val="0"/>
          <w:sz w:val="21"/>
          <w:szCs w:val="21"/>
          <w:highlight w:val="none"/>
          <w:lang w:val="zh-CN"/>
        </w:rPr>
        <w:t>：</w:t>
      </w:r>
    </w:p>
    <w:p w14:paraId="1AD01D09">
      <w:pPr>
        <w:snapToGrid w:val="0"/>
        <w:spacing w:line="288" w:lineRule="auto"/>
        <w:rPr>
          <w:rFonts w:cs="仿宋_GB2312"/>
          <w:b/>
          <w:bCs/>
          <w:color w:val="auto"/>
          <w:kern w:val="0"/>
          <w:sz w:val="21"/>
          <w:szCs w:val="21"/>
          <w:highlight w:val="none"/>
          <w:lang w:val="zh-CN"/>
        </w:rPr>
      </w:pPr>
    </w:p>
    <w:p w14:paraId="4953E1F4">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14:paraId="65A0BF8E">
      <w:pPr>
        <w:rPr>
          <w:color w:val="auto"/>
          <w:highlight w:val="none"/>
        </w:rPr>
      </w:pPr>
    </w:p>
    <w:sectPr>
      <w:pgSz w:w="11906" w:h="16838"/>
      <w:pgMar w:top="1247" w:right="1247" w:bottom="1247" w:left="1247" w:header="142" w:footer="725"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F2225">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1B923">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6D798">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2044799"/>
    <w:rsid w:val="02C866F3"/>
    <w:rsid w:val="08091ABA"/>
    <w:rsid w:val="09FC5A4B"/>
    <w:rsid w:val="0B6D076D"/>
    <w:rsid w:val="0C775F99"/>
    <w:rsid w:val="0C856300"/>
    <w:rsid w:val="0CF34D5B"/>
    <w:rsid w:val="0D0C242F"/>
    <w:rsid w:val="105D3ACC"/>
    <w:rsid w:val="108A404F"/>
    <w:rsid w:val="1126734B"/>
    <w:rsid w:val="13266EB2"/>
    <w:rsid w:val="190F67A4"/>
    <w:rsid w:val="1AFC546E"/>
    <w:rsid w:val="1B090463"/>
    <w:rsid w:val="1E0C2DF4"/>
    <w:rsid w:val="20A73FB8"/>
    <w:rsid w:val="21690149"/>
    <w:rsid w:val="22BD2FB3"/>
    <w:rsid w:val="26057F20"/>
    <w:rsid w:val="29E43042"/>
    <w:rsid w:val="2B6B5335"/>
    <w:rsid w:val="2E0C0115"/>
    <w:rsid w:val="31244B45"/>
    <w:rsid w:val="31CC56B7"/>
    <w:rsid w:val="34BD5AEB"/>
    <w:rsid w:val="35892804"/>
    <w:rsid w:val="36AF68BA"/>
    <w:rsid w:val="3A890B0C"/>
    <w:rsid w:val="3C780CB1"/>
    <w:rsid w:val="3D5B7056"/>
    <w:rsid w:val="40063D93"/>
    <w:rsid w:val="402B7E73"/>
    <w:rsid w:val="42BD0409"/>
    <w:rsid w:val="4403670A"/>
    <w:rsid w:val="44FA6FE4"/>
    <w:rsid w:val="46DF49FF"/>
    <w:rsid w:val="471072A6"/>
    <w:rsid w:val="494530F7"/>
    <w:rsid w:val="4A3E7485"/>
    <w:rsid w:val="4A705E01"/>
    <w:rsid w:val="4B6E6C91"/>
    <w:rsid w:val="4CF754FB"/>
    <w:rsid w:val="519B30A6"/>
    <w:rsid w:val="522B7BD8"/>
    <w:rsid w:val="527145CB"/>
    <w:rsid w:val="52BD3736"/>
    <w:rsid w:val="541A0925"/>
    <w:rsid w:val="54441E95"/>
    <w:rsid w:val="5B443E56"/>
    <w:rsid w:val="5B9C1310"/>
    <w:rsid w:val="5DFB1C47"/>
    <w:rsid w:val="60B875ED"/>
    <w:rsid w:val="60FF4F56"/>
    <w:rsid w:val="63261CFD"/>
    <w:rsid w:val="63681533"/>
    <w:rsid w:val="64406FC4"/>
    <w:rsid w:val="645E00EA"/>
    <w:rsid w:val="656A111C"/>
    <w:rsid w:val="663A28F2"/>
    <w:rsid w:val="66B21451"/>
    <w:rsid w:val="69B813AB"/>
    <w:rsid w:val="6B573FAF"/>
    <w:rsid w:val="6C2A5090"/>
    <w:rsid w:val="6DA700B4"/>
    <w:rsid w:val="6E7A4767"/>
    <w:rsid w:val="70E558EA"/>
    <w:rsid w:val="725838C6"/>
    <w:rsid w:val="74A0634E"/>
    <w:rsid w:val="77B9436F"/>
    <w:rsid w:val="7A3F3423"/>
    <w:rsid w:val="7D5F0D3D"/>
    <w:rsid w:val="7DC64E2D"/>
    <w:rsid w:val="7FB025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rPr>
      <w:rFonts w:ascii="Times New Roman" w:hAnsi="Times New Roman" w:cs="Times New Roman"/>
      <w:sz w:val="28"/>
    </w:rPr>
  </w:style>
  <w:style w:type="paragraph" w:styleId="3">
    <w:name w:val="Body Text"/>
    <w:basedOn w:val="1"/>
    <w:link w:val="30"/>
    <w:qFormat/>
    <w:uiPriority w:val="0"/>
    <w:pPr>
      <w:spacing w:after="120"/>
    </w:pPr>
  </w:style>
  <w:style w:type="paragraph" w:styleId="4">
    <w:name w:val="Body Text Indent"/>
    <w:basedOn w:val="1"/>
    <w:link w:val="21"/>
    <w:qFormat/>
    <w:uiPriority w:val="0"/>
    <w:pPr>
      <w:spacing w:line="200" w:lineRule="atLeast"/>
      <w:ind w:firstLine="301"/>
    </w:pPr>
    <w:rPr>
      <w:rFonts w:hAnsi="Courier New" w:cs="Times New Roman"/>
      <w:spacing w:val="-4"/>
      <w:sz w:val="18"/>
      <w:szCs w:val="20"/>
    </w:rPr>
  </w:style>
  <w:style w:type="paragraph" w:styleId="5">
    <w:name w:val="Plain Text"/>
    <w:basedOn w:val="1"/>
    <w:link w:val="31"/>
    <w:semiHidden/>
    <w:unhideWhenUsed/>
    <w:qFormat/>
    <w:uiPriority w:val="99"/>
    <w:rPr>
      <w:rFonts w:hAnsi="Courier New" w:cs="Courier New" w:asciiTheme="minorEastAsia" w:eastAsiaTheme="minorEastAsia"/>
    </w:rPr>
  </w:style>
  <w:style w:type="paragraph" w:styleId="6">
    <w:name w:val="Balloon Text"/>
    <w:basedOn w:val="1"/>
    <w:link w:val="20"/>
    <w:qFormat/>
    <w:uiPriority w:val="0"/>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8"/>
    <w:semiHidden/>
    <w:unhideWhenUsed/>
    <w:qFormat/>
    <w:uiPriority w:val="0"/>
    <w:rPr>
      <w:rFonts w:ascii="宋体" w:hAnsi="宋体" w:cs="宋体"/>
      <w:b/>
      <w:bCs/>
      <w:sz w:val="24"/>
    </w:rPr>
  </w:style>
  <w:style w:type="table" w:styleId="12">
    <w:name w:val="Table Grid"/>
    <w:basedOn w:val="11"/>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character" w:customStyle="1" w:styleId="18">
    <w:name w:val="批注文字 字符"/>
    <w:basedOn w:val="13"/>
    <w:link w:val="2"/>
    <w:qFormat/>
    <w:uiPriority w:val="99"/>
    <w:rPr>
      <w:rFonts w:ascii="Times New Roman" w:hAnsi="Times New Roman" w:eastAsia="宋体" w:cs="Times New Roman"/>
      <w:sz w:val="28"/>
      <w:szCs w:val="24"/>
    </w:rPr>
  </w:style>
  <w:style w:type="character" w:customStyle="1" w:styleId="19">
    <w:name w:val="正文文本缩进 字符"/>
    <w:basedOn w:val="13"/>
    <w:qFormat/>
    <w:uiPriority w:val="0"/>
    <w:rPr>
      <w:rFonts w:ascii="宋体" w:hAnsi="宋体" w:eastAsia="宋体" w:cs="宋体"/>
      <w:sz w:val="24"/>
      <w:szCs w:val="24"/>
    </w:rPr>
  </w:style>
  <w:style w:type="character" w:customStyle="1" w:styleId="20">
    <w:name w:val="批注框文本 字符"/>
    <w:basedOn w:val="13"/>
    <w:link w:val="6"/>
    <w:qFormat/>
    <w:uiPriority w:val="0"/>
    <w:rPr>
      <w:rFonts w:ascii="宋体" w:hAnsi="宋体" w:eastAsia="宋体" w:cs="宋体"/>
      <w:sz w:val="18"/>
      <w:szCs w:val="18"/>
    </w:rPr>
  </w:style>
  <w:style w:type="character" w:customStyle="1" w:styleId="21">
    <w:name w:val="正文文本缩进 字符1"/>
    <w:link w:val="4"/>
    <w:qFormat/>
    <w:uiPriority w:val="0"/>
    <w:rPr>
      <w:rFonts w:ascii="宋体" w:hAnsi="Courier New" w:eastAsia="宋体" w:cs="Times New Roman"/>
      <w:spacing w:val="-4"/>
      <w:sz w:val="18"/>
      <w:szCs w:val="20"/>
    </w:rPr>
  </w:style>
  <w:style w:type="character" w:customStyle="1" w:styleId="22">
    <w:name w:val="正文文本缩进 字符2"/>
    <w:qFormat/>
    <w:uiPriority w:val="0"/>
    <w:rPr>
      <w:rFonts w:ascii="宋体" w:hAnsi="Courier New"/>
      <w:spacing w:val="-4"/>
      <w:kern w:val="2"/>
      <w:sz w:val="18"/>
    </w:rPr>
  </w:style>
  <w:style w:type="character" w:customStyle="1" w:styleId="23">
    <w:name w:val="未处理的提及1"/>
    <w:basedOn w:val="13"/>
    <w:semiHidden/>
    <w:unhideWhenUsed/>
    <w:qFormat/>
    <w:uiPriority w:val="99"/>
    <w:rPr>
      <w:color w:val="605E5C"/>
      <w:shd w:val="clear" w:color="auto" w:fill="E1DFDD"/>
    </w:rPr>
  </w:style>
  <w:style w:type="paragraph" w:styleId="24">
    <w:name w:val="List Paragraph"/>
    <w:basedOn w:val="1"/>
    <w:qFormat/>
    <w:uiPriority w:val="99"/>
    <w:pPr>
      <w:ind w:firstLine="420" w:firstLineChars="200"/>
    </w:pPr>
  </w:style>
  <w:style w:type="paragraph" w:customStyle="1" w:styleId="25">
    <w:name w:val="纯文本1"/>
    <w:basedOn w:val="1"/>
    <w:next w:val="5"/>
    <w:link w:val="27"/>
    <w:qFormat/>
    <w:uiPriority w:val="99"/>
    <w:pPr>
      <w:spacing w:before="156" w:beforeLines="50" w:after="156" w:afterLines="50" w:line="400" w:lineRule="atLeast"/>
    </w:pPr>
    <w:rPr>
      <w:rFonts w:hAnsi="Courier New" w:cs="Times New Roman"/>
    </w:rPr>
  </w:style>
  <w:style w:type="character" w:customStyle="1" w:styleId="26">
    <w:name w:val="纯文本 字符"/>
    <w:basedOn w:val="13"/>
    <w:qFormat/>
    <w:uiPriority w:val="0"/>
    <w:rPr>
      <w:rFonts w:ascii="宋体" w:hAnsi="Courier New" w:eastAsia="宋体" w:cs="Courier New"/>
      <w:kern w:val="2"/>
      <w:sz w:val="24"/>
      <w:szCs w:val="24"/>
    </w:rPr>
  </w:style>
  <w:style w:type="character" w:customStyle="1" w:styleId="27">
    <w:name w:val="纯文本 字符1"/>
    <w:link w:val="25"/>
    <w:qFormat/>
    <w:uiPriority w:val="99"/>
    <w:rPr>
      <w:rFonts w:ascii="宋体" w:hAnsi="Courier New" w:eastAsia="宋体" w:cs="Times New Roman"/>
      <w:kern w:val="2"/>
      <w:sz w:val="24"/>
      <w:szCs w:val="24"/>
    </w:rPr>
  </w:style>
  <w:style w:type="character" w:customStyle="1" w:styleId="28">
    <w:name w:val="批注主题 字符"/>
    <w:basedOn w:val="18"/>
    <w:link w:val="10"/>
    <w:semiHidden/>
    <w:qFormat/>
    <w:uiPriority w:val="0"/>
    <w:rPr>
      <w:rFonts w:ascii="宋体" w:hAnsi="宋体" w:eastAsia="宋体" w:cs="宋体"/>
      <w:b/>
      <w:bCs/>
      <w:sz w:val="24"/>
      <w:szCs w:val="24"/>
    </w:rPr>
  </w:style>
  <w:style w:type="character" w:customStyle="1" w:styleId="29">
    <w:name w:val="Unresolved Mention"/>
    <w:basedOn w:val="13"/>
    <w:semiHidden/>
    <w:unhideWhenUsed/>
    <w:qFormat/>
    <w:uiPriority w:val="99"/>
    <w:rPr>
      <w:color w:val="605E5C"/>
      <w:shd w:val="clear" w:color="auto" w:fill="E1DFDD"/>
    </w:rPr>
  </w:style>
  <w:style w:type="character" w:customStyle="1" w:styleId="30">
    <w:name w:val="正文文本 字符"/>
    <w:basedOn w:val="13"/>
    <w:link w:val="3"/>
    <w:qFormat/>
    <w:uiPriority w:val="0"/>
    <w:rPr>
      <w:rFonts w:ascii="宋体" w:hAnsi="宋体" w:eastAsia="宋体" w:cs="宋体"/>
      <w:sz w:val="24"/>
      <w:szCs w:val="24"/>
    </w:rPr>
  </w:style>
  <w:style w:type="character" w:customStyle="1" w:styleId="31">
    <w:name w:val="纯文本 字符2"/>
    <w:basedOn w:val="13"/>
    <w:link w:val="5"/>
    <w:semiHidden/>
    <w:qFormat/>
    <w:uiPriority w:val="99"/>
    <w:rPr>
      <w:rFonts w:hAnsi="Courier New" w:cs="Courier New" w:asciiTheme="minorEastAsia"/>
      <w:sz w:val="24"/>
      <w:szCs w:val="24"/>
    </w:rPr>
  </w:style>
  <w:style w:type="table" w:customStyle="1" w:styleId="32">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65</Pages>
  <Words>19722</Words>
  <Characters>20585</Characters>
  <Lines>1</Lines>
  <Paragraphs>1</Paragraphs>
  <TotalTime>10</TotalTime>
  <ScaleCrop>false</ScaleCrop>
  <LinksUpToDate>false</LinksUpToDate>
  <CharactersWithSpaces>20626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俞炳</cp:lastModifiedBy>
  <dcterms:modified xsi:type="dcterms:W3CDTF">2025-11-19T08:39:59Z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EF0D5DCD6D83494D82EEE4C87FDB96EC_12</vt:lpwstr>
  </property>
  <property fmtid="{D5CDD505-2E9C-101B-9397-08002B2CF9AE}" pid="4" name="KSOTemplateDocerSaveRecord">
    <vt:lpwstr>eyJoZGlkIjoiNGQ3OTc3NWQ4MzM2M2IxMTBiNmQyNTg1OGZmMjFmM2QiLCJ1c2VySWQiOiIxNjEzNTQ4OTc4In0=</vt:lpwstr>
  </property>
</Properties>
</file>