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高帧频液体图像采集系统</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项目名称：高帧频液体图像采集系统</w:t>
      </w:r>
    </w:p>
    <w:p w14:paraId="74032A0C">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r>
        <w:rPr>
          <w:rFonts w:hint="eastAsia" w:ascii="楷体" w:hAnsi="楷体" w:eastAsia="楷体" w:cs="Times New Roman"/>
          <w:b/>
          <w:spacing w:val="-6"/>
          <w:sz w:val="30"/>
          <w:szCs w:val="30"/>
          <w:lang w:eastAsia="zh-CN"/>
        </w:rPr>
        <w:t>QSZBB250325ZHGK</w:t>
      </w:r>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[2025]66730号、[2025]71046号</w:t>
      </w:r>
    </w:p>
    <w:p w14:paraId="43139F7B">
      <w:pPr>
        <w:adjustRightInd w:val="0"/>
        <w:snapToGrid w:val="0"/>
        <w:spacing w:line="288" w:lineRule="auto"/>
        <w:rPr>
          <w:rFonts w:hint="eastAsia" w:ascii="楷体" w:hAnsi="楷体" w:eastAsia="楷体" w:cs="Times New Roman"/>
          <w:b/>
          <w:szCs w:val="21"/>
        </w:rPr>
      </w:pPr>
    </w:p>
    <w:p w14:paraId="561CA082">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625CD130">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高帧频液体图像采集系统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11月14日</w:t>
      </w:r>
      <w:r>
        <w:rPr>
          <w:rFonts w:hint="eastAsia" w:ascii="宋体" w:hAnsi="宋体" w:eastAsia="宋体" w:cs="Times New Roman"/>
          <w:b/>
          <w:szCs w:val="21"/>
          <w:u w:val="single"/>
        </w:rPr>
        <w:t>13:30:00（北京时间）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28359002"/>
      <w:bookmarkStart w:id="1" w:name="_Toc28359079"/>
      <w:bookmarkStart w:id="2" w:name="_Toc35393621"/>
      <w:bookmarkStart w:id="3" w:name="_Toc35393790"/>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QSZBB250325ZHGK</w:t>
      </w:r>
    </w:p>
    <w:p w14:paraId="34C987C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.项目名称：高帧频液体图像采集系统</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.预算金额：680000元</w:t>
      </w:r>
    </w:p>
    <w:p w14:paraId="11D1D498">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.最高限价：680000元</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.合同履约期限：自合同签订之日起60个工作日内交付。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675" w:type="dxa"/>
            <w:tcBorders>
              <w:tl2br w:val="nil"/>
              <w:tr2bl w:val="nil"/>
            </w:tcBorders>
            <w:vAlign w:val="center"/>
          </w:tcPr>
          <w:p w14:paraId="016F43EF">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高帧频液体图像采集系统</w:t>
            </w:r>
          </w:p>
        </w:tc>
        <w:tc>
          <w:tcPr>
            <w:tcW w:w="708" w:type="dxa"/>
            <w:tcBorders>
              <w:tl2br w:val="nil"/>
              <w:tr2bl w:val="nil"/>
            </w:tcBorders>
            <w:vAlign w:val="center"/>
          </w:tcPr>
          <w:p w14:paraId="11BD2EFB">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套</w:t>
            </w:r>
          </w:p>
        </w:tc>
        <w:tc>
          <w:tcPr>
            <w:tcW w:w="3119" w:type="dxa"/>
            <w:tcBorders>
              <w:right w:val="single" w:color="auto" w:sz="4" w:space="0"/>
              <w:tl2br w:val="nil"/>
              <w:tr2bl w:val="nil"/>
            </w:tcBorders>
            <w:vAlign w:val="center"/>
          </w:tcPr>
          <w:p w14:paraId="494058C8">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adjustRightInd w:val="0"/>
              <w:snapToGrid w:val="0"/>
              <w:spacing w:line="288" w:lineRule="auto"/>
              <w:jc w:val="center"/>
              <w:rPr>
                <w:rFonts w:hint="eastAsia" w:ascii="宋体" w:hAnsi="宋体" w:eastAsia="宋体" w:cs="宋体"/>
                <w:szCs w:val="21"/>
                <w:lang w:eastAsia="zh-CN"/>
              </w:rPr>
            </w:pPr>
            <w:r>
              <w:rPr>
                <w:rFonts w:hint="eastAsia" w:ascii="宋体" w:hAnsi="宋体" w:eastAsia="宋体" w:cs="宋体"/>
                <w:szCs w:val="21"/>
                <w:lang w:val="en-US" w:eastAsia="zh-CN"/>
              </w:rPr>
              <w:t>是</w:t>
            </w:r>
          </w:p>
        </w:tc>
      </w:tr>
    </w:tbl>
    <w:p w14:paraId="0D505C25">
      <w:pPr>
        <w:adjustRightInd w:val="0"/>
        <w:snapToGrid w:val="0"/>
        <w:spacing w:line="288" w:lineRule="auto"/>
        <w:rPr>
          <w:rFonts w:hint="eastAsia" w:ascii="宋体" w:hAnsi="宋体" w:eastAsia="宋体" w:cs="宋体"/>
          <w:b/>
          <w:szCs w:val="21"/>
        </w:rPr>
      </w:pPr>
      <w:bookmarkStart w:id="5" w:name="_Toc28359080"/>
      <w:bookmarkStart w:id="6" w:name="_Toc35393791"/>
      <w:bookmarkStart w:id="7" w:name="_Toc28359003"/>
      <w:bookmarkStart w:id="8" w:name="_Toc35393622"/>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792"/>
      <w:bookmarkStart w:id="12" w:name="_Toc35393623"/>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82"/>
      <w:bookmarkStart w:id="14" w:name="_Toc28359005"/>
      <w:bookmarkStart w:id="15" w:name="_Toc35393793"/>
      <w:bookmarkStart w:id="16" w:name="_Toc35393624"/>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w:t>
      </w:r>
      <w:r>
        <w:rPr>
          <w:rFonts w:hint="eastAsia" w:ascii="宋体" w:hAnsi="宋体" w:eastAsia="宋体" w:cs="Times New Roman"/>
          <w:szCs w:val="21"/>
          <w:lang w:val="en-US" w:eastAsia="zh-CN"/>
        </w:rPr>
        <w:t>10</w:t>
      </w:r>
      <w:r>
        <w:rPr>
          <w:rFonts w:hint="eastAsia" w:ascii="宋体" w:hAnsi="宋体" w:eastAsia="宋体" w:cs="Times New Roman"/>
          <w:szCs w:val="21"/>
        </w:rPr>
        <w:t>月</w:t>
      </w:r>
      <w:r>
        <w:rPr>
          <w:rFonts w:hint="eastAsia" w:ascii="宋体" w:hAnsi="宋体" w:eastAsia="宋体" w:cs="Times New Roman"/>
          <w:szCs w:val="21"/>
          <w:lang w:val="en-US" w:eastAsia="zh-CN"/>
        </w:rPr>
        <w:t>24</w:t>
      </w:r>
      <w:r>
        <w:rPr>
          <w:rFonts w:hint="eastAsia" w:ascii="宋体" w:hAnsi="宋体" w:eastAsia="宋体" w:cs="Times New Roman"/>
          <w:szCs w:val="21"/>
        </w:rPr>
        <w:t>日至2025年</w:t>
      </w:r>
      <w:r>
        <w:rPr>
          <w:rFonts w:hint="eastAsia" w:ascii="宋体" w:hAnsi="宋体" w:eastAsia="宋体" w:cs="Times New Roman"/>
          <w:szCs w:val="21"/>
          <w:lang w:eastAsia="zh-CN"/>
        </w:rPr>
        <w:t>11月14日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11月14日</w:t>
      </w:r>
      <w:r>
        <w:rPr>
          <w:rFonts w:hint="eastAsia" w:ascii="宋体" w:hAnsi="宋体" w:eastAsia="宋体" w:cs="Times New Roman"/>
          <w:bCs/>
          <w:szCs w:val="21"/>
        </w:rPr>
        <w:t>13:30:00（北京时间）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11月14日</w:t>
      </w:r>
      <w:r>
        <w:rPr>
          <w:rFonts w:hint="eastAsia" w:ascii="宋体" w:hAnsi="宋体" w:eastAsia="宋体" w:cs="Times New Roman"/>
          <w:bCs/>
          <w:szCs w:val="21"/>
        </w:rPr>
        <w:t>13:30:00（北京时间）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w:t>
      </w:r>
      <w:r>
        <w:rPr>
          <w:rFonts w:hint="eastAsia" w:ascii="宋体" w:hAnsi="宋体" w:eastAsia="宋体" w:cs="Times New Roman"/>
          <w:szCs w:val="21"/>
          <w:lang w:val="en-US" w:eastAsia="zh-CN"/>
        </w:rPr>
        <w:t>16</w:t>
      </w:r>
      <w:r>
        <w:rPr>
          <w:rFonts w:hint="eastAsia" w:ascii="宋体" w:hAnsi="宋体" w:eastAsia="宋体" w:cs="Times New Roman"/>
          <w:szCs w:val="21"/>
        </w:rPr>
        <w:t>楼（求是招标会议室</w:t>
      </w:r>
      <w:r>
        <w:rPr>
          <w:rFonts w:hint="eastAsia" w:ascii="宋体" w:hAnsi="宋体" w:eastAsia="宋体" w:cs="Times New Roman"/>
          <w:szCs w:val="21"/>
          <w:lang w:val="en-US" w:eastAsia="zh-CN"/>
        </w:rPr>
        <w:t>8</w:t>
      </w:r>
      <w:r>
        <w:rPr>
          <w:rFonts w:hint="eastAsia" w:ascii="宋体" w:hAnsi="宋体" w:eastAsia="宋体" w:cs="Times New Roman"/>
          <w:szCs w:val="21"/>
        </w:rPr>
        <w:t>）</w:t>
      </w:r>
      <w:bookmarkEnd w:id="18"/>
    </w:p>
    <w:bookmarkEnd w:id="17"/>
    <w:p w14:paraId="15287A77">
      <w:pPr>
        <w:adjustRightInd w:val="0"/>
        <w:snapToGrid w:val="0"/>
        <w:spacing w:line="288" w:lineRule="auto"/>
        <w:rPr>
          <w:rFonts w:hint="eastAsia" w:ascii="宋体" w:hAnsi="宋体" w:eastAsia="宋体" w:cs="宋体"/>
          <w:b/>
          <w:szCs w:val="21"/>
        </w:rPr>
      </w:pPr>
      <w:bookmarkStart w:id="19" w:name="_Toc28359007"/>
      <w:bookmarkStart w:id="20" w:name="_Toc35393794"/>
      <w:bookmarkStart w:id="21" w:name="_Toc35393625"/>
      <w:bookmarkStart w:id="22" w:name="_Toc28359084"/>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35393627"/>
      <w:bookmarkStart w:id="30" w:name="_Toc28359085"/>
      <w:bookmarkStart w:id="31" w:name="_Toc28359008"/>
      <w:bookmarkStart w:id="32" w:name="_Toc35393796"/>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3FF91D9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01DF17B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项目联系人（询问）：王老师</w:t>
      </w:r>
    </w:p>
    <w:p w14:paraId="32E8001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项目联系方式（询问）：13634197319</w:t>
      </w:r>
    </w:p>
    <w:p w14:paraId="209040C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质疑联系方式：0571-86</w:t>
      </w:r>
      <w:r>
        <w:rPr>
          <w:rFonts w:hint="eastAsia" w:ascii="宋体" w:hAnsi="宋体" w:eastAsia="宋体" w:cs="Times New Roman"/>
          <w:szCs w:val="21"/>
          <w:lang w:val="en-US" w:eastAsia="zh-CN"/>
        </w:rPr>
        <w:t>915026</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陈应俭、俞炳、朱建飞</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49BF64FF">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3.同级政府采购监督管理部门</w:t>
      </w:r>
    </w:p>
    <w:p w14:paraId="07F9EB84">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名称：杭州电子科技大学国有资产与实验室管理处</w:t>
      </w:r>
    </w:p>
    <w:p w14:paraId="7A0B4C0E">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地址：杭州市钱塘区白杨街道2号大街1158号</w:t>
      </w:r>
    </w:p>
    <w:p w14:paraId="7F3B1438">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传真：/</w:t>
      </w:r>
    </w:p>
    <w:p w14:paraId="551F546B">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联系人：亓老师</w:t>
      </w:r>
    </w:p>
    <w:p w14:paraId="40374FB7">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监督投诉电话：0571-87713574</w:t>
      </w:r>
    </w:p>
    <w:p w14:paraId="1E2BD2D4">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adjustRightInd w:val="0"/>
              <w:snapToGrid w:val="0"/>
              <w:spacing w:line="288" w:lineRule="auto"/>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599CCC13">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adjustRightInd w:val="0"/>
              <w:snapToGrid w:val="0"/>
              <w:spacing w:line="288" w:lineRule="auto"/>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adjustRightInd w:val="0"/>
              <w:snapToGrid w:val="0"/>
              <w:spacing w:line="288" w:lineRule="auto"/>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7353C7E7">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1ACC4674">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5A4C68D0">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52FCD862">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1D1AFE80">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4DCBC088">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02709B74">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70DAC50D">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83A3026">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自合同签订之日起60个工作日内交付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adjustRightInd w:val="0"/>
              <w:snapToGrid w:val="0"/>
              <w:spacing w:line="288" w:lineRule="auto"/>
              <w:rPr>
                <w:rFonts w:hint="eastAsia" w:ascii="宋体" w:hAnsi="宋体" w:eastAsia="宋体" w:cs="宋体"/>
                <w:szCs w:val="21"/>
              </w:rPr>
            </w:pPr>
            <w:r>
              <w:rPr>
                <w:rFonts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6043ADFC">
            <w:pPr>
              <w:adjustRightInd w:val="0"/>
              <w:snapToGrid w:val="0"/>
              <w:spacing w:line="288" w:lineRule="auto"/>
              <w:rPr>
                <w:rFonts w:hint="eastAsia" w:ascii="宋体" w:hAnsi="宋体" w:eastAsia="宋体" w:cs="宋体"/>
                <w:szCs w:val="21"/>
              </w:rPr>
            </w:pPr>
            <w:r>
              <w:rPr>
                <w:rFonts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06C5383C">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质保期满后，供应商继续为采购人服务，仅收取零配件成本费。</w:t>
            </w:r>
          </w:p>
          <w:p w14:paraId="6D1A6330">
            <w:pPr>
              <w:adjustRightInd w:val="0"/>
              <w:snapToGrid w:val="0"/>
              <w:spacing w:line="288" w:lineRule="auto"/>
              <w:rPr>
                <w:rFonts w:hint="eastAsia" w:ascii="宋体" w:hAnsi="宋体" w:eastAsia="宋体" w:cs="宋体"/>
                <w:szCs w:val="21"/>
              </w:rPr>
            </w:pPr>
            <w:r>
              <w:rPr>
                <w:rFonts w:ascii="宋体" w:hAnsi="宋体" w:eastAsia="宋体" w:cs="宋体"/>
                <w:szCs w:val="21"/>
              </w:rPr>
              <w:t>4.</w:t>
            </w:r>
            <w:r>
              <w:rPr>
                <w:rFonts w:hint="eastAsia" w:ascii="宋体" w:hAnsi="宋体" w:eastAsia="宋体" w:cs="宋体"/>
                <w:szCs w:val="21"/>
              </w:rPr>
              <w:t>因人为因素出现的故障不在免费保修范围内。</w:t>
            </w:r>
          </w:p>
          <w:p w14:paraId="57DFE249">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02E376AB">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u w:val="single"/>
                <w:lang w:bidi="ar"/>
              </w:rPr>
              <w:t>电话技术支持时间：2小时以内；</w:t>
            </w:r>
          </w:p>
          <w:p w14:paraId="344AF96C">
            <w:pPr>
              <w:spacing w:line="288" w:lineRule="auto"/>
              <w:rPr>
                <w:rFonts w:hint="eastAsia"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48小时内派遣相关人员赶赴现场，72小时内维修完毕；发生紧急抢修事故的，供应商应在接到采购人通知后24小时内到达现场抢修，并于到达现场24小时之内排除故障。供应商未在约定时间内修复的或同一货物经3次维修后仍不能稳定、可靠运行的，采购人有权要求供应商免费更换</w:t>
            </w:r>
            <w:r>
              <w:rPr>
                <w:rFonts w:hint="eastAsia" w:ascii="宋体" w:hAnsi="宋体" w:eastAsia="宋体" w:cs="宋体"/>
                <w:szCs w:val="21"/>
                <w:u w:val="single"/>
              </w:rPr>
              <w:t>；</w:t>
            </w:r>
          </w:p>
          <w:p w14:paraId="453E65BA">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adjustRightInd w:val="0"/>
              <w:snapToGrid w:val="0"/>
              <w:spacing w:line="288" w:lineRule="auto"/>
              <w:rPr>
                <w:rFonts w:hint="eastAsia" w:ascii="宋体" w:hAnsi="宋体" w:eastAsia="宋体" w:cs="Times New Roman"/>
                <w:spacing w:val="-6"/>
                <w:szCs w:val="21"/>
              </w:rPr>
            </w:pPr>
            <w:r>
              <w:rPr>
                <w:rFonts w:hint="eastAsia" w:ascii="宋体" w:hAnsi="宋体" w:eastAsia="宋体" w:cs="宋体"/>
                <w:szCs w:val="21"/>
              </w:rPr>
              <w:t>▲1</w:t>
            </w:r>
            <w:r>
              <w:rPr>
                <w:rFonts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7DC1F1E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2.供应商应提供有关的全套技术文件。</w:t>
            </w:r>
          </w:p>
          <w:p w14:paraId="635BB21C">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.安装调试：</w:t>
            </w:r>
          </w:p>
          <w:p w14:paraId="70071A3E">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.1安装地点：采购人指定地点；</w:t>
            </w:r>
          </w:p>
          <w:p w14:paraId="0C0F95CF">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5971720">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0576EBE">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581FA0EB">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.5供应商免费提供合同货物的安装服务；</w:t>
            </w:r>
          </w:p>
          <w:p w14:paraId="5734B2A8">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.6供应商在投标文件中应提供安装调试计划和安装调试方案。</w:t>
            </w:r>
          </w:p>
          <w:p w14:paraId="48874C4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4.技术支持：</w:t>
            </w:r>
          </w:p>
          <w:p w14:paraId="4560E74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31F0DF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1.供应商应对采购人的操作人员、维修人员免费进行培训；</w:t>
            </w:r>
          </w:p>
          <w:p w14:paraId="318F2AC7">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2.培训实现方式、时间、地点、人数应在投标文件中详细说明；</w:t>
            </w:r>
          </w:p>
          <w:p w14:paraId="7DF872A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3.供应商应提供相应的培训计划、培训范围，实施方案；</w:t>
            </w:r>
          </w:p>
          <w:p w14:paraId="046159F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4.提供免费的仪器操作和维护培训，具体培训内容包括：</w:t>
            </w:r>
          </w:p>
          <w:p w14:paraId="623172C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（1）设备的工作原理；</w:t>
            </w:r>
          </w:p>
          <w:p w14:paraId="45F3CFA9">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（2）设备结构，现场介绍整套系统的结构，组装，各个配件的具体用途，演示设备的组装；</w:t>
            </w:r>
          </w:p>
          <w:p w14:paraId="41A57DF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（3）设备操作及校准，现场通过具体实验讲解设备的每一步操作流程，注意事项，实验每一步骤的操作；</w:t>
            </w:r>
          </w:p>
          <w:p w14:paraId="55C3602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（4）设备日常保养及基本维修常识，介绍设备的日常维护与相关维修知识；</w:t>
            </w:r>
          </w:p>
          <w:p w14:paraId="3D36B1A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（5）安排和指导实验，提高操作能力，保证采购人操作人员能够达到独立的、规范的使用和日常维护的水平。</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bookmarkStart w:id="58" w:name="_GoBack" w:colFirst="0" w:colLast="1"/>
            <w:r>
              <w:rPr>
                <w:rFonts w:hint="eastAsia" w:ascii="宋体" w:hAnsi="宋体" w:eastAsia="宋体" w:cs="宋体"/>
                <w:b/>
                <w:bCs/>
                <w:kern w:val="2"/>
                <w:sz w:val="21"/>
                <w:szCs w:val="21"/>
                <w:lang w:val="en-US" w:eastAsia="zh-CN"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6BF47A2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1.验收由采购人负责实施；</w:t>
            </w:r>
            <w:r>
              <w:rPr>
                <w:rFonts w:hint="eastAsia" w:ascii="宋体" w:hAnsi="宋体" w:eastAsia="宋体" w:cs="宋体"/>
                <w:kern w:val="0"/>
                <w:sz w:val="21"/>
                <w:szCs w:val="21"/>
                <w:lang w:val="en-US" w:eastAsia="zh-CN" w:bidi="ar"/>
              </w:rPr>
              <w:t>货物经安装调试完成且符合技术要求后，采购人负责在10个工作日内进行最终验收。如采购人需要，验收时供应商必须在现场。</w:t>
            </w:r>
          </w:p>
          <w:p w14:paraId="29FEEA5F">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2.验收依据：</w:t>
            </w:r>
          </w:p>
          <w:p w14:paraId="239030F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2.1合同、招标文件、投标文件；</w:t>
            </w:r>
          </w:p>
          <w:p w14:paraId="7195B96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2.2供应商提供的技术规格、经采购人认可的合同货物的有效检验文件；</w:t>
            </w:r>
          </w:p>
          <w:p w14:paraId="7B0B26C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2.3供应商投标文件中提供的经采购人认可的合同货物的验收标准（符合中国有关的国家、地方、行业标准）和检测办法及相应检测手段。</w:t>
            </w:r>
          </w:p>
          <w:p w14:paraId="01D63FB8">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7939E05A">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4.验收合格的条件：</w:t>
            </w:r>
          </w:p>
          <w:p w14:paraId="5096B3AF">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4.1所供货物符合产品标准和合同的要求；</w:t>
            </w:r>
          </w:p>
          <w:p w14:paraId="3C806CF9">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4.2在进行测试和验收过程中发现的问题已被解决并得到采购人的认可；</w:t>
            </w:r>
          </w:p>
          <w:p w14:paraId="76C4EA8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4.3合同中规定的所有货物和材料均已交付；</w:t>
            </w:r>
          </w:p>
          <w:p w14:paraId="2109899C">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4.4所供货物已通过使用单位组织的验收；</w:t>
            </w:r>
          </w:p>
          <w:p w14:paraId="7F4CD88B">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szCs w:val="21"/>
              </w:rPr>
            </w:pPr>
            <w:r>
              <w:rPr>
                <w:rFonts w:hint="eastAsia" w:ascii="宋体" w:hAnsi="宋体" w:eastAsia="宋体" w:cs="宋体"/>
                <w:kern w:val="2"/>
                <w:sz w:val="21"/>
                <w:szCs w:val="21"/>
                <w:lang w:val="en-US" w:eastAsia="zh-CN" w:bidi="ar"/>
              </w:rPr>
              <w:t>4.5所有相关的技术文件及资料均已提交并得到接受。</w:t>
            </w:r>
          </w:p>
        </w:tc>
      </w:tr>
      <w:tr w14:paraId="608B01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30F5507">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2F2115BC">
            <w:pPr>
              <w:keepNext w:val="0"/>
              <w:keepLines w:val="0"/>
              <w:widowControl w:val="0"/>
              <w:suppressLineNumbers w:val="0"/>
              <w:adjustRightInd w:val="0"/>
              <w:snapToGrid w:val="0"/>
              <w:spacing w:before="0" w:beforeAutospacing="0" w:after="0" w:afterAutospacing="0" w:line="288" w:lineRule="auto"/>
              <w:ind w:left="0" w:leftChars="0" w:right="0" w:rightChars="0"/>
              <w:jc w:val="left"/>
              <w:rPr>
                <w:rFonts w:hint="eastAsia" w:ascii="宋体" w:hAnsi="宋体" w:eastAsia="宋体" w:cs="宋体"/>
                <w:szCs w:val="21"/>
              </w:rPr>
            </w:pPr>
            <w:r>
              <w:rPr>
                <w:rFonts w:hint="eastAsia" w:ascii="宋体" w:hAnsi="宋体" w:eastAsia="宋体" w:cs="宋体"/>
                <w:b w:val="0"/>
                <w:bCs w:val="0"/>
                <w:kern w:val="2"/>
                <w:sz w:val="21"/>
                <w:szCs w:val="21"/>
                <w:lang w:val="en-US" w:eastAsia="zh-CN" w:bidi="ar"/>
              </w:rPr>
              <w:t>按“第五章  拟签订的合同文本”相关违约责任及争议解决方式内容。</w:t>
            </w:r>
          </w:p>
        </w:tc>
      </w:tr>
      <w:bookmarkEnd w:id="58"/>
    </w:tbl>
    <w:p w14:paraId="67E7F4E9">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.需实现的功能或者目标：满足高帧频液体图像采集系统的使用需求。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59" w:type="dxa"/>
            <w:vAlign w:val="center"/>
          </w:tcPr>
          <w:p w14:paraId="7526269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10" w:type="dxa"/>
            <w:vAlign w:val="center"/>
          </w:tcPr>
          <w:p w14:paraId="3B9DB4B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661" w:type="dxa"/>
            <w:vAlign w:val="center"/>
          </w:tcPr>
          <w:p w14:paraId="601BB26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661" w:type="dxa"/>
            <w:vAlign w:val="center"/>
          </w:tcPr>
          <w:p w14:paraId="302F457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单位</w:t>
            </w:r>
          </w:p>
        </w:tc>
        <w:tc>
          <w:tcPr>
            <w:tcW w:w="6269" w:type="dxa"/>
            <w:vAlign w:val="center"/>
          </w:tcPr>
          <w:p w14:paraId="7F7ED66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adjustRightInd w:val="0"/>
              <w:snapToGrid w:val="0"/>
              <w:spacing w:line="288" w:lineRule="auto"/>
              <w:jc w:val="center"/>
              <w:rPr>
                <w:rFonts w:hint="eastAsia" w:ascii="宋体" w:hAnsi="宋体" w:eastAsia="宋体" w:cs="宋体"/>
                <w:szCs w:val="21"/>
              </w:rPr>
            </w:pPr>
            <w:r>
              <w:rPr>
                <w:rFonts w:hint="eastAsia" w:ascii="宋体" w:hAnsi="宋体" w:eastAsia="宋体" w:cs="宋体"/>
                <w:b/>
                <w:bCs/>
                <w:szCs w:val="21"/>
              </w:rPr>
              <w:t>1</w:t>
            </w:r>
          </w:p>
        </w:tc>
        <w:tc>
          <w:tcPr>
            <w:tcW w:w="1810" w:type="dxa"/>
            <w:vAlign w:val="center"/>
          </w:tcPr>
          <w:p w14:paraId="2F9DD2F4">
            <w:pPr>
              <w:adjustRightInd w:val="0"/>
              <w:snapToGrid w:val="0"/>
              <w:spacing w:line="288" w:lineRule="auto"/>
              <w:jc w:val="center"/>
              <w:rPr>
                <w:rFonts w:hint="eastAsia" w:ascii="宋体" w:hAnsi="宋体" w:eastAsia="宋体" w:cs="Times New Roman"/>
                <w:szCs w:val="21"/>
              </w:rPr>
            </w:pPr>
            <w:r>
              <w:rPr>
                <w:rFonts w:hint="eastAsia" w:ascii="宋体" w:hAnsi="宋体" w:eastAsia="宋体" w:cs="Times New Roman"/>
                <w:b/>
                <w:bCs/>
                <w:szCs w:val="21"/>
              </w:rPr>
              <w:t>高帧频液体图像采集系统</w:t>
            </w:r>
          </w:p>
        </w:tc>
        <w:tc>
          <w:tcPr>
            <w:tcW w:w="661" w:type="dxa"/>
            <w:vAlign w:val="center"/>
          </w:tcPr>
          <w:p w14:paraId="77DC8DC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1</w:t>
            </w:r>
          </w:p>
        </w:tc>
        <w:tc>
          <w:tcPr>
            <w:tcW w:w="661" w:type="dxa"/>
            <w:vAlign w:val="center"/>
          </w:tcPr>
          <w:p w14:paraId="66A5AD6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套</w:t>
            </w:r>
          </w:p>
        </w:tc>
        <w:tc>
          <w:tcPr>
            <w:tcW w:w="6269" w:type="dxa"/>
            <w:vAlign w:val="center"/>
          </w:tcPr>
          <w:p w14:paraId="30B6AA9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★1.分辨率：≥1024*1024pixels；</w:t>
            </w:r>
          </w:p>
          <w:p w14:paraId="35B090A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★2.像素大小：≥20um；</w:t>
            </w:r>
          </w:p>
          <w:p w14:paraId="1A24D87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color w:val="EE0000"/>
                <w:szCs w:val="21"/>
              </w:rPr>
              <w:t>满幅</w:t>
            </w:r>
            <w:r>
              <w:rPr>
                <w:rFonts w:hint="eastAsia" w:ascii="宋体" w:hAnsi="宋体" w:eastAsia="宋体" w:cs="宋体"/>
                <w:szCs w:val="21"/>
              </w:rPr>
              <w:t>采集帧率：≥16000fps@1024*1024pixels；</w:t>
            </w:r>
          </w:p>
          <w:p w14:paraId="6C6A20C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w:t>
            </w:r>
            <w:r>
              <w:rPr>
                <w:rFonts w:hint="eastAsia" w:ascii="宋体" w:hAnsi="宋体" w:eastAsia="宋体" w:cs="宋体"/>
                <w:color w:val="EE0000"/>
                <w:szCs w:val="21"/>
              </w:rPr>
              <w:t>开窗</w:t>
            </w:r>
            <w:r>
              <w:rPr>
                <w:rFonts w:hint="eastAsia" w:ascii="宋体" w:hAnsi="宋体" w:eastAsia="宋体" w:cs="宋体"/>
                <w:szCs w:val="21"/>
              </w:rPr>
              <w:t>最高拍摄速度：≥200,000fps；</w:t>
            </w:r>
          </w:p>
          <w:p w14:paraId="2856265A">
            <w:pPr>
              <w:adjustRightInd w:val="0"/>
              <w:snapToGrid w:val="0"/>
              <w:spacing w:line="288" w:lineRule="auto"/>
              <w:jc w:val="left"/>
              <w:rPr>
                <w:rFonts w:hint="eastAsia" w:ascii="宋体" w:hAnsi="宋体" w:eastAsia="宋体" w:cs="宋体"/>
                <w:szCs w:val="21"/>
              </w:rPr>
            </w:pPr>
            <w:bookmarkStart w:id="38" w:name="OLE_LINK2"/>
            <w:r>
              <w:rPr>
                <w:rFonts w:hint="eastAsia" w:ascii="宋体" w:hAnsi="宋体" w:eastAsia="宋体" w:cs="宋体"/>
                <w:szCs w:val="21"/>
              </w:rPr>
              <w:t>▲</w:t>
            </w:r>
            <w:bookmarkEnd w:id="38"/>
            <w:r>
              <w:rPr>
                <w:rFonts w:hint="eastAsia" w:ascii="宋体" w:hAnsi="宋体" w:eastAsia="宋体" w:cs="宋体"/>
                <w:szCs w:val="21"/>
              </w:rPr>
              <w:t>5.机身内存：≥64GB；</w:t>
            </w:r>
          </w:p>
          <w:p w14:paraId="21CE8C2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▲6.感光度及动态范围：单色ISO64,000, 12bit mono</w:t>
            </w:r>
            <w:r>
              <w:rPr>
                <w:rFonts w:hint="eastAsia" w:ascii="宋体" w:hAnsi="宋体" w:eastAsia="宋体" w:cs="宋体"/>
                <w:b/>
                <w:bCs/>
                <w:szCs w:val="21"/>
                <w:lang w:eastAsia="zh-CN"/>
              </w:rPr>
              <w:t>（</w:t>
            </w:r>
            <w:r>
              <w:rPr>
                <w:rFonts w:hint="eastAsia" w:ascii="宋体" w:hAnsi="宋体" w:eastAsia="宋体" w:cs="宋体"/>
                <w:b/>
                <w:bCs/>
                <w:szCs w:val="21"/>
                <w:lang w:val="en-US" w:eastAsia="zh-CN"/>
              </w:rPr>
              <w:t>提供EMVA1288光电测试报告扫描件</w:t>
            </w:r>
            <w:r>
              <w:rPr>
                <w:rFonts w:hint="eastAsia" w:ascii="宋体" w:hAnsi="宋体" w:eastAsia="宋体" w:cs="宋体"/>
                <w:b/>
                <w:bCs/>
                <w:szCs w:val="21"/>
                <w:lang w:eastAsia="zh-CN"/>
              </w:rPr>
              <w:t>）</w:t>
            </w:r>
            <w:r>
              <w:rPr>
                <w:rFonts w:hint="eastAsia" w:ascii="宋体" w:hAnsi="宋体" w:eastAsia="宋体" w:cs="宋体"/>
                <w:szCs w:val="21"/>
              </w:rPr>
              <w:t>；</w:t>
            </w:r>
          </w:p>
          <w:p w14:paraId="08AF9A3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▲7.量子效率：QE≥75% at 590nm</w:t>
            </w:r>
            <w:r>
              <w:rPr>
                <w:rFonts w:hint="eastAsia" w:ascii="宋体" w:hAnsi="宋体" w:eastAsia="宋体" w:cs="宋体"/>
                <w:b/>
                <w:bCs/>
                <w:szCs w:val="21"/>
              </w:rPr>
              <w:t>（提供EMVA1288光电测试报告扫描件）</w:t>
            </w:r>
            <w:r>
              <w:rPr>
                <w:rFonts w:hint="eastAsia" w:ascii="宋体" w:hAnsi="宋体" w:eastAsia="宋体" w:cs="宋体"/>
                <w:szCs w:val="21"/>
              </w:rPr>
              <w:t>；</w:t>
            </w:r>
          </w:p>
          <w:p w14:paraId="1A284AA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★8.快门：最短曝光时间为0.2</w:t>
            </w:r>
            <w:r>
              <w:rPr>
                <w:rFonts w:ascii="Times New Roman" w:hAnsi="Times New Roman" w:eastAsia="宋体" w:cs="Times New Roman"/>
                <w:szCs w:val="21"/>
              </w:rPr>
              <w:t>μs</w:t>
            </w:r>
            <w:r>
              <w:rPr>
                <w:rFonts w:hint="eastAsia" w:ascii="宋体" w:hAnsi="宋体" w:eastAsia="宋体" w:cs="宋体"/>
                <w:szCs w:val="21"/>
              </w:rPr>
              <w:t>独立帧速率的全局电子快门；</w:t>
            </w:r>
          </w:p>
          <w:p w14:paraId="422C57F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▲9.双曝光间隔时间(PIV时间)：常规模式≤2.0</w:t>
            </w:r>
            <w:r>
              <w:rPr>
                <w:rFonts w:ascii="Times New Roman" w:hAnsi="Times New Roman" w:eastAsia="宋体" w:cs="Times New Roman"/>
                <w:szCs w:val="21"/>
              </w:rPr>
              <w:t>μs</w:t>
            </w:r>
            <w:r>
              <w:rPr>
                <w:rFonts w:hint="eastAsia" w:ascii="宋体" w:hAnsi="宋体" w:eastAsia="宋体" w:cs="宋体"/>
                <w:szCs w:val="21"/>
              </w:rPr>
              <w:t>，高速模式≤1.5</w:t>
            </w:r>
            <w:r>
              <w:rPr>
                <w:rFonts w:ascii="Times New Roman" w:hAnsi="Times New Roman" w:eastAsia="宋体" w:cs="Times New Roman"/>
                <w:szCs w:val="21"/>
              </w:rPr>
              <w:t>μs</w:t>
            </w:r>
            <w:r>
              <w:rPr>
                <w:rFonts w:hint="eastAsia" w:ascii="宋体" w:hAnsi="宋体" w:eastAsia="宋体" w:cs="宋体"/>
                <w:szCs w:val="21"/>
              </w:rPr>
              <w:t>；</w:t>
            </w:r>
          </w:p>
          <w:p w14:paraId="7E40287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10.相机控制数据接口：包含高速千兆/万兆以太网；</w:t>
            </w:r>
          </w:p>
          <w:p w14:paraId="45AD7B0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11.触发模式：起始点，中央点，终止点，自选点；</w:t>
            </w:r>
          </w:p>
          <w:p w14:paraId="1D87AA1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12.I/O接口：输入：触发(TTL/开关），同步信号，ready signal、event signal、IRIG；输出：触发，各种同步信号，ready signal；</w:t>
            </w:r>
          </w:p>
          <w:p w14:paraId="0171C52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★13.具有同步触发功能，可以与其他</w:t>
            </w:r>
            <w:r>
              <w:rPr>
                <w:rFonts w:hint="eastAsia" w:ascii="宋体" w:hAnsi="宋体" w:eastAsia="宋体" w:cs="宋体"/>
                <w:szCs w:val="21"/>
                <w:lang w:val="en-US" w:eastAsia="zh-CN"/>
              </w:rPr>
              <w:t>品牌</w:t>
            </w:r>
            <w:r>
              <w:rPr>
                <w:rFonts w:hint="eastAsia" w:ascii="宋体" w:hAnsi="宋体" w:eastAsia="宋体" w:cs="宋体"/>
                <w:szCs w:val="21"/>
              </w:rPr>
              <w:t>高速相机及激光器或光源进行同步并提供同步测试验收服务；另外，相机具有远程控制相机操作功能；</w:t>
            </w:r>
          </w:p>
          <w:p w14:paraId="4ED9CD9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14.采集控制软件：软件提供直观和功能丰富的用户界面，可以切换低照度模式和高速采集模式，可用于数据保存，图像回放等简单运动分析；允许图像校准和易于测量角度和距离图像数据，包括软件的二次开发包；</w:t>
            </w:r>
          </w:p>
          <w:p w14:paraId="1D7BC6E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★15.成像采集：12X变倍，2X F-mount Adapter Tube，12X Zoom lens，2x 物镜；显微检测能力：放大倍率覆盖 1.16X-14X，可对微小物体实现≤5µm 的观测精度；</w:t>
            </w:r>
          </w:p>
          <w:p w14:paraId="367F739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★16.相机体积及重量：≤120*120*220mm；≤3.5kg。</w:t>
            </w:r>
          </w:p>
        </w:tc>
      </w:tr>
    </w:tbl>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adjustRightInd w:val="0"/>
              <w:snapToGrid w:val="0"/>
              <w:spacing w:line="288" w:lineRule="auto"/>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adjustRightInd w:val="0"/>
              <w:snapToGrid w:val="0"/>
              <w:spacing w:line="288" w:lineRule="auto"/>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adjustRightInd w:val="0"/>
              <w:snapToGrid w:val="0"/>
              <w:spacing w:line="288" w:lineRule="auto"/>
              <w:rPr>
                <w:rFonts w:hint="eastAsia" w:ascii="宋体" w:hAnsi="宋体" w:eastAsia="宋体"/>
                <w:szCs w:val="21"/>
              </w:rPr>
            </w:pPr>
            <w:r>
              <w:rPr>
                <w:rFonts w:hint="eastAsia" w:ascii="宋体" w:hAnsi="宋体" w:eastAsia="宋体"/>
                <w:szCs w:val="21"/>
              </w:rPr>
              <w:t>本招标文件适用于杭州电子科技大学高帧频液体图像采集系统的招标、评标、定标、验收、合同履约、付款等（法律、法规另有规定的，从其规定）。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adjustRightInd w:val="0"/>
              <w:snapToGrid w:val="0"/>
              <w:spacing w:line="288" w:lineRule="auto"/>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adjustRightInd w:val="0"/>
              <w:snapToGrid w:val="0"/>
              <w:spacing w:line="288" w:lineRule="auto"/>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adjustRightInd w:val="0"/>
              <w:snapToGrid w:val="0"/>
              <w:spacing w:line="288" w:lineRule="auto"/>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adjustRightInd w:val="0"/>
              <w:snapToGrid w:val="0"/>
              <w:spacing w:line="288" w:lineRule="auto"/>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adjustRightInd w:val="0"/>
              <w:snapToGrid w:val="0"/>
              <w:spacing w:line="288" w:lineRule="auto"/>
              <w:rPr>
                <w:rFonts w:hint="eastAsia" w:ascii="宋体" w:hAnsi="宋体" w:eastAsia="宋体"/>
                <w:szCs w:val="21"/>
              </w:rPr>
            </w:pPr>
            <w:r>
              <w:rPr>
                <w:rFonts w:hint="eastAsia" w:ascii="宋体" w:hAnsi="宋体" w:eastAsia="宋体"/>
                <w:szCs w:val="21"/>
              </w:rPr>
              <w:t>▲1</w:t>
            </w:r>
            <w:r>
              <w:rPr>
                <w:rFonts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投标人代表不是法定代表人</w:t>
            </w:r>
            <w:r>
              <w:rPr>
                <w:rFonts w:hint="eastAsia" w:ascii="宋体" w:hAnsi="宋体" w:eastAsia="宋体"/>
                <w:szCs w:val="21"/>
              </w:rPr>
              <w:t>（单位负责人、自然人本人）的</w:t>
            </w:r>
            <w:r>
              <w:rPr>
                <w:rFonts w:ascii="宋体" w:hAnsi="宋体" w:eastAsia="宋体"/>
                <w:szCs w:val="21"/>
              </w:rPr>
              <w:t>，须提供</w:t>
            </w:r>
            <w:r>
              <w:rPr>
                <w:rFonts w:ascii="宋体" w:hAnsi="宋体" w:eastAsia="宋体"/>
                <w:bCs/>
                <w:szCs w:val="21"/>
              </w:rPr>
              <w:t>授权</w:t>
            </w:r>
            <w:r>
              <w:rPr>
                <w:rFonts w:hint="eastAsia" w:ascii="宋体" w:hAnsi="宋体" w:eastAsia="宋体"/>
                <w:bCs/>
                <w:szCs w:val="21"/>
              </w:rPr>
              <w:t>委托</w:t>
            </w:r>
            <w:r>
              <w:rPr>
                <w:rFonts w:ascii="宋体" w:hAnsi="宋体" w:eastAsia="宋体"/>
                <w:bCs/>
                <w:szCs w:val="21"/>
              </w:rPr>
              <w:t>书</w:t>
            </w:r>
            <w:r>
              <w:rPr>
                <w:rFonts w:hint="eastAsia" w:ascii="宋体" w:hAnsi="宋体" w:eastAsia="宋体"/>
                <w:szCs w:val="21"/>
              </w:rPr>
              <w:t>（格式详见招标文件第六章）和授权代表社保缴纳证明（2025年1月（含）</w:t>
            </w:r>
            <w:r>
              <w:rPr>
                <w:rFonts w:ascii="宋体" w:hAnsi="宋体" w:eastAsia="宋体"/>
                <w:szCs w:val="21"/>
              </w:rPr>
              <w:t>以后任意一月）</w:t>
            </w:r>
            <w:r>
              <w:rPr>
                <w:rFonts w:hint="eastAsia" w:ascii="宋体" w:hAnsi="宋体" w:eastAsia="宋体"/>
                <w:szCs w:val="21"/>
              </w:rPr>
              <w:t>；</w:t>
            </w:r>
          </w:p>
          <w:p w14:paraId="19BCFB3B">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adjustRightInd w:val="0"/>
              <w:snapToGrid w:val="0"/>
              <w:spacing w:line="288" w:lineRule="auto"/>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adjustRightInd w:val="0"/>
              <w:snapToGrid w:val="0"/>
              <w:spacing w:line="288" w:lineRule="auto"/>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adjustRightInd w:val="0"/>
              <w:snapToGrid w:val="0"/>
              <w:spacing w:line="288" w:lineRule="auto"/>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adjustRightInd w:val="0"/>
              <w:snapToGrid w:val="0"/>
              <w:spacing w:line="288" w:lineRule="auto"/>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adjustRightInd w:val="0"/>
              <w:snapToGrid w:val="0"/>
              <w:spacing w:line="288" w:lineRule="auto"/>
              <w:rPr>
                <w:rFonts w:hint="eastAsia"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adjustRightInd w:val="0"/>
                    <w:snapToGrid w:val="0"/>
                    <w:spacing w:line="288" w:lineRule="auto"/>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adjustRightInd w:val="0"/>
                    <w:snapToGrid w:val="0"/>
                    <w:spacing w:line="288" w:lineRule="auto"/>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adjustRightInd w:val="0"/>
                    <w:snapToGrid w:val="0"/>
                    <w:spacing w:line="288" w:lineRule="auto"/>
                    <w:jc w:val="center"/>
                    <w:rPr>
                      <w:rFonts w:hint="eastAsia" w:ascii="宋体" w:hAnsi="宋体" w:eastAsia="宋体"/>
                      <w:szCs w:val="21"/>
                    </w:rPr>
                  </w:pPr>
                  <w:r>
                    <w:rPr>
                      <w:rFonts w:hint="eastAsia" w:ascii="宋体" w:hAnsi="宋体" w:eastAsia="宋体"/>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adjustRightInd w:val="0"/>
                    <w:snapToGrid w:val="0"/>
                    <w:spacing w:line="288" w:lineRule="auto"/>
                    <w:jc w:val="center"/>
                    <w:rPr>
                      <w:rFonts w:hint="eastAsia" w:ascii="宋体" w:hAnsi="宋体" w:eastAsia="宋体"/>
                      <w:szCs w:val="21"/>
                    </w:rPr>
                  </w:pPr>
                  <w:r>
                    <w:rPr>
                      <w:rFonts w:hint="eastAsia" w:ascii="宋体" w:hAnsi="宋体" w:eastAsia="宋体"/>
                      <w:szCs w:val="21"/>
                    </w:rPr>
                    <w:t>0.77</w:t>
                  </w:r>
                </w:p>
              </w:tc>
            </w:tr>
          </w:tbl>
          <w:p w14:paraId="1073C959">
            <w:pPr>
              <w:adjustRightInd w:val="0"/>
              <w:snapToGrid w:val="0"/>
              <w:spacing w:line="288" w:lineRule="auto"/>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adjustRightInd w:val="0"/>
              <w:snapToGrid w:val="0"/>
              <w:spacing w:line="288" w:lineRule="auto"/>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adjustRightInd w:val="0"/>
              <w:snapToGrid w:val="0"/>
              <w:spacing w:line="288" w:lineRule="auto"/>
              <w:ind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adjustRightInd w:val="0"/>
              <w:snapToGrid w:val="0"/>
              <w:spacing w:line="288" w:lineRule="auto"/>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adjustRightInd w:val="0"/>
              <w:snapToGrid w:val="0"/>
              <w:spacing w:line="288" w:lineRule="auto"/>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adjustRightInd w:val="0"/>
              <w:snapToGrid w:val="0"/>
              <w:spacing w:line="288" w:lineRule="auto"/>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adjustRightInd w:val="0"/>
              <w:snapToGrid w:val="0"/>
              <w:spacing w:line="288" w:lineRule="auto"/>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adjustRightInd w:val="0"/>
              <w:snapToGrid w:val="0"/>
              <w:spacing w:line="288" w:lineRule="auto"/>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adjustRightInd w:val="0"/>
              <w:snapToGrid w:val="0"/>
              <w:spacing w:line="288" w:lineRule="auto"/>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adjustRightInd w:val="0"/>
              <w:snapToGrid w:val="0"/>
              <w:spacing w:line="288" w:lineRule="auto"/>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2BD3C9D6">
            <w:pPr>
              <w:adjustRightInd w:val="0"/>
              <w:snapToGrid w:val="0"/>
              <w:spacing w:line="288" w:lineRule="auto"/>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63817493">
            <w:pPr>
              <w:adjustRightInd w:val="0"/>
              <w:snapToGrid w:val="0"/>
              <w:spacing w:line="288" w:lineRule="auto"/>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adjustRightInd w:val="0"/>
              <w:snapToGrid w:val="0"/>
              <w:spacing w:line="288" w:lineRule="auto"/>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adjustRightInd w:val="0"/>
              <w:snapToGrid w:val="0"/>
              <w:spacing w:line="288" w:lineRule="auto"/>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adjustRightInd w:val="0"/>
              <w:snapToGrid w:val="0"/>
              <w:spacing w:line="288" w:lineRule="auto"/>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）查询渠道：“信用中国”（www.creditchina.gov.cn）、“中国政府采购网”（www.ccgp.gov.cn）；</w:t>
            </w:r>
          </w:p>
          <w:p w14:paraId="242F485B">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adjustRightInd w:val="0"/>
              <w:snapToGrid w:val="0"/>
              <w:spacing w:line="288" w:lineRule="auto"/>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adjustRightInd w:val="0"/>
              <w:snapToGrid w:val="0"/>
              <w:spacing w:line="288" w:lineRule="auto"/>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adjustRightInd w:val="0"/>
              <w:snapToGrid w:val="0"/>
              <w:spacing w:line="288" w:lineRule="auto"/>
              <w:rPr>
                <w:rFonts w:hint="eastAsia"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w:t>
            </w:r>
            <w:r>
              <w:rPr>
                <w:rFonts w:ascii="宋体" w:hAnsi="宋体" w:eastAsia="宋体"/>
                <w:bCs/>
                <w:szCs w:val="21"/>
              </w:rPr>
              <w:t>落实政府采购政策需满足的资格要求：</w:t>
            </w:r>
            <w:r>
              <w:rPr>
                <w:rFonts w:hint="eastAsia" w:ascii="宋体" w:hAnsi="宋体" w:eastAsia="宋体"/>
                <w:bCs/>
                <w:szCs w:val="21"/>
              </w:rPr>
              <w:t>无</w:t>
            </w:r>
          </w:p>
          <w:p w14:paraId="3F923D64">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本项目的特定资格要求</w:t>
            </w:r>
            <w:r>
              <w:rPr>
                <w:rFonts w:ascii="宋体" w:hAnsi="宋体" w:eastAsia="宋体"/>
                <w:szCs w:val="21"/>
              </w:rPr>
              <w:t>证明材料</w:t>
            </w:r>
            <w:r>
              <w:rPr>
                <w:rFonts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adjustRightInd w:val="0"/>
              <w:snapToGrid w:val="0"/>
              <w:spacing w:line="288" w:lineRule="auto"/>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adjustRightInd w:val="0"/>
              <w:snapToGrid w:val="0"/>
              <w:spacing w:line="288" w:lineRule="auto"/>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adjustRightInd w:val="0"/>
              <w:snapToGrid w:val="0"/>
              <w:spacing w:line="288" w:lineRule="auto"/>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4204BD4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9"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C20208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30EC00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rPr>
            </w:pPr>
            <w:r>
              <w:rPr>
                <w:rFonts w:hint="eastAsia" w:ascii="宋体" w:hAnsi="宋体" w:eastAsia="宋体"/>
                <w:color w:val="auto"/>
                <w:szCs w:val="21"/>
                <w:highlight w:val="none"/>
              </w:rPr>
              <w:t>3.进口设备的价格采用免税的人民币报价，交货方式为CIP杭州电子科技大学，由中标人</w:t>
            </w:r>
            <w:r>
              <w:rPr>
                <w:rFonts w:hint="eastAsia" w:ascii="宋体" w:hAnsi="宋体" w:eastAsia="宋体"/>
                <w:color w:val="auto"/>
                <w:szCs w:val="21"/>
                <w:highlight w:val="none"/>
                <w:lang w:val="en-US" w:eastAsia="zh-CN"/>
              </w:rPr>
              <w:t>负责</w:t>
            </w:r>
            <w:r>
              <w:rPr>
                <w:rFonts w:hint="eastAsia" w:ascii="宋体" w:hAnsi="宋体" w:eastAsia="宋体"/>
                <w:color w:val="auto"/>
                <w:szCs w:val="21"/>
                <w:highlight w:val="none"/>
              </w:rPr>
              <w:t>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提供进口设备免税承诺函；</w:t>
            </w:r>
          </w:p>
          <w:p w14:paraId="3740C1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487CA3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.投标文件只允许有一个报价，有选择的报价将不予接受</w:t>
            </w:r>
            <w:r>
              <w:rPr>
                <w:rFonts w:hint="eastAsia" w:ascii="宋体" w:hAnsi="宋体" w:eastAsia="宋体"/>
                <w:color w:val="auto"/>
                <w:szCs w:val="21"/>
                <w:highlight w:val="none"/>
                <w:lang w:eastAsia="zh-CN"/>
              </w:rPr>
              <w:t>；</w:t>
            </w:r>
          </w:p>
          <w:p w14:paraId="20368EBB">
            <w:pPr>
              <w:pStyle w:val="13"/>
              <w:adjustRightInd w:val="0"/>
              <w:snapToGrid w:val="0"/>
              <w:spacing w:before="0" w:beforeLines="0" w:after="0" w:afterLines="0" w:line="288" w:lineRule="auto"/>
              <w:jc w:val="left"/>
              <w:rPr>
                <w:rFonts w:hint="eastAsia" w:hAnsi="宋体" w:eastAsia="宋体" w:cs="宋体"/>
                <w:sz w:val="21"/>
                <w:szCs w:val="21"/>
              </w:rPr>
            </w:pPr>
            <w:r>
              <w:rPr>
                <w:rFonts w:hint="eastAsia" w:ascii="宋体" w:hAnsi="宋体" w:eastAsia="宋体" w:cs="宋体"/>
                <w:color w:val="auto"/>
                <w:kern w:val="2"/>
                <w:sz w:val="21"/>
                <w:szCs w:val="21"/>
                <w:highlight w:val="none"/>
                <w:lang w:val="en-US" w:eastAsia="zh-CN" w:bidi="ar-SA"/>
              </w:rPr>
              <w:t>▲6</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采购人将以合同形式有偿取得货物或服务，不接受投标人给予的赠品、回扣或者与采购无关的其他商品、服务。</w:t>
            </w:r>
            <w:bookmarkEnd w:id="39"/>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adjustRightInd w:val="0"/>
              <w:snapToGrid w:val="0"/>
              <w:spacing w:line="288" w:lineRule="auto"/>
              <w:rPr>
                <w:rFonts w:hint="eastAsia" w:ascii="宋体" w:hAnsi="宋体" w:eastAsia="宋体"/>
                <w:szCs w:val="21"/>
              </w:rPr>
            </w:pPr>
            <w:r>
              <w:rPr>
                <w:rFonts w:hint="eastAsia" w:ascii="宋体" w:hAnsi="宋体" w:eastAsia="宋体"/>
                <w:szCs w:val="21"/>
              </w:rPr>
              <w:t>▲从提交投标文件的截止之日起</w:t>
            </w:r>
            <w:r>
              <w:rPr>
                <w:rFonts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adjustRightInd w:val="0"/>
              <w:snapToGrid w:val="0"/>
              <w:spacing w:line="288" w:lineRule="auto"/>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adjustRightInd w:val="0"/>
              <w:snapToGrid w:val="0"/>
              <w:spacing w:line="288" w:lineRule="auto"/>
              <w:rPr>
                <w:rFonts w:hint="eastAsia" w:ascii="宋体" w:hAnsi="宋体" w:eastAsia="宋体"/>
                <w:szCs w:val="21"/>
              </w:rPr>
            </w:pPr>
            <w:r>
              <w:rPr>
                <w:rFonts w:ascii="宋体" w:hAnsi="宋体" w:eastAsia="宋体"/>
                <w:szCs w:val="21"/>
              </w:rPr>
              <w:t>详见“</w:t>
            </w:r>
            <w:r>
              <w:rPr>
                <w:rFonts w:hint="eastAsia" w:ascii="宋体" w:hAnsi="宋体" w:eastAsia="宋体"/>
                <w:szCs w:val="21"/>
              </w:rPr>
              <w:t>第四章  评标方法和评标标准</w:t>
            </w:r>
            <w:r>
              <w:rPr>
                <w:rFonts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adjustRightInd w:val="0"/>
              <w:snapToGrid w:val="0"/>
              <w:spacing w:line="288" w:lineRule="auto"/>
              <w:jc w:val="center"/>
              <w:rPr>
                <w:rFonts w:hint="eastAsia" w:ascii="宋体" w:hAnsi="宋体" w:eastAsia="宋体"/>
                <w:szCs w:val="21"/>
              </w:rPr>
            </w:pPr>
            <w:r>
              <w:rPr>
                <w:rFonts w:ascii="宋体" w:hAnsi="宋体" w:eastAsia="宋体"/>
                <w:szCs w:val="21"/>
              </w:rPr>
              <w:t>（</w:t>
            </w:r>
            <w:r>
              <w:rPr>
                <w:rFonts w:hint="eastAsia" w:ascii="宋体" w:hAnsi="宋体" w:eastAsia="宋体"/>
                <w:szCs w:val="21"/>
              </w:rPr>
              <w:t>十四</w:t>
            </w:r>
            <w:r>
              <w:rPr>
                <w:rFonts w:ascii="宋体" w:hAnsi="宋体" w:eastAsia="宋体"/>
                <w:szCs w:val="21"/>
              </w:rPr>
              <w:t>）</w:t>
            </w:r>
          </w:p>
        </w:tc>
        <w:tc>
          <w:tcPr>
            <w:tcW w:w="1701" w:type="dxa"/>
            <w:vAlign w:val="center"/>
          </w:tcPr>
          <w:p w14:paraId="75D18B75">
            <w:pPr>
              <w:adjustRightInd w:val="0"/>
              <w:snapToGrid w:val="0"/>
              <w:spacing w:line="288" w:lineRule="auto"/>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adjustRightInd w:val="0"/>
              <w:snapToGrid w:val="0"/>
              <w:spacing w:line="288" w:lineRule="auto"/>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adjustRightInd w:val="0"/>
              <w:snapToGrid w:val="0"/>
              <w:spacing w:line="288" w:lineRule="auto"/>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adjustRightInd w:val="0"/>
              <w:snapToGrid w:val="0"/>
              <w:spacing w:line="288" w:lineRule="auto"/>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40"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40"/>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本招标文件适用于杭州电子科技大学高帧频液体图像采集系统的招标、评标、定标、验收、合同履约、付款等（法律、法规另有规定的，从其规定）。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1"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1"/>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0B1D13">
            <w:pPr>
              <w:adjustRightInd w:val="0"/>
              <w:snapToGrid w:val="0"/>
              <w:spacing w:line="288" w:lineRule="auto"/>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97811B2">
            <w:pPr>
              <w:adjustRightInd w:val="0"/>
              <w:snapToGrid w:val="0"/>
              <w:spacing w:line="288" w:lineRule="auto"/>
              <w:jc w:val="center"/>
              <w:rPr>
                <w:rFonts w:hint="eastAsia" w:ascii="宋体" w:hAnsi="宋体" w:eastAsia="宋体"/>
                <w:szCs w:val="21"/>
              </w:rPr>
            </w:pPr>
            <w:r>
              <w:rPr>
                <w:rFonts w:hint="eastAsia" w:ascii="宋体" w:hAnsi="宋体" w:eastAsia="宋体"/>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5ABF2B15">
            <w:pPr>
              <w:adjustRightInd w:val="0"/>
              <w:snapToGrid w:val="0"/>
              <w:spacing w:line="288" w:lineRule="auto"/>
              <w:jc w:val="center"/>
              <w:rPr>
                <w:rFonts w:hint="eastAsia" w:ascii="宋体" w:hAnsi="宋体" w:eastAsia="宋体"/>
                <w:szCs w:val="21"/>
              </w:rPr>
            </w:pPr>
            <w:r>
              <w:rPr>
                <w:rFonts w:hint="eastAsia" w:ascii="宋体" w:hAnsi="宋体" w:eastAsia="宋体"/>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81705DE">
            <w:pPr>
              <w:adjustRightInd w:val="0"/>
              <w:snapToGrid w:val="0"/>
              <w:spacing w:line="288" w:lineRule="auto"/>
              <w:jc w:val="center"/>
              <w:rPr>
                <w:rFonts w:hint="eastAsia" w:ascii="宋体" w:hAnsi="宋体" w:eastAsia="宋体"/>
                <w:szCs w:val="21"/>
              </w:rPr>
            </w:pPr>
            <w:r>
              <w:rPr>
                <w:rFonts w:hint="eastAsia" w:ascii="宋体" w:hAnsi="宋体" w:eastAsia="宋体"/>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2"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2"/>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3" w:name="_Hlk92273111"/>
      <w:bookmarkStart w:id="44"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3"/>
    <w:p w14:paraId="5A973184">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1.进口产品</w:t>
      </w:r>
    </w:p>
    <w:p w14:paraId="79E3587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2.支持绿色发展</w:t>
      </w:r>
    </w:p>
    <w:p w14:paraId="4501DE12">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3.支持中小企业发展</w:t>
      </w:r>
    </w:p>
    <w:p w14:paraId="5C320AD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6.支持创新发展</w:t>
      </w:r>
    </w:p>
    <w:p w14:paraId="64B4764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4"/>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5"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5"/>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6" w:name="_Hlk96329183"/>
      <w:r>
        <w:rPr>
          <w:rFonts w:hint="eastAsia" w:ascii="宋体" w:hAnsi="宋体" w:eastAsia="宋体"/>
          <w:spacing w:val="-6"/>
          <w:szCs w:val="21"/>
        </w:rPr>
        <w:t>加盖公章</w:t>
      </w:r>
      <w:bookmarkEnd w:id="46"/>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7" w:name="_Hlk94018616"/>
      <w:r>
        <w:rPr>
          <w:rFonts w:hint="eastAsia" w:ascii="宋体" w:hAnsi="宋体" w:eastAsia="宋体"/>
          <w:spacing w:val="-6"/>
          <w:szCs w:val="21"/>
        </w:rPr>
        <w:t>▲d.投标人仅递交备份投标文件而未将电子加密投标文件成功上传至政府采购云平台的，投标无效。</w:t>
      </w:r>
    </w:p>
    <w:bookmarkEnd w:id="47"/>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0B4F9C5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default" w:ascii="宋体" w:hAnsi="宋体" w:eastAsia="宋体"/>
          <w:color w:val="auto"/>
          <w:szCs w:val="21"/>
          <w:highlight w:val="none"/>
        </w:rPr>
      </w:pPr>
      <w:bookmarkStart w:id="48"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28D0936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75A0B71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eastAsia" w:ascii="宋体" w:hAnsi="宋体" w:eastAsia="宋体"/>
          <w:color w:val="auto"/>
          <w:szCs w:val="21"/>
          <w:highlight w:val="none"/>
        </w:rPr>
      </w:pPr>
      <w:r>
        <w:rPr>
          <w:rFonts w:hint="eastAsia" w:ascii="宋体" w:hAnsi="宋体" w:eastAsia="宋体"/>
          <w:color w:val="auto"/>
          <w:szCs w:val="21"/>
          <w:highlight w:val="none"/>
        </w:rPr>
        <w:t>3.进口设备的价格采用免税的人民币报价，交货方式为CIP杭州电子科技大学，由中标人</w:t>
      </w:r>
      <w:r>
        <w:rPr>
          <w:rFonts w:hint="eastAsia" w:ascii="宋体" w:hAnsi="宋体" w:eastAsia="宋体"/>
          <w:color w:val="auto"/>
          <w:szCs w:val="21"/>
          <w:highlight w:val="none"/>
          <w:lang w:val="en-US" w:eastAsia="zh-CN"/>
        </w:rPr>
        <w:t>负责</w:t>
      </w:r>
      <w:r>
        <w:rPr>
          <w:rFonts w:hint="eastAsia" w:ascii="宋体" w:hAnsi="宋体" w:eastAsia="宋体"/>
          <w:color w:val="auto"/>
          <w:szCs w:val="21"/>
          <w:highlight w:val="none"/>
        </w:rPr>
        <w:t>办理免税事宜，采购人予以协助，所需费用由中标人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提供进口设备免税承诺函；</w:t>
      </w:r>
    </w:p>
    <w:p w14:paraId="24CB37A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4.</w:t>
      </w:r>
      <w:r>
        <w:rPr>
          <w:rFonts w:hint="eastAsia" w:ascii="宋体" w:hAnsi="宋体" w:eastAsia="宋体"/>
          <w:color w:val="auto"/>
          <w:szCs w:val="21"/>
          <w:highlight w:val="none"/>
        </w:rPr>
        <w:t>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326F7A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left="0" w:right="0"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val="en-US" w:eastAsia="zh-CN"/>
        </w:rPr>
        <w:t>5</w:t>
      </w:r>
      <w:r>
        <w:rPr>
          <w:rFonts w:hint="eastAsia" w:ascii="宋体" w:hAnsi="宋体" w:eastAsia="宋体"/>
          <w:color w:val="auto"/>
          <w:szCs w:val="21"/>
          <w:highlight w:val="none"/>
        </w:rPr>
        <w:t>.投标文件只允许有一个报价，有选择的报价将不予接受</w:t>
      </w:r>
      <w:r>
        <w:rPr>
          <w:rFonts w:hint="eastAsia" w:ascii="宋体" w:hAnsi="宋体" w:eastAsia="宋体"/>
          <w:color w:val="auto"/>
          <w:szCs w:val="21"/>
          <w:highlight w:val="none"/>
          <w:lang w:eastAsia="zh-CN"/>
        </w:rPr>
        <w:t>；</w:t>
      </w:r>
    </w:p>
    <w:p w14:paraId="661F87C5">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ascii="宋体" w:hAnsi="宋体" w:eastAsia="宋体" w:cs="宋体"/>
          <w:color w:val="auto"/>
          <w:kern w:val="2"/>
          <w:sz w:val="21"/>
          <w:szCs w:val="21"/>
          <w:highlight w:val="none"/>
          <w:lang w:val="en-US" w:eastAsia="zh-CN" w:bidi="ar-SA"/>
        </w:rPr>
        <w:t>▲6</w:t>
      </w:r>
      <w:r>
        <w:rPr>
          <w:rFonts w:hint="default" w:ascii="宋体" w:hAnsi="宋体" w:eastAsia="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采购人将以合同形式有偿取得货物或服务，不接受投标人给予的赠品、回扣或者与采购无关的其他商品、服务。</w:t>
      </w:r>
    </w:p>
    <w:bookmarkEnd w:id="48"/>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9" w:name="_Hlk94018682"/>
      <w:r>
        <w:rPr>
          <w:rFonts w:hint="eastAsia" w:ascii="宋体" w:hAnsi="宋体" w:eastAsia="宋体" w:cs="宋体"/>
          <w:szCs w:val="21"/>
        </w:rPr>
        <w:t>未响应招标文件“▲”标记条款要求的，投标无效。</w:t>
      </w:r>
    </w:p>
    <w:bookmarkEnd w:id="49"/>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50"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50"/>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1"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1"/>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2"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2"/>
    <w:p w14:paraId="7360A9FD">
      <w:pPr>
        <w:adjustRightInd w:val="0"/>
        <w:snapToGrid w:val="0"/>
        <w:spacing w:line="288" w:lineRule="auto"/>
        <w:ind w:firstLine="426" w:firstLineChars="202"/>
        <w:rPr>
          <w:rFonts w:hint="eastAsia" w:ascii="宋体" w:hAnsi="宋体" w:eastAsia="宋体" w:cs="Arial"/>
          <w:b/>
          <w:kern w:val="0"/>
          <w:szCs w:val="21"/>
        </w:rPr>
      </w:pPr>
      <w:bookmarkStart w:id="53"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kern w:val="0"/>
          <w:szCs w:val="21"/>
        </w:rPr>
      </w:pPr>
      <w:r>
        <w:rPr>
          <w:rFonts w:hint="eastAsia" w:ascii="宋体" w:hAnsi="宋体" w:cs="仿宋"/>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145DDE7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3"/>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adjustRightInd w:val="0"/>
              <w:snapToGrid w:val="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adjustRightInd w:val="0"/>
              <w:snapToGrid w:val="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adjustRightInd w:val="0"/>
              <w:snapToGrid w:val="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adjustRightInd w:val="0"/>
              <w:snapToGrid w:val="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adjustRightInd w:val="0"/>
              <w:snapToGrid w:val="0"/>
              <w:rPr>
                <w:rFonts w:hint="eastAsia" w:ascii="宋体" w:hAnsi="宋体" w:eastAsia="宋体" w:cs="宋体"/>
                <w:szCs w:val="21"/>
              </w:rPr>
            </w:pPr>
            <w:r>
              <w:rPr>
                <w:rFonts w:hint="eastAsia" w:ascii="宋体" w:hAnsi="宋体" w:eastAsia="宋体" w:cs="宋体"/>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adjustRightInd w:val="0"/>
              <w:snapToGrid w:val="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adjustRightInd w:val="0"/>
              <w:snapToGrid w:val="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adjustRightInd w:val="0"/>
              <w:snapToGrid w:val="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adjustRightInd w:val="0"/>
              <w:snapToGrid w:val="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7606ED5B">
            <w:pPr>
              <w:adjustRightInd w:val="0"/>
              <w:snapToGrid w:val="0"/>
              <w:rPr>
                <w:rFonts w:hint="eastAsia" w:ascii="宋体" w:hAnsi="宋体" w:eastAsia="宋体" w:cs="宋体"/>
                <w:szCs w:val="21"/>
              </w:rPr>
            </w:pPr>
            <w:r>
              <w:rPr>
                <w:rFonts w:hint="eastAsia" w:ascii="宋体" w:hAnsi="宋体" w:eastAsia="宋体" w:cs="宋体"/>
                <w:szCs w:val="21"/>
              </w:rPr>
              <w:t>【客观分】</w:t>
            </w:r>
          </w:p>
          <w:p w14:paraId="3EA8419A">
            <w:pPr>
              <w:adjustRightInd w:val="0"/>
              <w:snapToGrid w:val="0"/>
              <w:rPr>
                <w:rFonts w:hint="eastAsia" w:ascii="宋体" w:hAnsi="宋体" w:eastAsia="宋体" w:cs="宋体"/>
                <w:szCs w:val="21"/>
              </w:rPr>
            </w:pPr>
            <w:r>
              <w:rPr>
                <w:rFonts w:hint="eastAsia" w:ascii="宋体" w:hAnsi="宋体" w:eastAsia="宋体" w:cs="宋体"/>
                <w:szCs w:val="21"/>
              </w:rPr>
              <w:t>不符合（负偏离）技术要求中标注“▲”条款（不可偏离）的响应无效；</w:t>
            </w:r>
          </w:p>
          <w:p w14:paraId="7AEB063E">
            <w:pPr>
              <w:adjustRightInd w:val="0"/>
              <w:snapToGrid w:val="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adjustRightInd w:val="0"/>
              <w:snapToGrid w:val="0"/>
              <w:rPr>
                <w:rFonts w:hint="eastAsia" w:ascii="宋体" w:hAnsi="宋体" w:eastAsia="宋体" w:cs="宋体"/>
                <w:szCs w:val="21"/>
              </w:rPr>
            </w:pPr>
            <w:r>
              <w:rPr>
                <w:rFonts w:hint="eastAsia" w:ascii="宋体" w:hAnsi="宋体" w:eastAsia="宋体" w:cs="宋体"/>
                <w:szCs w:val="21"/>
              </w:rPr>
              <w:t>技术条款低于技术要求（负偏离）的，标注“★”的每项扣3分，未标注“★”的每项扣2分；</w:t>
            </w:r>
          </w:p>
          <w:p w14:paraId="6F1D37CE">
            <w:pPr>
              <w:adjustRightInd w:val="0"/>
              <w:snapToGrid w:val="0"/>
              <w:rPr>
                <w:rFonts w:hint="eastAsia" w:ascii="宋体" w:hAnsi="宋体" w:eastAsia="宋体" w:cs="宋体"/>
                <w:szCs w:val="21"/>
              </w:rPr>
            </w:pPr>
            <w:r>
              <w:rPr>
                <w:rFonts w:hint="eastAsia" w:ascii="宋体" w:hAnsi="宋体" w:eastAsia="宋体" w:cs="宋体"/>
                <w:szCs w:val="21"/>
              </w:rPr>
              <w:t>负偏离扣分30分及以上的视为采购人不能接受的附加条件。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adjustRightInd w:val="0"/>
              <w:snapToGrid w:val="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adjustRightInd w:val="0"/>
              <w:snapToGrid w:val="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4" w:name="_Hlk81817373"/>
      <w:bookmarkStart w:id="55"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4"/>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5"/>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245B78A5">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b/>
          <w:bCs/>
          <w:color w:val="9BBB59"/>
          <w:sz w:val="21"/>
          <w:szCs w:val="21"/>
          <w:u w:val="single"/>
        </w:rPr>
      </w:pPr>
      <w:r>
        <w:rPr>
          <w:rFonts w:hint="eastAsia" w:ascii="宋体" w:hAnsi="宋体" w:eastAsia="宋体" w:cs="宋体"/>
          <w:b/>
          <w:bCs/>
          <w:sz w:val="21"/>
          <w:szCs w:val="21"/>
        </w:rPr>
        <w:t>合同编号</w:t>
      </w:r>
      <w:r>
        <w:rPr>
          <w:rFonts w:hint="eastAsia" w:ascii="宋体" w:hAnsi="宋体" w:eastAsia="宋体" w:cs="宋体"/>
          <w:b/>
          <w:bCs/>
          <w:sz w:val="21"/>
          <w:szCs w:val="21"/>
          <w:u w:val="single"/>
        </w:rPr>
        <w:t xml:space="preserve">        </w:t>
      </w:r>
    </w:p>
    <w:p w14:paraId="208F6B87">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杭州电子科技大学采购合同</w:t>
      </w:r>
    </w:p>
    <w:p w14:paraId="544A9F4D">
      <w:pPr>
        <w:keepNext w:val="0"/>
        <w:keepLines w:val="0"/>
        <w:pageBreakBefore w:val="0"/>
        <w:widowControl w:val="0"/>
        <w:kinsoku/>
        <w:wordWrap/>
        <w:overflowPunct/>
        <w:topLinePunct w:val="0"/>
        <w:bidi w:val="0"/>
        <w:spacing w:line="288" w:lineRule="auto"/>
        <w:ind w:left="0" w:hanging="6195" w:hangingChars="295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项目编号：</w:t>
      </w:r>
    </w:p>
    <w:p w14:paraId="6CB4FBC3">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确认书编号：</w:t>
      </w:r>
    </w:p>
    <w:p w14:paraId="59D4AC94">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甲方（需方）：杭州电子科技大学</w:t>
      </w:r>
    </w:p>
    <w:p w14:paraId="07D9C667">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乙方（供方）：</w:t>
      </w:r>
    </w:p>
    <w:p w14:paraId="68A88A31">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采购代理机构（鉴证方）：</w:t>
      </w:r>
    </w:p>
    <w:p w14:paraId="191F4ED3">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签约时间、地点：2025年  月   日，浙江杭州</w:t>
      </w:r>
    </w:p>
    <w:p w14:paraId="20E0289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为了保护甲乙双方合法权益，根据</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（项目编号：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r>
        <w:rPr>
          <w:rFonts w:hint="eastAsia" w:ascii="宋体" w:hAnsi="宋体" w:eastAsia="宋体" w:cs="宋体"/>
          <w:sz w:val="21"/>
          <w:szCs w:val="21"/>
          <w:u w:val="single"/>
        </w:rPr>
        <w:t>公开招标</w:t>
      </w:r>
      <w:r>
        <w:rPr>
          <w:rFonts w:hint="eastAsia" w:ascii="宋体" w:hAnsi="宋体" w:eastAsia="宋体" w:cs="宋体"/>
          <w:sz w:val="21"/>
          <w:szCs w:val="21"/>
        </w:rPr>
        <w:t>的中标（成交）结果，签署本合同，以资共同遵守。</w:t>
      </w:r>
    </w:p>
    <w:p w14:paraId="2B1ED01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一、采购货物与合同价格</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316"/>
        <w:gridCol w:w="3316"/>
        <w:gridCol w:w="745"/>
        <w:gridCol w:w="824"/>
        <w:gridCol w:w="1249"/>
        <w:gridCol w:w="1438"/>
      </w:tblGrid>
      <w:tr w14:paraId="3BB6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37363F98">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684" w:type="pct"/>
            <w:tcBorders>
              <w:top w:val="single" w:color="auto" w:sz="4" w:space="0"/>
              <w:left w:val="nil"/>
              <w:bottom w:val="single" w:color="auto" w:sz="4" w:space="0"/>
              <w:right w:val="single" w:color="auto" w:sz="4" w:space="0"/>
            </w:tcBorders>
            <w:noWrap w:val="0"/>
            <w:vAlign w:val="center"/>
          </w:tcPr>
          <w:p w14:paraId="6C3078B2">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货物名称</w:t>
            </w:r>
          </w:p>
        </w:tc>
        <w:tc>
          <w:tcPr>
            <w:tcW w:w="1723" w:type="pct"/>
            <w:tcBorders>
              <w:top w:val="single" w:color="auto" w:sz="4" w:space="0"/>
              <w:left w:val="nil"/>
              <w:bottom w:val="single" w:color="auto" w:sz="4" w:space="0"/>
              <w:right w:val="single" w:color="auto" w:sz="4" w:space="0"/>
            </w:tcBorders>
            <w:noWrap w:val="0"/>
            <w:vAlign w:val="center"/>
          </w:tcPr>
          <w:p w14:paraId="50375AE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品牌、型号等</w:t>
            </w:r>
          </w:p>
        </w:tc>
        <w:tc>
          <w:tcPr>
            <w:tcW w:w="387" w:type="pct"/>
            <w:tcBorders>
              <w:top w:val="single" w:color="auto" w:sz="4" w:space="0"/>
              <w:left w:val="nil"/>
              <w:bottom w:val="single" w:color="auto" w:sz="4" w:space="0"/>
              <w:right w:val="single" w:color="auto" w:sz="4" w:space="0"/>
            </w:tcBorders>
            <w:noWrap w:val="0"/>
            <w:vAlign w:val="center"/>
          </w:tcPr>
          <w:p w14:paraId="7119932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数量</w:t>
            </w:r>
          </w:p>
        </w:tc>
        <w:tc>
          <w:tcPr>
            <w:tcW w:w="428" w:type="pct"/>
            <w:tcBorders>
              <w:top w:val="single" w:color="auto" w:sz="4" w:space="0"/>
              <w:left w:val="nil"/>
              <w:bottom w:val="single" w:color="auto" w:sz="4" w:space="0"/>
              <w:right w:val="single" w:color="auto" w:sz="4" w:space="0"/>
            </w:tcBorders>
            <w:noWrap w:val="0"/>
            <w:vAlign w:val="center"/>
          </w:tcPr>
          <w:p w14:paraId="279BD591">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单位</w:t>
            </w:r>
          </w:p>
        </w:tc>
        <w:tc>
          <w:tcPr>
            <w:tcW w:w="649" w:type="pct"/>
            <w:tcBorders>
              <w:top w:val="single" w:color="auto" w:sz="4" w:space="0"/>
              <w:left w:val="nil"/>
              <w:bottom w:val="single" w:color="auto" w:sz="4" w:space="0"/>
              <w:right w:val="single" w:color="auto" w:sz="4" w:space="0"/>
            </w:tcBorders>
            <w:noWrap w:val="0"/>
            <w:vAlign w:val="center"/>
          </w:tcPr>
          <w:p w14:paraId="20BE759D">
            <w:pPr>
              <w:keepNext w:val="0"/>
              <w:keepLines w:val="0"/>
              <w:pageBreakBefore w:val="0"/>
              <w:widowControl w:val="0"/>
              <w:kinsoku/>
              <w:wordWrap/>
              <w:overflowPunct/>
              <w:topLinePunct w:val="0"/>
              <w:bidi w:val="0"/>
              <w:spacing w:line="288" w:lineRule="auto"/>
              <w:ind w:left="0" w:firstLine="210" w:firstLineChars="100"/>
              <w:textAlignment w:val="auto"/>
              <w:rPr>
                <w:rFonts w:hint="eastAsia" w:ascii="宋体" w:hAnsi="宋体" w:eastAsia="宋体" w:cs="宋体"/>
                <w:sz w:val="21"/>
                <w:szCs w:val="21"/>
              </w:rPr>
            </w:pPr>
            <w:r>
              <w:rPr>
                <w:rFonts w:hint="eastAsia" w:ascii="宋体" w:hAnsi="宋体" w:eastAsia="宋体" w:cs="宋体"/>
                <w:sz w:val="21"/>
                <w:szCs w:val="21"/>
              </w:rPr>
              <w:t>单价</w:t>
            </w:r>
          </w:p>
        </w:tc>
        <w:tc>
          <w:tcPr>
            <w:tcW w:w="744" w:type="pct"/>
            <w:tcBorders>
              <w:top w:val="single" w:color="auto" w:sz="4" w:space="0"/>
              <w:left w:val="nil"/>
              <w:bottom w:val="single" w:color="auto" w:sz="4" w:space="0"/>
              <w:right w:val="single" w:color="auto" w:sz="4" w:space="0"/>
            </w:tcBorders>
            <w:noWrap w:val="0"/>
            <w:vAlign w:val="center"/>
          </w:tcPr>
          <w:p w14:paraId="595FAA40">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总价</w:t>
            </w:r>
          </w:p>
        </w:tc>
      </w:tr>
      <w:tr w14:paraId="1169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7F6626D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684" w:type="pct"/>
            <w:tcBorders>
              <w:top w:val="single" w:color="auto" w:sz="4" w:space="0"/>
              <w:left w:val="nil"/>
              <w:bottom w:val="single" w:color="auto" w:sz="4" w:space="0"/>
              <w:right w:val="single" w:color="auto" w:sz="4" w:space="0"/>
            </w:tcBorders>
            <w:noWrap w:val="0"/>
            <w:vAlign w:val="center"/>
          </w:tcPr>
          <w:p w14:paraId="07618C0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1723" w:type="pct"/>
            <w:tcBorders>
              <w:top w:val="single" w:color="auto" w:sz="4" w:space="0"/>
              <w:left w:val="nil"/>
              <w:bottom w:val="single" w:color="auto" w:sz="4" w:space="0"/>
              <w:right w:val="single" w:color="auto" w:sz="4" w:space="0"/>
            </w:tcBorders>
            <w:noWrap w:val="0"/>
            <w:vAlign w:val="center"/>
          </w:tcPr>
          <w:p w14:paraId="1C54DF1A">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r>
              <w:rPr>
                <w:rFonts w:hint="eastAsia" w:ascii="宋体" w:hAnsi="宋体" w:eastAsia="宋体" w:cs="宋体"/>
                <w:sz w:val="21"/>
                <w:szCs w:val="21"/>
              </w:rPr>
              <w:t>品牌、型号、详细技术参数（技术参数可以合同附件方式提供）</w:t>
            </w:r>
          </w:p>
        </w:tc>
        <w:tc>
          <w:tcPr>
            <w:tcW w:w="387" w:type="pct"/>
            <w:tcBorders>
              <w:top w:val="single" w:color="auto" w:sz="4" w:space="0"/>
              <w:left w:val="nil"/>
              <w:bottom w:val="single" w:color="auto" w:sz="4" w:space="0"/>
              <w:right w:val="single" w:color="auto" w:sz="4" w:space="0"/>
            </w:tcBorders>
            <w:noWrap w:val="0"/>
            <w:vAlign w:val="center"/>
          </w:tcPr>
          <w:p w14:paraId="591B2514">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428" w:type="pct"/>
            <w:tcBorders>
              <w:top w:val="single" w:color="auto" w:sz="4" w:space="0"/>
              <w:left w:val="nil"/>
              <w:bottom w:val="single" w:color="auto" w:sz="4" w:space="0"/>
              <w:right w:val="single" w:color="auto" w:sz="4" w:space="0"/>
            </w:tcBorders>
            <w:noWrap w:val="0"/>
            <w:vAlign w:val="center"/>
          </w:tcPr>
          <w:p w14:paraId="02DE51F1">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649" w:type="pct"/>
            <w:tcBorders>
              <w:top w:val="single" w:color="auto" w:sz="4" w:space="0"/>
              <w:left w:val="nil"/>
              <w:bottom w:val="single" w:color="auto" w:sz="4" w:space="0"/>
              <w:right w:val="single" w:color="auto" w:sz="4" w:space="0"/>
            </w:tcBorders>
            <w:noWrap w:val="0"/>
            <w:vAlign w:val="center"/>
          </w:tcPr>
          <w:p w14:paraId="7BFAF87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744" w:type="pct"/>
            <w:tcBorders>
              <w:top w:val="single" w:color="auto" w:sz="4" w:space="0"/>
              <w:left w:val="nil"/>
              <w:bottom w:val="single" w:color="auto" w:sz="4" w:space="0"/>
              <w:right w:val="single" w:color="auto" w:sz="4" w:space="0"/>
            </w:tcBorders>
            <w:noWrap w:val="0"/>
            <w:vAlign w:val="center"/>
          </w:tcPr>
          <w:p w14:paraId="79229781">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r>
      <w:tr w14:paraId="6A864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382" w:type="pct"/>
            <w:tcBorders>
              <w:top w:val="single" w:color="auto" w:sz="4" w:space="0"/>
              <w:left w:val="single" w:color="auto" w:sz="4" w:space="0"/>
              <w:bottom w:val="single" w:color="auto" w:sz="4" w:space="0"/>
              <w:right w:val="single" w:color="auto" w:sz="4" w:space="0"/>
            </w:tcBorders>
            <w:noWrap w:val="0"/>
            <w:vAlign w:val="center"/>
          </w:tcPr>
          <w:p w14:paraId="6B75490B">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684" w:type="pct"/>
            <w:tcBorders>
              <w:top w:val="single" w:color="auto" w:sz="4" w:space="0"/>
              <w:left w:val="nil"/>
              <w:bottom w:val="single" w:color="auto" w:sz="4" w:space="0"/>
              <w:right w:val="single" w:color="auto" w:sz="4" w:space="0"/>
            </w:tcBorders>
            <w:noWrap w:val="0"/>
            <w:vAlign w:val="center"/>
          </w:tcPr>
          <w:p w14:paraId="5C9D5B3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1723" w:type="pct"/>
            <w:tcBorders>
              <w:top w:val="single" w:color="auto" w:sz="4" w:space="0"/>
              <w:left w:val="nil"/>
              <w:bottom w:val="single" w:color="auto" w:sz="4" w:space="0"/>
              <w:right w:val="single" w:color="auto" w:sz="4" w:space="0"/>
            </w:tcBorders>
            <w:noWrap w:val="0"/>
            <w:vAlign w:val="center"/>
          </w:tcPr>
          <w:p w14:paraId="6EECC30B">
            <w:pPr>
              <w:keepNext w:val="0"/>
              <w:keepLines w:val="0"/>
              <w:pageBreakBefore w:val="0"/>
              <w:widowControl w:val="0"/>
              <w:kinsoku/>
              <w:wordWrap/>
              <w:overflowPunct/>
              <w:topLinePunct w:val="0"/>
              <w:bidi w:val="0"/>
              <w:spacing w:line="288" w:lineRule="auto"/>
              <w:ind w:left="0"/>
              <w:textAlignment w:val="auto"/>
              <w:rPr>
                <w:rFonts w:hint="eastAsia" w:ascii="宋体" w:hAnsi="宋体" w:eastAsia="宋体" w:cs="宋体"/>
                <w:sz w:val="21"/>
                <w:szCs w:val="21"/>
              </w:rPr>
            </w:pPr>
          </w:p>
        </w:tc>
        <w:tc>
          <w:tcPr>
            <w:tcW w:w="387" w:type="pct"/>
            <w:tcBorders>
              <w:top w:val="single" w:color="auto" w:sz="4" w:space="0"/>
              <w:left w:val="nil"/>
              <w:bottom w:val="single" w:color="auto" w:sz="4" w:space="0"/>
              <w:right w:val="single" w:color="auto" w:sz="4" w:space="0"/>
            </w:tcBorders>
            <w:noWrap w:val="0"/>
            <w:vAlign w:val="center"/>
          </w:tcPr>
          <w:p w14:paraId="125DA836">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428" w:type="pct"/>
            <w:tcBorders>
              <w:top w:val="single" w:color="auto" w:sz="4" w:space="0"/>
              <w:left w:val="nil"/>
              <w:bottom w:val="single" w:color="auto" w:sz="4" w:space="0"/>
              <w:right w:val="single" w:color="auto" w:sz="4" w:space="0"/>
            </w:tcBorders>
            <w:noWrap w:val="0"/>
            <w:vAlign w:val="center"/>
          </w:tcPr>
          <w:p w14:paraId="054EB0D0">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c>
          <w:tcPr>
            <w:tcW w:w="649" w:type="pct"/>
            <w:tcBorders>
              <w:top w:val="single" w:color="auto" w:sz="4" w:space="0"/>
              <w:left w:val="nil"/>
              <w:bottom w:val="single" w:color="auto" w:sz="4" w:space="0"/>
              <w:right w:val="single" w:color="auto" w:sz="4" w:space="0"/>
            </w:tcBorders>
            <w:noWrap w:val="0"/>
            <w:vAlign w:val="center"/>
          </w:tcPr>
          <w:p w14:paraId="71CB7AF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p>
        </w:tc>
        <w:tc>
          <w:tcPr>
            <w:tcW w:w="744" w:type="pct"/>
            <w:tcBorders>
              <w:top w:val="single" w:color="auto" w:sz="4" w:space="0"/>
              <w:left w:val="nil"/>
              <w:bottom w:val="single" w:color="auto" w:sz="4" w:space="0"/>
              <w:right w:val="single" w:color="auto" w:sz="4" w:space="0"/>
            </w:tcBorders>
            <w:noWrap w:val="0"/>
            <w:vAlign w:val="center"/>
          </w:tcPr>
          <w:p w14:paraId="0B33C517">
            <w:pPr>
              <w:keepNext w:val="0"/>
              <w:keepLines w:val="0"/>
              <w:pageBreakBefore w:val="0"/>
              <w:widowControl w:val="0"/>
              <w:kinsoku/>
              <w:wordWrap/>
              <w:overflowPunct/>
              <w:topLinePunct w:val="0"/>
              <w:bidi w:val="0"/>
              <w:spacing w:line="288" w:lineRule="auto"/>
              <w:ind w:left="0"/>
              <w:jc w:val="center"/>
              <w:textAlignment w:val="auto"/>
              <w:rPr>
                <w:rFonts w:hint="eastAsia" w:ascii="宋体" w:hAnsi="宋体" w:eastAsia="宋体" w:cs="宋体"/>
                <w:sz w:val="21"/>
                <w:szCs w:val="21"/>
              </w:rPr>
            </w:pPr>
          </w:p>
        </w:tc>
      </w:tr>
      <w:tr w14:paraId="4A8E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5E8193A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合同总价（元，人民币）：小写￥              ，大写：</w:t>
            </w:r>
          </w:p>
        </w:tc>
      </w:tr>
    </w:tbl>
    <w:p w14:paraId="2979405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注：以上合同总价包含货物到达甲方或甲方指定用户并能正常使用所需的一切费用，包括但不限于设备（软件）费、包装费、运输费、装卸费、保险费、安装调试费、技术服务费、培训费、保修保换费、税费等。</w:t>
      </w:r>
    </w:p>
    <w:p w14:paraId="77D3A6D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二、供货范围</w:t>
      </w:r>
    </w:p>
    <w:p w14:paraId="63AB5178">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合同供货范围包括所有合同货物、相关的技术资料。</w:t>
      </w:r>
    </w:p>
    <w:p w14:paraId="606EEBD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3BCEE7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三、质保期、履约保证金与</w:t>
      </w:r>
      <w:r>
        <w:rPr>
          <w:rFonts w:hint="eastAsia" w:ascii="宋体" w:hAnsi="宋体" w:eastAsia="宋体" w:cs="宋体"/>
          <w:spacing w:val="-6"/>
          <w:sz w:val="21"/>
          <w:szCs w:val="21"/>
        </w:rPr>
        <w:t>货款的支付</w:t>
      </w:r>
    </w:p>
    <w:p w14:paraId="2AFE010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1.质保期：自验收合格之日起，整机质保期</w:t>
      </w:r>
      <w:r>
        <w:rPr>
          <w:rFonts w:hint="eastAsia" w:ascii="宋体" w:hAnsi="宋体" w:eastAsia="宋体" w:cs="宋体"/>
          <w:sz w:val="21"/>
          <w:szCs w:val="21"/>
          <w:u w:val="single"/>
        </w:rPr>
        <w:t xml:space="preserve">   </w:t>
      </w:r>
      <w:r>
        <w:rPr>
          <w:rFonts w:hint="eastAsia" w:ascii="宋体" w:hAnsi="宋体" w:eastAsia="宋体" w:cs="宋体"/>
          <w:sz w:val="21"/>
          <w:szCs w:val="21"/>
        </w:rPr>
        <w:t>年，其中</w:t>
      </w:r>
      <w:r>
        <w:rPr>
          <w:rFonts w:hint="eastAsia" w:ascii="宋体" w:hAnsi="宋体" w:eastAsia="宋体" w:cs="宋体"/>
          <w:sz w:val="21"/>
          <w:szCs w:val="21"/>
          <w:u w:val="single"/>
        </w:rPr>
        <w:t xml:space="preserve">    </w:t>
      </w:r>
      <w:r>
        <w:rPr>
          <w:rFonts w:hint="eastAsia" w:ascii="宋体" w:hAnsi="宋体" w:eastAsia="宋体" w:cs="宋体"/>
          <w:sz w:val="21"/>
          <w:szCs w:val="21"/>
        </w:rPr>
        <w:t>（配件名称）质保</w:t>
      </w:r>
      <w:r>
        <w:rPr>
          <w:rFonts w:hint="eastAsia" w:ascii="宋体" w:hAnsi="宋体" w:eastAsia="宋体" w:cs="宋体"/>
          <w:sz w:val="21"/>
          <w:szCs w:val="21"/>
          <w:u w:val="single"/>
        </w:rPr>
        <w:t xml:space="preserve">   </w:t>
      </w:r>
      <w:r>
        <w:rPr>
          <w:rFonts w:hint="eastAsia" w:ascii="宋体" w:hAnsi="宋体" w:eastAsia="宋体" w:cs="宋体"/>
          <w:sz w:val="21"/>
          <w:szCs w:val="21"/>
        </w:rPr>
        <w:t>年（如需要）。超过质保期的货物，终生维修，维修时只收部件成本费。软件的质保期即维护期，乙方应提供升级服务。质保期内质保维护升级等费用包含在合同总价中，不额外收取。</w:t>
      </w:r>
    </w:p>
    <w:p w14:paraId="6EE70DB7">
      <w:pPr>
        <w:keepNext w:val="0"/>
        <w:keepLines w:val="0"/>
        <w:pageBreakBefore w:val="0"/>
        <w:widowControl w:val="0"/>
        <w:kinsoku/>
        <w:wordWrap/>
        <w:overflowPunct/>
        <w:topLinePunct w:val="0"/>
        <w:bidi w:val="0"/>
        <w:spacing w:line="288" w:lineRule="auto"/>
        <w:ind w:left="0" w:firstLine="420" w:firstLineChars="200"/>
        <w:jc w:val="left"/>
        <w:textAlignment w:val="auto"/>
        <w:rPr>
          <w:rFonts w:hint="eastAsia" w:ascii="宋体" w:hAnsi="宋体" w:eastAsia="宋体" w:cs="宋体"/>
          <w:bCs/>
          <w:sz w:val="21"/>
          <w:szCs w:val="21"/>
        </w:rPr>
      </w:pPr>
      <w:r>
        <w:rPr>
          <w:rFonts w:hint="eastAsia" w:ascii="宋体" w:hAnsi="宋体" w:eastAsia="宋体" w:cs="宋体"/>
          <w:sz w:val="21"/>
          <w:szCs w:val="21"/>
        </w:rPr>
        <w:t>2.履约保证金</w:t>
      </w:r>
      <w:r>
        <w:rPr>
          <w:rFonts w:hint="eastAsia" w:ascii="宋体" w:hAnsi="宋体" w:eastAsia="宋体" w:cs="宋体"/>
          <w:bCs/>
          <w:sz w:val="21"/>
          <w:szCs w:val="21"/>
        </w:rPr>
        <w:t>：</w:t>
      </w:r>
      <w:r>
        <w:rPr>
          <w:rFonts w:hint="eastAsia" w:ascii="宋体" w:hAnsi="宋体" w:eastAsia="宋体" w:cs="宋体"/>
          <w:sz w:val="21"/>
          <w:szCs w:val="21"/>
        </w:rPr>
        <w:t>合同总金额的</w:t>
      </w:r>
      <w:r>
        <w:rPr>
          <w:rFonts w:hint="eastAsia" w:ascii="宋体" w:hAnsi="宋体" w:eastAsia="宋体" w:cs="宋体"/>
          <w:sz w:val="21"/>
          <w:szCs w:val="21"/>
          <w:u w:val="single"/>
        </w:rPr>
        <w:t>1</w:t>
      </w:r>
      <w:r>
        <w:rPr>
          <w:rFonts w:hint="eastAsia" w:ascii="宋体" w:hAnsi="宋体" w:eastAsia="宋体" w:cs="宋体"/>
          <w:sz w:val="21"/>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提供了预付款保函则供应商无需再缴纳履约保证金。</w:t>
      </w:r>
    </w:p>
    <w:p w14:paraId="04C51C1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u w:val="single"/>
        </w:rPr>
      </w:pPr>
      <w:r>
        <w:rPr>
          <w:rFonts w:hint="eastAsia" w:ascii="宋体" w:hAnsi="宋体" w:eastAsia="宋体" w:cs="宋体"/>
          <w:color w:val="auto"/>
          <w:sz w:val="21"/>
          <w:szCs w:val="21"/>
        </w:rPr>
        <w:t>3.货款的支付（根据项目要求、采购文件、采购结果，按以下方式选择填写）：</w:t>
      </w:r>
    </w:p>
    <w:p w14:paraId="128E985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z w:val="21"/>
          <w:szCs w:val="21"/>
        </w:rPr>
        <w:t>合同生效以及具备实施条件后7个工作日内，且乙方已向甲方提交银行、保险公司等金融机构出具的预付款保函</w:t>
      </w:r>
      <w:r>
        <w:rPr>
          <w:rFonts w:hint="eastAsia" w:ascii="宋体" w:hAnsi="宋体" w:eastAsia="宋体" w:cs="宋体"/>
          <w:color w:val="auto"/>
          <w:sz w:val="21"/>
          <w:szCs w:val="21"/>
          <w:lang w:eastAsia="zh-CN"/>
        </w:rPr>
        <w:t>（预付款保函有效期覆盖项目验收合格时间）</w:t>
      </w:r>
      <w:r>
        <w:rPr>
          <w:rFonts w:hint="eastAsia" w:ascii="宋体" w:hAnsi="宋体" w:eastAsia="宋体" w:cs="宋体"/>
          <w:color w:val="auto"/>
          <w:sz w:val="21"/>
          <w:szCs w:val="21"/>
        </w:rPr>
        <w:t>的，甲方向乙方支付合同总价的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%；货物在乙方安装调试完毕经甲方验收合格并收到发票后7个工作日内，向乙方支付合同总价的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E464FB2">
      <w:pPr>
        <w:keepNext w:val="0"/>
        <w:keepLines w:val="0"/>
        <w:pageBreakBefore w:val="0"/>
        <w:widowControl w:val="0"/>
        <w:kinsoku/>
        <w:wordWrap/>
        <w:overflowPunct/>
        <w:topLinePunct w:val="0"/>
        <w:autoSpaceDE w:val="0"/>
        <w:autoSpaceDN w:val="0"/>
        <w:bidi w:val="0"/>
        <w:adjustRightInd w:val="0"/>
        <w:snapToGrid w:val="0"/>
        <w:spacing w:line="288" w:lineRule="auto"/>
        <w:ind w:left="0" w:firstLine="396" w:firstLineChars="200"/>
        <w:jc w:val="left"/>
        <w:textAlignment w:val="auto"/>
        <w:rPr>
          <w:rFonts w:hint="eastAsia" w:ascii="宋体" w:hAnsi="宋体" w:eastAsia="宋体" w:cs="宋体"/>
          <w:color w:val="auto"/>
          <w:spacing w:val="-6"/>
          <w:kern w:val="0"/>
          <w:sz w:val="21"/>
          <w:szCs w:val="21"/>
        </w:rPr>
      </w:pPr>
      <w:r>
        <w:rPr>
          <w:rFonts w:hint="eastAsia" w:ascii="宋体" w:hAnsi="宋体" w:eastAsia="宋体" w:cs="宋体"/>
          <w:color w:val="auto"/>
          <w:spacing w:val="-6"/>
          <w:kern w:val="0"/>
          <w:sz w:val="21"/>
          <w:szCs w:val="21"/>
        </w:rPr>
        <w:t>注：付款前，乙方须提供甲方财务处开具的履约保证金收据，乙方向甲方开具等额有效的合格增值税专用发票。采购人开票信息如下：</w:t>
      </w:r>
    </w:p>
    <w:p w14:paraId="2A7D85AE">
      <w:pPr>
        <w:keepNext w:val="0"/>
        <w:keepLines w:val="0"/>
        <w:pageBreakBefore w:val="0"/>
        <w:widowControl w:val="0"/>
        <w:kinsoku/>
        <w:wordWrap/>
        <w:overflowPunct/>
        <w:topLinePunct w:val="0"/>
        <w:autoSpaceDE w:val="0"/>
        <w:autoSpaceDN w:val="0"/>
        <w:bidi w:val="0"/>
        <w:adjustRightInd w:val="0"/>
        <w:snapToGrid w:val="0"/>
        <w:spacing w:line="288" w:lineRule="auto"/>
        <w:ind w:left="0"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单位名称：杭州电子科技大学。税号：12330000470009026T</w:t>
      </w:r>
    </w:p>
    <w:p w14:paraId="6C60AB9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rPr>
        <w:t>开户银行：工行杭州高新支行   账号：1202026209008806216</w:t>
      </w:r>
    </w:p>
    <w:p w14:paraId="0D2DBC9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四、其他条款约定</w:t>
      </w:r>
    </w:p>
    <w:p w14:paraId="5E7C549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1.如本合同货物为进口货物时，甲方协助乙方在到货前办好进口货物审批和免税手续。</w:t>
      </w:r>
    </w:p>
    <w:p w14:paraId="7BFA57D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2.如本合同货物为进口货物时，乙方应根据本次采购结果（本合同约定的）提供双方确认的进口货物的品名、型号规格、配置配件、技术要求、价格、制造厂商或生产国别、售后服务等相关书面资料。</w:t>
      </w:r>
    </w:p>
    <w:p w14:paraId="07E080A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由乙方指定的境外公司签订外贸合同，如乙方指定的境外公司未能履行所签订外贸合同的条款时，则乙方指定的该境外公司名下的所有合同法律后果、责任和风险转由乙方承担，乙方无条件接受。</w:t>
      </w:r>
    </w:p>
    <w:p w14:paraId="73183AA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3.如本合同货物为进口货物时，乙方负责对外签订外贸合同、协助商谈运输方式、到货地点，办理法定商检、对外承付货款、办理进口报关、并在到货后负责送货上门和安装调试等事宜。</w:t>
      </w:r>
    </w:p>
    <w:p w14:paraId="3153C46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4.如本合同货物为进口货物时，所涉及的进口货物外贸代理费由乙方承担，与甲方无涉。</w:t>
      </w:r>
    </w:p>
    <w:p w14:paraId="00D492A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五、知识产权 </w:t>
      </w:r>
    </w:p>
    <w:p w14:paraId="0DFD36C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p>
    <w:p w14:paraId="0375F03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2.涉及产品定做的，甲方交付给乙方的设计图纸、样品、模具等商业秘密和知识产权归属于甲方，许可乙方在合同范围内使用，乙方负有保密责任。</w:t>
      </w:r>
    </w:p>
    <w:p w14:paraId="412C143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3.乙方违反上述条款导致甲方受损的，由此所导致的所有责任以及甲方所支付的所有费用（包括但不限于律师费、诉讼费等）均由乙方承担。</w:t>
      </w:r>
    </w:p>
    <w:p w14:paraId="396CAD5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六、转包或分包</w:t>
      </w:r>
    </w:p>
    <w:p w14:paraId="2B81669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1.本合同范围的货物，应由乙方直接供应，不得转让他人供应。</w:t>
      </w:r>
    </w:p>
    <w:p w14:paraId="528AFD2A">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2.除非得到甲方的书面同意，乙方不得将本合同范围的货物分包给他人供应。</w:t>
      </w:r>
    </w:p>
    <w:p w14:paraId="0BC20179">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3.如有转让或未经甲方同意的分包行为，甲方有权解除合同，没收履约保证金并追究乙方的违约责任。</w:t>
      </w:r>
    </w:p>
    <w:p w14:paraId="0331BB7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七、货物交付</w:t>
      </w:r>
    </w:p>
    <w:p w14:paraId="3621577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1.交货期：自合同签订生效之日起</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t>日</w:t>
      </w:r>
      <w:r>
        <w:rPr>
          <w:rFonts w:hint="eastAsia" w:ascii="宋体" w:hAnsi="宋体" w:eastAsia="宋体" w:cs="宋体"/>
          <w:sz w:val="21"/>
          <w:szCs w:val="21"/>
        </w:rPr>
        <w:t>内。</w:t>
      </w:r>
    </w:p>
    <w:p w14:paraId="10CDDBB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2.交货方式：送货上门。</w:t>
      </w:r>
    </w:p>
    <w:p w14:paraId="60432DB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3.交货地点：甲方指定地点。</w:t>
      </w:r>
    </w:p>
    <w:p w14:paraId="644F6B4F">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4.联系人及电话：甲方 姓名_________联系电话</w:t>
      </w:r>
      <w:r>
        <w:rPr>
          <w:rFonts w:hint="eastAsia" w:ascii="宋体" w:hAnsi="宋体" w:eastAsia="宋体" w:cs="宋体"/>
          <w:sz w:val="21"/>
          <w:szCs w:val="21"/>
          <w:u w:val="single"/>
        </w:rPr>
        <w:t>（办公电话及手机号）</w:t>
      </w:r>
      <w:r>
        <w:rPr>
          <w:rFonts w:hint="eastAsia" w:ascii="宋体" w:hAnsi="宋体" w:eastAsia="宋体" w:cs="宋体"/>
          <w:sz w:val="21"/>
          <w:szCs w:val="21"/>
        </w:rPr>
        <w:t>；乙方 姓名 __________联系电话</w:t>
      </w:r>
      <w:r>
        <w:rPr>
          <w:rFonts w:hint="eastAsia" w:ascii="宋体" w:hAnsi="宋体" w:eastAsia="宋体" w:cs="宋体"/>
          <w:sz w:val="21"/>
          <w:szCs w:val="21"/>
          <w:u w:val="single"/>
        </w:rPr>
        <w:t>（办公电话及手机号）</w:t>
      </w:r>
      <w:r>
        <w:rPr>
          <w:rFonts w:hint="eastAsia" w:ascii="宋体" w:hAnsi="宋体" w:eastAsia="宋体" w:cs="宋体"/>
          <w:sz w:val="21"/>
          <w:szCs w:val="21"/>
        </w:rPr>
        <w:t>。</w:t>
      </w:r>
    </w:p>
    <w:p w14:paraId="088E79C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5.乙方应在交货前3日内，以电话或传真向甲方提供交货计划（内容包括合同号、设备名称、型号规格、数量、重量和体积的约数、交货时间、地点、运输安排）。甲方应及时作好准备，办妥一切接货手续。</w:t>
      </w:r>
    </w:p>
    <w:p w14:paraId="4D323F7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6.本合同所有物品运抵甲方现场后，乙方应在确保设备外包装完好无损的情况下向甲方交货，出现货物不全，外包装破损等情况，甲方不予接收，由乙方负责更换，其相关费用由乙方负担。</w:t>
      </w:r>
    </w:p>
    <w:p w14:paraId="696A21C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7.乙方负责在约定期内将货物安全运抵指定地点，运输方式由乙方自行决定，相关费用由乙方承担。运输途中产生的交通事故、人身伤害、财产损失等责任均由乙方自行承担，与甲方无涉。</w:t>
      </w:r>
    </w:p>
    <w:p w14:paraId="5C24C774">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八、安装与验收</w:t>
      </w:r>
    </w:p>
    <w:p w14:paraId="7128F2E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验收由甲方负责实施，甲乙双方验收人员在安装数量和合同价格清单上签字确认。</w:t>
      </w:r>
    </w:p>
    <w:p w14:paraId="08E2E38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6F7DBB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4CAFAD6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3.最终验收：货物经安装调试完成且符合技术要求后，甲方负责在</w:t>
      </w:r>
      <w:r>
        <w:rPr>
          <w:rFonts w:hint="eastAsia" w:ascii="宋体" w:hAnsi="宋体" w:eastAsia="宋体" w:cs="宋体"/>
          <w:sz w:val="21"/>
          <w:szCs w:val="21"/>
          <w:u w:val="single"/>
        </w:rPr>
        <w:t xml:space="preserve">    </w:t>
      </w:r>
      <w:r>
        <w:rPr>
          <w:rFonts w:hint="eastAsia" w:ascii="宋体" w:hAnsi="宋体" w:eastAsia="宋体" w:cs="宋体"/>
          <w:sz w:val="21"/>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p>
    <w:p w14:paraId="665632B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九、质量保证与售后服务</w:t>
      </w:r>
    </w:p>
    <w:p w14:paraId="0B733B6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1.乙方应按采购文件规定的货物性能、技术要求、质量标准向甲方提供</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月后生产的，全新未经使用的，符合国家法律规定和技术规格、质量标准的出厂原装合格产品。</w:t>
      </w:r>
    </w:p>
    <w:p w14:paraId="2B61FDC6">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2.售后服务</w:t>
      </w:r>
    </w:p>
    <w:p w14:paraId="7FB678C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2.1远程技术支持：乙方应具有稳定的技术支持队伍和完善的服务支持网络，提供</w:t>
      </w:r>
      <w:r>
        <w:rPr>
          <w:rFonts w:hint="eastAsia" w:ascii="宋体" w:hAnsi="宋体" w:eastAsia="宋体" w:cs="宋体"/>
          <w:sz w:val="21"/>
          <w:szCs w:val="21"/>
          <w:u w:val="single"/>
        </w:rPr>
        <w:t xml:space="preserve"> 7×24小时 </w:t>
      </w:r>
      <w:r>
        <w:rPr>
          <w:rFonts w:hint="eastAsia" w:ascii="宋体" w:hAnsi="宋体" w:eastAsia="宋体" w:cs="宋体"/>
          <w:sz w:val="21"/>
          <w:szCs w:val="21"/>
        </w:rPr>
        <w:t>技术支持服务，及时响应甲方的技术服务支持需求，提出有效的解决方案，解决甲方在货物使用过程中遇到的实际问题。</w:t>
      </w:r>
    </w:p>
    <w:p w14:paraId="579D64D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2.2现场技术支持：对于通过电话、邮件等远程技术支持不能解决的问题，乙方应在</w:t>
      </w:r>
      <w:r>
        <w:rPr>
          <w:rFonts w:hint="eastAsia" w:ascii="宋体" w:hAnsi="宋体" w:eastAsia="宋体" w:cs="宋体"/>
          <w:sz w:val="21"/>
          <w:szCs w:val="21"/>
          <w:u w:val="single"/>
        </w:rPr>
        <w:t xml:space="preserve">      </w:t>
      </w:r>
      <w:r>
        <w:rPr>
          <w:rFonts w:hint="eastAsia" w:ascii="宋体" w:hAnsi="宋体" w:eastAsia="宋体" w:cs="宋体"/>
          <w:sz w:val="21"/>
          <w:szCs w:val="21"/>
        </w:rPr>
        <w:t>小时内派遣相关人员赶赴现场，</w:t>
      </w:r>
      <w:r>
        <w:rPr>
          <w:rFonts w:hint="eastAsia" w:ascii="宋体" w:hAnsi="宋体" w:eastAsia="宋体" w:cs="宋体"/>
          <w:sz w:val="21"/>
          <w:szCs w:val="21"/>
          <w:u w:val="single"/>
        </w:rPr>
        <w:t xml:space="preserve">     </w:t>
      </w:r>
      <w:r>
        <w:rPr>
          <w:rFonts w:hint="eastAsia" w:ascii="宋体" w:hAnsi="宋体" w:eastAsia="宋体" w:cs="宋体"/>
          <w:sz w:val="21"/>
          <w:szCs w:val="21"/>
        </w:rPr>
        <w:t>小时内维修完毕；发生紧急抢修事故的，乙方应在接到甲方通知后</w:t>
      </w:r>
      <w:r>
        <w:rPr>
          <w:rFonts w:hint="eastAsia" w:ascii="宋体" w:hAnsi="宋体" w:eastAsia="宋体" w:cs="宋体"/>
          <w:sz w:val="21"/>
          <w:szCs w:val="21"/>
          <w:u w:val="single"/>
        </w:rPr>
        <w:t xml:space="preserve">     </w:t>
      </w:r>
      <w:r>
        <w:rPr>
          <w:rFonts w:hint="eastAsia" w:ascii="宋体" w:hAnsi="宋体" w:eastAsia="宋体" w:cs="宋体"/>
          <w:sz w:val="21"/>
          <w:szCs w:val="21"/>
        </w:rPr>
        <w:t>小时内到达现场抢修，并于到达现场</w:t>
      </w:r>
      <w:r>
        <w:rPr>
          <w:rFonts w:hint="eastAsia" w:ascii="宋体" w:hAnsi="宋体" w:eastAsia="宋体" w:cs="宋体"/>
          <w:sz w:val="21"/>
          <w:szCs w:val="21"/>
          <w:u w:val="single"/>
        </w:rPr>
        <w:t xml:space="preserve">    </w:t>
      </w:r>
      <w:r>
        <w:rPr>
          <w:rFonts w:hint="eastAsia" w:ascii="宋体" w:hAnsi="宋体" w:eastAsia="宋体" w:cs="宋体"/>
          <w:sz w:val="21"/>
          <w:szCs w:val="21"/>
        </w:rPr>
        <w:t>小时之内排除故障。乙方未在约定时间内修复的或同一货物经</w:t>
      </w:r>
      <w:r>
        <w:rPr>
          <w:rFonts w:hint="eastAsia" w:ascii="宋体" w:hAnsi="宋体" w:eastAsia="宋体" w:cs="宋体"/>
          <w:sz w:val="21"/>
          <w:szCs w:val="21"/>
          <w:u w:val="single"/>
        </w:rPr>
        <w:t xml:space="preserve">    </w:t>
      </w:r>
      <w:r>
        <w:rPr>
          <w:rFonts w:hint="eastAsia" w:ascii="宋体" w:hAnsi="宋体" w:eastAsia="宋体" w:cs="宋体"/>
          <w:sz w:val="21"/>
          <w:szCs w:val="21"/>
        </w:rPr>
        <w:t>次维修后仍不能稳定、可靠运行的，甲方有权要求乙方免费更换。</w:t>
      </w:r>
    </w:p>
    <w:p w14:paraId="2795CDF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十、保密条款</w:t>
      </w:r>
    </w:p>
    <w:p w14:paraId="333C431C">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5E098D0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十一、违约责任</w:t>
      </w:r>
    </w:p>
    <w:p w14:paraId="145A672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1.甲方无故逾期验收和办理货款支付手续的，每逾期一日，应按逾期付款总额</w:t>
      </w:r>
      <w:r>
        <w:rPr>
          <w:rFonts w:hint="eastAsia" w:ascii="宋体" w:hAnsi="宋体" w:eastAsia="宋体" w:cs="宋体"/>
          <w:sz w:val="21"/>
          <w:szCs w:val="21"/>
          <w:u w:val="single"/>
        </w:rPr>
        <w:t>千分之一</w:t>
      </w:r>
      <w:r>
        <w:rPr>
          <w:rFonts w:hint="eastAsia" w:ascii="宋体" w:hAnsi="宋体" w:eastAsia="宋体" w:cs="宋体"/>
          <w:sz w:val="21"/>
          <w:szCs w:val="21"/>
        </w:rPr>
        <w:t>向乙方支付违约金。</w:t>
      </w:r>
    </w:p>
    <w:p w14:paraId="07A4A94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2.乙方逾期交货完工的，每逾期一日，应按合同总价</w:t>
      </w:r>
      <w:r>
        <w:rPr>
          <w:rFonts w:hint="eastAsia" w:ascii="宋体" w:hAnsi="宋体" w:eastAsia="宋体" w:cs="宋体"/>
          <w:sz w:val="21"/>
          <w:szCs w:val="21"/>
          <w:u w:val="single"/>
        </w:rPr>
        <w:t>千分之一</w:t>
      </w:r>
      <w:r>
        <w:rPr>
          <w:rFonts w:hint="eastAsia" w:ascii="宋体" w:hAnsi="宋体" w:eastAsia="宋体" w:cs="宋体"/>
          <w:sz w:val="21"/>
          <w:szCs w:val="21"/>
        </w:rPr>
        <w:t>向甲方支付违约金。逾期超过约定日期</w:t>
      </w:r>
      <w:r>
        <w:rPr>
          <w:rFonts w:hint="eastAsia" w:ascii="宋体" w:hAnsi="宋体" w:eastAsia="宋体" w:cs="宋体"/>
          <w:sz w:val="21"/>
          <w:szCs w:val="21"/>
          <w:u w:val="single"/>
        </w:rPr>
        <w:t xml:space="preserve"> 10 </w:t>
      </w:r>
      <w:r>
        <w:rPr>
          <w:rFonts w:hint="eastAsia" w:ascii="宋体" w:hAnsi="宋体" w:eastAsia="宋体" w:cs="宋体"/>
          <w:sz w:val="21"/>
          <w:szCs w:val="21"/>
        </w:rPr>
        <w:t>个工作日不能交货完工的，甲方有权解除本合同，并要求乙方支付合同总价</w:t>
      </w:r>
      <w:r>
        <w:rPr>
          <w:rFonts w:hint="eastAsia" w:ascii="宋体" w:hAnsi="宋体" w:eastAsia="宋体" w:cs="宋体"/>
          <w:sz w:val="21"/>
          <w:szCs w:val="21"/>
          <w:u w:val="single"/>
        </w:rPr>
        <w:t xml:space="preserve"> 5 %</w:t>
      </w:r>
      <w:r>
        <w:rPr>
          <w:rFonts w:hint="eastAsia" w:ascii="宋体" w:hAnsi="宋体" w:eastAsia="宋体" w:cs="宋体"/>
          <w:sz w:val="21"/>
          <w:szCs w:val="21"/>
        </w:rPr>
        <w:t>的违约金，违约金不足以弥补甲方损失的，乙方还应负责赔偿。</w:t>
      </w:r>
    </w:p>
    <w:p w14:paraId="209D490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sz w:val="21"/>
          <w:szCs w:val="21"/>
          <w:u w:val="single"/>
        </w:rPr>
        <w:t xml:space="preserve"> 5 %</w:t>
      </w:r>
      <w:r>
        <w:rPr>
          <w:rFonts w:hint="eastAsia" w:ascii="宋体" w:hAnsi="宋体" w:eastAsia="宋体" w:cs="宋体"/>
          <w:sz w:val="21"/>
          <w:szCs w:val="21"/>
        </w:rPr>
        <w:t>的违约金，违约金不足以弥补甲方损失的，乙方还应负责赔偿。</w:t>
      </w:r>
    </w:p>
    <w:p w14:paraId="511976E6">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4.乙方未能按约定要求履行保修义务的，每发生一次应向甲方支付</w:t>
      </w:r>
      <w:r>
        <w:rPr>
          <w:rFonts w:hint="eastAsia" w:ascii="宋体" w:hAnsi="宋体" w:eastAsia="宋体" w:cs="宋体"/>
          <w:sz w:val="21"/>
          <w:szCs w:val="21"/>
          <w:u w:val="single"/>
          <w:lang w:val="en-US" w:eastAsia="zh-CN"/>
        </w:rPr>
        <w:t>5</w:t>
      </w:r>
      <w:r>
        <w:rPr>
          <w:rFonts w:hint="eastAsia" w:ascii="宋体" w:hAnsi="宋体" w:eastAsia="宋体" w:cs="宋体"/>
          <w:sz w:val="21"/>
          <w:szCs w:val="21"/>
          <w:u w:val="single"/>
        </w:rPr>
        <w:t>000</w:t>
      </w:r>
      <w:r>
        <w:rPr>
          <w:rFonts w:hint="eastAsia" w:ascii="宋体" w:hAnsi="宋体" w:eastAsia="宋体" w:cs="宋体"/>
          <w:sz w:val="21"/>
          <w:szCs w:val="21"/>
        </w:rPr>
        <w:t>元的违约金，同时，甲方有权委托第三方进行保修，所产生的费用由乙方承担。若因货物缺陷或乙方服务质量等问题造成甲方或任何人员人身、财产损害的，乙方应承担有关责任并作出相应赔偿。</w:t>
      </w:r>
    </w:p>
    <w:p w14:paraId="470A80A2">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5.因乙方其他违约行为导致甲方解除合同的，乙方应向甲方支付合同总价 </w:t>
      </w:r>
      <w:r>
        <w:rPr>
          <w:rFonts w:hint="eastAsia" w:ascii="宋体" w:hAnsi="宋体" w:eastAsia="宋体" w:cs="宋体"/>
          <w:sz w:val="21"/>
          <w:szCs w:val="21"/>
          <w:u w:val="single"/>
        </w:rPr>
        <w:t>5 %</w:t>
      </w:r>
      <w:r>
        <w:rPr>
          <w:rFonts w:hint="eastAsia" w:ascii="宋体" w:hAnsi="宋体" w:eastAsia="宋体" w:cs="宋体"/>
          <w:sz w:val="21"/>
          <w:szCs w:val="21"/>
        </w:rPr>
        <w:t>的违约金，违约金不足以弥补甲方损失的，乙方还应负责赔偿。</w:t>
      </w:r>
    </w:p>
    <w:p w14:paraId="4F3AE14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十二、不可抗力</w:t>
      </w:r>
    </w:p>
    <w:p w14:paraId="36BFA8B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1.在合同有效期内，任何一方因不可抗力事件导致不能履行合同，则合同履行期可延长，其延长期与不可抗力影响期相同。</w:t>
      </w:r>
    </w:p>
    <w:p w14:paraId="28192AD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2.本条所述的“不可抗力”系指双方不可预见、不可避免、不可克服的事件。</w:t>
      </w:r>
    </w:p>
    <w:p w14:paraId="664111E5">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3.不可抗力事件发生后，受不可抗力事件影响的一方应在事件发生后3日内通知对方，并寄送有关权威机构出具的证明。同时应立即尽一切合理努力采取措施，消除影响，减少损失。</w:t>
      </w:r>
    </w:p>
    <w:p w14:paraId="7A77F298">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4.不可抗力事件延续30天以上，双方应通过友好协商，确定是否继续履行合同。</w:t>
      </w:r>
    </w:p>
    <w:p w14:paraId="517FCB7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十三、法律适用与争议解决</w:t>
      </w:r>
    </w:p>
    <w:p w14:paraId="528C752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1.本合同的订立、解释、履行及争议解决，均适用中华人民共和国法律。</w:t>
      </w:r>
    </w:p>
    <w:p w14:paraId="31A0CC53">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2.本合同履行过程中发生争议的，甲乙双方应友好协商；协商不成的，任何一方可向甲方所在地人民法院起诉。</w:t>
      </w:r>
    </w:p>
    <w:p w14:paraId="62DE1DEB">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十四、合同生效及其他</w:t>
      </w:r>
    </w:p>
    <w:p w14:paraId="59F9D36A">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1.本合同经甲、乙双方代表签字并加盖单位公章或合同专用章后生效，甲方的单位公章盖采购中心合同专用章（其他部门公章无效）。</w:t>
      </w:r>
    </w:p>
    <w:p w14:paraId="032E8F97">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 xml:space="preserve">2.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2CCDE52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11FAB0B0">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（1）本合同及其补充合同、变更协议；</w:t>
      </w:r>
    </w:p>
    <w:p w14:paraId="42A455F9">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（2）中标（成交）通知书；</w:t>
      </w:r>
    </w:p>
    <w:p w14:paraId="601B350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（3）投标（响应）文件（含澄清或者说明文件）；</w:t>
      </w:r>
    </w:p>
    <w:p w14:paraId="0584C8A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（4）招标（非招标）文件（含澄清或者修改文件）；</w:t>
      </w:r>
    </w:p>
    <w:p w14:paraId="56CABD6C">
      <w:pPr>
        <w:keepNext w:val="0"/>
        <w:keepLines w:val="0"/>
        <w:pageBreakBefore w:val="0"/>
        <w:widowControl w:val="0"/>
        <w:kinsoku/>
        <w:wordWrap/>
        <w:overflowPunct/>
        <w:topLinePunct w:val="0"/>
        <w:bidi w:val="0"/>
        <w:spacing w:before="0" w:beforeLines="0" w:after="0" w:afterLines="0" w:line="288" w:lineRule="auto"/>
        <w:ind w:left="0" w:firstLine="420" w:firstLineChars="200"/>
        <w:jc w:val="both"/>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（5）其他相关采购文件。</w:t>
      </w:r>
    </w:p>
    <w:p w14:paraId="63CD1C21">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4.本合同未尽事宜，遵照《中华人民共和国民法典》有关条文执行。</w:t>
      </w:r>
    </w:p>
    <w:p w14:paraId="43EFAFCE">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5.本合同一式肆份，甲方执叁份，乙方执一份，具有同等法律效力。</w:t>
      </w:r>
    </w:p>
    <w:p w14:paraId="5F4A79ED">
      <w:pPr>
        <w:keepNext w:val="0"/>
        <w:keepLines w:val="0"/>
        <w:pageBreakBefore w:val="0"/>
        <w:widowControl w:val="0"/>
        <w:kinsoku/>
        <w:wordWrap/>
        <w:overflowPunct/>
        <w:topLinePunct w:val="0"/>
        <w:bidi w:val="0"/>
        <w:spacing w:line="288" w:lineRule="auto"/>
        <w:ind w:left="0" w:firstLine="420" w:firstLineChars="200"/>
        <w:textAlignment w:val="auto"/>
        <w:rPr>
          <w:rFonts w:hint="eastAsia" w:ascii="宋体" w:hAnsi="宋体" w:eastAsia="宋体" w:cs="宋体"/>
          <w:color w:val="auto"/>
          <w:sz w:val="21"/>
          <w:szCs w:val="21"/>
        </w:rPr>
      </w:pPr>
      <w:r>
        <w:rPr>
          <w:rFonts w:hint="eastAsia" w:ascii="宋体" w:hAnsi="宋体" w:eastAsia="宋体" w:cs="宋体"/>
          <w:sz w:val="21"/>
          <w:szCs w:val="21"/>
        </w:rPr>
        <w:t xml:space="preserve"> 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78001FD7">
        <w:trPr>
          <w:trHeight w:val="632" w:hRule="atLeast"/>
          <w:jc w:val="center"/>
        </w:trPr>
        <w:tc>
          <w:tcPr>
            <w:tcW w:w="5073" w:type="dxa"/>
            <w:vAlign w:val="center"/>
          </w:tcPr>
          <w:p w14:paraId="53C4FCC2">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vAlign w:val="center"/>
          </w:tcPr>
          <w:p w14:paraId="53DD1282">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42D6BF0E">
        <w:tblPrEx>
          <w:tblCellMar>
            <w:top w:w="0" w:type="dxa"/>
            <w:left w:w="108" w:type="dxa"/>
            <w:bottom w:w="0" w:type="dxa"/>
            <w:right w:w="108" w:type="dxa"/>
          </w:tblCellMar>
        </w:tblPrEx>
        <w:trPr>
          <w:trHeight w:val="717" w:hRule="atLeast"/>
          <w:jc w:val="center"/>
        </w:trPr>
        <w:tc>
          <w:tcPr>
            <w:tcW w:w="5073" w:type="dxa"/>
            <w:vAlign w:val="center"/>
          </w:tcPr>
          <w:p w14:paraId="5D890AF0">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法定代表人委托代理人：</w:t>
            </w:r>
          </w:p>
          <w:p w14:paraId="701626F9">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vAlign w:val="center"/>
          </w:tcPr>
          <w:p w14:paraId="20B5C9FE">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法定代表人或委托代理人：</w:t>
            </w:r>
          </w:p>
          <w:p w14:paraId="1DB42FE8">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245113F8">
        <w:tblPrEx>
          <w:tblCellMar>
            <w:top w:w="0" w:type="dxa"/>
            <w:left w:w="108" w:type="dxa"/>
            <w:bottom w:w="0" w:type="dxa"/>
            <w:right w:w="108" w:type="dxa"/>
          </w:tblCellMar>
        </w:tblPrEx>
        <w:trPr>
          <w:jc w:val="center"/>
        </w:trPr>
        <w:tc>
          <w:tcPr>
            <w:tcW w:w="5073" w:type="dxa"/>
            <w:vAlign w:val="center"/>
          </w:tcPr>
          <w:p w14:paraId="16D18823">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vAlign w:val="center"/>
          </w:tcPr>
          <w:p w14:paraId="5F1AEC3F">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tc>
      </w:tr>
      <w:tr w14:paraId="320BF23F">
        <w:tblPrEx>
          <w:tblCellMar>
            <w:top w:w="0" w:type="dxa"/>
            <w:left w:w="108" w:type="dxa"/>
            <w:bottom w:w="0" w:type="dxa"/>
            <w:right w:w="108" w:type="dxa"/>
          </w:tblCellMar>
        </w:tblPrEx>
        <w:trPr>
          <w:jc w:val="center"/>
        </w:trPr>
        <w:tc>
          <w:tcPr>
            <w:tcW w:w="5073" w:type="dxa"/>
            <w:vAlign w:val="center"/>
          </w:tcPr>
          <w:p w14:paraId="002947C7">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vAlign w:val="center"/>
          </w:tcPr>
          <w:p w14:paraId="74FAABCF">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tc>
      </w:tr>
      <w:tr w14:paraId="087C8B00">
        <w:tblPrEx>
          <w:tblCellMar>
            <w:top w:w="0" w:type="dxa"/>
            <w:left w:w="108" w:type="dxa"/>
            <w:bottom w:w="0" w:type="dxa"/>
            <w:right w:w="108" w:type="dxa"/>
          </w:tblCellMar>
        </w:tblPrEx>
        <w:trPr>
          <w:jc w:val="center"/>
        </w:trPr>
        <w:tc>
          <w:tcPr>
            <w:tcW w:w="5073" w:type="dxa"/>
            <w:vAlign w:val="center"/>
          </w:tcPr>
          <w:p w14:paraId="53BEB2FF">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vAlign w:val="center"/>
          </w:tcPr>
          <w:p w14:paraId="39FA7E5D">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p>
        </w:tc>
      </w:tr>
      <w:tr w14:paraId="50118CAC">
        <w:tblPrEx>
          <w:tblCellMar>
            <w:top w:w="0" w:type="dxa"/>
            <w:left w:w="108" w:type="dxa"/>
            <w:bottom w:w="0" w:type="dxa"/>
            <w:right w:w="108" w:type="dxa"/>
          </w:tblCellMar>
        </w:tblPrEx>
        <w:trPr>
          <w:jc w:val="center"/>
        </w:trPr>
        <w:tc>
          <w:tcPr>
            <w:tcW w:w="5073" w:type="dxa"/>
            <w:vAlign w:val="center"/>
          </w:tcPr>
          <w:p w14:paraId="023B9DD8">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vAlign w:val="center"/>
          </w:tcPr>
          <w:p w14:paraId="44265BD0">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65317839">
        <w:tblPrEx>
          <w:tblCellMar>
            <w:top w:w="0" w:type="dxa"/>
            <w:left w:w="108" w:type="dxa"/>
            <w:bottom w:w="0" w:type="dxa"/>
            <w:right w:w="108" w:type="dxa"/>
          </w:tblCellMar>
        </w:tblPrEx>
        <w:trPr>
          <w:jc w:val="center"/>
        </w:trPr>
        <w:tc>
          <w:tcPr>
            <w:tcW w:w="5073" w:type="dxa"/>
            <w:vAlign w:val="center"/>
          </w:tcPr>
          <w:p w14:paraId="64D1DD59">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vAlign w:val="center"/>
          </w:tcPr>
          <w:p w14:paraId="2E4FD0CD">
            <w:pPr>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35D89FD7">
        <w:tblPrEx>
          <w:tblCellMar>
            <w:top w:w="0" w:type="dxa"/>
            <w:left w:w="108" w:type="dxa"/>
            <w:bottom w:w="0" w:type="dxa"/>
            <w:right w:w="108" w:type="dxa"/>
          </w:tblCellMar>
        </w:tblPrEx>
        <w:trPr>
          <w:jc w:val="center"/>
        </w:trPr>
        <w:tc>
          <w:tcPr>
            <w:tcW w:w="9249" w:type="dxa"/>
            <w:gridSpan w:val="2"/>
          </w:tcPr>
          <w:p w14:paraId="4620C915">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739BDCC5">
            <w:pPr>
              <w:spacing w:line="288" w:lineRule="auto"/>
              <w:jc w:val="left"/>
              <w:rPr>
                <w:rFonts w:ascii="宋体" w:hAnsi="宋体" w:eastAsia="宋体" w:cs="宋体"/>
                <w:color w:val="auto"/>
                <w:kern w:val="0"/>
                <w:szCs w:val="21"/>
              </w:rPr>
            </w:pPr>
            <w:r>
              <w:rPr>
                <w:rFonts w:hint="eastAsia" w:ascii="宋体" w:hAnsi="宋体" w:eastAsia="宋体" w:cs="宋体"/>
                <w:color w:val="auto"/>
                <w:kern w:val="0"/>
                <w:szCs w:val="21"/>
              </w:rPr>
              <w:t>代表人：</w:t>
            </w:r>
          </w:p>
          <w:p w14:paraId="4498F9A3">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2E2387B1">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0E0D6E5B">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7B8E3313">
            <w:pPr>
              <w:snapToGrid w:val="0"/>
              <w:spacing w:line="288" w:lineRule="auto"/>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5E1FD75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1695AE7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（2）进口设备免税承诺函（如有）</w:t>
      </w:r>
    </w:p>
    <w:p w14:paraId="573BEF6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（3）中小企业声明函（若属于中小企业）</w:t>
      </w:r>
    </w:p>
    <w:p w14:paraId="729D5FC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（4）属于监狱企业的证明文件（若属于监狱企业）</w:t>
      </w:r>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（5）残疾人福利性单位声明函（若属于残疾人福利性单位）</w:t>
      </w:r>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tabs>
                <w:tab w:val="left" w:pos="1418"/>
              </w:tabs>
              <w:adjustRightInd w:val="0"/>
              <w:snapToGrid w:val="0"/>
              <w:spacing w:line="288" w:lineRule="auto"/>
              <w:ind w:firstLine="398"/>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评分标准</w:t>
            </w:r>
          </w:p>
        </w:tc>
        <w:tc>
          <w:tcPr>
            <w:tcW w:w="967" w:type="dxa"/>
            <w:vAlign w:val="center"/>
          </w:tcPr>
          <w:p w14:paraId="1010DE04">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自评分</w:t>
            </w:r>
          </w:p>
        </w:tc>
        <w:tc>
          <w:tcPr>
            <w:tcW w:w="1053" w:type="dxa"/>
            <w:vAlign w:val="center"/>
          </w:tcPr>
          <w:p w14:paraId="0337F3B1">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自评依据</w:t>
            </w:r>
          </w:p>
        </w:tc>
        <w:tc>
          <w:tcPr>
            <w:tcW w:w="882" w:type="dxa"/>
            <w:vAlign w:val="center"/>
          </w:tcPr>
          <w:p w14:paraId="73D256A9">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67A061C9">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26CFB74">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5EBFEBEF">
            <w:pPr>
              <w:adjustRightInd w:val="0"/>
              <w:snapToGrid w:val="0"/>
              <w:spacing w:line="288" w:lineRule="auto"/>
              <w:rPr>
                <w:rFonts w:hint="eastAsia" w:ascii="宋体" w:hAnsi="宋体" w:eastAsia="宋体" w:cs="Times New Roman"/>
                <w:spacing w:val="-6"/>
                <w:szCs w:val="21"/>
              </w:rPr>
            </w:pPr>
          </w:p>
        </w:tc>
        <w:tc>
          <w:tcPr>
            <w:tcW w:w="967" w:type="dxa"/>
            <w:vAlign w:val="center"/>
          </w:tcPr>
          <w:p w14:paraId="5371260D">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396CDE45">
            <w:pPr>
              <w:adjustRightInd w:val="0"/>
              <w:snapToGrid w:val="0"/>
              <w:spacing w:line="288" w:lineRule="auto"/>
              <w:jc w:val="center"/>
              <w:rPr>
                <w:rFonts w:hint="eastAsia" w:ascii="宋体" w:hAnsi="宋体" w:eastAsia="宋体" w:cs="Times New Roman"/>
                <w:spacing w:val="-6"/>
                <w:szCs w:val="21"/>
              </w:rPr>
            </w:pPr>
          </w:p>
        </w:tc>
        <w:tc>
          <w:tcPr>
            <w:tcW w:w="882" w:type="dxa"/>
          </w:tcPr>
          <w:p w14:paraId="64181745">
            <w:pPr>
              <w:adjustRightInd w:val="0"/>
              <w:snapToGrid w:val="0"/>
              <w:spacing w:line="288" w:lineRule="auto"/>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5CCE44BD">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3DA606EC">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7C8CD8B">
            <w:pPr>
              <w:adjustRightInd w:val="0"/>
              <w:snapToGrid w:val="0"/>
              <w:spacing w:line="288" w:lineRule="auto"/>
              <w:rPr>
                <w:rFonts w:hint="eastAsia" w:ascii="宋体" w:hAnsi="宋体" w:eastAsia="宋体" w:cs="Times New Roman"/>
                <w:spacing w:val="-6"/>
                <w:szCs w:val="21"/>
              </w:rPr>
            </w:pPr>
          </w:p>
        </w:tc>
        <w:tc>
          <w:tcPr>
            <w:tcW w:w="967" w:type="dxa"/>
            <w:vAlign w:val="center"/>
          </w:tcPr>
          <w:p w14:paraId="01E23A00">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498B1CAD">
            <w:pPr>
              <w:adjustRightInd w:val="0"/>
              <w:snapToGrid w:val="0"/>
              <w:spacing w:line="288" w:lineRule="auto"/>
              <w:jc w:val="center"/>
              <w:rPr>
                <w:rFonts w:hint="eastAsia" w:ascii="宋体" w:hAnsi="宋体" w:eastAsia="宋体" w:cs="Times New Roman"/>
                <w:spacing w:val="-6"/>
                <w:szCs w:val="21"/>
              </w:rPr>
            </w:pPr>
          </w:p>
        </w:tc>
        <w:tc>
          <w:tcPr>
            <w:tcW w:w="882" w:type="dxa"/>
          </w:tcPr>
          <w:p w14:paraId="41DEED49">
            <w:pPr>
              <w:adjustRightInd w:val="0"/>
              <w:snapToGrid w:val="0"/>
              <w:spacing w:line="288" w:lineRule="auto"/>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adjustRightInd w:val="0"/>
              <w:snapToGrid w:val="0"/>
              <w:spacing w:line="288" w:lineRule="auto"/>
              <w:jc w:val="center"/>
              <w:rPr>
                <w:rFonts w:hint="eastAsia" w:ascii="宋体" w:hAnsi="宋体" w:eastAsia="宋体" w:cs="Times New Roman"/>
                <w:kern w:val="0"/>
                <w:szCs w:val="21"/>
              </w:rPr>
            </w:pPr>
          </w:p>
        </w:tc>
        <w:tc>
          <w:tcPr>
            <w:tcW w:w="2091" w:type="dxa"/>
            <w:vAlign w:val="center"/>
          </w:tcPr>
          <w:p w14:paraId="5DBBAE71">
            <w:pPr>
              <w:adjustRightInd w:val="0"/>
              <w:snapToGrid w:val="0"/>
              <w:spacing w:line="288" w:lineRule="auto"/>
              <w:jc w:val="center"/>
              <w:rPr>
                <w:rFonts w:hint="eastAsia" w:ascii="宋体" w:hAnsi="宋体" w:eastAsia="宋体" w:cs="Times New Roman"/>
                <w:kern w:val="0"/>
                <w:szCs w:val="21"/>
              </w:rPr>
            </w:pPr>
          </w:p>
        </w:tc>
        <w:tc>
          <w:tcPr>
            <w:tcW w:w="709" w:type="dxa"/>
            <w:vAlign w:val="center"/>
          </w:tcPr>
          <w:p w14:paraId="18E2C739">
            <w:pPr>
              <w:adjustRightInd w:val="0"/>
              <w:snapToGrid w:val="0"/>
              <w:spacing w:line="288" w:lineRule="auto"/>
              <w:jc w:val="center"/>
              <w:rPr>
                <w:rFonts w:hint="eastAsia" w:ascii="宋体" w:hAnsi="宋体" w:eastAsia="宋体" w:cs="Times New Roman"/>
                <w:kern w:val="0"/>
                <w:szCs w:val="21"/>
              </w:rPr>
            </w:pPr>
          </w:p>
        </w:tc>
        <w:tc>
          <w:tcPr>
            <w:tcW w:w="3040" w:type="dxa"/>
            <w:vAlign w:val="center"/>
          </w:tcPr>
          <w:p w14:paraId="0CDB96F7">
            <w:pPr>
              <w:adjustRightInd w:val="0"/>
              <w:snapToGrid w:val="0"/>
              <w:spacing w:line="288" w:lineRule="auto"/>
              <w:rPr>
                <w:rFonts w:hint="eastAsia" w:ascii="宋体" w:hAnsi="宋体" w:eastAsia="宋体" w:cs="Times New Roman"/>
                <w:kern w:val="0"/>
                <w:szCs w:val="21"/>
              </w:rPr>
            </w:pPr>
          </w:p>
        </w:tc>
        <w:tc>
          <w:tcPr>
            <w:tcW w:w="967" w:type="dxa"/>
            <w:vAlign w:val="center"/>
          </w:tcPr>
          <w:p w14:paraId="7F7F7B25">
            <w:pPr>
              <w:adjustRightInd w:val="0"/>
              <w:snapToGrid w:val="0"/>
              <w:spacing w:line="288" w:lineRule="auto"/>
              <w:jc w:val="center"/>
              <w:rPr>
                <w:rFonts w:hint="eastAsia" w:ascii="宋体" w:hAnsi="宋体" w:eastAsia="宋体" w:cs="Times New Roman"/>
                <w:szCs w:val="21"/>
              </w:rPr>
            </w:pPr>
          </w:p>
        </w:tc>
        <w:tc>
          <w:tcPr>
            <w:tcW w:w="1053" w:type="dxa"/>
            <w:vAlign w:val="center"/>
          </w:tcPr>
          <w:p w14:paraId="24ED60E0">
            <w:pPr>
              <w:adjustRightInd w:val="0"/>
              <w:snapToGrid w:val="0"/>
              <w:spacing w:line="288" w:lineRule="auto"/>
              <w:jc w:val="center"/>
              <w:rPr>
                <w:rFonts w:hint="eastAsia" w:ascii="宋体" w:hAnsi="宋体" w:eastAsia="宋体" w:cs="Times New Roman"/>
                <w:szCs w:val="21"/>
              </w:rPr>
            </w:pPr>
          </w:p>
        </w:tc>
        <w:tc>
          <w:tcPr>
            <w:tcW w:w="882" w:type="dxa"/>
          </w:tcPr>
          <w:p w14:paraId="6FF943A5">
            <w:pPr>
              <w:adjustRightInd w:val="0"/>
              <w:snapToGrid w:val="0"/>
              <w:spacing w:line="288" w:lineRule="auto"/>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4988AA18">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350FAB5">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2634BDF2">
            <w:pPr>
              <w:adjustRightInd w:val="0"/>
              <w:snapToGrid w:val="0"/>
              <w:spacing w:line="288" w:lineRule="auto"/>
              <w:rPr>
                <w:rFonts w:hint="eastAsia" w:ascii="宋体" w:hAnsi="宋体" w:eastAsia="宋体" w:cs="Times New Roman"/>
                <w:spacing w:val="-6"/>
                <w:szCs w:val="21"/>
              </w:rPr>
            </w:pPr>
          </w:p>
        </w:tc>
        <w:tc>
          <w:tcPr>
            <w:tcW w:w="967" w:type="dxa"/>
            <w:vAlign w:val="center"/>
          </w:tcPr>
          <w:p w14:paraId="6B7DCA06">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CDE8DFF">
            <w:pPr>
              <w:adjustRightInd w:val="0"/>
              <w:snapToGrid w:val="0"/>
              <w:spacing w:line="288" w:lineRule="auto"/>
              <w:jc w:val="center"/>
              <w:rPr>
                <w:rFonts w:hint="eastAsia" w:ascii="宋体" w:hAnsi="宋体" w:eastAsia="宋体" w:cs="Times New Roman"/>
                <w:spacing w:val="-6"/>
                <w:szCs w:val="21"/>
              </w:rPr>
            </w:pPr>
          </w:p>
        </w:tc>
        <w:tc>
          <w:tcPr>
            <w:tcW w:w="882" w:type="dxa"/>
          </w:tcPr>
          <w:p w14:paraId="467F5E35">
            <w:pPr>
              <w:adjustRightInd w:val="0"/>
              <w:snapToGrid w:val="0"/>
              <w:spacing w:line="288" w:lineRule="auto"/>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EF86075">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FC54D08">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6EC772BE">
            <w:pPr>
              <w:adjustRightInd w:val="0"/>
              <w:snapToGrid w:val="0"/>
              <w:spacing w:line="288" w:lineRule="auto"/>
              <w:rPr>
                <w:rFonts w:hint="eastAsia" w:ascii="宋体" w:hAnsi="宋体" w:eastAsia="宋体" w:cs="Times New Roman"/>
                <w:spacing w:val="-6"/>
                <w:szCs w:val="21"/>
              </w:rPr>
            </w:pPr>
          </w:p>
        </w:tc>
        <w:tc>
          <w:tcPr>
            <w:tcW w:w="967" w:type="dxa"/>
            <w:vAlign w:val="center"/>
          </w:tcPr>
          <w:p w14:paraId="75267D58">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7DF7BCF1">
            <w:pPr>
              <w:adjustRightInd w:val="0"/>
              <w:snapToGrid w:val="0"/>
              <w:spacing w:line="288" w:lineRule="auto"/>
              <w:jc w:val="center"/>
              <w:rPr>
                <w:rFonts w:hint="eastAsia" w:ascii="宋体" w:hAnsi="宋体" w:eastAsia="宋体" w:cs="Times New Roman"/>
                <w:spacing w:val="-6"/>
                <w:szCs w:val="21"/>
              </w:rPr>
            </w:pPr>
          </w:p>
        </w:tc>
        <w:tc>
          <w:tcPr>
            <w:tcW w:w="882" w:type="dxa"/>
          </w:tcPr>
          <w:p w14:paraId="6BB06893">
            <w:pPr>
              <w:adjustRightInd w:val="0"/>
              <w:snapToGrid w:val="0"/>
              <w:spacing w:line="288" w:lineRule="auto"/>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4CA70FF0">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2895C5B">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2531E7D4">
            <w:pPr>
              <w:adjustRightInd w:val="0"/>
              <w:snapToGrid w:val="0"/>
              <w:spacing w:line="288" w:lineRule="auto"/>
              <w:rPr>
                <w:rFonts w:hint="eastAsia" w:ascii="宋体" w:hAnsi="宋体" w:eastAsia="宋体" w:cs="Times New Roman"/>
                <w:spacing w:val="-6"/>
                <w:szCs w:val="21"/>
              </w:rPr>
            </w:pPr>
          </w:p>
        </w:tc>
        <w:tc>
          <w:tcPr>
            <w:tcW w:w="967" w:type="dxa"/>
            <w:vAlign w:val="center"/>
          </w:tcPr>
          <w:p w14:paraId="62D5DBCD">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A21794A">
            <w:pPr>
              <w:adjustRightInd w:val="0"/>
              <w:snapToGrid w:val="0"/>
              <w:spacing w:line="288" w:lineRule="auto"/>
              <w:jc w:val="center"/>
              <w:rPr>
                <w:rFonts w:hint="eastAsia" w:ascii="宋体" w:hAnsi="宋体" w:eastAsia="宋体" w:cs="Times New Roman"/>
                <w:spacing w:val="-6"/>
                <w:szCs w:val="21"/>
              </w:rPr>
            </w:pPr>
          </w:p>
        </w:tc>
        <w:tc>
          <w:tcPr>
            <w:tcW w:w="882" w:type="dxa"/>
          </w:tcPr>
          <w:p w14:paraId="2D7FFBEC">
            <w:pPr>
              <w:adjustRightInd w:val="0"/>
              <w:snapToGrid w:val="0"/>
              <w:spacing w:line="288" w:lineRule="auto"/>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5A035756">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086885CE">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2C7B4F3">
            <w:pPr>
              <w:adjustRightInd w:val="0"/>
              <w:snapToGrid w:val="0"/>
              <w:spacing w:line="288" w:lineRule="auto"/>
              <w:rPr>
                <w:rFonts w:hint="eastAsia" w:ascii="宋体" w:hAnsi="宋体" w:eastAsia="宋体" w:cs="Times New Roman"/>
                <w:spacing w:val="-6"/>
                <w:szCs w:val="21"/>
              </w:rPr>
            </w:pPr>
          </w:p>
        </w:tc>
        <w:tc>
          <w:tcPr>
            <w:tcW w:w="967" w:type="dxa"/>
            <w:vAlign w:val="center"/>
          </w:tcPr>
          <w:p w14:paraId="1BADE944">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5C96540D">
            <w:pPr>
              <w:adjustRightInd w:val="0"/>
              <w:snapToGrid w:val="0"/>
              <w:spacing w:line="288" w:lineRule="auto"/>
              <w:jc w:val="center"/>
              <w:rPr>
                <w:rFonts w:hint="eastAsia" w:ascii="宋体" w:hAnsi="宋体" w:eastAsia="宋体" w:cs="Times New Roman"/>
                <w:spacing w:val="-6"/>
                <w:szCs w:val="21"/>
              </w:rPr>
            </w:pPr>
          </w:p>
        </w:tc>
        <w:tc>
          <w:tcPr>
            <w:tcW w:w="882" w:type="dxa"/>
          </w:tcPr>
          <w:p w14:paraId="325212E9">
            <w:pPr>
              <w:adjustRightInd w:val="0"/>
              <w:snapToGrid w:val="0"/>
              <w:spacing w:line="288" w:lineRule="auto"/>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9105D1E">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787A7F51">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6B782F1E">
            <w:pPr>
              <w:adjustRightInd w:val="0"/>
              <w:snapToGrid w:val="0"/>
              <w:spacing w:line="288" w:lineRule="auto"/>
              <w:rPr>
                <w:rFonts w:hint="eastAsia" w:ascii="宋体" w:hAnsi="宋体" w:eastAsia="宋体" w:cs="Times New Roman"/>
                <w:spacing w:val="-6"/>
                <w:szCs w:val="21"/>
              </w:rPr>
            </w:pPr>
          </w:p>
        </w:tc>
        <w:tc>
          <w:tcPr>
            <w:tcW w:w="967" w:type="dxa"/>
            <w:vAlign w:val="center"/>
          </w:tcPr>
          <w:p w14:paraId="5726B916">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A9517CC">
            <w:pPr>
              <w:adjustRightInd w:val="0"/>
              <w:snapToGrid w:val="0"/>
              <w:spacing w:line="288" w:lineRule="auto"/>
              <w:jc w:val="center"/>
              <w:rPr>
                <w:rFonts w:hint="eastAsia" w:ascii="宋体" w:hAnsi="宋体" w:eastAsia="宋体" w:cs="Times New Roman"/>
                <w:spacing w:val="-6"/>
                <w:szCs w:val="21"/>
              </w:rPr>
            </w:pPr>
          </w:p>
        </w:tc>
        <w:tc>
          <w:tcPr>
            <w:tcW w:w="882" w:type="dxa"/>
          </w:tcPr>
          <w:p w14:paraId="54B47A91">
            <w:pPr>
              <w:adjustRightInd w:val="0"/>
              <w:snapToGrid w:val="0"/>
              <w:spacing w:line="288" w:lineRule="auto"/>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756F83FC">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0D7F238C">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36B1C848">
            <w:pPr>
              <w:adjustRightInd w:val="0"/>
              <w:snapToGrid w:val="0"/>
              <w:spacing w:line="288" w:lineRule="auto"/>
              <w:rPr>
                <w:rFonts w:hint="eastAsia" w:ascii="宋体" w:hAnsi="宋体" w:eastAsia="宋体" w:cs="Times New Roman"/>
                <w:spacing w:val="-6"/>
                <w:szCs w:val="21"/>
              </w:rPr>
            </w:pPr>
          </w:p>
        </w:tc>
        <w:tc>
          <w:tcPr>
            <w:tcW w:w="967" w:type="dxa"/>
            <w:vAlign w:val="center"/>
          </w:tcPr>
          <w:p w14:paraId="6E2D0459">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242841C1">
            <w:pPr>
              <w:adjustRightInd w:val="0"/>
              <w:snapToGrid w:val="0"/>
              <w:spacing w:line="288" w:lineRule="auto"/>
              <w:jc w:val="center"/>
              <w:rPr>
                <w:rFonts w:hint="eastAsia" w:ascii="宋体" w:hAnsi="宋体" w:eastAsia="宋体" w:cs="Times New Roman"/>
                <w:spacing w:val="-6"/>
                <w:szCs w:val="21"/>
              </w:rPr>
            </w:pPr>
          </w:p>
        </w:tc>
        <w:tc>
          <w:tcPr>
            <w:tcW w:w="882" w:type="dxa"/>
          </w:tcPr>
          <w:p w14:paraId="4E2E8E77">
            <w:pPr>
              <w:adjustRightInd w:val="0"/>
              <w:snapToGrid w:val="0"/>
              <w:spacing w:line="288" w:lineRule="auto"/>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4F0247A2">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76FEA05A">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3B596F6D">
            <w:pPr>
              <w:adjustRightInd w:val="0"/>
              <w:snapToGrid w:val="0"/>
              <w:spacing w:line="288" w:lineRule="auto"/>
              <w:rPr>
                <w:rFonts w:hint="eastAsia" w:ascii="宋体" w:hAnsi="宋体" w:eastAsia="宋体" w:cs="Times New Roman"/>
                <w:spacing w:val="-6"/>
                <w:szCs w:val="21"/>
              </w:rPr>
            </w:pPr>
          </w:p>
        </w:tc>
        <w:tc>
          <w:tcPr>
            <w:tcW w:w="967" w:type="dxa"/>
            <w:vAlign w:val="center"/>
          </w:tcPr>
          <w:p w14:paraId="0F8DCEC6">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74BD4DD0">
            <w:pPr>
              <w:adjustRightInd w:val="0"/>
              <w:snapToGrid w:val="0"/>
              <w:spacing w:line="288" w:lineRule="auto"/>
              <w:jc w:val="center"/>
              <w:rPr>
                <w:rFonts w:hint="eastAsia" w:ascii="宋体" w:hAnsi="宋体" w:eastAsia="宋体" w:cs="Times New Roman"/>
                <w:spacing w:val="-6"/>
                <w:szCs w:val="21"/>
              </w:rPr>
            </w:pPr>
          </w:p>
        </w:tc>
        <w:tc>
          <w:tcPr>
            <w:tcW w:w="882" w:type="dxa"/>
          </w:tcPr>
          <w:p w14:paraId="43CCDCD9">
            <w:pPr>
              <w:adjustRightInd w:val="0"/>
              <w:snapToGrid w:val="0"/>
              <w:spacing w:line="288" w:lineRule="auto"/>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7EB2B5B">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204746E0">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597B3C56">
            <w:pPr>
              <w:adjustRightInd w:val="0"/>
              <w:snapToGrid w:val="0"/>
              <w:spacing w:line="288" w:lineRule="auto"/>
              <w:rPr>
                <w:rFonts w:hint="eastAsia" w:ascii="宋体" w:hAnsi="宋体" w:eastAsia="宋体" w:cs="Times New Roman"/>
                <w:spacing w:val="-6"/>
                <w:szCs w:val="21"/>
              </w:rPr>
            </w:pPr>
          </w:p>
        </w:tc>
        <w:tc>
          <w:tcPr>
            <w:tcW w:w="967" w:type="dxa"/>
            <w:vAlign w:val="center"/>
          </w:tcPr>
          <w:p w14:paraId="0574F4C5">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36E7D013">
            <w:pPr>
              <w:adjustRightInd w:val="0"/>
              <w:snapToGrid w:val="0"/>
              <w:spacing w:line="288" w:lineRule="auto"/>
              <w:jc w:val="center"/>
              <w:rPr>
                <w:rFonts w:hint="eastAsia" w:ascii="宋体" w:hAnsi="宋体" w:eastAsia="宋体" w:cs="Times New Roman"/>
                <w:spacing w:val="-6"/>
                <w:szCs w:val="21"/>
              </w:rPr>
            </w:pPr>
          </w:p>
        </w:tc>
        <w:tc>
          <w:tcPr>
            <w:tcW w:w="882" w:type="dxa"/>
          </w:tcPr>
          <w:p w14:paraId="57667B72">
            <w:pPr>
              <w:adjustRightInd w:val="0"/>
              <w:snapToGrid w:val="0"/>
              <w:spacing w:line="288" w:lineRule="auto"/>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杭州电子科技大学高帧频液体图像采集系统</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QSZBB250325ZHGK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adjustRightInd w:val="0"/>
              <w:snapToGrid w:val="0"/>
              <w:spacing w:line="288" w:lineRule="auto"/>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adjustRightInd w:val="0"/>
              <w:snapToGrid w:val="0"/>
              <w:spacing w:line="288" w:lineRule="auto"/>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adjustRightInd w:val="0"/>
              <w:snapToGrid w:val="0"/>
              <w:spacing w:line="288" w:lineRule="auto"/>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adjustRightInd w:val="0"/>
              <w:snapToGrid w:val="0"/>
              <w:spacing w:line="288" w:lineRule="auto"/>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adjustRightInd w:val="0"/>
              <w:snapToGrid w:val="0"/>
              <w:spacing w:line="288" w:lineRule="auto"/>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adjustRightInd w:val="0"/>
              <w:snapToGrid w:val="0"/>
              <w:spacing w:line="288" w:lineRule="auto"/>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adjustRightInd w:val="0"/>
              <w:snapToGrid w:val="0"/>
              <w:spacing w:line="288" w:lineRule="auto"/>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杭州电子科技大学高帧频液体图像采集系统项目（项目编号：</w:t>
      </w:r>
      <w:r>
        <w:rPr>
          <w:rFonts w:hint="eastAsia" w:ascii="宋体" w:hAnsi="宋体" w:eastAsia="宋体" w:cs="Times New Roman"/>
          <w:bCs/>
          <w:spacing w:val="-6"/>
          <w:szCs w:val="21"/>
          <w:lang w:eastAsia="zh-CN"/>
        </w:rPr>
        <w:t>QSZBB250325ZHGK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adjustRightInd w:val="0"/>
              <w:snapToGrid w:val="0"/>
              <w:spacing w:line="288" w:lineRule="auto"/>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adjustRightInd w:val="0"/>
              <w:snapToGrid w:val="0"/>
              <w:spacing w:line="288" w:lineRule="auto"/>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adjustRightInd w:val="0"/>
              <w:snapToGrid w:val="0"/>
              <w:spacing w:line="288" w:lineRule="auto"/>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adjustRightInd w:val="0"/>
              <w:snapToGrid w:val="0"/>
              <w:spacing w:line="288" w:lineRule="auto"/>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adjustRightInd w:val="0"/>
              <w:snapToGrid w:val="0"/>
              <w:spacing w:line="288" w:lineRule="auto"/>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adjustRightInd w:val="0"/>
              <w:snapToGrid w:val="0"/>
              <w:spacing w:line="288" w:lineRule="auto"/>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adjustRightInd w:val="0"/>
              <w:snapToGrid w:val="0"/>
              <w:spacing w:line="288" w:lineRule="auto"/>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项目名称：高帧频液体图像采集系统</w:t>
      </w:r>
    </w:p>
    <w:p w14:paraId="1F7E0C6C">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QSZBB250325ZHGK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adjustRightInd w:val="0"/>
              <w:snapToGrid w:val="0"/>
              <w:spacing w:line="288" w:lineRule="auto"/>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adjustRightInd w:val="0"/>
              <w:snapToGrid w:val="0"/>
              <w:spacing w:line="288" w:lineRule="auto"/>
              <w:rPr>
                <w:rFonts w:hint="eastAsia" w:ascii="宋体" w:hAnsi="宋体" w:eastAsia="宋体" w:cs="宋体"/>
                <w:szCs w:val="21"/>
              </w:rPr>
            </w:pPr>
          </w:p>
        </w:tc>
        <w:tc>
          <w:tcPr>
            <w:tcW w:w="2574" w:type="dxa"/>
            <w:vAlign w:val="center"/>
          </w:tcPr>
          <w:p w14:paraId="702CD0E8">
            <w:pPr>
              <w:adjustRightInd w:val="0"/>
              <w:snapToGrid w:val="0"/>
              <w:spacing w:line="288" w:lineRule="auto"/>
              <w:rPr>
                <w:rFonts w:hint="eastAsia" w:ascii="宋体" w:hAnsi="宋体" w:eastAsia="宋体" w:cs="宋体"/>
                <w:szCs w:val="21"/>
              </w:rPr>
            </w:pPr>
          </w:p>
        </w:tc>
        <w:tc>
          <w:tcPr>
            <w:tcW w:w="2124" w:type="dxa"/>
            <w:vAlign w:val="center"/>
          </w:tcPr>
          <w:p w14:paraId="602EFA5A">
            <w:pPr>
              <w:adjustRightInd w:val="0"/>
              <w:snapToGrid w:val="0"/>
              <w:spacing w:line="288" w:lineRule="auto"/>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adjustRightInd w:val="0"/>
              <w:snapToGrid w:val="0"/>
              <w:spacing w:line="288" w:lineRule="auto"/>
              <w:rPr>
                <w:rFonts w:hint="eastAsia" w:ascii="宋体" w:hAnsi="宋体" w:eastAsia="宋体" w:cs="宋体"/>
                <w:szCs w:val="21"/>
              </w:rPr>
            </w:pPr>
          </w:p>
        </w:tc>
        <w:tc>
          <w:tcPr>
            <w:tcW w:w="2574" w:type="dxa"/>
            <w:vAlign w:val="center"/>
          </w:tcPr>
          <w:p w14:paraId="3887E5E7">
            <w:pPr>
              <w:adjustRightInd w:val="0"/>
              <w:snapToGrid w:val="0"/>
              <w:spacing w:line="288" w:lineRule="auto"/>
              <w:rPr>
                <w:rFonts w:hint="eastAsia" w:ascii="宋体" w:hAnsi="宋体" w:eastAsia="宋体" w:cs="宋体"/>
                <w:szCs w:val="21"/>
              </w:rPr>
            </w:pPr>
          </w:p>
        </w:tc>
        <w:tc>
          <w:tcPr>
            <w:tcW w:w="2124" w:type="dxa"/>
            <w:vAlign w:val="center"/>
          </w:tcPr>
          <w:p w14:paraId="376258A4">
            <w:pPr>
              <w:adjustRightInd w:val="0"/>
              <w:snapToGrid w:val="0"/>
              <w:spacing w:line="288" w:lineRule="auto"/>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adjustRightInd w:val="0"/>
              <w:snapToGrid w:val="0"/>
              <w:spacing w:line="288" w:lineRule="auto"/>
              <w:rPr>
                <w:rFonts w:hint="eastAsia" w:ascii="宋体" w:hAnsi="宋体" w:eastAsia="宋体" w:cs="宋体"/>
                <w:szCs w:val="21"/>
              </w:rPr>
            </w:pPr>
          </w:p>
        </w:tc>
        <w:tc>
          <w:tcPr>
            <w:tcW w:w="2574" w:type="dxa"/>
            <w:vAlign w:val="center"/>
          </w:tcPr>
          <w:p w14:paraId="2E789987">
            <w:pPr>
              <w:adjustRightInd w:val="0"/>
              <w:snapToGrid w:val="0"/>
              <w:spacing w:line="288" w:lineRule="auto"/>
              <w:rPr>
                <w:rFonts w:hint="eastAsia" w:ascii="宋体" w:hAnsi="宋体" w:eastAsia="宋体" w:cs="宋体"/>
                <w:szCs w:val="21"/>
              </w:rPr>
            </w:pPr>
          </w:p>
        </w:tc>
        <w:tc>
          <w:tcPr>
            <w:tcW w:w="2124" w:type="dxa"/>
            <w:vAlign w:val="center"/>
          </w:tcPr>
          <w:p w14:paraId="2374EA9A">
            <w:pPr>
              <w:adjustRightInd w:val="0"/>
              <w:snapToGrid w:val="0"/>
              <w:spacing w:line="288" w:lineRule="auto"/>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adjustRightInd w:val="0"/>
              <w:snapToGrid w:val="0"/>
              <w:spacing w:line="288" w:lineRule="auto"/>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adjustRightInd w:val="0"/>
              <w:snapToGrid w:val="0"/>
              <w:spacing w:line="288" w:lineRule="auto"/>
              <w:jc w:val="left"/>
              <w:rPr>
                <w:rFonts w:hint="eastAsia" w:ascii="宋体" w:hAnsi="宋体" w:eastAsia="宋体" w:cs="宋体"/>
                <w:szCs w:val="21"/>
              </w:rPr>
            </w:pPr>
          </w:p>
        </w:tc>
        <w:tc>
          <w:tcPr>
            <w:tcW w:w="2574" w:type="dxa"/>
            <w:vAlign w:val="center"/>
          </w:tcPr>
          <w:p w14:paraId="4AB6CD2B">
            <w:pPr>
              <w:adjustRightInd w:val="0"/>
              <w:snapToGrid w:val="0"/>
              <w:spacing w:line="288" w:lineRule="auto"/>
              <w:jc w:val="left"/>
              <w:rPr>
                <w:rFonts w:hint="eastAsia" w:ascii="宋体" w:hAnsi="宋体" w:eastAsia="宋体" w:cs="宋体"/>
                <w:szCs w:val="21"/>
              </w:rPr>
            </w:pPr>
          </w:p>
        </w:tc>
        <w:tc>
          <w:tcPr>
            <w:tcW w:w="2124" w:type="dxa"/>
            <w:vAlign w:val="center"/>
          </w:tcPr>
          <w:p w14:paraId="69A44C64">
            <w:pPr>
              <w:adjustRightInd w:val="0"/>
              <w:snapToGrid w:val="0"/>
              <w:spacing w:line="288" w:lineRule="auto"/>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adjustRightInd w:val="0"/>
              <w:snapToGrid w:val="0"/>
              <w:spacing w:line="288" w:lineRule="auto"/>
              <w:jc w:val="left"/>
              <w:rPr>
                <w:rFonts w:hint="eastAsia" w:ascii="宋体" w:hAnsi="宋体" w:eastAsia="宋体" w:cs="宋体"/>
                <w:szCs w:val="21"/>
              </w:rPr>
            </w:pPr>
          </w:p>
        </w:tc>
        <w:tc>
          <w:tcPr>
            <w:tcW w:w="2574" w:type="dxa"/>
            <w:vAlign w:val="center"/>
          </w:tcPr>
          <w:p w14:paraId="5AC095DC">
            <w:pPr>
              <w:adjustRightInd w:val="0"/>
              <w:snapToGrid w:val="0"/>
              <w:spacing w:line="288" w:lineRule="auto"/>
              <w:jc w:val="left"/>
              <w:rPr>
                <w:rFonts w:hint="eastAsia" w:ascii="宋体" w:hAnsi="宋体" w:eastAsia="宋体" w:cs="宋体"/>
                <w:szCs w:val="21"/>
              </w:rPr>
            </w:pPr>
          </w:p>
        </w:tc>
        <w:tc>
          <w:tcPr>
            <w:tcW w:w="2124" w:type="dxa"/>
            <w:vAlign w:val="center"/>
          </w:tcPr>
          <w:p w14:paraId="49819366">
            <w:pPr>
              <w:adjustRightInd w:val="0"/>
              <w:snapToGrid w:val="0"/>
              <w:spacing w:line="288" w:lineRule="auto"/>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adjustRightInd w:val="0"/>
              <w:snapToGrid w:val="0"/>
              <w:spacing w:line="288" w:lineRule="auto"/>
              <w:jc w:val="left"/>
              <w:rPr>
                <w:rFonts w:hint="eastAsia" w:ascii="宋体" w:hAnsi="宋体" w:eastAsia="宋体" w:cs="宋体"/>
                <w:szCs w:val="21"/>
              </w:rPr>
            </w:pPr>
          </w:p>
        </w:tc>
        <w:tc>
          <w:tcPr>
            <w:tcW w:w="2574" w:type="dxa"/>
            <w:vAlign w:val="center"/>
          </w:tcPr>
          <w:p w14:paraId="1BB8933B">
            <w:pPr>
              <w:adjustRightInd w:val="0"/>
              <w:snapToGrid w:val="0"/>
              <w:spacing w:line="288" w:lineRule="auto"/>
              <w:jc w:val="left"/>
              <w:rPr>
                <w:rFonts w:hint="eastAsia" w:ascii="宋体" w:hAnsi="宋体" w:eastAsia="宋体" w:cs="宋体"/>
                <w:szCs w:val="21"/>
              </w:rPr>
            </w:pPr>
          </w:p>
        </w:tc>
        <w:tc>
          <w:tcPr>
            <w:tcW w:w="2124" w:type="dxa"/>
            <w:vAlign w:val="center"/>
          </w:tcPr>
          <w:p w14:paraId="4EFFEE27">
            <w:pPr>
              <w:adjustRightInd w:val="0"/>
              <w:snapToGrid w:val="0"/>
              <w:spacing w:line="288" w:lineRule="auto"/>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adjustRightInd w:val="0"/>
              <w:snapToGrid w:val="0"/>
              <w:spacing w:line="288" w:lineRule="auto"/>
              <w:rPr>
                <w:rFonts w:hint="eastAsia" w:ascii="宋体" w:hAnsi="宋体" w:eastAsia="宋体" w:cs="宋体"/>
                <w:szCs w:val="21"/>
              </w:rPr>
            </w:pPr>
          </w:p>
        </w:tc>
        <w:tc>
          <w:tcPr>
            <w:tcW w:w="2574" w:type="dxa"/>
            <w:vAlign w:val="center"/>
          </w:tcPr>
          <w:p w14:paraId="58B8E02A">
            <w:pPr>
              <w:adjustRightInd w:val="0"/>
              <w:snapToGrid w:val="0"/>
              <w:spacing w:line="288" w:lineRule="auto"/>
              <w:rPr>
                <w:rFonts w:hint="eastAsia" w:ascii="宋体" w:hAnsi="宋体" w:eastAsia="宋体" w:cs="宋体"/>
                <w:szCs w:val="21"/>
              </w:rPr>
            </w:pPr>
          </w:p>
        </w:tc>
        <w:tc>
          <w:tcPr>
            <w:tcW w:w="2124" w:type="dxa"/>
            <w:vAlign w:val="center"/>
          </w:tcPr>
          <w:p w14:paraId="4091EEC4">
            <w:pPr>
              <w:adjustRightInd w:val="0"/>
              <w:snapToGrid w:val="0"/>
              <w:spacing w:line="288" w:lineRule="auto"/>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adjustRightInd w:val="0"/>
              <w:snapToGrid w:val="0"/>
              <w:spacing w:line="288" w:lineRule="auto"/>
              <w:rPr>
                <w:rFonts w:hint="eastAsia" w:ascii="宋体" w:hAnsi="宋体" w:eastAsia="宋体" w:cs="宋体"/>
                <w:szCs w:val="21"/>
              </w:rPr>
            </w:pPr>
          </w:p>
        </w:tc>
        <w:tc>
          <w:tcPr>
            <w:tcW w:w="2574" w:type="dxa"/>
            <w:vAlign w:val="center"/>
          </w:tcPr>
          <w:p w14:paraId="486C04ED">
            <w:pPr>
              <w:adjustRightInd w:val="0"/>
              <w:snapToGrid w:val="0"/>
              <w:spacing w:line="288" w:lineRule="auto"/>
              <w:rPr>
                <w:rFonts w:hint="eastAsia" w:ascii="宋体" w:hAnsi="宋体" w:eastAsia="宋体" w:cs="宋体"/>
                <w:szCs w:val="21"/>
              </w:rPr>
            </w:pPr>
          </w:p>
        </w:tc>
        <w:tc>
          <w:tcPr>
            <w:tcW w:w="2124" w:type="dxa"/>
            <w:vAlign w:val="center"/>
          </w:tcPr>
          <w:p w14:paraId="558791D1">
            <w:pPr>
              <w:adjustRightInd w:val="0"/>
              <w:snapToGrid w:val="0"/>
              <w:spacing w:line="288" w:lineRule="auto"/>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adjustRightInd w:val="0"/>
              <w:snapToGrid w:val="0"/>
              <w:spacing w:line="288" w:lineRule="auto"/>
              <w:rPr>
                <w:rFonts w:hint="eastAsia" w:ascii="宋体" w:hAnsi="宋体" w:eastAsia="宋体" w:cs="宋体"/>
                <w:szCs w:val="21"/>
              </w:rPr>
            </w:pPr>
          </w:p>
        </w:tc>
        <w:tc>
          <w:tcPr>
            <w:tcW w:w="2574" w:type="dxa"/>
            <w:vAlign w:val="center"/>
          </w:tcPr>
          <w:p w14:paraId="1C372D07">
            <w:pPr>
              <w:adjustRightInd w:val="0"/>
              <w:snapToGrid w:val="0"/>
              <w:spacing w:line="288" w:lineRule="auto"/>
              <w:rPr>
                <w:rFonts w:hint="eastAsia" w:ascii="宋体" w:hAnsi="宋体" w:eastAsia="宋体" w:cs="宋体"/>
                <w:szCs w:val="21"/>
              </w:rPr>
            </w:pPr>
          </w:p>
        </w:tc>
        <w:tc>
          <w:tcPr>
            <w:tcW w:w="2124" w:type="dxa"/>
            <w:vAlign w:val="center"/>
          </w:tcPr>
          <w:p w14:paraId="0680D771">
            <w:pPr>
              <w:adjustRightInd w:val="0"/>
              <w:snapToGrid w:val="0"/>
              <w:spacing w:line="288" w:lineRule="auto"/>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备注</w:t>
            </w:r>
          </w:p>
          <w:p w14:paraId="6D12CBCE">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adjustRightInd w:val="0"/>
              <w:snapToGrid w:val="0"/>
              <w:spacing w:line="360" w:lineRule="auto"/>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adjustRightInd w:val="0"/>
              <w:snapToGrid w:val="0"/>
              <w:spacing w:line="360" w:lineRule="auto"/>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adjustRightInd w:val="0"/>
              <w:snapToGrid w:val="0"/>
              <w:spacing w:line="360" w:lineRule="auto"/>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adjustRightInd w:val="0"/>
              <w:snapToGrid w:val="0"/>
              <w:spacing w:line="360" w:lineRule="auto"/>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adjustRightInd w:val="0"/>
              <w:snapToGrid w:val="0"/>
              <w:spacing w:line="360" w:lineRule="auto"/>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项目名称：高帧频液体图像采集系统</w:t>
      </w:r>
    </w:p>
    <w:p w14:paraId="4ADB52C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QSZBB250325ZHGK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w:t>
            </w:r>
            <w:bookmarkStart w:id="56" w:name="_Hlk177717733"/>
            <w:r>
              <w:rPr>
                <w:rFonts w:hint="eastAsia" w:ascii="宋体" w:hAnsi="宋体" w:eastAsia="宋体" w:cs="宋体"/>
                <w:b/>
                <w:bCs/>
                <w:szCs w:val="21"/>
              </w:rPr>
              <w:t>规格型号</w:t>
            </w:r>
          </w:p>
          <w:p w14:paraId="6654D31C">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或具体服务</w:t>
            </w:r>
            <w:bookmarkEnd w:id="56"/>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单价</w:t>
            </w:r>
          </w:p>
          <w:p w14:paraId="33843E8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合计</w:t>
            </w:r>
          </w:p>
          <w:p w14:paraId="73305515">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adjustRightInd w:val="0"/>
              <w:snapToGrid w:val="0"/>
              <w:spacing w:line="360" w:lineRule="auto"/>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adjustRightInd w:val="0"/>
              <w:snapToGrid w:val="0"/>
              <w:spacing w:line="360" w:lineRule="auto"/>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adjustRightInd w:val="0"/>
              <w:snapToGrid w:val="0"/>
              <w:spacing w:line="360" w:lineRule="auto"/>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adjustRightInd w:val="0"/>
              <w:snapToGrid w:val="0"/>
              <w:spacing w:line="360" w:lineRule="auto"/>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adjustRightInd w:val="0"/>
              <w:snapToGrid w:val="0"/>
              <w:spacing w:line="360" w:lineRule="auto"/>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adjustRightInd w:val="0"/>
              <w:snapToGrid w:val="0"/>
              <w:spacing w:line="288" w:lineRule="auto"/>
              <w:rPr>
                <w:rFonts w:hint="eastAsia" w:ascii="宋体" w:hAnsi="宋体" w:eastAsia="宋体" w:cs="宋体"/>
                <w:b/>
                <w:bCs/>
                <w:szCs w:val="21"/>
              </w:rPr>
            </w:pPr>
          </w:p>
          <w:p w14:paraId="0C631DF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adjustRightInd w:val="0"/>
              <w:snapToGrid w:val="0"/>
              <w:spacing w:line="288" w:lineRule="auto"/>
              <w:rPr>
                <w:rFonts w:hint="eastAsia" w:ascii="宋体" w:hAnsi="宋体" w:eastAsia="宋体" w:cs="宋体"/>
                <w:b/>
                <w:bCs/>
                <w:szCs w:val="21"/>
              </w:rPr>
            </w:pPr>
          </w:p>
          <w:p w14:paraId="5FEFE13F">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adjustRightInd w:val="0"/>
              <w:snapToGrid w:val="0"/>
              <w:spacing w:line="288" w:lineRule="auto"/>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3974690A">
      <w:pPr>
        <w:keepNext w:val="0"/>
        <w:keepLines w:val="0"/>
        <w:pageBreakBefore w:val="0"/>
        <w:widowControl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b/>
          <w:sz w:val="21"/>
          <w:szCs w:val="21"/>
        </w:rPr>
      </w:pPr>
      <w:r>
        <w:rPr>
          <w:rFonts w:hint="eastAsia" w:ascii="宋体" w:hAnsi="宋体" w:eastAsia="宋体" w:cs="宋体"/>
          <w:b/>
          <w:color w:val="auto"/>
          <w:spacing w:val="-6"/>
          <w:sz w:val="21"/>
          <w:szCs w:val="21"/>
        </w:rPr>
        <w:t>（2）</w:t>
      </w:r>
      <w:r>
        <w:rPr>
          <w:rFonts w:hint="eastAsia" w:ascii="宋体" w:hAnsi="宋体" w:eastAsia="宋体" w:cs="宋体"/>
          <w:b/>
          <w:sz w:val="21"/>
          <w:szCs w:val="21"/>
          <w:lang w:val="en-US" w:eastAsia="zh-CN"/>
        </w:rPr>
        <w:t>进</w:t>
      </w:r>
      <w:r>
        <w:rPr>
          <w:rFonts w:hint="eastAsia" w:ascii="宋体" w:hAnsi="宋体" w:eastAsia="宋体" w:cs="宋体"/>
          <w:b/>
          <w:sz w:val="21"/>
          <w:szCs w:val="21"/>
        </w:rPr>
        <w:t>口设备免税承诺函</w:t>
      </w:r>
    </w:p>
    <w:p w14:paraId="6AF63FA2">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74ED7423">
      <w:pPr>
        <w:keepNext w:val="0"/>
        <w:keepLines w:val="0"/>
        <w:pageBreakBefore w:val="0"/>
        <w:widowControl w:val="0"/>
        <w:kinsoku/>
        <w:wordWrap/>
        <w:overflowPunct/>
        <w:topLinePunct w:val="0"/>
        <w:autoSpaceDE/>
        <w:autoSpaceDN/>
        <w:bidi w:val="0"/>
        <w:adjustRightInd/>
        <w:snapToGrid w:val="0"/>
        <w:spacing w:line="288" w:lineRule="auto"/>
        <w:textAlignment w:val="auto"/>
        <w:rPr>
          <w:rFonts w:hint="eastAsia" w:ascii="宋体" w:hAnsi="宋体" w:eastAsia="宋体" w:cs="宋体"/>
          <w:sz w:val="21"/>
          <w:szCs w:val="21"/>
        </w:rPr>
      </w:pPr>
      <w:r>
        <w:rPr>
          <w:rFonts w:hint="eastAsia" w:ascii="宋体" w:hAnsi="宋体" w:eastAsia="宋体" w:cs="宋体"/>
          <w:sz w:val="21"/>
          <w:szCs w:val="21"/>
        </w:rPr>
        <w:t>致：</w:t>
      </w:r>
      <w:r>
        <w:rPr>
          <w:rFonts w:hint="eastAsia" w:ascii="宋体" w:hAnsi="宋体" w:eastAsia="宋体" w:cs="宋体"/>
          <w:sz w:val="21"/>
          <w:szCs w:val="21"/>
          <w:lang w:val="en-US" w:eastAsia="zh-CN"/>
        </w:rPr>
        <w:t>杭州电子科技大学</w:t>
      </w:r>
      <w:r>
        <w:rPr>
          <w:rFonts w:hint="eastAsia" w:ascii="宋体" w:hAnsi="宋体" w:eastAsia="宋体" w:cs="宋体"/>
          <w:sz w:val="21"/>
          <w:szCs w:val="21"/>
        </w:rPr>
        <w:t>：</w:t>
      </w:r>
    </w:p>
    <w:p w14:paraId="5BD0F850">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sz w:val="21"/>
          <w:szCs w:val="21"/>
          <w:lang w:eastAsia="zh-CN"/>
        </w:rPr>
      </w:pPr>
    </w:p>
    <w:p w14:paraId="7711179A">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我公司已认真阅读了招标文件（项目编号：</w:t>
      </w:r>
      <w:r>
        <w:rPr>
          <w:rFonts w:hint="eastAsia" w:ascii="宋体" w:hAnsi="宋体" w:eastAsia="宋体" w:cs="宋体"/>
          <w:sz w:val="21"/>
          <w:szCs w:val="21"/>
          <w:lang w:eastAsia="zh-CN"/>
        </w:rPr>
        <w:t>QSZBB250325ZHGK</w:t>
      </w:r>
      <w:r>
        <w:rPr>
          <w:rFonts w:hint="eastAsia" w:ascii="宋体" w:hAnsi="宋体" w:eastAsia="宋体" w:cs="宋体"/>
          <w:sz w:val="21"/>
          <w:szCs w:val="21"/>
        </w:rPr>
        <w:t>）并在此</w:t>
      </w:r>
      <w:r>
        <w:rPr>
          <w:rFonts w:hint="eastAsia" w:ascii="宋体" w:hAnsi="宋体" w:eastAsia="宋体" w:cs="宋体"/>
          <w:sz w:val="21"/>
          <w:szCs w:val="21"/>
          <w:lang w:val="en-US" w:eastAsia="zh-CN"/>
        </w:rPr>
        <w:t>对进口免税</w:t>
      </w:r>
      <w:r>
        <w:rPr>
          <w:rFonts w:hint="eastAsia" w:ascii="宋体" w:hAnsi="宋体" w:eastAsia="宋体" w:cs="宋体"/>
          <w:sz w:val="21"/>
          <w:szCs w:val="21"/>
        </w:rPr>
        <w:t>承诺：</w:t>
      </w:r>
    </w:p>
    <w:p w14:paraId="0CF65757">
      <w:pPr>
        <w:keepNext w:val="0"/>
        <w:keepLines w:val="0"/>
        <w:pageBreakBefore w:val="0"/>
        <w:widowControl w:val="0"/>
        <w:kinsoku/>
        <w:wordWrap/>
        <w:overflowPunct/>
        <w:topLinePunct w:val="0"/>
        <w:autoSpaceDE/>
        <w:autoSpaceDN/>
        <w:bidi w:val="0"/>
        <w:adjustRightInd/>
        <w:snapToGrid w:val="0"/>
        <w:spacing w:line="288" w:lineRule="auto"/>
        <w:ind w:firstLine="42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国家政策允许免税的进口设备的价格采用免税的人民币报价，但对于不能免税的部分应报含税价，并在投标文件中予以明示，交易方式为CIP杭州电子科技大学。不能享受国家的减免税政策或者加征关税的，其税金均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承担。由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负责办理免税事宜，采购人予以协助，所需费用由</w:t>
      </w:r>
      <w:r>
        <w:rPr>
          <w:rFonts w:hint="eastAsia" w:ascii="宋体" w:hAnsi="宋体" w:eastAsia="宋体" w:cs="宋体"/>
          <w:b/>
          <w:color w:val="auto"/>
          <w:sz w:val="21"/>
          <w:szCs w:val="21"/>
          <w:lang w:val="en-US" w:eastAsia="zh-CN"/>
        </w:rPr>
        <w:t>我司</w:t>
      </w:r>
      <w:r>
        <w:rPr>
          <w:rFonts w:hint="eastAsia" w:ascii="宋体" w:hAnsi="宋体" w:eastAsia="宋体" w:cs="宋体"/>
          <w:b/>
          <w:color w:val="auto"/>
          <w:sz w:val="21"/>
          <w:szCs w:val="21"/>
        </w:rPr>
        <w:t>承担。</w:t>
      </w:r>
      <w:r>
        <w:rPr>
          <w:rFonts w:hint="eastAsia" w:ascii="宋体" w:hAnsi="宋体" w:eastAsia="宋体" w:cs="宋体"/>
          <w:b/>
          <w:color w:val="auto"/>
          <w:sz w:val="21"/>
          <w:szCs w:val="21"/>
          <w:u w:val="single"/>
        </w:rPr>
        <w:t>因</w:t>
      </w:r>
      <w:r>
        <w:rPr>
          <w:rFonts w:hint="eastAsia" w:ascii="宋体" w:hAnsi="宋体" w:eastAsia="宋体" w:cs="宋体"/>
          <w:b/>
          <w:color w:val="auto"/>
          <w:sz w:val="21"/>
          <w:szCs w:val="21"/>
          <w:u w:val="single"/>
          <w:lang w:val="en-US" w:eastAsia="zh-CN"/>
        </w:rPr>
        <w:t>我司</w:t>
      </w:r>
      <w:r>
        <w:rPr>
          <w:rFonts w:hint="eastAsia" w:ascii="宋体" w:hAnsi="宋体" w:eastAsia="宋体" w:cs="宋体"/>
          <w:b/>
          <w:color w:val="auto"/>
          <w:sz w:val="21"/>
          <w:szCs w:val="21"/>
          <w:u w:val="single"/>
        </w:rPr>
        <w:t>自身原因（如不具备进口免税办理资质等）不能办理免税事宜的，则进口设备所涉及的所有税费均由</w:t>
      </w:r>
      <w:r>
        <w:rPr>
          <w:rFonts w:hint="eastAsia" w:ascii="宋体" w:hAnsi="宋体" w:eastAsia="宋体" w:cs="宋体"/>
          <w:b/>
          <w:color w:val="auto"/>
          <w:sz w:val="21"/>
          <w:szCs w:val="21"/>
          <w:u w:val="single"/>
          <w:lang w:val="en-US" w:eastAsia="zh-CN"/>
        </w:rPr>
        <w:t>我司</w:t>
      </w:r>
      <w:r>
        <w:rPr>
          <w:rFonts w:hint="eastAsia" w:ascii="宋体" w:hAnsi="宋体" w:eastAsia="宋体" w:cs="宋体"/>
          <w:b/>
          <w:color w:val="auto"/>
          <w:sz w:val="21"/>
          <w:szCs w:val="21"/>
          <w:u w:val="single"/>
        </w:rPr>
        <w:t>承担</w:t>
      </w:r>
      <w:r>
        <w:rPr>
          <w:rFonts w:hint="eastAsia" w:ascii="宋体" w:hAnsi="宋体" w:eastAsia="宋体" w:cs="宋体"/>
          <w:b/>
          <w:color w:val="auto"/>
          <w:sz w:val="21"/>
          <w:szCs w:val="21"/>
        </w:rPr>
        <w:t>。</w:t>
      </w:r>
    </w:p>
    <w:p w14:paraId="4899B617">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color w:val="auto"/>
          <w:kern w:val="2"/>
          <w:sz w:val="21"/>
          <w:szCs w:val="21"/>
          <w:lang w:val="en-US" w:eastAsia="zh-CN" w:bidi="ar-SA"/>
        </w:rPr>
      </w:pPr>
    </w:p>
    <w:p w14:paraId="45392AB0">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b/>
          <w:color w:val="auto"/>
          <w:sz w:val="21"/>
          <w:szCs w:val="21"/>
        </w:rPr>
      </w:pPr>
    </w:p>
    <w:p w14:paraId="25C04328">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432B8CAC">
      <w:pPr>
        <w:keepNext w:val="0"/>
        <w:keepLines w:val="0"/>
        <w:pageBreakBefore w:val="0"/>
        <w:widowControl w:val="0"/>
        <w:kinsoku/>
        <w:wordWrap/>
        <w:overflowPunct/>
        <w:topLinePunct w:val="0"/>
        <w:autoSpaceDE/>
        <w:autoSpaceDN/>
        <w:bidi w:val="0"/>
        <w:adjustRightInd/>
        <w:spacing w:line="288" w:lineRule="auto"/>
        <w:textAlignment w:val="auto"/>
        <w:rPr>
          <w:rFonts w:hint="eastAsia" w:ascii="宋体" w:hAnsi="宋体" w:eastAsia="宋体" w:cs="宋体"/>
          <w:b/>
          <w:color w:val="auto"/>
          <w:sz w:val="21"/>
          <w:szCs w:val="21"/>
        </w:rPr>
      </w:pPr>
    </w:p>
    <w:p w14:paraId="25EBADC5">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承诺方（投标人）法定名称：</w:t>
      </w:r>
      <w:r>
        <w:rPr>
          <w:rFonts w:hint="eastAsia" w:ascii="宋体" w:hAnsi="宋体" w:eastAsia="宋体" w:cs="宋体"/>
          <w:sz w:val="21"/>
          <w:szCs w:val="21"/>
          <w:u w:val="single"/>
        </w:rPr>
        <w:t>__________（盖章）_________</w:t>
      </w:r>
    </w:p>
    <w:p w14:paraId="4E72E5F6">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 xml:space="preserve">承诺方（投标人）法定地址： </w:t>
      </w:r>
      <w:r>
        <w:rPr>
          <w:rFonts w:hint="eastAsia" w:ascii="宋体" w:hAnsi="宋体" w:eastAsia="宋体" w:cs="宋体"/>
          <w:sz w:val="21"/>
          <w:szCs w:val="21"/>
          <w:u w:val="single"/>
        </w:rPr>
        <w:t xml:space="preserve">         （盖章）         </w:t>
      </w:r>
    </w:p>
    <w:p w14:paraId="1B8FA906">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u w:val="single"/>
        </w:rPr>
      </w:pPr>
      <w:r>
        <w:rPr>
          <w:rFonts w:hint="eastAsia" w:ascii="宋体" w:hAnsi="宋体" w:eastAsia="宋体" w:cs="宋体"/>
          <w:sz w:val="21"/>
          <w:szCs w:val="21"/>
        </w:rPr>
        <w:t>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联系传真：</w:t>
      </w:r>
      <w:r>
        <w:rPr>
          <w:rFonts w:hint="eastAsia" w:ascii="宋体" w:hAnsi="宋体" w:eastAsia="宋体" w:cs="宋体"/>
          <w:sz w:val="21"/>
          <w:szCs w:val="21"/>
          <w:u w:val="single"/>
        </w:rPr>
        <w:t xml:space="preserve">               </w:t>
      </w:r>
    </w:p>
    <w:p w14:paraId="2CF0557A">
      <w:pPr>
        <w:keepNext w:val="0"/>
        <w:keepLines w:val="0"/>
        <w:pageBreakBefore w:val="0"/>
        <w:widowControl w:val="0"/>
        <w:kinsoku/>
        <w:wordWrap/>
        <w:overflowPunct/>
        <w:topLinePunct w:val="0"/>
        <w:autoSpaceDE/>
        <w:autoSpaceDN/>
        <w:bidi w:val="0"/>
        <w:adjustRightInd/>
        <w:snapToGrid w:val="0"/>
        <w:spacing w:line="288" w:lineRule="auto"/>
        <w:ind w:firstLine="480"/>
        <w:textAlignment w:val="auto"/>
        <w:rPr>
          <w:rFonts w:hint="eastAsia" w:ascii="宋体" w:hAnsi="宋体" w:eastAsia="宋体" w:cs="宋体"/>
          <w:sz w:val="21"/>
          <w:szCs w:val="21"/>
        </w:rPr>
      </w:pPr>
      <w:r>
        <w:rPr>
          <w:rFonts w:hint="eastAsia" w:ascii="宋体" w:hAnsi="宋体" w:eastAsia="宋体" w:cs="宋体"/>
          <w:sz w:val="21"/>
          <w:szCs w:val="21"/>
        </w:rPr>
        <w:t>承诺日期：_____年___月___日</w:t>
      </w:r>
    </w:p>
    <w:p w14:paraId="42A8EAD4">
      <w:pPr>
        <w:keepNext w:val="0"/>
        <w:keepLines w:val="0"/>
        <w:pageBreakBefore w:val="0"/>
        <w:widowControl w:val="0"/>
        <w:kinsoku/>
        <w:wordWrap/>
        <w:overflowPunct/>
        <w:topLinePunct w:val="0"/>
        <w:autoSpaceDE/>
        <w:autoSpaceDN/>
        <w:bidi w:val="0"/>
        <w:adjustRightInd/>
        <w:spacing w:before="0" w:after="0" w:afterLines="0" w:line="288" w:lineRule="auto"/>
        <w:jc w:val="center"/>
        <w:textAlignment w:val="auto"/>
        <w:outlineLvl w:val="0"/>
        <w:rPr>
          <w:rFonts w:hint="eastAsia" w:ascii="宋体" w:hAnsi="宋体" w:eastAsia="宋体" w:cs="宋体"/>
          <w:b/>
          <w:bCs/>
          <w:kern w:val="2"/>
          <w:sz w:val="21"/>
          <w:szCs w:val="21"/>
          <w:lang w:val="en-US" w:eastAsia="zh-CN" w:bidi="ar-SA"/>
        </w:rPr>
      </w:pPr>
    </w:p>
    <w:p w14:paraId="3B4AA9B0">
      <w:pPr>
        <w:adjustRightInd w:val="0"/>
        <w:snapToGrid w:val="0"/>
        <w:spacing w:line="288" w:lineRule="auto"/>
        <w:jc w:val="both"/>
        <w:outlineLvl w:val="2"/>
        <w:rPr>
          <w:rFonts w:hint="default" w:ascii="宋体" w:hAnsi="宋体" w:eastAsia="宋体" w:cs="宋体"/>
          <w:b/>
          <w:color w:val="auto"/>
          <w:spacing w:val="-6"/>
          <w:szCs w:val="21"/>
          <w:lang w:val="en-US" w:eastAsia="zh-CN"/>
        </w:rPr>
      </w:pPr>
      <w:r>
        <w:rPr>
          <w:rFonts w:hint="eastAsia" w:ascii="宋体" w:hAnsi="宋体" w:eastAsia="宋体" w:cs="宋体"/>
          <w:b/>
          <w:color w:val="auto"/>
          <w:spacing w:val="-6"/>
          <w:szCs w:val="21"/>
          <w:lang w:val="en-US" w:eastAsia="zh-CN"/>
        </w:rPr>
        <w:t>注：所投产品为进口产品的提供。</w:t>
      </w:r>
    </w:p>
    <w:p w14:paraId="4332C2F6">
      <w:pPr>
        <w:rPr>
          <w:rFonts w:hint="eastAsia" w:ascii="宋体" w:hAnsi="宋体" w:eastAsia="宋体" w:cs="宋体"/>
          <w:b/>
          <w:color w:val="auto"/>
          <w:spacing w:val="-6"/>
          <w:szCs w:val="21"/>
        </w:rPr>
      </w:pPr>
      <w:r>
        <w:rPr>
          <w:rFonts w:hint="eastAsia" w:ascii="宋体" w:hAnsi="宋体" w:eastAsia="宋体" w:cs="宋体"/>
          <w:b/>
          <w:color w:val="auto"/>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hint="eastAsia" w:ascii="宋体" w:hAnsi="宋体" w:eastAsia="宋体" w:cs="宋体"/>
          <w:b/>
          <w:spacing w:val="-6"/>
          <w:szCs w:val="21"/>
          <w:lang w:val="en-US" w:eastAsia="zh-CN"/>
        </w:rPr>
        <w:t>3</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57" w:name="_Hlk118098443"/>
      <w:r>
        <w:rPr>
          <w:rFonts w:ascii="宋体" w:hAnsi="宋体" w:eastAsia="宋体" w:cs="Times New Roman"/>
          <w:i/>
          <w:szCs w:val="21"/>
          <w:u w:val="single"/>
        </w:rPr>
        <w:t>项目名称</w:t>
      </w:r>
      <w:bookmarkEnd w:id="57"/>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62EE8991">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00631ED">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0FF5338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hint="eastAsia" w:ascii="宋体" w:hAnsi="宋体" w:eastAsia="宋体" w:cs="宋体"/>
          <w:b/>
          <w:spacing w:val="-6"/>
          <w:szCs w:val="21"/>
          <w:lang w:val="en-US" w:eastAsia="zh-CN"/>
        </w:rPr>
        <w:t>4</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hint="eastAsia" w:ascii="宋体" w:hAnsi="宋体" w:eastAsia="宋体" w:cs="宋体"/>
          <w:b/>
          <w:spacing w:val="-6"/>
          <w:szCs w:val="21"/>
          <w:lang w:val="en-US" w:eastAsia="zh-CN"/>
        </w:rPr>
        <w:t>5</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snapToGrid w:val="0"/>
              <w:spacing w:line="288" w:lineRule="auto"/>
              <w:rPr>
                <w:rFonts w:hint="eastAsia" w:ascii="宋体" w:hAnsi="宋体" w:eastAsia="宋体" w:cs="宋体"/>
                <w:szCs w:val="21"/>
              </w:rPr>
            </w:pPr>
          </w:p>
        </w:tc>
        <w:tc>
          <w:tcPr>
            <w:tcW w:w="4814" w:type="dxa"/>
          </w:tcPr>
          <w:p w14:paraId="6E2B4F3D">
            <w:pPr>
              <w:snapToGrid w:val="0"/>
              <w:spacing w:line="288" w:lineRule="auto"/>
              <w:rPr>
                <w:rFonts w:hint="eastAsia" w:ascii="宋体" w:hAnsi="宋体" w:eastAsia="宋体" w:cs="宋体"/>
                <w:szCs w:val="21"/>
              </w:rPr>
            </w:pPr>
          </w:p>
        </w:tc>
      </w:tr>
    </w:tbl>
    <w:p w14:paraId="4F8710BE">
      <w:pPr>
        <w:snapToGrid w:val="0"/>
        <w:spacing w:line="288" w:lineRule="auto"/>
        <w:rPr>
          <w:rFonts w:hint="eastAsia" w:ascii="宋体" w:hAnsi="宋体" w:eastAsia="宋体" w:cs="宋体"/>
          <w:szCs w:val="21"/>
        </w:rPr>
      </w:pP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Noto Serif SC"/>
    <w:panose1 w:val="00000000000000000000"/>
    <w:charset w:val="00"/>
    <w:family w:val="auto"/>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19</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3F6E"/>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71F"/>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06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30C2"/>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394E"/>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6FA8"/>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B71B6"/>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1FE6"/>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29F6"/>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632B"/>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4F149BC"/>
    <w:rsid w:val="05AE6A66"/>
    <w:rsid w:val="05D34727"/>
    <w:rsid w:val="05D9297D"/>
    <w:rsid w:val="07650D44"/>
    <w:rsid w:val="07DB5C37"/>
    <w:rsid w:val="08931933"/>
    <w:rsid w:val="0A8F0E99"/>
    <w:rsid w:val="0AE04A5B"/>
    <w:rsid w:val="0B4A1776"/>
    <w:rsid w:val="0BD50265"/>
    <w:rsid w:val="0BEC010D"/>
    <w:rsid w:val="0C786503"/>
    <w:rsid w:val="0D1A04C9"/>
    <w:rsid w:val="0DA43FD6"/>
    <w:rsid w:val="0DCB77B4"/>
    <w:rsid w:val="0ED75CD8"/>
    <w:rsid w:val="0FF539C8"/>
    <w:rsid w:val="100A1485"/>
    <w:rsid w:val="10757130"/>
    <w:rsid w:val="112B34AD"/>
    <w:rsid w:val="11FF5827"/>
    <w:rsid w:val="124B6583"/>
    <w:rsid w:val="12565CA0"/>
    <w:rsid w:val="128D3854"/>
    <w:rsid w:val="12C80283"/>
    <w:rsid w:val="173A3CDD"/>
    <w:rsid w:val="17847813"/>
    <w:rsid w:val="18090C43"/>
    <w:rsid w:val="18FB5F15"/>
    <w:rsid w:val="1A1664DD"/>
    <w:rsid w:val="1B321622"/>
    <w:rsid w:val="1BDC2BFF"/>
    <w:rsid w:val="1CB015A6"/>
    <w:rsid w:val="1E452027"/>
    <w:rsid w:val="1EEB1A56"/>
    <w:rsid w:val="1F9C38D3"/>
    <w:rsid w:val="1FB7696A"/>
    <w:rsid w:val="20767551"/>
    <w:rsid w:val="212705BE"/>
    <w:rsid w:val="21AC2FA2"/>
    <w:rsid w:val="21DB64E2"/>
    <w:rsid w:val="221C4C30"/>
    <w:rsid w:val="22A70B6C"/>
    <w:rsid w:val="22AD65CC"/>
    <w:rsid w:val="23C14303"/>
    <w:rsid w:val="23FF4622"/>
    <w:rsid w:val="24FF7EBF"/>
    <w:rsid w:val="25A217AC"/>
    <w:rsid w:val="269C0C93"/>
    <w:rsid w:val="26A479CD"/>
    <w:rsid w:val="27432BC1"/>
    <w:rsid w:val="27F0275A"/>
    <w:rsid w:val="28580092"/>
    <w:rsid w:val="28BC23D4"/>
    <w:rsid w:val="28D35520"/>
    <w:rsid w:val="2AA10ED5"/>
    <w:rsid w:val="2ADA0518"/>
    <w:rsid w:val="2C921974"/>
    <w:rsid w:val="2DBE14C9"/>
    <w:rsid w:val="2E2B31E3"/>
    <w:rsid w:val="2ED77388"/>
    <w:rsid w:val="2F04477F"/>
    <w:rsid w:val="2F380CDF"/>
    <w:rsid w:val="2F6A64D8"/>
    <w:rsid w:val="30616EA9"/>
    <w:rsid w:val="31A44D82"/>
    <w:rsid w:val="31F53F59"/>
    <w:rsid w:val="320C1026"/>
    <w:rsid w:val="32BE120D"/>
    <w:rsid w:val="32E22A0E"/>
    <w:rsid w:val="330C0EF9"/>
    <w:rsid w:val="33506DE6"/>
    <w:rsid w:val="33B73EB0"/>
    <w:rsid w:val="34004E73"/>
    <w:rsid w:val="34973C0D"/>
    <w:rsid w:val="349B054D"/>
    <w:rsid w:val="34DB1B1E"/>
    <w:rsid w:val="35194EAC"/>
    <w:rsid w:val="35A54CED"/>
    <w:rsid w:val="366D45F8"/>
    <w:rsid w:val="36DD7E2B"/>
    <w:rsid w:val="37534CA7"/>
    <w:rsid w:val="37C157A9"/>
    <w:rsid w:val="37D824F1"/>
    <w:rsid w:val="37FE4C9B"/>
    <w:rsid w:val="39B918B5"/>
    <w:rsid w:val="3B0C4DFA"/>
    <w:rsid w:val="3C4D26C6"/>
    <w:rsid w:val="3D044EFC"/>
    <w:rsid w:val="3E6946AD"/>
    <w:rsid w:val="3EB60CB3"/>
    <w:rsid w:val="3EC436F9"/>
    <w:rsid w:val="3F740895"/>
    <w:rsid w:val="3FB93DC6"/>
    <w:rsid w:val="402A691C"/>
    <w:rsid w:val="4164336B"/>
    <w:rsid w:val="41E46D11"/>
    <w:rsid w:val="422E66F3"/>
    <w:rsid w:val="4275164D"/>
    <w:rsid w:val="430A3262"/>
    <w:rsid w:val="44265D88"/>
    <w:rsid w:val="4587428B"/>
    <w:rsid w:val="46A824B9"/>
    <w:rsid w:val="46BA072D"/>
    <w:rsid w:val="46BB170B"/>
    <w:rsid w:val="47510906"/>
    <w:rsid w:val="495D70F7"/>
    <w:rsid w:val="497349FC"/>
    <w:rsid w:val="498C1364"/>
    <w:rsid w:val="4B1B7F09"/>
    <w:rsid w:val="4B6974A4"/>
    <w:rsid w:val="4B7D5F80"/>
    <w:rsid w:val="4BF40741"/>
    <w:rsid w:val="4C5E019B"/>
    <w:rsid w:val="4F4977F9"/>
    <w:rsid w:val="4F64249F"/>
    <w:rsid w:val="4F6E1200"/>
    <w:rsid w:val="4FD54576"/>
    <w:rsid w:val="4FEE189E"/>
    <w:rsid w:val="500B7C38"/>
    <w:rsid w:val="51D41B82"/>
    <w:rsid w:val="52455887"/>
    <w:rsid w:val="52670F41"/>
    <w:rsid w:val="5345653C"/>
    <w:rsid w:val="53F038EA"/>
    <w:rsid w:val="549F2962"/>
    <w:rsid w:val="54E01333"/>
    <w:rsid w:val="54EC7E91"/>
    <w:rsid w:val="5668599A"/>
    <w:rsid w:val="56E61993"/>
    <w:rsid w:val="57D73A3D"/>
    <w:rsid w:val="58A177CC"/>
    <w:rsid w:val="59BA69E3"/>
    <w:rsid w:val="5A661DF4"/>
    <w:rsid w:val="5ACF0178"/>
    <w:rsid w:val="5B9E3DE4"/>
    <w:rsid w:val="5BE42A48"/>
    <w:rsid w:val="5C3E17F9"/>
    <w:rsid w:val="5C483ABC"/>
    <w:rsid w:val="5D052980"/>
    <w:rsid w:val="5D3A6920"/>
    <w:rsid w:val="5D8135CC"/>
    <w:rsid w:val="5DED6C62"/>
    <w:rsid w:val="5DF10A2F"/>
    <w:rsid w:val="5E0A019C"/>
    <w:rsid w:val="5ED57F57"/>
    <w:rsid w:val="5EF534F9"/>
    <w:rsid w:val="600446EC"/>
    <w:rsid w:val="600D2EE6"/>
    <w:rsid w:val="61BE282E"/>
    <w:rsid w:val="61D4087B"/>
    <w:rsid w:val="621760F6"/>
    <w:rsid w:val="62246B60"/>
    <w:rsid w:val="628A2B7E"/>
    <w:rsid w:val="639A6D2D"/>
    <w:rsid w:val="644F1ACD"/>
    <w:rsid w:val="64751744"/>
    <w:rsid w:val="668E2F31"/>
    <w:rsid w:val="67060D39"/>
    <w:rsid w:val="67FF1998"/>
    <w:rsid w:val="680D1D99"/>
    <w:rsid w:val="68ED3735"/>
    <w:rsid w:val="69431270"/>
    <w:rsid w:val="6A147DD2"/>
    <w:rsid w:val="6A7F4F75"/>
    <w:rsid w:val="6ACA16F9"/>
    <w:rsid w:val="6B16774A"/>
    <w:rsid w:val="6C467142"/>
    <w:rsid w:val="6CB03B45"/>
    <w:rsid w:val="6ECE2681"/>
    <w:rsid w:val="6ED12033"/>
    <w:rsid w:val="6F872DD0"/>
    <w:rsid w:val="72340F9C"/>
    <w:rsid w:val="739E42CA"/>
    <w:rsid w:val="74ED1308"/>
    <w:rsid w:val="763243C9"/>
    <w:rsid w:val="774152C9"/>
    <w:rsid w:val="775D6EE2"/>
    <w:rsid w:val="776A3FFF"/>
    <w:rsid w:val="793070F8"/>
    <w:rsid w:val="79D825C1"/>
    <w:rsid w:val="7A1731DA"/>
    <w:rsid w:val="7A922E24"/>
    <w:rsid w:val="7B5D131E"/>
    <w:rsid w:val="7CD177A6"/>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38A18-9533-45AB-84A7-6133FC3CC192}">
  <ds:schemaRefs/>
</ds:datastoreItem>
</file>

<file path=docProps/app.xml><?xml version="1.0" encoding="utf-8"?>
<Properties xmlns="http://schemas.openxmlformats.org/officeDocument/2006/extended-properties" xmlns:vt="http://schemas.openxmlformats.org/officeDocument/2006/docPropsVTypes">
  <Template>Normal</Template>
  <Pages>52</Pages>
  <Words>19535</Words>
  <Characters>20870</Characters>
  <Lines>1</Lines>
  <Paragraphs>1</Paragraphs>
  <TotalTime>0</TotalTime>
  <ScaleCrop>false</ScaleCrop>
  <LinksUpToDate>false</LinksUpToDate>
  <CharactersWithSpaces>20939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2025-10-24T07:26:58Z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A761678B778F4822B75B3AE27ABDC5DA_13</vt:lpwstr>
  </property>
  <property fmtid="{D5CDD505-2E9C-101B-9397-08002B2CF9AE}" pid="4" name="KSOTemplateDocerSaveRecord">
    <vt:lpwstr>eyJoZGlkIjoiNDA1NjJhY2YzNGY0NzY5M2ZmM2Y0ZjcwMmY2ODQ2YTYiLCJ1c2VySWQiOiIxNjEzNTQ4OTc4In0=</vt:lpwstr>
  </property>
</Properties>
</file>