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874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48"/>
      </w:tblGrid>
      <w:tr w14:paraId="1E2C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42" w:hRule="atLeast"/>
        </w:trPr>
        <w:tc>
          <w:tcPr>
            <w:tcW w:w="8748" w:type="dxa"/>
          </w:tcPr>
          <w:p w14:paraId="52FEDD3A">
            <w:pPr>
              <w:pStyle w:val="3"/>
              <w:keepNext w:val="0"/>
              <w:keepLines w:val="0"/>
              <w:pageBreakBefore w:val="0"/>
              <w:widowControl w:val="0"/>
              <w:kinsoku/>
              <w:wordWrap/>
              <w:overflowPunct/>
              <w:topLinePunct w:val="0"/>
              <w:bidi w:val="0"/>
              <w:adjustRightInd/>
              <w:snapToGrid/>
              <w:spacing w:line="360" w:lineRule="auto"/>
              <w:textAlignment w:val="auto"/>
              <w:rPr>
                <w:rFonts w:asciiTheme="majorEastAsia" w:hAnsiTheme="majorEastAsia" w:eastAsiaTheme="majorEastAsia"/>
              </w:rPr>
            </w:pPr>
            <w:r>
              <w:rPr>
                <w:rFonts w:hint="eastAsia" w:hAnsi="宋体" w:cs="宋体"/>
                <w:color w:val="000000"/>
                <w:highlight w:val="none"/>
              </w:rPr>
              <w:t>一、</w:t>
            </w:r>
            <w:r>
              <w:rPr>
                <w:rFonts w:hint="eastAsia" w:asciiTheme="majorEastAsia" w:hAnsiTheme="majorEastAsia" w:eastAsiaTheme="majorEastAsia"/>
              </w:rPr>
              <w:t>工程概况：</w:t>
            </w:r>
            <w:r>
              <w:rPr>
                <w:rFonts w:hint="eastAsia" w:asciiTheme="majorEastAsia" w:hAnsiTheme="majorEastAsia" w:eastAsiaTheme="majorEastAsia"/>
                <w:lang w:val="en-US" w:eastAsia="zh-CN"/>
              </w:rPr>
              <w:t>杭州电子科技大学下沙校区第12教学楼教室改造工程</w:t>
            </w:r>
            <w:r>
              <w:rPr>
                <w:rFonts w:hint="eastAsia" w:hAnsi="宋体" w:cs="宋体"/>
                <w:lang w:eastAsia="zh-CN"/>
              </w:rPr>
              <w:t>，</w:t>
            </w:r>
            <w:r>
              <w:rPr>
                <w:rFonts w:hint="eastAsia" w:hAnsi="宋体" w:cs="宋体"/>
                <w:lang w:val="en-US" w:eastAsia="zh-CN"/>
              </w:rPr>
              <w:t>工程范围为</w:t>
            </w:r>
            <w:r>
              <w:rPr>
                <w:rFonts w:hint="eastAsia" w:hAnsi="宋体" w:cs="宋体"/>
              </w:rPr>
              <w:t>杭州电子科技大学下沙校区第12教学楼教室改造工程</w:t>
            </w:r>
            <w:r>
              <w:rPr>
                <w:rFonts w:hint="eastAsia" w:hAnsi="宋体" w:cs="宋体"/>
                <w:lang w:val="en-US" w:eastAsia="zh-CN"/>
              </w:rPr>
              <w:t>工程量清单内所有内容。</w:t>
            </w:r>
            <w:r>
              <w:rPr>
                <w:rFonts w:hint="eastAsia" w:cs="宋体" w:asciiTheme="majorEastAsia" w:hAnsiTheme="majorEastAsia" w:eastAsiaTheme="majorEastAsia"/>
                <w:color w:val="000000"/>
              </w:rPr>
              <w:t>具体内容和工程做法详见施工图及设计说明。</w:t>
            </w:r>
          </w:p>
          <w:p w14:paraId="692ABF1D">
            <w:pPr>
              <w:autoSpaceDE w:val="0"/>
              <w:autoSpaceDN w:val="0"/>
              <w:adjustRightInd w:val="0"/>
              <w:spacing w:line="360" w:lineRule="auto"/>
              <w:rPr>
                <w:rFonts w:ascii="宋体" w:hAnsi="宋体" w:cs="宋体"/>
                <w:color w:val="000000"/>
                <w:szCs w:val="21"/>
                <w:highlight w:val="none"/>
              </w:rPr>
            </w:pPr>
            <w:r>
              <w:rPr>
                <w:rFonts w:hint="eastAsia" w:ascii="宋体" w:hAnsi="宋体" w:cs="宋体"/>
                <w:color w:val="000000"/>
                <w:szCs w:val="21"/>
                <w:highlight w:val="none"/>
              </w:rPr>
              <w:t>二、工程招标范围：根据业主提供的图纸确</w:t>
            </w:r>
            <w:r>
              <w:rPr>
                <w:rFonts w:hint="eastAsia" w:cs="宋体"/>
                <w:color w:val="000000"/>
                <w:highlight w:val="none"/>
              </w:rPr>
              <w:t>定的范围。</w:t>
            </w:r>
          </w:p>
          <w:p w14:paraId="7A46138B">
            <w:pPr>
              <w:autoSpaceDE w:val="0"/>
              <w:autoSpaceDN w:val="0"/>
              <w:adjustRightInd w:val="0"/>
              <w:spacing w:line="360" w:lineRule="auto"/>
              <w:rPr>
                <w:rFonts w:hAnsi="宋体" w:cs="宋体"/>
                <w:color w:val="000000"/>
                <w:highlight w:val="none"/>
              </w:rPr>
            </w:pPr>
            <w:r>
              <w:rPr>
                <w:rFonts w:hint="eastAsia" w:hAnsi="宋体" w:cs="宋体"/>
                <w:color w:val="000000"/>
                <w:highlight w:val="none"/>
              </w:rPr>
              <w:t>三、编制依据：</w:t>
            </w:r>
          </w:p>
          <w:p w14:paraId="206F9FD7">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1</w:t>
            </w:r>
            <w:r>
              <w:rPr>
                <w:rFonts w:hint="eastAsia" w:ascii="宋体" w:hAnsi="宋体" w:cs="宋体"/>
                <w:color w:val="000000"/>
                <w:szCs w:val="21"/>
                <w:highlight w:val="none"/>
              </w:rPr>
              <w:t>.《建设工程工程量清单计价规范》（GB50500—2013）；</w:t>
            </w:r>
          </w:p>
          <w:p w14:paraId="17C052D8">
            <w:pPr>
              <w:autoSpaceDE w:val="0"/>
              <w:autoSpaceDN w:val="0"/>
              <w:adjustRightInd w:val="0"/>
              <w:spacing w:line="360" w:lineRule="auto"/>
              <w:ind w:firstLine="420"/>
              <w:rPr>
                <w:rFonts w:ascii="宋体" w:hAnsi="宋体" w:cs="宋体"/>
                <w:color w:val="000000"/>
                <w:szCs w:val="21"/>
                <w:highlight w:val="none"/>
              </w:rPr>
            </w:pPr>
            <w:r>
              <w:rPr>
                <w:rFonts w:ascii="宋体" w:hAnsi="宋体" w:cs="宋体"/>
                <w:color w:val="000000"/>
                <w:szCs w:val="21"/>
                <w:highlight w:val="none"/>
              </w:rPr>
              <w:t>2</w:t>
            </w:r>
            <w:r>
              <w:rPr>
                <w:rFonts w:hint="eastAsia" w:ascii="宋体" w:hAnsi="宋体" w:cs="宋体"/>
                <w:color w:val="000000"/>
                <w:szCs w:val="21"/>
                <w:highlight w:val="none"/>
              </w:rPr>
              <w:t>.《房屋建筑与装饰工程工程量计算规范》（GB50854—2013）；</w:t>
            </w:r>
          </w:p>
          <w:p w14:paraId="6A9EC04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3.《通用安装工程工程量计算规范》（GB50856—2013）；</w:t>
            </w:r>
          </w:p>
          <w:p w14:paraId="0670792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w:t>
            </w:r>
            <w:r>
              <w:rPr>
                <w:rFonts w:hint="eastAsia" w:cs="宋体" w:asciiTheme="majorEastAsia" w:hAnsiTheme="majorEastAsia" w:eastAsiaTheme="majorEastAsia"/>
                <w:color w:val="000000"/>
                <w:szCs w:val="21"/>
                <w:highlight w:val="none"/>
              </w:rPr>
              <w:t>《浙江省建设工程工程量清单计价指引》（2</w:t>
            </w:r>
            <w:r>
              <w:rPr>
                <w:rFonts w:cs="宋体" w:asciiTheme="majorEastAsia" w:hAnsiTheme="majorEastAsia" w:eastAsiaTheme="majorEastAsia"/>
                <w:color w:val="000000"/>
                <w:szCs w:val="21"/>
                <w:highlight w:val="none"/>
              </w:rPr>
              <w:t>013</w:t>
            </w:r>
            <w:r>
              <w:rPr>
                <w:rFonts w:hint="eastAsia" w:cs="宋体" w:asciiTheme="majorEastAsia" w:hAnsiTheme="majorEastAsia" w:eastAsiaTheme="majorEastAsia"/>
                <w:color w:val="000000"/>
                <w:szCs w:val="21"/>
                <w:highlight w:val="none"/>
              </w:rPr>
              <w:t>版）；</w:t>
            </w:r>
          </w:p>
          <w:p w14:paraId="24FC10B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5．《关于印发建设工程工程量计算规范（2013）浙江省补充规定的通知》（浙建站计﹝2013﹞63号）；</w:t>
            </w:r>
          </w:p>
          <w:p w14:paraId="7430B29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6．《杭州市建设工程工程量清单计价实施细则（201</w:t>
            </w:r>
            <w:r>
              <w:rPr>
                <w:rFonts w:ascii="宋体" w:hAnsi="宋体" w:cs="宋体"/>
                <w:color w:val="000000"/>
                <w:szCs w:val="21"/>
                <w:highlight w:val="none"/>
              </w:rPr>
              <w:t>8</w:t>
            </w:r>
            <w:r>
              <w:rPr>
                <w:rFonts w:hint="eastAsia" w:ascii="宋体" w:hAnsi="宋体" w:cs="宋体"/>
                <w:color w:val="000000"/>
                <w:szCs w:val="21"/>
                <w:highlight w:val="none"/>
              </w:rPr>
              <w:t>年修订）》；</w:t>
            </w:r>
          </w:p>
          <w:p w14:paraId="6C04F79C">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7．《浙江省建设工程计价规则》（2018版）；</w:t>
            </w:r>
          </w:p>
          <w:p w14:paraId="17F811EF">
            <w:pPr>
              <w:autoSpaceDE w:val="0"/>
              <w:autoSpaceDN w:val="0"/>
              <w:adjustRightInd w:val="0"/>
              <w:spacing w:line="360" w:lineRule="auto"/>
              <w:ind w:firstLine="420"/>
              <w:rPr>
                <w:rFonts w:hint="eastAsia" w:cs="宋体" w:asciiTheme="majorEastAsia" w:hAnsiTheme="majorEastAsia" w:eastAsiaTheme="majorEastAsia"/>
                <w:color w:val="000000"/>
                <w:szCs w:val="21"/>
                <w:highlight w:val="none"/>
              </w:rPr>
            </w:pPr>
            <w:r>
              <w:rPr>
                <w:rFonts w:hint="eastAsia" w:cs="宋体" w:asciiTheme="majorEastAsia" w:hAnsiTheme="majorEastAsia" w:eastAsiaTheme="majorEastAsia"/>
                <w:color w:val="000000"/>
                <w:szCs w:val="21"/>
                <w:highlight w:val="none"/>
              </w:rPr>
              <w:t>8.《关于增值税调整后我省建设工程计价依据增值税税率及有关计价调整的通知》（浙建建发[2019]92号 ）；</w:t>
            </w:r>
          </w:p>
          <w:p w14:paraId="0484469C">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default" w:cs="宋体" w:asciiTheme="majorEastAsia" w:hAnsiTheme="majorEastAsia" w:eastAsiaTheme="majorEastAsia"/>
                <w:color w:val="000000"/>
                <w:szCs w:val="21"/>
                <w:lang w:val="en-US" w:eastAsia="zh-CN"/>
              </w:rPr>
            </w:pPr>
            <w:r>
              <w:rPr>
                <w:rFonts w:hint="eastAsia" w:cs="宋体" w:asciiTheme="majorEastAsia" w:hAnsiTheme="majorEastAsia" w:eastAsiaTheme="majorEastAsia"/>
                <w:color w:val="000000"/>
                <w:szCs w:val="21"/>
                <w:lang w:val="en-US" w:eastAsia="zh-CN"/>
              </w:rPr>
              <w:t>9.《省建设厅关于调整我省2018版建筑安装工程安全文明施工费的通知》（浙建建函[2025]320号）；</w:t>
            </w:r>
          </w:p>
          <w:p w14:paraId="5D858462">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pPr>
            <w:r>
              <w:rPr>
                <w:rFonts w:hint="eastAsia" w:cs="宋体" w:asciiTheme="majorEastAsia" w:hAnsiTheme="majorEastAsia" w:eastAsiaTheme="majorEastAsia"/>
                <w:color w:val="000000"/>
                <w:szCs w:val="21"/>
                <w:lang w:val="en-US" w:eastAsia="zh-CN"/>
              </w:rPr>
              <w:t>10.《杭州市城乡建设委员会关于落实省建设厅调整2018版建筑安装工程安全文明施工费有关事项的通知》（杭建市通知[2025]98号）；</w:t>
            </w:r>
          </w:p>
          <w:p w14:paraId="0C5AA2E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lang w:val="en-US" w:eastAsia="zh-CN"/>
              </w:rPr>
              <w:t>11</w:t>
            </w:r>
            <w:r>
              <w:rPr>
                <w:rFonts w:hint="eastAsia" w:ascii="宋体" w:hAnsi="宋体" w:cs="宋体"/>
                <w:color w:val="000000"/>
                <w:szCs w:val="21"/>
                <w:highlight w:val="none"/>
              </w:rPr>
              <w:t>．省、市建设行政主管部门以及工程造价管理机构颁发的相关计价办法和计价规定；</w:t>
            </w:r>
          </w:p>
          <w:p w14:paraId="026B6B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2</w:t>
            </w:r>
            <w:r>
              <w:rPr>
                <w:rFonts w:hint="eastAsia" w:ascii="宋体" w:hAnsi="宋体" w:cs="宋体"/>
                <w:color w:val="000000"/>
                <w:szCs w:val="21"/>
                <w:highlight w:val="none"/>
              </w:rPr>
              <w:t>．其他与工程项目有关的规范、标准和技术资料；</w:t>
            </w:r>
          </w:p>
          <w:p w14:paraId="5F7D3F7F">
            <w:pPr>
              <w:autoSpaceDE w:val="0"/>
              <w:autoSpaceDN w:val="0"/>
              <w:adjustRightInd w:val="0"/>
              <w:spacing w:line="360" w:lineRule="auto"/>
              <w:ind w:firstLine="1"/>
              <w:jc w:val="left"/>
              <w:rPr>
                <w:rFonts w:ascii="宋体" w:hAnsi="宋体" w:cs="宋体"/>
                <w:color w:val="000000"/>
                <w:szCs w:val="21"/>
                <w:highlight w:val="none"/>
              </w:rPr>
            </w:pPr>
            <w:r>
              <w:rPr>
                <w:rFonts w:hint="eastAsia" w:ascii="宋体" w:hAnsi="宋体" w:cs="宋体"/>
                <w:color w:val="000000"/>
                <w:szCs w:val="21"/>
                <w:highlight w:val="none"/>
              </w:rPr>
              <w:t xml:space="preserve">   </w:t>
            </w:r>
            <w:r>
              <w:rPr>
                <w:rFonts w:ascii="宋体" w:hAnsi="宋体" w:cs="宋体"/>
                <w:color w:val="000000"/>
                <w:szCs w:val="21"/>
                <w:highlight w:val="none"/>
              </w:rPr>
              <w:t xml:space="preserve"> </w:t>
            </w: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3</w:t>
            </w:r>
            <w:r>
              <w:rPr>
                <w:rFonts w:hint="eastAsia" w:ascii="宋体" w:hAnsi="宋体" w:cs="宋体"/>
                <w:color w:val="000000"/>
                <w:szCs w:val="21"/>
                <w:highlight w:val="none"/>
              </w:rPr>
              <w:t>．施工现场实际情况、工程特点、常规施工方案；</w:t>
            </w:r>
          </w:p>
          <w:p w14:paraId="6CE8C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w:t>
            </w:r>
            <w:r>
              <w:rPr>
                <w:rFonts w:hint="eastAsia" w:ascii="宋体" w:hAnsi="宋体" w:cs="宋体"/>
                <w:color w:val="000000"/>
                <w:szCs w:val="21"/>
                <w:highlight w:val="none"/>
                <w:lang w:val="en-US" w:eastAsia="zh-CN"/>
              </w:rPr>
              <w:t>4</w:t>
            </w:r>
            <w:r>
              <w:rPr>
                <w:rFonts w:hint="eastAsia" w:ascii="宋体" w:hAnsi="宋体" w:cs="宋体"/>
                <w:color w:val="000000"/>
                <w:szCs w:val="21"/>
                <w:highlight w:val="none"/>
              </w:rPr>
              <w:t>．业主提供的设计图纸。</w:t>
            </w:r>
          </w:p>
          <w:p w14:paraId="09172A2F">
            <w:pPr>
              <w:pStyle w:val="3"/>
              <w:tabs>
                <w:tab w:val="left" w:pos="3060"/>
              </w:tabs>
              <w:spacing w:line="360" w:lineRule="auto"/>
              <w:ind w:firstLine="1"/>
              <w:rPr>
                <w:rFonts w:hAnsi="宋体" w:cs="宋体"/>
                <w:color w:val="000000"/>
                <w:highlight w:val="none"/>
              </w:rPr>
            </w:pPr>
            <w:r>
              <w:rPr>
                <w:rFonts w:hint="eastAsia" w:hAnsi="宋体" w:cs="宋体"/>
                <w:color w:val="000000"/>
                <w:highlight w:val="none"/>
              </w:rPr>
              <w:t>四、报价要求：</w:t>
            </w:r>
          </w:p>
          <w:p w14:paraId="279CA9F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1．工程量清单应与投标人须知，通用合同条款、专用合同条款、技术标准和要求及图纸等文件结合起来查阅与理解，并根据现场实际情况综合考虑报价；</w:t>
            </w:r>
          </w:p>
          <w:p w14:paraId="7734B7C4">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2．工程量清单中所列的工程数量是估算的或设计的预计数量，仅作为投标的共同基础，不作为最终结算与支付的依据。实际支付应按实际完成的工程量。由承包人按技术标准和要求规定的计算方法，以监理工程师认可的尺寸、断面计量，按工程量清单的单价和总额价计算与支付金额；或者根据具体情况，按合同条款的规定，由监理工程师确定的单价和总额价计算支付金额；</w:t>
            </w:r>
          </w:p>
          <w:p w14:paraId="149BA2B3">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3．工程量清单中本合同工程的每一个细目，都需填入单价；对于没有填入单价或总额价的细目，其费用应视为包括在工作量清单的其他单价或总额价中，承包人必须按监理工程师指令完成工程量清单中未填入单价或总额价的工程细目，但不能得到结算与支付；</w:t>
            </w:r>
          </w:p>
          <w:p w14:paraId="08682F2A">
            <w:pPr>
              <w:pStyle w:val="3"/>
              <w:tabs>
                <w:tab w:val="left" w:pos="3330"/>
              </w:tabs>
              <w:spacing w:line="360" w:lineRule="auto"/>
              <w:ind w:firstLine="420" w:firstLineChars="200"/>
              <w:rPr>
                <w:rFonts w:hint="eastAsia" w:hAnsi="宋体" w:cs="宋体"/>
                <w:color w:val="000000"/>
                <w:highlight w:val="none"/>
              </w:rPr>
            </w:pPr>
            <w:r>
              <w:rPr>
                <w:rFonts w:hAnsi="宋体" w:cs="宋体"/>
                <w:color w:val="000000"/>
                <w:highlight w:val="none"/>
              </w:rPr>
              <w:t>4</w:t>
            </w:r>
            <w:r>
              <w:rPr>
                <w:rFonts w:hint="eastAsia" w:hAnsi="宋体" w:cs="宋体"/>
                <w:color w:val="000000"/>
                <w:highlight w:val="none"/>
              </w:rPr>
              <w:t>．安全文明施工基本费费率不得低于</w:t>
            </w:r>
            <w:r>
              <w:rPr>
                <w:rFonts w:hint="eastAsia" w:cs="宋体" w:asciiTheme="majorEastAsia" w:hAnsiTheme="majorEastAsia" w:eastAsiaTheme="majorEastAsia"/>
                <w:color w:val="000000"/>
                <w:szCs w:val="21"/>
              </w:rPr>
              <w:t>浙建建</w:t>
            </w:r>
            <w:r>
              <w:rPr>
                <w:rFonts w:hint="eastAsia" w:cs="宋体" w:asciiTheme="majorEastAsia" w:hAnsiTheme="majorEastAsia" w:eastAsiaTheme="majorEastAsia"/>
                <w:color w:val="000000"/>
                <w:szCs w:val="21"/>
                <w:lang w:val="en-US" w:eastAsia="zh-CN"/>
              </w:rPr>
              <w:t>函</w:t>
            </w:r>
            <w:r>
              <w:rPr>
                <w:rFonts w:hint="eastAsia" w:cs="宋体" w:asciiTheme="majorEastAsia" w:hAnsiTheme="majorEastAsia" w:eastAsiaTheme="majorEastAsia"/>
                <w:color w:val="000000"/>
                <w:szCs w:val="21"/>
              </w:rPr>
              <w:t>[202</w:t>
            </w:r>
            <w:r>
              <w:rPr>
                <w:rFonts w:hint="eastAsia" w:cs="宋体" w:asciiTheme="majorEastAsia" w:hAnsiTheme="majorEastAsia" w:eastAsiaTheme="majorEastAsia"/>
                <w:color w:val="000000"/>
                <w:szCs w:val="21"/>
                <w:lang w:val="en-US" w:eastAsia="zh-CN"/>
              </w:rPr>
              <w:t>5</w:t>
            </w:r>
            <w:r>
              <w:rPr>
                <w:rFonts w:hint="eastAsia" w:cs="宋体" w:asciiTheme="majorEastAsia" w:hAnsiTheme="majorEastAsia" w:eastAsiaTheme="majorEastAsia"/>
                <w:color w:val="000000"/>
                <w:szCs w:val="21"/>
              </w:rPr>
              <w:t>]</w:t>
            </w:r>
            <w:r>
              <w:rPr>
                <w:rFonts w:hint="eastAsia" w:cs="宋体" w:asciiTheme="majorEastAsia" w:hAnsiTheme="majorEastAsia" w:eastAsiaTheme="majorEastAsia"/>
                <w:color w:val="000000"/>
                <w:szCs w:val="21"/>
                <w:lang w:val="en-US" w:eastAsia="zh-CN"/>
              </w:rPr>
              <w:t>320</w:t>
            </w:r>
            <w:r>
              <w:rPr>
                <w:rFonts w:hint="eastAsia" w:cs="宋体" w:asciiTheme="majorEastAsia" w:hAnsiTheme="majorEastAsia" w:eastAsiaTheme="majorEastAsia"/>
                <w:color w:val="000000"/>
                <w:szCs w:val="21"/>
              </w:rPr>
              <w:t>号</w:t>
            </w:r>
            <w:r>
              <w:rPr>
                <w:rFonts w:hint="eastAsia" w:hAnsi="宋体" w:cs="宋体"/>
                <w:color w:val="000000"/>
                <w:highlight w:val="none"/>
              </w:rPr>
              <w:t>文件规定的下限，按市区工程计取，具体如下：</w:t>
            </w:r>
          </w:p>
          <w:p w14:paraId="3E7A4E9A">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6.43</w:t>
            </w:r>
            <w:r>
              <w:rPr>
                <w:rFonts w:hint="eastAsia" w:hAnsi="宋体" w:cs="宋体"/>
                <w:color w:val="000000"/>
                <w:highlight w:val="none"/>
              </w:rPr>
              <w:t>%；</w:t>
            </w:r>
          </w:p>
          <w:p w14:paraId="488ACDE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7.99</w:t>
            </w:r>
            <w:r>
              <w:rPr>
                <w:rFonts w:hint="eastAsia" w:hAnsi="宋体" w:cs="宋体"/>
                <w:color w:val="000000"/>
                <w:highlight w:val="none"/>
              </w:rPr>
              <w:t>%；</w:t>
            </w:r>
          </w:p>
          <w:p w14:paraId="72F15236">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5</w:t>
            </w:r>
            <w:r>
              <w:rPr>
                <w:rFonts w:hint="eastAsia" w:hAnsi="宋体" w:cs="宋体"/>
                <w:color w:val="000000"/>
                <w:highlight w:val="none"/>
              </w:rPr>
              <w:t>．规费费率不得低于《浙江省建设工程计价规则》（</w:t>
            </w:r>
            <w:r>
              <w:rPr>
                <w:rFonts w:hAnsi="宋体" w:cs="宋体"/>
                <w:color w:val="000000"/>
                <w:highlight w:val="none"/>
              </w:rPr>
              <w:t>201</w:t>
            </w:r>
            <w:r>
              <w:rPr>
                <w:rFonts w:hint="eastAsia" w:hAnsi="宋体" w:cs="宋体"/>
                <w:color w:val="000000"/>
                <w:highlight w:val="none"/>
              </w:rPr>
              <w:t>8版）的30%，具体如下：</w:t>
            </w:r>
          </w:p>
          <w:p w14:paraId="30B4874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8.376</w:t>
            </w:r>
            <w:r>
              <w:rPr>
                <w:rFonts w:hint="eastAsia" w:hAnsi="宋体" w:cs="宋体"/>
                <w:color w:val="000000"/>
                <w:highlight w:val="none"/>
              </w:rPr>
              <w:t>%；</w:t>
            </w:r>
          </w:p>
          <w:p w14:paraId="7D3B5879">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机械费”，最低费率为：9.1</w:t>
            </w:r>
            <w:r>
              <w:rPr>
                <w:rFonts w:hint="eastAsia" w:hAnsi="宋体" w:cs="宋体"/>
                <w:color w:val="000000"/>
                <w:highlight w:val="none"/>
                <w:lang w:val="en-US" w:eastAsia="zh-CN"/>
              </w:rPr>
              <w:t>8</w:t>
            </w:r>
            <w:r>
              <w:rPr>
                <w:rFonts w:hint="eastAsia" w:hAnsi="宋体" w:cs="宋体"/>
                <w:color w:val="000000"/>
                <w:highlight w:val="none"/>
              </w:rPr>
              <w:t>9%；</w:t>
            </w:r>
          </w:p>
          <w:p w14:paraId="7DE92CFD">
            <w:pPr>
              <w:pStyle w:val="3"/>
              <w:tabs>
                <w:tab w:val="left" w:pos="3330"/>
              </w:tabs>
              <w:spacing w:line="360" w:lineRule="auto"/>
              <w:ind w:firstLine="420" w:firstLineChars="200"/>
              <w:rPr>
                <w:rFonts w:hAnsi="宋体" w:cs="宋体"/>
                <w:color w:val="000000"/>
                <w:highlight w:val="none"/>
              </w:rPr>
            </w:pPr>
            <w:r>
              <w:rPr>
                <w:rFonts w:hAnsi="宋体" w:cs="宋体"/>
                <w:color w:val="000000"/>
                <w:highlight w:val="none"/>
              </w:rPr>
              <w:t>6</w:t>
            </w:r>
            <w:r>
              <w:rPr>
                <w:rFonts w:hint="eastAsia" w:hAnsi="宋体" w:cs="宋体"/>
                <w:color w:val="000000"/>
                <w:highlight w:val="none"/>
              </w:rPr>
              <w:t>．根据杭建市发【2018】578号文规定，企业管理费报价不得低于省建设行政主管部门颁发的施工费用定额和相关取费计价文件规定的对应专业工程企业管理费弹性费率下限乘以20%的计算值。同时，投标人必须对企业管理费中所包含的现场临时宿舍空调设施等费用，在相应的清单明细表中(表2-5)进行单独费用报价分析。具体如下：</w:t>
            </w:r>
          </w:p>
          <w:p w14:paraId="7556BEFC">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lang w:val="en-US" w:eastAsia="zh-CN"/>
              </w:rPr>
              <w:t>装饰</w:t>
            </w:r>
            <w:r>
              <w:rPr>
                <w:rFonts w:hint="eastAsia" w:hAnsi="宋体" w:cs="宋体"/>
                <w:color w:val="000000"/>
                <w:highlight w:val="none"/>
              </w:rPr>
              <w:t>工程：取费基数为“人工费</w:t>
            </w:r>
            <w:r>
              <w:rPr>
                <w:rFonts w:hAnsi="宋体" w:cs="宋体"/>
                <w:color w:val="000000"/>
                <w:highlight w:val="none"/>
              </w:rPr>
              <w:t>+</w:t>
            </w:r>
            <w:r>
              <w:rPr>
                <w:rFonts w:hint="eastAsia" w:hAnsi="宋体" w:cs="宋体"/>
                <w:color w:val="000000"/>
                <w:highlight w:val="none"/>
              </w:rPr>
              <w:t>机械费”，最低费率为：</w:t>
            </w:r>
            <w:r>
              <w:rPr>
                <w:rFonts w:hint="eastAsia" w:hAnsi="宋体" w:cs="宋体"/>
                <w:color w:val="000000"/>
                <w:highlight w:val="none"/>
                <w:lang w:val="en-US" w:eastAsia="zh-CN"/>
              </w:rPr>
              <w:t>2.274</w:t>
            </w:r>
            <w:r>
              <w:rPr>
                <w:rFonts w:hint="eastAsia" w:hAnsi="宋体" w:cs="宋体"/>
                <w:color w:val="000000"/>
                <w:highlight w:val="none"/>
              </w:rPr>
              <w:t>%；</w:t>
            </w:r>
          </w:p>
          <w:p w14:paraId="4F0579D2">
            <w:pPr>
              <w:pStyle w:val="3"/>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安装工程：取费基数为“人工费</w:t>
            </w:r>
            <w:r>
              <w:rPr>
                <w:rFonts w:hAnsi="宋体" w:cs="宋体"/>
                <w:color w:val="000000"/>
                <w:highlight w:val="none"/>
              </w:rPr>
              <w:t>+</w:t>
            </w:r>
            <w:r>
              <w:rPr>
                <w:rFonts w:hint="eastAsia" w:hAnsi="宋体" w:cs="宋体"/>
                <w:color w:val="000000"/>
                <w:highlight w:val="none"/>
              </w:rPr>
              <w:t>机械费”，最低费率为：3.2</w:t>
            </w:r>
            <w:r>
              <w:rPr>
                <w:rFonts w:hint="eastAsia" w:hAnsi="宋体" w:cs="宋体"/>
                <w:color w:val="000000"/>
                <w:highlight w:val="none"/>
                <w:lang w:val="en-US" w:eastAsia="zh-CN"/>
              </w:rPr>
              <w:t>58</w:t>
            </w:r>
            <w:r>
              <w:rPr>
                <w:rFonts w:hint="eastAsia" w:hAnsi="宋体" w:cs="宋体"/>
                <w:color w:val="000000"/>
                <w:highlight w:val="none"/>
              </w:rPr>
              <w:t>%；</w:t>
            </w:r>
          </w:p>
          <w:p w14:paraId="60AE8021">
            <w:pPr>
              <w:pStyle w:val="3"/>
              <w:numPr>
                <w:ilvl w:val="0"/>
                <w:numId w:val="1"/>
              </w:numPr>
              <w:tabs>
                <w:tab w:val="left" w:pos="3330"/>
              </w:tabs>
              <w:spacing w:line="360" w:lineRule="auto"/>
              <w:ind w:firstLine="420" w:firstLineChars="200"/>
              <w:rPr>
                <w:rFonts w:hAnsi="宋体" w:cs="宋体"/>
                <w:color w:val="000000"/>
                <w:highlight w:val="none"/>
              </w:rPr>
            </w:pPr>
            <w:r>
              <w:rPr>
                <w:rFonts w:hint="eastAsia" w:hAnsi="宋体" w:cs="宋体"/>
                <w:color w:val="000000"/>
                <w:highlight w:val="none"/>
              </w:rPr>
              <w:t>税金应根据《浙江省建设工程计价规则》（2018版）的规定及浙建建发[2019]92号的相关规定以（税前工程造价）为取费基数, 取费费率为：9%。</w:t>
            </w:r>
          </w:p>
          <w:p w14:paraId="704D1017">
            <w:pPr>
              <w:spacing w:line="360" w:lineRule="exact"/>
              <w:rPr>
                <w:rFonts w:hint="default" w:ascii="宋体" w:hAnsi="宋体" w:eastAsia="宋体" w:cs="宋体"/>
                <w:b w:val="0"/>
                <w:bCs w:val="0"/>
                <w:szCs w:val="21"/>
                <w:highlight w:val="none"/>
                <w:lang w:val="en-US" w:eastAsia="zh-CN"/>
              </w:rPr>
            </w:pPr>
            <w:r>
              <w:rPr>
                <w:rFonts w:hint="eastAsia" w:ascii="宋体" w:hAnsi="宋体" w:cs="宋体"/>
                <w:b w:val="0"/>
                <w:bCs w:val="0"/>
                <w:szCs w:val="21"/>
                <w:highlight w:val="none"/>
              </w:rPr>
              <w:t>五、招标人自行采购材料的名称、规格型号、数量，要求总承包人提供的服务内容</w:t>
            </w:r>
            <w:r>
              <w:rPr>
                <w:rFonts w:hint="eastAsia" w:ascii="宋体" w:hAnsi="宋体" w:cs="宋体"/>
                <w:b w:val="0"/>
                <w:bCs w:val="0"/>
                <w:szCs w:val="21"/>
                <w:highlight w:val="none"/>
                <w:lang w:eastAsia="zh-CN"/>
              </w:rPr>
              <w:t>：</w:t>
            </w:r>
            <w:r>
              <w:rPr>
                <w:rFonts w:hint="eastAsia" w:ascii="宋体" w:hAnsi="宋体" w:cs="宋体"/>
                <w:b w:val="0"/>
                <w:bCs w:val="0"/>
                <w:szCs w:val="21"/>
                <w:highlight w:val="none"/>
                <w:lang w:val="en-US" w:eastAsia="zh-CN"/>
              </w:rPr>
              <w:t>无。</w:t>
            </w:r>
          </w:p>
          <w:p w14:paraId="28D7148A">
            <w:pPr>
              <w:pStyle w:val="3"/>
              <w:spacing w:line="360" w:lineRule="auto"/>
              <w:rPr>
                <w:rFonts w:hAnsi="宋体" w:cs="宋体"/>
                <w:color w:val="000000"/>
                <w:highlight w:val="none"/>
              </w:rPr>
            </w:pPr>
            <w:r>
              <w:rPr>
                <w:rFonts w:hint="eastAsia" w:hAnsi="宋体" w:cs="宋体"/>
                <w:color w:val="000000"/>
                <w:highlight w:val="none"/>
              </w:rPr>
              <w:t>六、编制说明：</w:t>
            </w:r>
          </w:p>
          <w:p w14:paraId="12D8033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200"/>
              <w:jc w:val="left"/>
              <w:textAlignment w:val="auto"/>
              <w:rPr>
                <w:rFonts w:hint="eastAsia" w:ascii="宋体" w:hAnsi="宋体" w:eastAsia="宋体" w:cs="宋体"/>
                <w:color w:val="auto"/>
                <w:kern w:val="24"/>
                <w:sz w:val="21"/>
                <w:szCs w:val="21"/>
                <w:highlight w:val="none"/>
                <w:lang w:val="en-US" w:eastAsia="zh-CN"/>
              </w:rPr>
            </w:pPr>
            <w:r>
              <w:rPr>
                <w:rFonts w:hint="eastAsia" w:ascii="宋体" w:hAnsi="宋体" w:eastAsia="宋体" w:cs="宋体"/>
                <w:color w:val="auto"/>
                <w:kern w:val="24"/>
                <w:sz w:val="21"/>
                <w:szCs w:val="21"/>
                <w:lang w:val="en-US" w:eastAsia="zh-CN"/>
              </w:rPr>
              <w:t>1、</w:t>
            </w:r>
            <w:r>
              <w:rPr>
                <w:rFonts w:hint="eastAsia" w:ascii="宋体" w:hAnsi="宋体" w:cs="宋体"/>
                <w:color w:val="auto"/>
                <w:kern w:val="24"/>
                <w:sz w:val="21"/>
                <w:szCs w:val="21"/>
                <w:lang w:val="en-US" w:eastAsia="zh-CN"/>
              </w:rPr>
              <w:t>经确认，</w:t>
            </w:r>
            <w:r>
              <w:rPr>
                <w:rFonts w:hint="eastAsia"/>
                <w:lang w:val="en-US" w:eastAsia="zh-CN"/>
              </w:rPr>
              <w:t>地台做法中基层板厚度按12mm厚计入。</w:t>
            </w:r>
          </w:p>
          <w:p w14:paraId="2DCFD74C">
            <w:pPr>
              <w:pStyle w:val="3"/>
              <w:spacing w:line="360" w:lineRule="auto"/>
              <w:rPr>
                <w:rFonts w:hAnsi="宋体" w:cs="宋体"/>
                <w:color w:val="000000"/>
                <w:highlight w:val="none"/>
              </w:rPr>
            </w:pPr>
            <w:r>
              <w:rPr>
                <w:rFonts w:hint="eastAsia" w:hAnsi="宋体" w:cs="宋体"/>
                <w:color w:val="000000"/>
                <w:highlight w:val="none"/>
                <w:lang w:val="en-US" w:eastAsia="zh-CN"/>
              </w:rPr>
              <w:t>七</w:t>
            </w:r>
            <w:r>
              <w:rPr>
                <w:rFonts w:hint="eastAsia" w:hAnsi="宋体" w:cs="宋体"/>
                <w:color w:val="000000"/>
                <w:highlight w:val="none"/>
              </w:rPr>
              <w:t>、材料：</w:t>
            </w:r>
          </w:p>
          <w:p w14:paraId="7B37A108">
            <w:pPr>
              <w:keepNext w:val="0"/>
              <w:keepLines w:val="0"/>
              <w:pageBreakBefore w:val="0"/>
              <w:widowControl w:val="0"/>
              <w:tabs>
                <w:tab w:val="left" w:pos="0"/>
              </w:tabs>
              <w:kinsoku/>
              <w:wordWrap/>
              <w:overflowPunct/>
              <w:topLinePunct/>
              <w:autoSpaceDE/>
              <w:autoSpaceDN/>
              <w:bidi w:val="0"/>
              <w:adjustRightInd/>
              <w:snapToGrid/>
              <w:spacing w:line="440" w:lineRule="exact"/>
              <w:ind w:firstLine="420" w:firstLineChars="200"/>
              <w:jc w:val="left"/>
              <w:textAlignment w:val="auto"/>
              <w:rPr>
                <w:rFonts w:hint="eastAsia" w:ascii="宋体" w:hAnsi="宋体"/>
                <w:szCs w:val="21"/>
                <w:highlight w:val="none"/>
              </w:rPr>
            </w:pPr>
            <w:r>
              <w:rPr>
                <w:rFonts w:hint="eastAsia" w:ascii="宋体" w:hAnsi="宋体"/>
                <w:szCs w:val="21"/>
                <w:highlight w:val="none"/>
              </w:rPr>
              <w:t>（一）材料均须是优等品、原厂产品（注：联营厂产品除外）并且需在投标报价时列清主材价格、品牌、产地，人工、辅料等费用均应计入综合单价。所有材料在订货前一周必须书面材料报业主、监理认可、封样。如果施工方因各种原因采购不到投标时所确定的品牌，须得甲方认可，且甲方不承担任何增加费用。</w:t>
            </w:r>
          </w:p>
          <w:p w14:paraId="59A59272">
            <w:pPr>
              <w:keepNext w:val="0"/>
              <w:keepLines w:val="0"/>
              <w:pageBreakBefore w:val="0"/>
              <w:widowControl w:val="0"/>
              <w:kinsoku/>
              <w:wordWrap/>
              <w:overflowPunct/>
              <w:autoSpaceDE/>
              <w:autoSpaceDN/>
              <w:bidi w:val="0"/>
              <w:adjustRightInd/>
              <w:snapToGrid/>
              <w:spacing w:line="400" w:lineRule="exact"/>
              <w:ind w:firstLine="420" w:firstLineChars="200"/>
              <w:textAlignment w:val="auto"/>
              <w:rPr>
                <w:rFonts w:ascii="宋体" w:hAnsi="宋体"/>
                <w:szCs w:val="21"/>
                <w:highlight w:val="none"/>
              </w:rPr>
            </w:pPr>
            <w:r>
              <w:rPr>
                <w:rFonts w:hint="eastAsia" w:ascii="宋体" w:hAnsi="宋体"/>
                <w:szCs w:val="21"/>
                <w:highlight w:val="none"/>
              </w:rPr>
              <w:t>（二）其他的设备、材料等采购：</w:t>
            </w:r>
          </w:p>
          <w:p w14:paraId="4F3EA272">
            <w:pPr>
              <w:spacing w:line="400" w:lineRule="exact"/>
              <w:ind w:firstLine="420" w:firstLineChars="200"/>
              <w:rPr>
                <w:rFonts w:ascii="宋体" w:hAnsi="宋体"/>
                <w:szCs w:val="21"/>
                <w:highlight w:val="none"/>
              </w:rPr>
            </w:pPr>
            <w:r>
              <w:rPr>
                <w:rFonts w:hint="eastAsia" w:ascii="宋体" w:hAnsi="宋体"/>
                <w:szCs w:val="21"/>
                <w:highlight w:val="none"/>
              </w:rPr>
              <w:t>1、所有招标人未确定品牌厂家的材料必须采用信誉好、品牌好、知名度高、同等行业中规模中等以上的生产厂家的产品，产品必须满足国家质量标准，由投标人自行采购；</w:t>
            </w:r>
          </w:p>
          <w:p w14:paraId="2C10F120">
            <w:pPr>
              <w:spacing w:line="400" w:lineRule="exact"/>
              <w:ind w:firstLine="420" w:firstLineChars="200"/>
              <w:rPr>
                <w:rFonts w:ascii="宋体" w:hAnsi="宋体"/>
                <w:szCs w:val="21"/>
                <w:highlight w:val="none"/>
              </w:rPr>
            </w:pPr>
            <w:r>
              <w:rPr>
                <w:rFonts w:hint="eastAsia" w:ascii="宋体" w:hAnsi="宋体"/>
                <w:szCs w:val="21"/>
                <w:highlight w:val="none"/>
              </w:rPr>
              <w:t>2、投标人在材料采购前，投标人须将品牌和基本相关资料（采购的材料厂家须是在同行业中具备中等规模以上、品牌信誉较好）送招标人，经招标人书面认可后方可采购。投标人在施工前必须提供样品、样本并经发包人确认后方可施工，否则招标人有权要求投标人无条件进行调换，由此产生的费用由投标人自负；若投标人已施工，招标人有权要求投标人拆除和重新施工，由投标人承担拆除和重新施工的费用，工期不予顺延；</w:t>
            </w:r>
          </w:p>
          <w:p w14:paraId="7455F87A">
            <w:pPr>
              <w:tabs>
                <w:tab w:val="left" w:pos="0"/>
              </w:tabs>
              <w:topLinePunct/>
              <w:spacing w:line="440" w:lineRule="exact"/>
              <w:ind w:firstLine="420" w:firstLineChars="200"/>
              <w:jc w:val="left"/>
              <w:rPr>
                <w:rFonts w:ascii="宋体" w:hAnsi="宋体" w:cs="宋体"/>
                <w:kern w:val="0"/>
                <w:szCs w:val="21"/>
                <w:highlight w:val="none"/>
                <w:lang w:val="zh-CN"/>
              </w:rPr>
            </w:pPr>
            <w:r>
              <w:rPr>
                <w:rFonts w:hint="eastAsia" w:ascii="宋体" w:hAnsi="宋体"/>
                <w:szCs w:val="21"/>
                <w:highlight w:val="none"/>
              </w:rPr>
              <w:t>3、招标人有权对材料品牌进行变更，投标人应服从并做好配合工作。</w:t>
            </w:r>
            <w:r>
              <w:rPr>
                <w:rFonts w:ascii="宋体" w:hAnsi="宋体" w:cs="宋体"/>
                <w:kern w:val="0"/>
                <w:szCs w:val="21"/>
                <w:highlight w:val="none"/>
                <w:lang w:val="zh-CN"/>
              </w:rPr>
              <w:t xml:space="preserve">  </w:t>
            </w:r>
          </w:p>
          <w:p w14:paraId="59782B16">
            <w:pPr>
              <w:pStyle w:val="3"/>
              <w:spacing w:line="360" w:lineRule="auto"/>
              <w:rPr>
                <w:rFonts w:hAnsi="宋体" w:cs="宋体"/>
                <w:color w:val="000000"/>
                <w:highlight w:val="none"/>
              </w:rPr>
            </w:pPr>
            <w:r>
              <w:rPr>
                <w:rFonts w:hint="eastAsia" w:hAnsi="宋体" w:cs="宋体"/>
                <w:color w:val="000000"/>
                <w:highlight w:val="none"/>
                <w:lang w:val="en-US" w:eastAsia="zh-CN"/>
              </w:rPr>
              <w:t>八</w:t>
            </w:r>
            <w:r>
              <w:rPr>
                <w:rFonts w:hint="eastAsia" w:hAnsi="宋体" w:cs="宋体"/>
                <w:color w:val="000000"/>
                <w:highlight w:val="none"/>
              </w:rPr>
              <w:t>、其他说明：</w:t>
            </w:r>
          </w:p>
          <w:p w14:paraId="03908809">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各投标单位在进行综合单价报价时必须结合施工图、招标文件中的相关条款及清单描述进行报价，清单子目中未能对各节点详图进行完全性描述的必须结合施工图详细节点进行报价，否则视为已计入相应项目综合单价中；若招标文件中的相关条款与清单描述有冲突，投标单位在答疑时提出疑问，未提出的以招标人解释为准；</w:t>
            </w:r>
          </w:p>
          <w:p w14:paraId="10ABED1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2.各投标单位需要在相应的子目中综合考虑费用；</w:t>
            </w:r>
          </w:p>
          <w:p w14:paraId="798294F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3.措施费中以“项”为单位措施项目均一次性包干，费用由各投标单位根据施工组织设计方案自行考虑报价，应考虑现场的各种风险因素；</w:t>
            </w:r>
          </w:p>
          <w:p w14:paraId="73B15276">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4.请投标人充分考虑本工程所有设备单体调试和系统调试完成且经甲方验收后所需的相关调试费用（如水电费等）、满足设备运行环境和储存环境产生的费用（如通风、照明等），并计入投标总价内，各投标单位需要在相应的子目中综合考虑费用整；</w:t>
            </w:r>
          </w:p>
          <w:p w14:paraId="60A9B4D1">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5.根据工程量清单报价原则“固定综合单价”，以“项”为单位的工程量清单项目综合单价为包干价，请投标单位根据项目实际情况合理报价；</w:t>
            </w:r>
          </w:p>
          <w:p w14:paraId="43A835F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6.本项目所用材料承包人必须按国家有关标准和施工图纸要求采购，采购前应先提交其样品（质量等级、规格、颜色等）经监理工程师、发包人代表、使用方等确认许可后方可采购。对部分材料的颜色，在实施过程中有可能根据实际效果进行调整，但费用一律按投标报价执行，各投标单位需要在相应的子目中综合考虑费用；</w:t>
            </w:r>
          </w:p>
          <w:p w14:paraId="450DF187">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7.分部分项工程量清单中的工程量是按实物净量计算，一切损耗均应在投标报价内；</w:t>
            </w:r>
          </w:p>
          <w:p w14:paraId="749C57BB">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8.投标人应充分考虑周边建筑、道路和地下管线设施的保护费用，并考虑在总投标价中；</w:t>
            </w:r>
          </w:p>
          <w:p w14:paraId="443B7F1E">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 xml:space="preserve">9.本工程所有的材料的环保等级必须满足国家及地方标准，符合验收相关规范； </w:t>
            </w:r>
          </w:p>
          <w:p w14:paraId="60DE43A8">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10.投标人应充分考虑脚手架等技术措施，相应费用计入技术措施费中，并充分考虑报价风险，今后结算不进行调整；</w:t>
            </w:r>
          </w:p>
          <w:p w14:paraId="720DE25D">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11.各投标单位应根据现场实际情况自行考虑，包含施工范围内所有的原结构和建筑垃圾拆除及外运等,所有外运物弃置场地及运距由投标人自行综合考虑，相应费用均计入报价，今后不作调整；</w:t>
            </w:r>
          </w:p>
          <w:p w14:paraId="482E8E3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12.相关工艺施工前应做的基层清理工作应包含在投标报价中，清单特征描述中不再一一描述；</w:t>
            </w:r>
          </w:p>
          <w:p w14:paraId="221D921A">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13.本清单项目特征描述不完整时，投标单位应结合施工图及相关规范、规定等进行综合考虑；</w:t>
            </w:r>
          </w:p>
          <w:p w14:paraId="46D0CBC5">
            <w:pPr>
              <w:autoSpaceDE w:val="0"/>
              <w:autoSpaceDN w:val="0"/>
              <w:adjustRightInd w:val="0"/>
              <w:spacing w:line="360" w:lineRule="auto"/>
              <w:ind w:firstLine="420"/>
              <w:rPr>
                <w:rFonts w:ascii="宋体" w:hAnsi="宋体" w:cs="宋体"/>
                <w:color w:val="000000"/>
                <w:szCs w:val="21"/>
                <w:highlight w:val="none"/>
              </w:rPr>
            </w:pPr>
            <w:r>
              <w:rPr>
                <w:rFonts w:hint="eastAsia" w:ascii="宋体" w:hAnsi="宋体" w:cs="宋体"/>
                <w:color w:val="000000"/>
                <w:szCs w:val="21"/>
                <w:highlight w:val="none"/>
              </w:rPr>
              <w:t>14.本工程按照《杭州市人民政府办公厅关于印发杭州市建设工程推广应用预拌砂浆管理办法的通知》（杭政办函【2011】32号文件）的要求使用预拌砂浆，投标人应将使用预拌砂浆的费用计入投标报价；</w:t>
            </w:r>
          </w:p>
          <w:p w14:paraId="37793AB1">
            <w:pPr>
              <w:pStyle w:val="3"/>
              <w:spacing w:line="360" w:lineRule="auto"/>
              <w:rPr>
                <w:rFonts w:hint="default" w:ascii="Times New Roman" w:hAnsi="Times New Roman" w:eastAsia="宋体" w:cs="Times New Roman"/>
                <w:b/>
                <w:kern w:val="1"/>
                <w:sz w:val="21"/>
                <w:szCs w:val="21"/>
              </w:rPr>
            </w:pPr>
            <w:r>
              <w:rPr>
                <w:rFonts w:hint="eastAsia" w:hAnsi="宋体" w:cs="宋体"/>
                <w:color w:val="000000"/>
                <w:highlight w:val="none"/>
                <w:lang w:val="en-US" w:eastAsia="zh-CN"/>
              </w:rPr>
              <w:t>九</w:t>
            </w:r>
            <w:r>
              <w:rPr>
                <w:rFonts w:hint="eastAsia" w:hAnsi="宋体" w:cs="宋体"/>
                <w:color w:val="000000"/>
                <w:highlight w:val="none"/>
                <w:lang w:val="zh-CN"/>
              </w:rPr>
              <w:t>、其他不详之处，详见国家及地方标准。</w:t>
            </w:r>
          </w:p>
          <w:p w14:paraId="06572AAC">
            <w:pPr>
              <w:tabs>
                <w:tab w:val="left" w:pos="0"/>
              </w:tabs>
              <w:topLinePunct/>
              <w:spacing w:line="440" w:lineRule="exact"/>
              <w:jc w:val="left"/>
              <w:rPr>
                <w:rFonts w:hint="default" w:ascii="Times New Roman" w:hAnsi="Times New Roman" w:eastAsia="宋体" w:cs="Times New Roman"/>
                <w:b/>
                <w:kern w:val="1"/>
                <w:sz w:val="21"/>
                <w:szCs w:val="21"/>
              </w:rPr>
            </w:pPr>
            <w:r>
              <w:rPr>
                <w:rFonts w:hint="default" w:ascii="Times New Roman" w:hAnsi="Times New Roman" w:eastAsia="宋体" w:cs="Times New Roman"/>
                <w:b/>
                <w:kern w:val="1"/>
                <w:sz w:val="21"/>
                <w:szCs w:val="21"/>
              </w:rPr>
              <w:t>品牌推荐表：</w:t>
            </w:r>
          </w:p>
          <w:p w14:paraId="3F64F334">
            <w:pPr>
              <w:spacing w:line="360" w:lineRule="auto"/>
              <w:jc w:val="center"/>
              <w:rPr>
                <w:rFonts w:hint="default" w:ascii="Times New Roman" w:hAnsi="Times New Roman" w:eastAsia="宋体" w:cs="Times New Roman"/>
                <w:kern w:val="1"/>
                <w:sz w:val="21"/>
                <w:szCs w:val="21"/>
              </w:rPr>
            </w:pPr>
            <w:r>
              <w:rPr>
                <w:rFonts w:hint="default" w:ascii="Times New Roman" w:hAnsi="Times New Roman" w:eastAsia="宋体" w:cs="Times New Roman"/>
                <w:kern w:val="1"/>
                <w:sz w:val="21"/>
                <w:szCs w:val="21"/>
              </w:rPr>
              <w:t>招标人推荐材料、设备品牌一览表</w:t>
            </w:r>
          </w:p>
          <w:tbl>
            <w:tblPr>
              <w:tblStyle w:val="8"/>
              <w:tblW w:w="0" w:type="auto"/>
              <w:tblInd w:w="202" w:type="dxa"/>
              <w:tblLayout w:type="fixed"/>
              <w:tblCellMar>
                <w:top w:w="0" w:type="dxa"/>
                <w:left w:w="108" w:type="dxa"/>
                <w:bottom w:w="0" w:type="dxa"/>
                <w:right w:w="108" w:type="dxa"/>
              </w:tblCellMar>
            </w:tblPr>
            <w:tblGrid>
              <w:gridCol w:w="678"/>
              <w:gridCol w:w="2268"/>
              <w:gridCol w:w="2637"/>
              <w:gridCol w:w="1470"/>
              <w:gridCol w:w="1200"/>
            </w:tblGrid>
            <w:tr w14:paraId="65FBAB5F">
              <w:tblPrEx>
                <w:tblCellMar>
                  <w:top w:w="0" w:type="dxa"/>
                  <w:left w:w="108" w:type="dxa"/>
                  <w:bottom w:w="0" w:type="dxa"/>
                  <w:right w:w="108" w:type="dxa"/>
                </w:tblCellMar>
              </w:tblPrEx>
              <w:trPr>
                <w:trHeight w:val="268" w:hRule="atLeast"/>
              </w:trPr>
              <w:tc>
                <w:tcPr>
                  <w:tcW w:w="678" w:type="dxa"/>
                  <w:tcBorders>
                    <w:top w:val="single" w:color="000000" w:sz="4" w:space="0"/>
                    <w:left w:val="single" w:color="000000" w:sz="4" w:space="0"/>
                    <w:bottom w:val="single" w:color="000000" w:sz="4" w:space="0"/>
                    <w:right w:val="single" w:color="000000" w:sz="4" w:space="0"/>
                  </w:tcBorders>
                  <w:noWrap w:val="0"/>
                  <w:vAlign w:val="center"/>
                </w:tcPr>
                <w:p w14:paraId="2C441E97">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序号</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4A69BF5">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材料名称</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53FF0592">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品牌或产地</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6057494A">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等级</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DABAA26">
                  <w:pPr>
                    <w:spacing w:line="240" w:lineRule="auto"/>
                    <w:jc w:val="center"/>
                    <w:rPr>
                      <w:rFonts w:hint="eastAsia" w:ascii="宋体" w:hAnsi="宋体" w:eastAsia="宋体" w:cs="宋体"/>
                      <w:b/>
                      <w:sz w:val="21"/>
                      <w:szCs w:val="21"/>
                    </w:rPr>
                  </w:pPr>
                  <w:r>
                    <w:rPr>
                      <w:rFonts w:hint="eastAsia" w:ascii="宋体" w:hAnsi="宋体" w:eastAsia="宋体" w:cs="宋体"/>
                      <w:sz w:val="21"/>
                      <w:szCs w:val="21"/>
                    </w:rPr>
                    <w:t>备注</w:t>
                  </w:r>
                </w:p>
              </w:tc>
            </w:tr>
            <w:tr w14:paraId="3400B0E2">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9E892B4">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7877EEB">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涂料</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49322A8">
                  <w:pPr>
                    <w:jc w:val="center"/>
                    <w:rPr>
                      <w:rFonts w:hint="eastAsia" w:ascii="宋体" w:hAnsi="宋体" w:eastAsia="宋体" w:cs="宋体"/>
                      <w:sz w:val="21"/>
                      <w:szCs w:val="21"/>
                    </w:rPr>
                  </w:pPr>
                  <w:r>
                    <w:rPr>
                      <w:rFonts w:hint="eastAsia" w:ascii="宋体" w:hAnsi="宋体" w:eastAsia="宋体" w:cs="宋体"/>
                      <w:sz w:val="21"/>
                      <w:szCs w:val="21"/>
                    </w:rPr>
                    <w:t>立邦、三棵树、多乐士</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38746DF2">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FF446E">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5B71A647">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EDEDC0E">
                  <w:pPr>
                    <w:jc w:val="center"/>
                    <w:rPr>
                      <w:rFonts w:hint="default" w:ascii="宋体" w:hAnsi="宋体" w:cs="宋体"/>
                      <w:sz w:val="21"/>
                      <w:szCs w:val="21"/>
                      <w:lang w:val="en-US" w:eastAsia="zh-CN"/>
                    </w:rPr>
                  </w:pPr>
                  <w:r>
                    <w:rPr>
                      <w:rFonts w:hint="eastAsia" w:ascii="宋体" w:hAnsi="宋体" w:cs="宋体"/>
                      <w:sz w:val="21"/>
                      <w:szCs w:val="21"/>
                      <w:lang w:val="en-US" w:eastAsia="zh-CN"/>
                    </w:rPr>
                    <w:t>2</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F53CC83">
                  <w:pPr>
                    <w:jc w:val="center"/>
                    <w:rPr>
                      <w:rFonts w:hint="default" w:ascii="宋体" w:hAnsi="宋体" w:cs="宋体"/>
                      <w:sz w:val="21"/>
                      <w:szCs w:val="21"/>
                      <w:lang w:val="en-US" w:eastAsia="zh-CN"/>
                    </w:rPr>
                  </w:pPr>
                  <w:r>
                    <w:rPr>
                      <w:rFonts w:hint="eastAsia" w:ascii="宋体" w:hAnsi="宋体" w:cs="宋体"/>
                      <w:sz w:val="21"/>
                      <w:szCs w:val="21"/>
                      <w:lang w:val="en-US" w:eastAsia="zh-CN"/>
                    </w:rPr>
                    <w:t>瓷砖</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8EF82EC">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冠珠、马可波罗、东鹏</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FAE419">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4E900E4E">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5482F99E">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9CAF455">
                  <w:pPr>
                    <w:jc w:val="center"/>
                    <w:rPr>
                      <w:rFonts w:hint="default" w:ascii="宋体" w:hAnsi="宋体" w:cs="宋体"/>
                      <w:sz w:val="21"/>
                      <w:szCs w:val="21"/>
                      <w:lang w:val="en-US" w:eastAsia="zh-CN"/>
                    </w:rPr>
                  </w:pPr>
                  <w:r>
                    <w:rPr>
                      <w:rFonts w:hint="eastAsia" w:ascii="宋体" w:hAnsi="宋体" w:cs="宋体"/>
                      <w:sz w:val="21"/>
                      <w:szCs w:val="21"/>
                      <w:lang w:val="en-US" w:eastAsia="zh-CN"/>
                    </w:rPr>
                    <w:t>3</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478F8BA5">
                  <w:pPr>
                    <w:jc w:val="center"/>
                    <w:rPr>
                      <w:rFonts w:hint="default" w:ascii="宋体" w:hAnsi="宋体" w:cs="宋体"/>
                      <w:sz w:val="21"/>
                      <w:szCs w:val="21"/>
                      <w:lang w:val="en-US" w:eastAsia="zh-CN"/>
                    </w:rPr>
                  </w:pPr>
                  <w:r>
                    <w:rPr>
                      <w:rFonts w:hint="eastAsia" w:ascii="宋体" w:hAnsi="宋体" w:cs="宋体"/>
                      <w:sz w:val="21"/>
                      <w:szCs w:val="21"/>
                      <w:lang w:val="en-US" w:eastAsia="zh-CN"/>
                    </w:rPr>
                    <w:t>实木复合地板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F7CF036">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圣象、世友、大自然</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D97D38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6B5C0B7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69A62D17">
              <w:tblPrEx>
                <w:tblCellMar>
                  <w:top w:w="0" w:type="dxa"/>
                  <w:left w:w="108" w:type="dxa"/>
                  <w:bottom w:w="0" w:type="dxa"/>
                  <w:right w:w="108" w:type="dxa"/>
                </w:tblCellMar>
              </w:tblPrEx>
              <w:trPr>
                <w:trHeight w:val="376"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77FE3987">
                  <w:pPr>
                    <w:jc w:val="center"/>
                    <w:rPr>
                      <w:rFonts w:hint="default" w:ascii="宋体" w:hAnsi="宋体" w:cs="宋体"/>
                      <w:sz w:val="21"/>
                      <w:szCs w:val="21"/>
                      <w:lang w:val="en-US" w:eastAsia="zh-CN"/>
                    </w:rPr>
                  </w:pPr>
                  <w:r>
                    <w:rPr>
                      <w:rFonts w:hint="eastAsia" w:ascii="宋体" w:hAnsi="宋体" w:cs="宋体"/>
                      <w:sz w:val="21"/>
                      <w:szCs w:val="21"/>
                      <w:lang w:val="en-US" w:eastAsia="zh-CN"/>
                    </w:rPr>
                    <w:t>4</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AFE029F">
                  <w:pPr>
                    <w:jc w:val="center"/>
                    <w:rPr>
                      <w:rFonts w:hint="eastAsia" w:ascii="宋体" w:hAnsi="宋体" w:cs="宋体"/>
                      <w:sz w:val="21"/>
                      <w:szCs w:val="21"/>
                      <w:lang w:val="en-US" w:eastAsia="zh-CN"/>
                    </w:rPr>
                  </w:pPr>
                  <w:r>
                    <w:rPr>
                      <w:rFonts w:hint="eastAsia" w:ascii="宋体" w:hAnsi="宋体" w:cs="宋体"/>
                      <w:sz w:val="21"/>
                      <w:szCs w:val="21"/>
                      <w:lang w:val="en-US" w:eastAsia="zh-CN"/>
                    </w:rPr>
                    <w:t>集成吊顶</w:t>
                  </w:r>
                </w:p>
                <w:p w14:paraId="5EE82FDC">
                  <w:pPr>
                    <w:jc w:val="center"/>
                    <w:rPr>
                      <w:rFonts w:hint="default" w:ascii="宋体" w:hAnsi="宋体" w:cs="宋体"/>
                      <w:sz w:val="21"/>
                      <w:szCs w:val="21"/>
                      <w:lang w:val="en-US" w:eastAsia="zh-CN"/>
                    </w:rPr>
                  </w:pPr>
                  <w:r>
                    <w:rPr>
                      <w:rFonts w:hint="eastAsia" w:ascii="宋体" w:hAnsi="宋体" w:cs="宋体"/>
                      <w:sz w:val="21"/>
                      <w:szCs w:val="21"/>
                      <w:lang w:val="en-US" w:eastAsia="zh-CN"/>
                    </w:rPr>
                    <w:t>（扣板、洁净板）</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3E19E87">
                  <w:pPr>
                    <w:jc w:val="center"/>
                    <w:rPr>
                      <w:rFonts w:hint="default" w:ascii="宋体" w:hAnsi="宋体" w:cs="宋体"/>
                      <w:sz w:val="21"/>
                      <w:szCs w:val="21"/>
                      <w:lang w:val="en-US" w:eastAsia="zh-CN"/>
                    </w:rPr>
                  </w:pPr>
                  <w:r>
                    <w:rPr>
                      <w:rFonts w:hint="eastAsia" w:ascii="宋体" w:hAnsi="宋体" w:cs="宋体"/>
                      <w:sz w:val="21"/>
                      <w:szCs w:val="21"/>
                      <w:lang w:val="en-US" w:eastAsia="zh-CN"/>
                    </w:rPr>
                    <w:t>友邦、法狮龙、欧陆</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2CC2DAAA">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AD9EEBB">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3DE9B5D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A1CA3F">
                  <w:pPr>
                    <w:jc w:val="center"/>
                    <w:rPr>
                      <w:rFonts w:hint="default" w:ascii="宋体" w:hAnsi="宋体" w:cs="宋体"/>
                      <w:sz w:val="21"/>
                      <w:szCs w:val="21"/>
                      <w:lang w:val="en-US" w:eastAsia="zh-CN"/>
                    </w:rPr>
                  </w:pPr>
                  <w:r>
                    <w:rPr>
                      <w:rFonts w:hint="eastAsia" w:ascii="宋体" w:hAnsi="宋体" w:cs="宋体"/>
                      <w:sz w:val="21"/>
                      <w:szCs w:val="21"/>
                      <w:lang w:val="en-US" w:eastAsia="zh-CN"/>
                    </w:rPr>
                    <w:t>5</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D0AF90E">
                  <w:pPr>
                    <w:jc w:val="center"/>
                    <w:rPr>
                      <w:rFonts w:hint="default" w:ascii="宋体" w:hAnsi="宋体" w:cs="宋体"/>
                      <w:sz w:val="21"/>
                      <w:szCs w:val="21"/>
                      <w:lang w:val="en-US" w:eastAsia="zh-CN"/>
                    </w:rPr>
                  </w:pPr>
                  <w:r>
                    <w:rPr>
                      <w:rFonts w:hint="eastAsia" w:ascii="宋体" w:hAnsi="宋体" w:cs="宋体"/>
                      <w:sz w:val="21"/>
                      <w:szCs w:val="21"/>
                      <w:lang w:val="en-US" w:eastAsia="zh-CN"/>
                    </w:rPr>
                    <w:t>镀锌钢管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0AF1DD94">
                  <w:pPr>
                    <w:jc w:val="center"/>
                    <w:rPr>
                      <w:rFonts w:hint="eastAsia" w:ascii="宋体" w:hAnsi="宋体" w:cs="宋体"/>
                      <w:sz w:val="21"/>
                      <w:szCs w:val="21"/>
                      <w:lang w:val="en-US" w:eastAsia="zh-CN"/>
                    </w:rPr>
                  </w:pPr>
                  <w:r>
                    <w:rPr>
                      <w:rFonts w:hint="eastAsia" w:ascii="宋体" w:hAnsi="宋体" w:cs="宋体"/>
                      <w:sz w:val="21"/>
                      <w:szCs w:val="21"/>
                      <w:lang w:val="en-US" w:eastAsia="zh-CN"/>
                    </w:rPr>
                    <w:t>金洲、劳动、欣达</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377320C">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527FF2F3">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2B2AC521">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3EAACA5">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6</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2154C801">
                  <w:pPr>
                    <w:jc w:val="center"/>
                    <w:rPr>
                      <w:rFonts w:hint="eastAsia" w:ascii="宋体" w:hAnsi="宋体" w:eastAsia="宋体" w:cs="宋体"/>
                      <w:sz w:val="21"/>
                      <w:szCs w:val="21"/>
                      <w:lang w:eastAsia="zh-CN"/>
                    </w:rPr>
                  </w:pPr>
                  <w:r>
                    <w:rPr>
                      <w:rFonts w:hint="eastAsia" w:ascii="宋体" w:hAnsi="宋体" w:cs="宋体"/>
                      <w:sz w:val="21"/>
                      <w:szCs w:val="21"/>
                      <w:lang w:val="en-US" w:eastAsia="zh-CN"/>
                    </w:rPr>
                    <w:t>灯具</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1A2F96B0">
                  <w:pPr>
                    <w:jc w:val="center"/>
                    <w:rPr>
                      <w:rFonts w:hint="eastAsia" w:ascii="宋体" w:hAnsi="宋体" w:eastAsia="宋体" w:cs="宋体"/>
                      <w:sz w:val="21"/>
                      <w:szCs w:val="21"/>
                    </w:rPr>
                  </w:pPr>
                  <w:r>
                    <w:rPr>
                      <w:rFonts w:hint="eastAsia" w:ascii="宋体" w:hAnsi="宋体" w:eastAsia="宋体" w:cs="宋体"/>
                      <w:sz w:val="21"/>
                      <w:szCs w:val="21"/>
                    </w:rPr>
                    <w:t>佛山、雷士、西顿</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590228E">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3E9A02">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A598657">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31ECC510">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7</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1DB1A1C6">
                  <w:pPr>
                    <w:jc w:val="center"/>
                    <w:rPr>
                      <w:rFonts w:hint="eastAsia" w:ascii="宋体" w:hAnsi="宋体" w:eastAsia="宋体" w:cs="宋体"/>
                      <w:sz w:val="21"/>
                      <w:szCs w:val="21"/>
                    </w:rPr>
                  </w:pPr>
                  <w:r>
                    <w:rPr>
                      <w:rFonts w:hint="eastAsia" w:ascii="宋体" w:hAnsi="宋体" w:eastAsia="宋体" w:cs="宋体"/>
                      <w:sz w:val="21"/>
                      <w:szCs w:val="21"/>
                    </w:rPr>
                    <w:t>配电箱元器件</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6904B3C1">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2177F49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706888C">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09CD9D0E">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478CD2D1">
                  <w:pPr>
                    <w:jc w:val="center"/>
                    <w:rPr>
                      <w:rFonts w:hint="default" w:ascii="宋体" w:hAnsi="宋体" w:cs="宋体"/>
                      <w:sz w:val="21"/>
                      <w:szCs w:val="21"/>
                      <w:lang w:val="en-US" w:eastAsia="zh-CN"/>
                    </w:rPr>
                  </w:pPr>
                  <w:r>
                    <w:rPr>
                      <w:rFonts w:hint="eastAsia" w:ascii="宋体" w:hAnsi="宋体" w:cs="宋体"/>
                      <w:sz w:val="21"/>
                      <w:szCs w:val="21"/>
                      <w:lang w:val="en-US" w:eastAsia="zh-CN"/>
                    </w:rPr>
                    <w:t>8</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7BDC431C">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电线、电缆</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F10D1F6">
                  <w:pPr>
                    <w:jc w:val="center"/>
                    <w:rPr>
                      <w:rFonts w:hint="eastAsia" w:ascii="宋体" w:hAnsi="宋体" w:cs="宋体"/>
                      <w:sz w:val="21"/>
                      <w:szCs w:val="21"/>
                      <w:lang w:val="en-US" w:eastAsia="zh-CN"/>
                    </w:rPr>
                  </w:pPr>
                  <w:r>
                    <w:rPr>
                      <w:rFonts w:hint="eastAsia" w:ascii="宋体" w:hAnsi="宋体" w:eastAsia="宋体" w:cs="宋体"/>
                      <w:sz w:val="21"/>
                      <w:szCs w:val="21"/>
                    </w:rPr>
                    <w:t>元通、万马、永通</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0BDF33B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7C44AA80">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rPr>
                    <w:t>或相当于</w:t>
                  </w:r>
                </w:p>
              </w:tc>
            </w:tr>
            <w:tr w14:paraId="1D07530B">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29DD7CFE">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9</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5E9ED30D">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JDG管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2A3F78BF">
                  <w:pPr>
                    <w:jc w:val="center"/>
                    <w:rPr>
                      <w:rFonts w:hint="eastAsia" w:ascii="宋体" w:hAnsi="宋体" w:eastAsia="宋体" w:cs="宋体"/>
                      <w:sz w:val="21"/>
                      <w:szCs w:val="21"/>
                    </w:rPr>
                  </w:pPr>
                  <w:r>
                    <w:rPr>
                      <w:rFonts w:hint="eastAsia" w:ascii="宋体" w:hAnsi="宋体" w:eastAsia="宋体" w:cs="宋体"/>
                      <w:sz w:val="21"/>
                      <w:szCs w:val="21"/>
                    </w:rPr>
                    <w:t>杭州天一、武陵源、科拓</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0DB216B6">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ED17577">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4B0F7C18">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01BD7DFA">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10</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6E067B2B">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开关、插座</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4435F949">
                  <w:pPr>
                    <w:jc w:val="center"/>
                    <w:rPr>
                      <w:rFonts w:hint="eastAsia" w:ascii="宋体" w:hAnsi="宋体" w:eastAsia="宋体" w:cs="宋体"/>
                      <w:sz w:val="21"/>
                      <w:szCs w:val="21"/>
                    </w:rPr>
                  </w:pPr>
                  <w:r>
                    <w:rPr>
                      <w:rFonts w:hint="eastAsia" w:ascii="宋体" w:hAnsi="宋体" w:cs="宋体"/>
                      <w:sz w:val="21"/>
                      <w:szCs w:val="21"/>
                      <w:lang w:val="en-US" w:eastAsia="zh-CN"/>
                    </w:rPr>
                    <w:t>ABB、施耐德、西门子</w:t>
                  </w:r>
                </w:p>
              </w:tc>
              <w:tc>
                <w:tcPr>
                  <w:tcW w:w="1470" w:type="dxa"/>
                  <w:tcBorders>
                    <w:top w:val="single" w:color="000000" w:sz="4" w:space="0"/>
                    <w:left w:val="single" w:color="000000" w:sz="4" w:space="0"/>
                    <w:bottom w:val="single" w:color="000000" w:sz="4" w:space="0"/>
                    <w:right w:val="single" w:color="000000" w:sz="4" w:space="0"/>
                  </w:tcBorders>
                  <w:noWrap w:val="0"/>
                  <w:vAlign w:val="center"/>
                </w:tcPr>
                <w:p w14:paraId="704D9058">
                  <w:pPr>
                    <w:jc w:val="center"/>
                    <w:rPr>
                      <w:rFonts w:hint="eastAsia" w:ascii="宋体" w:hAnsi="宋体" w:eastAsia="宋体" w:cs="宋体"/>
                      <w:sz w:val="21"/>
                      <w:szCs w:val="21"/>
                    </w:rPr>
                  </w:pPr>
                  <w:r>
                    <w:rPr>
                      <w:rFonts w:hint="eastAsia" w:ascii="宋体" w:hAnsi="宋体" w:eastAsia="宋体" w:cs="宋体"/>
                      <w:sz w:val="21"/>
                      <w:szCs w:val="21"/>
                    </w:rPr>
                    <w:t>优等品</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7235EA">
                  <w:pPr>
                    <w:jc w:val="center"/>
                    <w:rPr>
                      <w:rFonts w:hint="eastAsia" w:ascii="宋体" w:hAnsi="宋体" w:eastAsia="宋体" w:cs="宋体"/>
                      <w:sz w:val="21"/>
                      <w:szCs w:val="21"/>
                    </w:rPr>
                  </w:pPr>
                  <w:r>
                    <w:rPr>
                      <w:rFonts w:hint="eastAsia" w:ascii="宋体" w:hAnsi="宋体" w:eastAsia="宋体" w:cs="宋体"/>
                      <w:sz w:val="21"/>
                      <w:szCs w:val="21"/>
                    </w:rPr>
                    <w:t>或相当于</w:t>
                  </w:r>
                </w:p>
              </w:tc>
            </w:tr>
            <w:tr w14:paraId="777F7BFA">
              <w:tblPrEx>
                <w:tblCellMar>
                  <w:top w:w="0" w:type="dxa"/>
                  <w:left w:w="108" w:type="dxa"/>
                  <w:bottom w:w="0" w:type="dxa"/>
                  <w:right w:w="108" w:type="dxa"/>
                </w:tblCellMar>
              </w:tblPrEx>
              <w:trPr>
                <w:trHeight w:val="441" w:hRule="atLeast"/>
              </w:trPr>
              <w:tc>
                <w:tcPr>
                  <w:tcW w:w="678" w:type="dxa"/>
                  <w:tcBorders>
                    <w:top w:val="single" w:color="000000" w:sz="4" w:space="0"/>
                    <w:left w:val="single" w:color="000000" w:sz="4" w:space="0"/>
                    <w:bottom w:val="single" w:color="000000" w:sz="4" w:space="0"/>
                    <w:right w:val="single" w:color="000000" w:sz="4" w:space="0"/>
                  </w:tcBorders>
                  <w:shd w:val="clear" w:color="auto" w:fill="FFFFFF"/>
                  <w:noWrap w:val="0"/>
                  <w:vAlign w:val="center"/>
                </w:tcPr>
                <w:p w14:paraId="1542766F">
                  <w:pPr>
                    <w:jc w:val="center"/>
                    <w:rPr>
                      <w:rFonts w:hint="default" w:ascii="宋体" w:hAnsi="宋体" w:cs="宋体"/>
                      <w:sz w:val="21"/>
                      <w:szCs w:val="21"/>
                      <w:lang w:val="en-US" w:eastAsia="zh-CN"/>
                    </w:rPr>
                  </w:pPr>
                  <w:r>
                    <w:rPr>
                      <w:rFonts w:hint="eastAsia" w:ascii="宋体" w:hAnsi="宋体" w:cs="宋体"/>
                      <w:sz w:val="21"/>
                      <w:szCs w:val="21"/>
                      <w:lang w:val="en-US" w:eastAsia="zh-CN"/>
                    </w:rPr>
                    <w:t>11</w:t>
                  </w:r>
                </w:p>
              </w:tc>
              <w:tc>
                <w:tcPr>
                  <w:tcW w:w="2268" w:type="dxa"/>
                  <w:tcBorders>
                    <w:top w:val="single" w:color="000000" w:sz="4" w:space="0"/>
                    <w:left w:val="single" w:color="000000" w:sz="4" w:space="0"/>
                    <w:bottom w:val="single" w:color="000000" w:sz="4" w:space="0"/>
                    <w:right w:val="single" w:color="000000" w:sz="4" w:space="0"/>
                  </w:tcBorders>
                  <w:noWrap w:val="0"/>
                  <w:vAlign w:val="center"/>
                </w:tcPr>
                <w:p w14:paraId="35D6B84F">
                  <w:pPr>
                    <w:jc w:val="center"/>
                    <w:rPr>
                      <w:rFonts w:hint="default" w:ascii="宋体" w:hAnsi="宋体" w:eastAsia="宋体" w:cs="宋体"/>
                      <w:sz w:val="21"/>
                      <w:szCs w:val="21"/>
                      <w:lang w:val="en-US" w:eastAsia="zh-CN"/>
                    </w:rPr>
                  </w:pPr>
                  <w:r>
                    <w:rPr>
                      <w:rFonts w:hint="eastAsia" w:ascii="宋体" w:hAnsi="宋体" w:cs="宋体"/>
                      <w:sz w:val="21"/>
                      <w:szCs w:val="21"/>
                      <w:lang w:val="en-US" w:eastAsia="zh-CN"/>
                    </w:rPr>
                    <w:t>配管</w:t>
                  </w:r>
                </w:p>
              </w:tc>
              <w:tc>
                <w:tcPr>
                  <w:tcW w:w="2637" w:type="dxa"/>
                  <w:tcBorders>
                    <w:top w:val="single" w:color="000000" w:sz="4" w:space="0"/>
                    <w:left w:val="single" w:color="000000" w:sz="4" w:space="0"/>
                    <w:bottom w:val="single" w:color="000000" w:sz="4" w:space="0"/>
                    <w:right w:val="single" w:color="000000" w:sz="4" w:space="0"/>
                  </w:tcBorders>
                  <w:noWrap w:val="0"/>
                  <w:vAlign w:val="center"/>
                </w:tcPr>
                <w:p w14:paraId="7D922165">
                  <w:pPr>
                    <w:jc w:val="center"/>
                    <w:rPr>
                      <w:rFonts w:hint="eastAsia" w:ascii="宋体" w:hAnsi="宋体" w:eastAsia="宋体" w:cs="宋体"/>
                      <w:sz w:val="21"/>
                      <w:szCs w:val="21"/>
                      <w:lang w:eastAsia="zh-CN"/>
                    </w:rPr>
                  </w:pPr>
                  <w:r>
                    <w:rPr>
                      <w:rFonts w:hint="eastAsia" w:ascii="宋体" w:hAnsi="宋体" w:eastAsia="宋体" w:cs="宋体"/>
                      <w:szCs w:val="21"/>
                    </w:rPr>
                    <w:t>中财、伟星、日丰</w:t>
                  </w:r>
                </w:p>
              </w:tc>
              <w:tc>
                <w:tcPr>
                  <w:tcW w:w="147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850A34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优等品</w:t>
                  </w:r>
                </w:p>
              </w:tc>
              <w:tc>
                <w:tcPr>
                  <w:tcW w:w="1200" w:type="dxa"/>
                  <w:tcBorders>
                    <w:top w:val="single" w:color="000000" w:sz="4" w:space="0"/>
                    <w:left w:val="single" w:color="000000" w:sz="4" w:space="0"/>
                    <w:bottom w:val="single" w:color="000000" w:sz="4" w:space="0"/>
                    <w:right w:val="single" w:color="000000" w:sz="4" w:space="0"/>
                  </w:tcBorders>
                  <w:shd w:val="clear" w:color="auto" w:fill="auto"/>
                  <w:noWrap w:val="0"/>
                  <w:vAlign w:val="center"/>
                </w:tcPr>
                <w:p w14:paraId="309C565D">
                  <w:pPr>
                    <w:jc w:val="center"/>
                    <w:rPr>
                      <w:rFonts w:hint="eastAsia" w:ascii="宋体" w:hAnsi="宋体" w:eastAsia="宋体" w:cs="宋体"/>
                      <w:kern w:val="2"/>
                      <w:sz w:val="21"/>
                      <w:szCs w:val="21"/>
                      <w:lang w:val="en-US" w:eastAsia="zh-CN" w:bidi="ar-SA"/>
                    </w:rPr>
                  </w:pPr>
                  <w:r>
                    <w:rPr>
                      <w:rFonts w:hint="eastAsia" w:ascii="宋体" w:hAnsi="宋体" w:eastAsia="宋体" w:cs="宋体"/>
                      <w:sz w:val="21"/>
                      <w:szCs w:val="21"/>
                      <w:lang w:val="en-US" w:eastAsia="zh-CN"/>
                    </w:rPr>
                    <w:t>或相当于</w:t>
                  </w:r>
                </w:p>
              </w:tc>
            </w:tr>
          </w:tbl>
          <w:p w14:paraId="23411A0F">
            <w:pPr>
              <w:pStyle w:val="3"/>
              <w:spacing w:line="360" w:lineRule="auto"/>
              <w:rPr>
                <w:rFonts w:hint="eastAsia" w:hAnsi="宋体" w:cs="宋体"/>
                <w:color w:val="000000"/>
                <w:highlight w:val="none"/>
                <w:lang w:val="zh-CN"/>
              </w:rPr>
            </w:pPr>
            <w:bookmarkStart w:id="0" w:name="_GoBack"/>
            <w:bookmarkEnd w:id="0"/>
          </w:p>
        </w:tc>
      </w:tr>
    </w:tbl>
    <w:p w14:paraId="2AB86B1C">
      <w:pPr>
        <w:pStyle w:val="3"/>
        <w:tabs>
          <w:tab w:val="left" w:pos="0"/>
        </w:tabs>
      </w:pPr>
    </w:p>
    <w:sectPr>
      <w:headerReference r:id="rId3" w:type="default"/>
      <w:pgSz w:w="11906" w:h="16838"/>
      <w:pgMar w:top="935" w:right="1800" w:bottom="623" w:left="1800" w:header="737" w:footer="567"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E54FA8">
    <w:r>
      <mc:AlternateContent>
        <mc:Choice Requires="wps">
          <w:drawing>
            <wp:anchor distT="45720" distB="45720" distL="114300" distR="114300" simplePos="0" relativeHeight="251659264" behindDoc="0" locked="0" layoutInCell="1" allowOverlap="1">
              <wp:simplePos x="0" y="0"/>
              <wp:positionH relativeFrom="column">
                <wp:posOffset>-86995</wp:posOffset>
              </wp:positionH>
              <wp:positionV relativeFrom="paragraph">
                <wp:posOffset>212090</wp:posOffset>
              </wp:positionV>
              <wp:extent cx="5535295" cy="676910"/>
              <wp:effectExtent l="4445" t="4445" r="22860" b="23495"/>
              <wp:wrapSquare wrapText="bothSides"/>
              <wp:docPr id="1" name="文本框 2"/>
              <wp:cNvGraphicFramePr/>
              <a:graphic xmlns:a="http://schemas.openxmlformats.org/drawingml/2006/main">
                <a:graphicData uri="http://schemas.microsoft.com/office/word/2010/wordprocessingShape">
                  <wps:wsp>
                    <wps:cNvSpPr txBox="1"/>
                    <wps:spPr>
                      <a:xfrm>
                        <a:off x="0" y="0"/>
                        <a:ext cx="5535295" cy="676910"/>
                      </a:xfrm>
                      <a:prstGeom prst="rect">
                        <a:avLst/>
                      </a:prstGeom>
                      <a:solidFill>
                        <a:srgbClr val="FFFFFF"/>
                      </a:solidFill>
                      <a:ln w="9525" cap="flat" cmpd="sng">
                        <a:solidFill>
                          <a:srgbClr val="FFFFFF"/>
                        </a:solidFill>
                        <a:prstDash val="solid"/>
                        <a:miter/>
                        <a:headEnd type="none" w="med" len="med"/>
                        <a:tailEnd type="none" w="med" len="med"/>
                      </a:ln>
                    </wps:spPr>
                    <wps:txb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lang w:val="en-US" w:eastAsia="zh-CN"/>
                            </w:rPr>
                            <w:t xml:space="preserve">杭州电子科技大学下沙校区第12教学楼教室改造工程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wps:txbx>
                    <wps:bodyPr vert="horz" anchor="t" upright="1"/>
                  </wps:wsp>
                </a:graphicData>
              </a:graphic>
            </wp:anchor>
          </w:drawing>
        </mc:Choice>
        <mc:Fallback>
          <w:pict>
            <v:shape id="文本框 2" o:spid="_x0000_s1026" o:spt="202" type="#_x0000_t202" style="position:absolute;left:0pt;margin-left:-6.85pt;margin-top:16.7pt;height:53.3pt;width:435.85pt;mso-wrap-distance-bottom:3.6pt;mso-wrap-distance-left:9pt;mso-wrap-distance-right:9pt;mso-wrap-distance-top:3.6pt;z-index:251659264;mso-width-relative:page;mso-height-relative:page;" fillcolor="#FFFFFF" filled="t" stroked="t" coordsize="21600,21600" o:gfxdata="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Fyf+VjYAAAACgEAAA8A&#10;AAAAAAAAAQAgAAAAIgAAAGRycy9kb3ducmV2LnhtbFBLAQIUABQAAAAIAIdO4kBFAkw+FwIAAE0E&#10;AAAOAAAAAAAAAAEAIAAAACcBAABkcnMvZTJvRG9jLnhtbFBLBQYAAAAABgAGAFkBAACwBQAAAAA=&#10;">
              <v:fill on="t" focussize="0,0"/>
              <v:stroke color="#FFFFFF" joinstyle="miter"/>
              <v:imagedata o:title=""/>
              <o:lock v:ext="edit" aspectratio="f"/>
              <v:textbox>
                <w:txbxContent>
                  <w:p w14:paraId="7CD547AA">
                    <w:pPr>
                      <w:pStyle w:val="3"/>
                      <w:tabs>
                        <w:tab w:val="left" w:pos="0"/>
                      </w:tabs>
                      <w:jc w:val="center"/>
                      <w:rPr>
                        <w:b/>
                        <w:sz w:val="48"/>
                        <w:szCs w:val="48"/>
                      </w:rPr>
                    </w:pPr>
                    <w:r>
                      <w:rPr>
                        <w:rFonts w:hint="eastAsia"/>
                        <w:b/>
                        <w:sz w:val="48"/>
                        <w:szCs w:val="48"/>
                      </w:rPr>
                      <w:t>工程量清单编制总说明</w:t>
                    </w:r>
                  </w:p>
                  <w:p w14:paraId="40450DA2">
                    <w:pPr>
                      <w:jc w:val="left"/>
                      <w:rPr>
                        <w:rFonts w:hint="eastAsia" w:ascii="宋体" w:hAnsi="宋体" w:eastAsia="宋体" w:cs="宋体"/>
                        <w:sz w:val="21"/>
                        <w:szCs w:val="21"/>
                      </w:rPr>
                    </w:pPr>
                    <w:r>
                      <w:rPr>
                        <w:rFonts w:hint="eastAsia" w:ascii="宋体" w:hAnsi="宋体" w:eastAsia="宋体" w:cs="宋体"/>
                        <w:sz w:val="20"/>
                        <w:szCs w:val="20"/>
                      </w:rPr>
                      <w:t xml:space="preserve">工程名称: </w:t>
                    </w:r>
                    <w:r>
                      <w:rPr>
                        <w:rFonts w:hint="eastAsia" w:asciiTheme="majorEastAsia" w:hAnsiTheme="majorEastAsia" w:eastAsiaTheme="majorEastAsia"/>
                        <w:lang w:val="en-US" w:eastAsia="zh-CN"/>
                      </w:rPr>
                      <w:t xml:space="preserve">杭州电子科技大学下沙校区第12教学楼教室改造工程        </w:t>
                    </w:r>
                    <w:r>
                      <w:rPr>
                        <w:rFonts w:hint="eastAsia" w:asciiTheme="majorEastAsia" w:hAnsiTheme="majorEastAsia" w:eastAsiaTheme="majorEastAsia"/>
                        <w:sz w:val="20"/>
                        <w:szCs w:val="22"/>
                        <w:lang w:val="en-US" w:eastAsia="zh-CN"/>
                      </w:rPr>
                      <w:t xml:space="preserve">  </w:t>
                    </w:r>
                    <w:r>
                      <w:rPr>
                        <w:rFonts w:hint="eastAsia" w:ascii="宋体" w:hAnsi="宋体" w:eastAsia="宋体" w:cs="宋体"/>
                        <w:sz w:val="20"/>
                        <w:szCs w:val="20"/>
                      </w:rPr>
                      <w:t>第</w:t>
                    </w:r>
                    <w:r>
                      <w:rPr>
                        <w:rFonts w:hint="eastAsia" w:ascii="宋体" w:hAnsi="宋体" w:eastAsia="宋体" w:cs="宋体"/>
                        <w:sz w:val="20"/>
                        <w:szCs w:val="20"/>
                      </w:rPr>
                      <w:fldChar w:fldCharType="begin"/>
                    </w:r>
                    <w:r>
                      <w:rPr>
                        <w:rFonts w:hint="eastAsia" w:ascii="宋体" w:hAnsi="宋体" w:eastAsia="宋体" w:cs="宋体"/>
                        <w:sz w:val="20"/>
                        <w:szCs w:val="20"/>
                      </w:rPr>
                      <w:instrText xml:space="preserve">PAGE  \* Arabic  \* MERGEFORMAT</w:instrText>
                    </w:r>
                    <w:r>
                      <w:rPr>
                        <w:rFonts w:hint="eastAsia" w:ascii="宋体" w:hAnsi="宋体" w:eastAsia="宋体" w:cs="宋体"/>
                        <w:sz w:val="20"/>
                        <w:szCs w:val="20"/>
                      </w:rPr>
                      <w:fldChar w:fldCharType="separate"/>
                    </w:r>
                    <w:r>
                      <w:rPr>
                        <w:rFonts w:hint="eastAsia" w:ascii="宋体" w:hAnsi="宋体" w:eastAsia="宋体" w:cs="宋体"/>
                        <w:sz w:val="20"/>
                        <w:szCs w:val="20"/>
                      </w:rPr>
                      <w:t>1</w:t>
                    </w:r>
                    <w:r>
                      <w:rPr>
                        <w:rFonts w:hint="eastAsia" w:ascii="宋体" w:hAnsi="宋体" w:eastAsia="宋体" w:cs="宋体"/>
                        <w:sz w:val="20"/>
                        <w:szCs w:val="20"/>
                      </w:rPr>
                      <w:fldChar w:fldCharType="end"/>
                    </w:r>
                    <w:r>
                      <w:rPr>
                        <w:rFonts w:hint="eastAsia" w:ascii="宋体" w:hAnsi="宋体" w:eastAsia="宋体" w:cs="宋体"/>
                        <w:sz w:val="20"/>
                        <w:szCs w:val="20"/>
                      </w:rPr>
                      <w:t>页，共</w:t>
                    </w:r>
                    <w:r>
                      <w:rPr>
                        <w:rFonts w:hint="eastAsia" w:ascii="宋体" w:hAnsi="宋体" w:cs="宋体"/>
                        <w:sz w:val="20"/>
                        <w:szCs w:val="20"/>
                        <w:lang w:val="en-US" w:eastAsia="zh-CN"/>
                      </w:rPr>
                      <w:t>4</w:t>
                    </w:r>
                    <w:r>
                      <w:rPr>
                        <w:rFonts w:hint="eastAsia" w:ascii="宋体" w:hAnsi="宋体" w:eastAsia="宋体" w:cs="宋体"/>
                        <w:sz w:val="20"/>
                        <w:szCs w:val="20"/>
                      </w:rPr>
                      <w:t>页</w:t>
                    </w:r>
                  </w:p>
                  <w:p w14:paraId="421259F5">
                    <w:pPr>
                      <w:rPr>
                        <w:rFonts w:hint="eastAsia" w:ascii="宋体" w:hAnsi="宋体" w:eastAsia="宋体" w:cs="宋体"/>
                        <w:sz w:val="21"/>
                        <w:szCs w:val="21"/>
                      </w:rPr>
                    </w:pPr>
                  </w:p>
                </w:txbxContent>
              </v:textbox>
              <w10:wrap type="square"/>
            </v:shape>
          </w:pict>
        </mc:Fallback>
      </mc:AlternateContent>
    </w: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2BCB0A9"/>
    <w:multiLevelType w:val="singleLevel"/>
    <w:tmpl w:val="B2BCB0A9"/>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hmMzcwOTczMTU1NjAyMmFlNDY0NzUzZWY4NTdlNjgifQ=="/>
  </w:docVars>
  <w:rsids>
    <w:rsidRoot w:val="005506DA"/>
    <w:rsid w:val="0000106E"/>
    <w:rsid w:val="00001626"/>
    <w:rsid w:val="00010045"/>
    <w:rsid w:val="000117BD"/>
    <w:rsid w:val="00014762"/>
    <w:rsid w:val="00022758"/>
    <w:rsid w:val="0004286F"/>
    <w:rsid w:val="00046E06"/>
    <w:rsid w:val="0004768E"/>
    <w:rsid w:val="00051319"/>
    <w:rsid w:val="0005219B"/>
    <w:rsid w:val="00067B8E"/>
    <w:rsid w:val="000706AD"/>
    <w:rsid w:val="000815C8"/>
    <w:rsid w:val="00093C6F"/>
    <w:rsid w:val="000953D0"/>
    <w:rsid w:val="000A6659"/>
    <w:rsid w:val="000B28FC"/>
    <w:rsid w:val="000B6CD7"/>
    <w:rsid w:val="000C3E0C"/>
    <w:rsid w:val="000C6CD8"/>
    <w:rsid w:val="000D0320"/>
    <w:rsid w:val="000D0BC4"/>
    <w:rsid w:val="000E2B8F"/>
    <w:rsid w:val="000E6C7C"/>
    <w:rsid w:val="000E78F6"/>
    <w:rsid w:val="000F25B3"/>
    <w:rsid w:val="000F746E"/>
    <w:rsid w:val="00102451"/>
    <w:rsid w:val="0010306B"/>
    <w:rsid w:val="00103108"/>
    <w:rsid w:val="001159CA"/>
    <w:rsid w:val="001215F9"/>
    <w:rsid w:val="00121792"/>
    <w:rsid w:val="001248E8"/>
    <w:rsid w:val="00136525"/>
    <w:rsid w:val="0014537E"/>
    <w:rsid w:val="00154736"/>
    <w:rsid w:val="001575DC"/>
    <w:rsid w:val="00164107"/>
    <w:rsid w:val="0016739C"/>
    <w:rsid w:val="00173C4D"/>
    <w:rsid w:val="00184D00"/>
    <w:rsid w:val="0018760C"/>
    <w:rsid w:val="001A1BDB"/>
    <w:rsid w:val="001A1E48"/>
    <w:rsid w:val="001A3107"/>
    <w:rsid w:val="001B12DB"/>
    <w:rsid w:val="001B151E"/>
    <w:rsid w:val="001B17ED"/>
    <w:rsid w:val="001B2CA4"/>
    <w:rsid w:val="001C5BB5"/>
    <w:rsid w:val="001D2C85"/>
    <w:rsid w:val="001D6310"/>
    <w:rsid w:val="001E2ABA"/>
    <w:rsid w:val="001F33AC"/>
    <w:rsid w:val="001F438E"/>
    <w:rsid w:val="001F7EBA"/>
    <w:rsid w:val="0021344D"/>
    <w:rsid w:val="00213D32"/>
    <w:rsid w:val="00214FD0"/>
    <w:rsid w:val="00225318"/>
    <w:rsid w:val="00225EE6"/>
    <w:rsid w:val="00227933"/>
    <w:rsid w:val="00244E28"/>
    <w:rsid w:val="002560B6"/>
    <w:rsid w:val="002573DB"/>
    <w:rsid w:val="0027376F"/>
    <w:rsid w:val="00274CE7"/>
    <w:rsid w:val="00283C5D"/>
    <w:rsid w:val="002A21CF"/>
    <w:rsid w:val="002A5219"/>
    <w:rsid w:val="002B08AF"/>
    <w:rsid w:val="002B21BF"/>
    <w:rsid w:val="002B4CCE"/>
    <w:rsid w:val="002B7B66"/>
    <w:rsid w:val="002D313C"/>
    <w:rsid w:val="002D3275"/>
    <w:rsid w:val="002E5BA8"/>
    <w:rsid w:val="002F6090"/>
    <w:rsid w:val="002F671B"/>
    <w:rsid w:val="002F7E8E"/>
    <w:rsid w:val="00300A42"/>
    <w:rsid w:val="003022B3"/>
    <w:rsid w:val="003050A5"/>
    <w:rsid w:val="00306338"/>
    <w:rsid w:val="003144E1"/>
    <w:rsid w:val="00317861"/>
    <w:rsid w:val="00334B7B"/>
    <w:rsid w:val="003459AF"/>
    <w:rsid w:val="00350DF6"/>
    <w:rsid w:val="003518E8"/>
    <w:rsid w:val="00353D9F"/>
    <w:rsid w:val="00356EDA"/>
    <w:rsid w:val="00360037"/>
    <w:rsid w:val="003709E6"/>
    <w:rsid w:val="003730D3"/>
    <w:rsid w:val="00377321"/>
    <w:rsid w:val="0038740A"/>
    <w:rsid w:val="003900F3"/>
    <w:rsid w:val="003A239F"/>
    <w:rsid w:val="003A5A9C"/>
    <w:rsid w:val="003A7CBB"/>
    <w:rsid w:val="003B665A"/>
    <w:rsid w:val="003C0F0B"/>
    <w:rsid w:val="003C1F68"/>
    <w:rsid w:val="003D3322"/>
    <w:rsid w:val="003D3BF4"/>
    <w:rsid w:val="003D48F1"/>
    <w:rsid w:val="003E067C"/>
    <w:rsid w:val="003E44DC"/>
    <w:rsid w:val="003E6069"/>
    <w:rsid w:val="003E6FEA"/>
    <w:rsid w:val="003F4E0D"/>
    <w:rsid w:val="00400A29"/>
    <w:rsid w:val="00400FCC"/>
    <w:rsid w:val="00401994"/>
    <w:rsid w:val="00412313"/>
    <w:rsid w:val="00413684"/>
    <w:rsid w:val="00416C17"/>
    <w:rsid w:val="00417EF4"/>
    <w:rsid w:val="00426332"/>
    <w:rsid w:val="00427A78"/>
    <w:rsid w:val="0043052A"/>
    <w:rsid w:val="0043455A"/>
    <w:rsid w:val="004405E8"/>
    <w:rsid w:val="0044213D"/>
    <w:rsid w:val="00453801"/>
    <w:rsid w:val="0045789F"/>
    <w:rsid w:val="00463084"/>
    <w:rsid w:val="004743E7"/>
    <w:rsid w:val="00476074"/>
    <w:rsid w:val="00477345"/>
    <w:rsid w:val="00487526"/>
    <w:rsid w:val="004903B1"/>
    <w:rsid w:val="00490DD2"/>
    <w:rsid w:val="00492A90"/>
    <w:rsid w:val="00494246"/>
    <w:rsid w:val="004A32ED"/>
    <w:rsid w:val="004A4917"/>
    <w:rsid w:val="004A5D4D"/>
    <w:rsid w:val="004A6723"/>
    <w:rsid w:val="004B12E5"/>
    <w:rsid w:val="004B33BA"/>
    <w:rsid w:val="004B59C1"/>
    <w:rsid w:val="004B74A8"/>
    <w:rsid w:val="004E4F7E"/>
    <w:rsid w:val="004F4F81"/>
    <w:rsid w:val="004F58EB"/>
    <w:rsid w:val="004F6E33"/>
    <w:rsid w:val="004F7BAB"/>
    <w:rsid w:val="005004B9"/>
    <w:rsid w:val="00502254"/>
    <w:rsid w:val="0050276A"/>
    <w:rsid w:val="005033AC"/>
    <w:rsid w:val="00511D85"/>
    <w:rsid w:val="005214F8"/>
    <w:rsid w:val="00526A7A"/>
    <w:rsid w:val="005331ED"/>
    <w:rsid w:val="005438FD"/>
    <w:rsid w:val="005506DA"/>
    <w:rsid w:val="0056070F"/>
    <w:rsid w:val="00562001"/>
    <w:rsid w:val="00571A3B"/>
    <w:rsid w:val="005841D3"/>
    <w:rsid w:val="00593246"/>
    <w:rsid w:val="005A28EC"/>
    <w:rsid w:val="005C150A"/>
    <w:rsid w:val="005C42BA"/>
    <w:rsid w:val="005D0AB2"/>
    <w:rsid w:val="005D5CB4"/>
    <w:rsid w:val="00601206"/>
    <w:rsid w:val="00602390"/>
    <w:rsid w:val="0061067F"/>
    <w:rsid w:val="00611541"/>
    <w:rsid w:val="00611B7A"/>
    <w:rsid w:val="0061779F"/>
    <w:rsid w:val="00622FAF"/>
    <w:rsid w:val="006351CD"/>
    <w:rsid w:val="006456F2"/>
    <w:rsid w:val="0064624D"/>
    <w:rsid w:val="006467EF"/>
    <w:rsid w:val="00651787"/>
    <w:rsid w:val="006539E6"/>
    <w:rsid w:val="00653BA9"/>
    <w:rsid w:val="006551D2"/>
    <w:rsid w:val="00656DBC"/>
    <w:rsid w:val="00657643"/>
    <w:rsid w:val="00664C4D"/>
    <w:rsid w:val="006666B2"/>
    <w:rsid w:val="00667B76"/>
    <w:rsid w:val="00674E5B"/>
    <w:rsid w:val="00674EB9"/>
    <w:rsid w:val="00682A4C"/>
    <w:rsid w:val="00693CA5"/>
    <w:rsid w:val="00695FD6"/>
    <w:rsid w:val="006A2097"/>
    <w:rsid w:val="006A261E"/>
    <w:rsid w:val="006A4673"/>
    <w:rsid w:val="006B1523"/>
    <w:rsid w:val="006C75C4"/>
    <w:rsid w:val="006D673A"/>
    <w:rsid w:val="006E221C"/>
    <w:rsid w:val="006F04E5"/>
    <w:rsid w:val="006F3345"/>
    <w:rsid w:val="006F37DF"/>
    <w:rsid w:val="00716247"/>
    <w:rsid w:val="00726864"/>
    <w:rsid w:val="00726A32"/>
    <w:rsid w:val="00727874"/>
    <w:rsid w:val="00727C03"/>
    <w:rsid w:val="00730C9F"/>
    <w:rsid w:val="00731869"/>
    <w:rsid w:val="007335DB"/>
    <w:rsid w:val="00734542"/>
    <w:rsid w:val="007350E2"/>
    <w:rsid w:val="007449A9"/>
    <w:rsid w:val="0075463D"/>
    <w:rsid w:val="007617DB"/>
    <w:rsid w:val="0077128E"/>
    <w:rsid w:val="00771870"/>
    <w:rsid w:val="007747BE"/>
    <w:rsid w:val="00780E60"/>
    <w:rsid w:val="00793EB7"/>
    <w:rsid w:val="007A3571"/>
    <w:rsid w:val="007A532B"/>
    <w:rsid w:val="007A6115"/>
    <w:rsid w:val="007A7252"/>
    <w:rsid w:val="007B1A65"/>
    <w:rsid w:val="007B3E00"/>
    <w:rsid w:val="007C0946"/>
    <w:rsid w:val="007C67E3"/>
    <w:rsid w:val="007D2292"/>
    <w:rsid w:val="007E1EFE"/>
    <w:rsid w:val="007E294E"/>
    <w:rsid w:val="007F1D79"/>
    <w:rsid w:val="007F635C"/>
    <w:rsid w:val="007F7AA5"/>
    <w:rsid w:val="00800A26"/>
    <w:rsid w:val="00812D89"/>
    <w:rsid w:val="00817C47"/>
    <w:rsid w:val="00823809"/>
    <w:rsid w:val="008240F5"/>
    <w:rsid w:val="008257EB"/>
    <w:rsid w:val="0083654F"/>
    <w:rsid w:val="00836BAC"/>
    <w:rsid w:val="00836F74"/>
    <w:rsid w:val="00841035"/>
    <w:rsid w:val="00841DAC"/>
    <w:rsid w:val="0084459A"/>
    <w:rsid w:val="0084682F"/>
    <w:rsid w:val="00855BF2"/>
    <w:rsid w:val="0086310E"/>
    <w:rsid w:val="008727EE"/>
    <w:rsid w:val="00874E85"/>
    <w:rsid w:val="00875515"/>
    <w:rsid w:val="0088323C"/>
    <w:rsid w:val="00884082"/>
    <w:rsid w:val="00884C50"/>
    <w:rsid w:val="008A2C46"/>
    <w:rsid w:val="008B2078"/>
    <w:rsid w:val="008B31DE"/>
    <w:rsid w:val="008B4870"/>
    <w:rsid w:val="008B5B1C"/>
    <w:rsid w:val="008C7002"/>
    <w:rsid w:val="008D1BE1"/>
    <w:rsid w:val="008D37B3"/>
    <w:rsid w:val="008D4EE8"/>
    <w:rsid w:val="008E4041"/>
    <w:rsid w:val="008F7834"/>
    <w:rsid w:val="0090397F"/>
    <w:rsid w:val="00905704"/>
    <w:rsid w:val="009076DF"/>
    <w:rsid w:val="00910A34"/>
    <w:rsid w:val="00915DC5"/>
    <w:rsid w:val="009175FE"/>
    <w:rsid w:val="00917BFD"/>
    <w:rsid w:val="009240E3"/>
    <w:rsid w:val="0093620E"/>
    <w:rsid w:val="00940BBE"/>
    <w:rsid w:val="00943D87"/>
    <w:rsid w:val="009448E3"/>
    <w:rsid w:val="00946151"/>
    <w:rsid w:val="00953409"/>
    <w:rsid w:val="00956F67"/>
    <w:rsid w:val="009610B4"/>
    <w:rsid w:val="009663DA"/>
    <w:rsid w:val="00975C8F"/>
    <w:rsid w:val="0098398A"/>
    <w:rsid w:val="00991BB2"/>
    <w:rsid w:val="009A2EA9"/>
    <w:rsid w:val="009A3971"/>
    <w:rsid w:val="009A48E0"/>
    <w:rsid w:val="009A5A13"/>
    <w:rsid w:val="009B1EA6"/>
    <w:rsid w:val="009B5677"/>
    <w:rsid w:val="009B7735"/>
    <w:rsid w:val="009D0857"/>
    <w:rsid w:val="009D1B9B"/>
    <w:rsid w:val="009D53BD"/>
    <w:rsid w:val="009E0AB4"/>
    <w:rsid w:val="009E18B3"/>
    <w:rsid w:val="009E5709"/>
    <w:rsid w:val="009E70A5"/>
    <w:rsid w:val="009F00A5"/>
    <w:rsid w:val="009F2C3C"/>
    <w:rsid w:val="009F3768"/>
    <w:rsid w:val="009F70DA"/>
    <w:rsid w:val="00A020E9"/>
    <w:rsid w:val="00A04CB4"/>
    <w:rsid w:val="00A12514"/>
    <w:rsid w:val="00A13976"/>
    <w:rsid w:val="00A20E5B"/>
    <w:rsid w:val="00A331DA"/>
    <w:rsid w:val="00A42EEB"/>
    <w:rsid w:val="00A4335E"/>
    <w:rsid w:val="00A50FC7"/>
    <w:rsid w:val="00A67366"/>
    <w:rsid w:val="00A718CF"/>
    <w:rsid w:val="00A76C3D"/>
    <w:rsid w:val="00A842DD"/>
    <w:rsid w:val="00A86646"/>
    <w:rsid w:val="00AA6C7D"/>
    <w:rsid w:val="00AB5967"/>
    <w:rsid w:val="00AC0A39"/>
    <w:rsid w:val="00AC342B"/>
    <w:rsid w:val="00AC5436"/>
    <w:rsid w:val="00AD430E"/>
    <w:rsid w:val="00AD45C7"/>
    <w:rsid w:val="00AE7D7C"/>
    <w:rsid w:val="00AF467B"/>
    <w:rsid w:val="00B02D67"/>
    <w:rsid w:val="00B05EA5"/>
    <w:rsid w:val="00B10DF4"/>
    <w:rsid w:val="00B12D49"/>
    <w:rsid w:val="00B20347"/>
    <w:rsid w:val="00B30C05"/>
    <w:rsid w:val="00B40BD3"/>
    <w:rsid w:val="00B466AF"/>
    <w:rsid w:val="00B6309D"/>
    <w:rsid w:val="00B87FD3"/>
    <w:rsid w:val="00B964F1"/>
    <w:rsid w:val="00BA0DBD"/>
    <w:rsid w:val="00BA3875"/>
    <w:rsid w:val="00BB15A4"/>
    <w:rsid w:val="00BB3AE2"/>
    <w:rsid w:val="00BC1E8F"/>
    <w:rsid w:val="00BD5CA2"/>
    <w:rsid w:val="00BE0C28"/>
    <w:rsid w:val="00C045E0"/>
    <w:rsid w:val="00C06599"/>
    <w:rsid w:val="00C1055D"/>
    <w:rsid w:val="00C1255A"/>
    <w:rsid w:val="00C131FB"/>
    <w:rsid w:val="00C2099E"/>
    <w:rsid w:val="00C244A8"/>
    <w:rsid w:val="00C25272"/>
    <w:rsid w:val="00C34FAC"/>
    <w:rsid w:val="00C57C65"/>
    <w:rsid w:val="00C74CC6"/>
    <w:rsid w:val="00C82DE7"/>
    <w:rsid w:val="00C91635"/>
    <w:rsid w:val="00C97F82"/>
    <w:rsid w:val="00CB0612"/>
    <w:rsid w:val="00CB1D51"/>
    <w:rsid w:val="00CB4F91"/>
    <w:rsid w:val="00CC5E80"/>
    <w:rsid w:val="00CD2A6D"/>
    <w:rsid w:val="00CD5F08"/>
    <w:rsid w:val="00CD7ACE"/>
    <w:rsid w:val="00CD7E61"/>
    <w:rsid w:val="00CE1DAD"/>
    <w:rsid w:val="00CF0110"/>
    <w:rsid w:val="00D049BD"/>
    <w:rsid w:val="00D0566F"/>
    <w:rsid w:val="00D12FFC"/>
    <w:rsid w:val="00D17041"/>
    <w:rsid w:val="00D24C22"/>
    <w:rsid w:val="00D379F8"/>
    <w:rsid w:val="00D37E82"/>
    <w:rsid w:val="00D526A6"/>
    <w:rsid w:val="00D526BD"/>
    <w:rsid w:val="00D55216"/>
    <w:rsid w:val="00D574EE"/>
    <w:rsid w:val="00D602E0"/>
    <w:rsid w:val="00D60AF4"/>
    <w:rsid w:val="00D61E53"/>
    <w:rsid w:val="00D75207"/>
    <w:rsid w:val="00D80E44"/>
    <w:rsid w:val="00D87293"/>
    <w:rsid w:val="00DA1727"/>
    <w:rsid w:val="00DA4404"/>
    <w:rsid w:val="00DB05A2"/>
    <w:rsid w:val="00DC2667"/>
    <w:rsid w:val="00DC41B8"/>
    <w:rsid w:val="00DC4796"/>
    <w:rsid w:val="00DC56BE"/>
    <w:rsid w:val="00DC7AA1"/>
    <w:rsid w:val="00DD0A8E"/>
    <w:rsid w:val="00DE6900"/>
    <w:rsid w:val="00E00F5E"/>
    <w:rsid w:val="00E04B6C"/>
    <w:rsid w:val="00E117A3"/>
    <w:rsid w:val="00E13A29"/>
    <w:rsid w:val="00E14A64"/>
    <w:rsid w:val="00E44C0F"/>
    <w:rsid w:val="00E453F7"/>
    <w:rsid w:val="00E54237"/>
    <w:rsid w:val="00E547A5"/>
    <w:rsid w:val="00E54AC2"/>
    <w:rsid w:val="00E55D33"/>
    <w:rsid w:val="00E635F8"/>
    <w:rsid w:val="00E64D13"/>
    <w:rsid w:val="00E6713C"/>
    <w:rsid w:val="00E76738"/>
    <w:rsid w:val="00E86A3A"/>
    <w:rsid w:val="00E970FA"/>
    <w:rsid w:val="00EA10C1"/>
    <w:rsid w:val="00EB13AC"/>
    <w:rsid w:val="00EC1061"/>
    <w:rsid w:val="00EC3012"/>
    <w:rsid w:val="00ED1FAF"/>
    <w:rsid w:val="00ED4DBE"/>
    <w:rsid w:val="00EE392A"/>
    <w:rsid w:val="00EF020C"/>
    <w:rsid w:val="00EF45E7"/>
    <w:rsid w:val="00F05528"/>
    <w:rsid w:val="00F05673"/>
    <w:rsid w:val="00F06B03"/>
    <w:rsid w:val="00F16BBB"/>
    <w:rsid w:val="00F217E8"/>
    <w:rsid w:val="00F23BD1"/>
    <w:rsid w:val="00F24885"/>
    <w:rsid w:val="00F26E88"/>
    <w:rsid w:val="00F32DDB"/>
    <w:rsid w:val="00F34949"/>
    <w:rsid w:val="00F365D3"/>
    <w:rsid w:val="00F4210A"/>
    <w:rsid w:val="00F42EE4"/>
    <w:rsid w:val="00F514DA"/>
    <w:rsid w:val="00F52546"/>
    <w:rsid w:val="00F6646E"/>
    <w:rsid w:val="00F757EB"/>
    <w:rsid w:val="00F75B9A"/>
    <w:rsid w:val="00F80063"/>
    <w:rsid w:val="00F801FE"/>
    <w:rsid w:val="00F95101"/>
    <w:rsid w:val="00FA4613"/>
    <w:rsid w:val="00FA698C"/>
    <w:rsid w:val="00FB5399"/>
    <w:rsid w:val="00FC1EBB"/>
    <w:rsid w:val="00FC753C"/>
    <w:rsid w:val="00FD1E23"/>
    <w:rsid w:val="00FD6BA9"/>
    <w:rsid w:val="00FE0F38"/>
    <w:rsid w:val="00FE67D8"/>
    <w:rsid w:val="01095475"/>
    <w:rsid w:val="03366EA6"/>
    <w:rsid w:val="03392FBC"/>
    <w:rsid w:val="03870B33"/>
    <w:rsid w:val="0419557E"/>
    <w:rsid w:val="08275A30"/>
    <w:rsid w:val="0B7F1CA7"/>
    <w:rsid w:val="0C396B4C"/>
    <w:rsid w:val="0D731E06"/>
    <w:rsid w:val="0E613268"/>
    <w:rsid w:val="0F090DE9"/>
    <w:rsid w:val="12BF28AB"/>
    <w:rsid w:val="13347445"/>
    <w:rsid w:val="150A6237"/>
    <w:rsid w:val="158F443B"/>
    <w:rsid w:val="15BF196E"/>
    <w:rsid w:val="16D60042"/>
    <w:rsid w:val="17A4103D"/>
    <w:rsid w:val="17B943BD"/>
    <w:rsid w:val="18BA19F3"/>
    <w:rsid w:val="18E13BCB"/>
    <w:rsid w:val="1A003988"/>
    <w:rsid w:val="1AEE7B63"/>
    <w:rsid w:val="1B617245"/>
    <w:rsid w:val="1B6E25C4"/>
    <w:rsid w:val="1CA97C35"/>
    <w:rsid w:val="1D641E26"/>
    <w:rsid w:val="1E320A25"/>
    <w:rsid w:val="1FB44D03"/>
    <w:rsid w:val="1FD04999"/>
    <w:rsid w:val="227B58D9"/>
    <w:rsid w:val="22A359B1"/>
    <w:rsid w:val="246C2EE2"/>
    <w:rsid w:val="24AB704C"/>
    <w:rsid w:val="25537BFE"/>
    <w:rsid w:val="2583364F"/>
    <w:rsid w:val="26181E3F"/>
    <w:rsid w:val="27160108"/>
    <w:rsid w:val="27DF20F4"/>
    <w:rsid w:val="2801460D"/>
    <w:rsid w:val="28136AE6"/>
    <w:rsid w:val="28940A5E"/>
    <w:rsid w:val="28C7068E"/>
    <w:rsid w:val="2AFC6642"/>
    <w:rsid w:val="2B7D5822"/>
    <w:rsid w:val="2B8D57C9"/>
    <w:rsid w:val="2BF82C59"/>
    <w:rsid w:val="2C183950"/>
    <w:rsid w:val="2E6115DE"/>
    <w:rsid w:val="2EE638B2"/>
    <w:rsid w:val="31340E26"/>
    <w:rsid w:val="315546E1"/>
    <w:rsid w:val="32421F05"/>
    <w:rsid w:val="3251196A"/>
    <w:rsid w:val="32D541E9"/>
    <w:rsid w:val="344572AC"/>
    <w:rsid w:val="35596F99"/>
    <w:rsid w:val="365232D0"/>
    <w:rsid w:val="36EC5087"/>
    <w:rsid w:val="376C67F2"/>
    <w:rsid w:val="38631C99"/>
    <w:rsid w:val="38741687"/>
    <w:rsid w:val="3B464036"/>
    <w:rsid w:val="3C601127"/>
    <w:rsid w:val="3CD46665"/>
    <w:rsid w:val="4033368A"/>
    <w:rsid w:val="40CB28E7"/>
    <w:rsid w:val="41A1696E"/>
    <w:rsid w:val="438C4271"/>
    <w:rsid w:val="43C024AB"/>
    <w:rsid w:val="453B44DF"/>
    <w:rsid w:val="46827595"/>
    <w:rsid w:val="4698326B"/>
    <w:rsid w:val="497242D2"/>
    <w:rsid w:val="49951CE4"/>
    <w:rsid w:val="49A41BDF"/>
    <w:rsid w:val="49FB3FC0"/>
    <w:rsid w:val="4A3F4DA2"/>
    <w:rsid w:val="4A62606A"/>
    <w:rsid w:val="4A652AEB"/>
    <w:rsid w:val="4B90280D"/>
    <w:rsid w:val="4C1C277B"/>
    <w:rsid w:val="4CA77E82"/>
    <w:rsid w:val="4CD13B0A"/>
    <w:rsid w:val="4D515E48"/>
    <w:rsid w:val="4E110852"/>
    <w:rsid w:val="4F6339A5"/>
    <w:rsid w:val="50456116"/>
    <w:rsid w:val="50B60EBE"/>
    <w:rsid w:val="526B2003"/>
    <w:rsid w:val="53014E26"/>
    <w:rsid w:val="53524ECA"/>
    <w:rsid w:val="53973ACB"/>
    <w:rsid w:val="54016821"/>
    <w:rsid w:val="54951AC4"/>
    <w:rsid w:val="55FA2C72"/>
    <w:rsid w:val="56C63E25"/>
    <w:rsid w:val="57255D0E"/>
    <w:rsid w:val="578564E2"/>
    <w:rsid w:val="585821BA"/>
    <w:rsid w:val="587766E0"/>
    <w:rsid w:val="588C69A8"/>
    <w:rsid w:val="591F3539"/>
    <w:rsid w:val="5C2C488F"/>
    <w:rsid w:val="5C5F065B"/>
    <w:rsid w:val="5CE9261B"/>
    <w:rsid w:val="5F681F1D"/>
    <w:rsid w:val="5FDE3F8D"/>
    <w:rsid w:val="644A7BC0"/>
    <w:rsid w:val="64572A05"/>
    <w:rsid w:val="65614110"/>
    <w:rsid w:val="6563635E"/>
    <w:rsid w:val="65E460E9"/>
    <w:rsid w:val="667B2F54"/>
    <w:rsid w:val="68352A03"/>
    <w:rsid w:val="6B1D0764"/>
    <w:rsid w:val="6B7F3836"/>
    <w:rsid w:val="6C264CF2"/>
    <w:rsid w:val="6D07065E"/>
    <w:rsid w:val="6F07626B"/>
    <w:rsid w:val="717F3467"/>
    <w:rsid w:val="72035D78"/>
    <w:rsid w:val="722577FA"/>
    <w:rsid w:val="72435ED2"/>
    <w:rsid w:val="730C00E3"/>
    <w:rsid w:val="73621405"/>
    <w:rsid w:val="74890514"/>
    <w:rsid w:val="74B2104F"/>
    <w:rsid w:val="756248C1"/>
    <w:rsid w:val="76740D50"/>
    <w:rsid w:val="77122EE5"/>
    <w:rsid w:val="773744A0"/>
    <w:rsid w:val="78402520"/>
    <w:rsid w:val="794A4EA4"/>
    <w:rsid w:val="7A4D1EF3"/>
    <w:rsid w:val="7BE44282"/>
    <w:rsid w:val="7CCD2F68"/>
    <w:rsid w:val="7D8B76B8"/>
    <w:rsid w:val="7E435130"/>
    <w:rsid w:val="7F6B1E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Body Text"/>
    <w:next w:val="1"/>
    <w:autoRedefine/>
    <w:qFormat/>
    <w:uiPriority w:val="0"/>
    <w:pPr>
      <w:widowControl w:val="0"/>
      <w:spacing w:after="120"/>
      <w:jc w:val="both"/>
    </w:pPr>
    <w:rPr>
      <w:rFonts w:ascii="Calibri" w:hAnsi="Calibri" w:eastAsia="宋体" w:cs="Times New Roman"/>
      <w:kern w:val="2"/>
      <w:sz w:val="28"/>
      <w:szCs w:val="24"/>
      <w:lang w:val="en-US" w:eastAsia="zh-CN" w:bidi="ar-SA"/>
    </w:rPr>
  </w:style>
  <w:style w:type="paragraph" w:styleId="3">
    <w:name w:val="Plain Text"/>
    <w:basedOn w:val="1"/>
    <w:link w:val="16"/>
    <w:autoRedefine/>
    <w:qFormat/>
    <w:uiPriority w:val="0"/>
    <w:rPr>
      <w:rFonts w:ascii="宋体" w:hAnsi="Courier New" w:cs="Courier New"/>
      <w:szCs w:val="21"/>
    </w:rPr>
  </w:style>
  <w:style w:type="paragraph" w:styleId="4">
    <w:name w:val="Balloon Text"/>
    <w:basedOn w:val="1"/>
    <w:autoRedefine/>
    <w:semiHidden/>
    <w:qFormat/>
    <w:uiPriority w:val="0"/>
    <w:rPr>
      <w:sz w:val="18"/>
      <w:szCs w:val="18"/>
    </w:rPr>
  </w:style>
  <w:style w:type="paragraph" w:styleId="5">
    <w:name w:val="footer"/>
    <w:basedOn w:val="1"/>
    <w:link w:val="15"/>
    <w:autoRedefine/>
    <w:qFormat/>
    <w:uiPriority w:val="0"/>
    <w:pPr>
      <w:tabs>
        <w:tab w:val="center" w:pos="4153"/>
        <w:tab w:val="right" w:pos="8306"/>
      </w:tabs>
      <w:snapToGrid w:val="0"/>
      <w:jc w:val="left"/>
    </w:pPr>
    <w:rPr>
      <w:sz w:val="18"/>
      <w:szCs w:val="18"/>
    </w:rPr>
  </w:style>
  <w:style w:type="paragraph" w:styleId="6">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paragraph" w:styleId="7">
    <w:name w:val="toc 1"/>
    <w:basedOn w:val="1"/>
    <w:next w:val="1"/>
    <w:autoRedefine/>
    <w:qFormat/>
    <w:uiPriority w:val="39"/>
    <w:pPr>
      <w:spacing w:before="120" w:after="120"/>
      <w:jc w:val="left"/>
    </w:pPr>
    <w:rPr>
      <w:rFonts w:ascii="Calibri" w:hAnsi="Calibri"/>
      <w:b/>
      <w:bCs/>
      <w:caps/>
      <w:sz w:val="20"/>
    </w:rPr>
  </w:style>
  <w:style w:type="table" w:styleId="9">
    <w:name w:val="Table Grid"/>
    <w:basedOn w:val="8"/>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Char"/>
    <w:basedOn w:val="1"/>
    <w:autoRedefine/>
    <w:qFormat/>
    <w:uiPriority w:val="0"/>
    <w:rPr>
      <w:rFonts w:ascii="仿宋_GB2312" w:eastAsia="仿宋_GB2312"/>
      <w:b/>
      <w:sz w:val="32"/>
      <w:szCs w:val="32"/>
    </w:rPr>
  </w:style>
  <w:style w:type="paragraph" w:customStyle="1" w:styleId="13">
    <w:name w:val="_Style 10"/>
    <w:basedOn w:val="1"/>
    <w:autoRedefine/>
    <w:qFormat/>
    <w:uiPriority w:val="0"/>
    <w:pPr>
      <w:ind w:firstLine="480"/>
    </w:pPr>
  </w:style>
  <w:style w:type="character" w:customStyle="1" w:styleId="14">
    <w:name w:val="页眉 字符"/>
    <w:basedOn w:val="10"/>
    <w:link w:val="6"/>
    <w:qFormat/>
    <w:uiPriority w:val="0"/>
    <w:rPr>
      <w:kern w:val="2"/>
      <w:sz w:val="18"/>
      <w:szCs w:val="18"/>
    </w:rPr>
  </w:style>
  <w:style w:type="character" w:customStyle="1" w:styleId="15">
    <w:name w:val="页脚 字符"/>
    <w:basedOn w:val="10"/>
    <w:link w:val="5"/>
    <w:qFormat/>
    <w:uiPriority w:val="0"/>
    <w:rPr>
      <w:kern w:val="2"/>
      <w:sz w:val="18"/>
      <w:szCs w:val="18"/>
    </w:rPr>
  </w:style>
  <w:style w:type="character" w:customStyle="1" w:styleId="16">
    <w:name w:val="纯文本 字符"/>
    <w:basedOn w:val="10"/>
    <w:link w:val="3"/>
    <w:autoRedefine/>
    <w:qFormat/>
    <w:uiPriority w:val="0"/>
    <w:rPr>
      <w:rFonts w:ascii="宋体" w:hAnsi="Courier New" w:cs="Courier New"/>
      <w:kern w:val="2"/>
      <w:sz w:val="21"/>
      <w:szCs w:val="21"/>
    </w:rPr>
  </w:style>
  <w:style w:type="paragraph" w:styleId="17">
    <w:name w:val="List Paragraph"/>
    <w:basedOn w:val="1"/>
    <w:autoRedefine/>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JUJU猫宽带宝藏会员版</Company>
  <Pages>4</Pages>
  <Words>3154</Words>
  <Characters>3333</Characters>
  <Lines>37</Lines>
  <Paragraphs>10</Paragraphs>
  <TotalTime>0</TotalTime>
  <ScaleCrop>false</ScaleCrop>
  <LinksUpToDate>false</LinksUpToDate>
  <CharactersWithSpaces>3342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2017-10-26T07:53:00Z</dcterms:created>
  <dc:creator>yulong</dc:creator>
  <cp:lastModifiedBy>比你酷一点儿</cp:lastModifiedBy>
  <cp:lastPrinted>2022-07-05T06:43:00Z</cp:lastPrinted>
  <dcterms:modified xsi:type="dcterms:W3CDTF">2026-06-15T06:43:20Z</dcterms:modified>
  <dc:title>编制总说明</dc:title>
  <cp:revision>54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CC07AE87BEEE4EF0BA3A4B2C2397955B</vt:lpwstr>
  </property>
  <property fmtid="{D5CDD505-2E9C-101B-9397-08002B2CF9AE}" pid="4" name="KSOTemplateDocerSaveRecord">
    <vt:lpwstr>eyJoZGlkIjoiNDhmMzcwOTczMTU1NjAyMmFlNDY0NzUzZWY4NTdlNjgiLCJ1c2VySWQiOiI0Mzc5ODY0MTkifQ==</vt:lpwstr>
  </property>
</Properties>
</file>