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4276D94">
      <w:pPr>
        <w:pStyle w:val="145"/>
        <w:widowControl w:val="0"/>
        <w:snapToGrid w:val="0"/>
        <w:spacing w:line="470" w:lineRule="atLeast"/>
        <w:ind w:firstLine="0"/>
        <w:jc w:val="center"/>
        <w:rPr>
          <w:rFonts w:ascii="黑体" w:hAnsi="宋体" w:eastAsia="黑体"/>
          <w:b w:val="0"/>
          <w:color w:val="auto"/>
          <w:sz w:val="32"/>
        </w:rPr>
      </w:pPr>
      <w:bookmarkStart w:id="806" w:name="_GoBack"/>
      <w:bookmarkStart w:id="0" w:name="_Toc171394914"/>
    </w:p>
    <w:p w14:paraId="6A424F82">
      <w:pPr>
        <w:pStyle w:val="145"/>
        <w:widowControl w:val="0"/>
        <w:snapToGrid w:val="0"/>
        <w:spacing w:line="470" w:lineRule="atLeast"/>
        <w:ind w:firstLine="0"/>
        <w:jc w:val="center"/>
        <w:rPr>
          <w:rFonts w:ascii="黑体" w:hAnsi="宋体" w:eastAsia="黑体"/>
          <w:b w:val="0"/>
          <w:color w:val="auto"/>
          <w:sz w:val="32"/>
        </w:rPr>
      </w:pPr>
    </w:p>
    <w:p w14:paraId="034443A1">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4397417C">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推进器采购项目</w:t>
      </w:r>
    </w:p>
    <w:p w14:paraId="5F3C042A">
      <w:pPr>
        <w:pStyle w:val="145"/>
        <w:widowControl w:val="0"/>
        <w:snapToGrid w:val="0"/>
        <w:spacing w:line="470" w:lineRule="atLeast"/>
        <w:ind w:firstLine="0"/>
        <w:jc w:val="center"/>
        <w:rPr>
          <w:rFonts w:ascii="黑体" w:eastAsia="黑体"/>
          <w:b w:val="0"/>
          <w:color w:val="auto"/>
          <w:sz w:val="36"/>
          <w:szCs w:val="36"/>
        </w:rPr>
      </w:pPr>
    </w:p>
    <w:p w14:paraId="6E0EDF82">
      <w:pPr>
        <w:pStyle w:val="145"/>
        <w:widowControl w:val="0"/>
        <w:snapToGrid w:val="0"/>
        <w:spacing w:line="470" w:lineRule="atLeast"/>
        <w:ind w:firstLine="0"/>
        <w:jc w:val="center"/>
        <w:rPr>
          <w:rFonts w:ascii="黑体" w:eastAsia="黑体"/>
          <w:b w:val="0"/>
          <w:color w:val="auto"/>
          <w:sz w:val="36"/>
        </w:rPr>
      </w:pPr>
    </w:p>
    <w:p w14:paraId="2DE56A2A">
      <w:pPr>
        <w:pStyle w:val="145"/>
        <w:widowControl w:val="0"/>
        <w:snapToGrid w:val="0"/>
        <w:spacing w:line="470" w:lineRule="atLeast"/>
        <w:ind w:firstLine="0"/>
        <w:jc w:val="center"/>
        <w:rPr>
          <w:rFonts w:ascii="黑体" w:eastAsia="黑体"/>
          <w:b w:val="0"/>
          <w:color w:val="auto"/>
          <w:sz w:val="36"/>
        </w:rPr>
      </w:pPr>
    </w:p>
    <w:p w14:paraId="21C809A2">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4FF2E4E2">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6B8DC7D2">
      <w:pPr>
        <w:pStyle w:val="145"/>
        <w:widowControl w:val="0"/>
        <w:snapToGrid w:val="0"/>
        <w:spacing w:line="360" w:lineRule="auto"/>
        <w:ind w:firstLine="2400" w:firstLineChars="750"/>
        <w:rPr>
          <w:rFonts w:ascii="黑体" w:hAnsi="宋体" w:eastAsia="黑体"/>
          <w:b w:val="0"/>
          <w:color w:val="auto"/>
          <w:sz w:val="32"/>
        </w:rPr>
      </w:pPr>
    </w:p>
    <w:p w14:paraId="3E99716C">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r>
        <w:rPr>
          <w:rFonts w:hint="eastAsia" w:ascii="黑体" w:hAnsi="宋体" w:eastAsia="黑体"/>
          <w:b w:val="0"/>
          <w:color w:val="auto"/>
          <w:sz w:val="32"/>
          <w:lang w:val="en-US" w:eastAsia="zh-CN"/>
        </w:rPr>
        <w:t>15</w:t>
      </w:r>
    </w:p>
    <w:p w14:paraId="1B2004F7">
      <w:pPr>
        <w:pStyle w:val="145"/>
        <w:widowControl w:val="0"/>
        <w:snapToGrid w:val="0"/>
        <w:spacing w:line="470" w:lineRule="atLeast"/>
        <w:ind w:firstLine="0"/>
        <w:jc w:val="center"/>
        <w:rPr>
          <w:color w:val="auto"/>
        </w:rPr>
      </w:pPr>
    </w:p>
    <w:p w14:paraId="1543F14D">
      <w:pPr>
        <w:pStyle w:val="145"/>
        <w:widowControl w:val="0"/>
        <w:snapToGrid w:val="0"/>
        <w:spacing w:line="470" w:lineRule="atLeast"/>
        <w:ind w:firstLine="0"/>
        <w:jc w:val="center"/>
        <w:rPr>
          <w:color w:val="auto"/>
        </w:rPr>
      </w:pPr>
    </w:p>
    <w:p w14:paraId="595D3ACE">
      <w:pPr>
        <w:pStyle w:val="145"/>
        <w:widowControl w:val="0"/>
        <w:snapToGrid w:val="0"/>
        <w:spacing w:line="470" w:lineRule="atLeast"/>
        <w:ind w:firstLine="0"/>
        <w:jc w:val="center"/>
        <w:rPr>
          <w:color w:val="auto"/>
        </w:rPr>
      </w:pPr>
    </w:p>
    <w:p w14:paraId="0E7AE49D">
      <w:pPr>
        <w:pStyle w:val="145"/>
        <w:widowControl w:val="0"/>
        <w:snapToGrid w:val="0"/>
        <w:spacing w:line="470" w:lineRule="atLeast"/>
        <w:ind w:firstLine="0"/>
        <w:jc w:val="center"/>
        <w:rPr>
          <w:color w:val="auto"/>
        </w:rPr>
      </w:pPr>
    </w:p>
    <w:p w14:paraId="269D0A75">
      <w:pPr>
        <w:pStyle w:val="145"/>
        <w:widowControl w:val="0"/>
        <w:snapToGrid w:val="0"/>
        <w:spacing w:line="470" w:lineRule="atLeast"/>
        <w:ind w:firstLine="0"/>
        <w:jc w:val="center"/>
        <w:rPr>
          <w:color w:val="auto"/>
        </w:rPr>
      </w:pPr>
    </w:p>
    <w:p w14:paraId="1220BA54">
      <w:pPr>
        <w:pStyle w:val="145"/>
        <w:widowControl w:val="0"/>
        <w:snapToGrid w:val="0"/>
        <w:spacing w:line="470" w:lineRule="atLeast"/>
        <w:ind w:firstLine="0"/>
        <w:jc w:val="center"/>
        <w:rPr>
          <w:color w:val="auto"/>
        </w:rPr>
      </w:pPr>
    </w:p>
    <w:p w14:paraId="779948AF">
      <w:pPr>
        <w:pStyle w:val="145"/>
        <w:widowControl w:val="0"/>
        <w:snapToGrid w:val="0"/>
        <w:spacing w:line="470" w:lineRule="atLeast"/>
        <w:ind w:firstLine="0"/>
        <w:jc w:val="center"/>
        <w:rPr>
          <w:color w:val="auto"/>
        </w:rPr>
      </w:pPr>
    </w:p>
    <w:p w14:paraId="10F9A80A">
      <w:pPr>
        <w:pStyle w:val="145"/>
        <w:widowControl w:val="0"/>
        <w:snapToGrid w:val="0"/>
        <w:spacing w:line="470" w:lineRule="atLeast"/>
        <w:ind w:firstLine="0"/>
        <w:jc w:val="center"/>
        <w:rPr>
          <w:color w:val="auto"/>
        </w:rPr>
      </w:pPr>
    </w:p>
    <w:p w14:paraId="79BC6E39">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34C29DAA">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default" w:ascii="黑体" w:eastAsia="黑体"/>
          <w:b w:val="0"/>
          <w:color w:val="auto"/>
          <w:sz w:val="32"/>
          <w:szCs w:val="32"/>
          <w:woUserID w:val="1"/>
        </w:rPr>
        <w:t>10</w:t>
      </w:r>
      <w:r>
        <w:rPr>
          <w:rFonts w:hint="eastAsia" w:ascii="黑体" w:eastAsia="黑体"/>
          <w:b w:val="0"/>
          <w:color w:val="auto"/>
          <w:sz w:val="32"/>
          <w:szCs w:val="32"/>
        </w:rPr>
        <w:t>月</w:t>
      </w:r>
      <w:r>
        <w:rPr>
          <w:rFonts w:hint="default" w:ascii="黑体" w:eastAsia="黑体"/>
          <w:b w:val="0"/>
          <w:color w:val="auto"/>
          <w:sz w:val="32"/>
          <w:szCs w:val="32"/>
          <w:woUserID w:val="1"/>
        </w:rPr>
        <w:t>26</w:t>
      </w:r>
      <w:r>
        <w:rPr>
          <w:rFonts w:hint="eastAsia" w:ascii="黑体" w:eastAsia="黑体"/>
          <w:b w:val="0"/>
          <w:color w:val="auto"/>
          <w:sz w:val="32"/>
          <w:szCs w:val="32"/>
        </w:rPr>
        <w:t>日</w:t>
      </w:r>
    </w:p>
    <w:p w14:paraId="4D8DC99F">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2E966DF8">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42678CE2">
      <w:pPr>
        <w:pStyle w:val="34"/>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TOC \o "1-3" \h</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HYPERLINK \l _Toc8569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第一部分 竞争性磋商公告</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_Toc8569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3</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rPr>
        <w:fldChar w:fldCharType="end"/>
      </w:r>
    </w:p>
    <w:p w14:paraId="74A548F2">
      <w:pPr>
        <w:pStyle w:val="34"/>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_Toc30817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lang w:val="en-US" w:eastAsia="zh-CN" w:bidi="ar-SA"/>
        </w:rPr>
        <w:t>第二部分 响应方须知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_Toc30817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8439D8A">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_Toc28286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前附表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_Toc28286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D07BC17">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_Toc18902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一、磋商说明</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_Toc18902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69D64BB">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_Toc13363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二、磋商文件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_Toc13363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78747F4">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_Toc8094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三、响应文件的编制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_Toc8094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0E95088">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_Toc16067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四、响应无效的情形</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_Toc16067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E32719F">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_Toc23126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五、开启响应文件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_Toc23126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6F993C9">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_Toc1295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六、评审和磋商</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_Toc1295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60F7CC99">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_Toc4926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rPr>
        <w:t>七、合同授予</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_Toc4926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C507D9C">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_Toc27025 </w:instrText>
      </w:r>
      <w:r>
        <w:rPr>
          <w:rFonts w:hint="eastAsia" w:ascii="宋体" w:hAnsi="宋体" w:eastAsia="宋体" w:cs="宋体"/>
          <w:color w:val="auto"/>
          <w:sz w:val="24"/>
          <w:szCs w:val="24"/>
        </w:rPr>
        <w:fldChar w:fldCharType="separate"/>
      </w:r>
      <w:r>
        <w:rPr>
          <w:rFonts w:hint="eastAsia" w:ascii="宋体" w:hAnsi="宋体" w:eastAsia="宋体" w:cs="宋体"/>
          <w:snapToGrid w:val="0"/>
          <w:color w:val="auto"/>
          <w:kern w:val="44"/>
          <w:sz w:val="24"/>
          <w:szCs w:val="24"/>
          <w:lang w:val="en-US" w:eastAsia="zh-CN"/>
        </w:rPr>
        <w:t>八</w:t>
      </w:r>
      <w:r>
        <w:rPr>
          <w:rFonts w:hint="eastAsia" w:ascii="宋体" w:hAnsi="宋体" w:eastAsia="宋体" w:cs="宋体"/>
          <w:snapToGrid w:val="0"/>
          <w:color w:val="auto"/>
          <w:kern w:val="44"/>
          <w:sz w:val="24"/>
          <w:szCs w:val="24"/>
        </w:rPr>
        <w:t>、可中止电子交易活动的情形</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_Toc27025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3F99B25">
      <w:pPr>
        <w:pStyle w:val="34"/>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_Toc8227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lang w:val="en-US" w:eastAsia="zh-CN"/>
        </w:rPr>
        <w:t>第三</w:t>
      </w:r>
      <w:r>
        <w:rPr>
          <w:rFonts w:hint="eastAsia" w:ascii="宋体" w:hAnsi="宋体" w:eastAsia="宋体" w:cs="宋体"/>
          <w:b/>
          <w:bCs/>
          <w:color w:val="auto"/>
          <w:kern w:val="44"/>
          <w:sz w:val="24"/>
          <w:szCs w:val="24"/>
          <w:lang w:val="en-US" w:eastAsia="zh-CN" w:bidi="ar-SA"/>
        </w:rPr>
        <w:t>部分 采购需求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_Toc8227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847FB4F">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_Toc23353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一、</w:t>
      </w:r>
      <w:r>
        <w:rPr>
          <w:rFonts w:hint="eastAsia" w:ascii="宋体" w:hAnsi="宋体" w:eastAsia="宋体" w:cs="宋体"/>
          <w:color w:val="auto"/>
          <w:sz w:val="24"/>
          <w:szCs w:val="24"/>
          <w:lang w:val="en-US" w:eastAsia="zh-CN"/>
        </w:rPr>
        <w:t>项目说明</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_Toc23353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1BE3F6C5">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_Toc11077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货物清单</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_Toc11077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E283E77">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_Toc7721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、商务要求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_Toc7721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50836A1">
      <w:pPr>
        <w:pStyle w:val="34"/>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_Toc10129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t>第四部分 评审办法与评分标准</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_Toc10129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0170E1D">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_Toc908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一、评审方法</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_Toc908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551C142">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_Toc27576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二、评审标准</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_Toc27576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D92CC73">
      <w:pPr>
        <w:pStyle w:val="34"/>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_Toc20688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t>第五部分 合同基本条款</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_Toc20688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B2C9583">
      <w:pPr>
        <w:pStyle w:val="34"/>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_Toc21218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t>第六部分 响应文件格式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_Toc21218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C8B0E00">
      <w:pPr>
        <w:pStyle w:val="39"/>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_Toc23055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lang w:val="en-US" w:eastAsia="zh-CN"/>
        </w:rPr>
        <w:t>资格文件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_Toc23055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D15E540">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_Toc30732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1）有效的法人或者其他组织的营业执照等证明文件，自然人的身份证明</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_Toc30732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D18B6BA">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_Toc12402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2）资格条件承诺函</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_Toc12402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03FEF5E">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_Toc2395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落实政府采购政策需满足的资格要求：中小企业声明函</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_Toc2395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4D41A27">
      <w:pPr>
        <w:pStyle w:val="39"/>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_Toc3264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lang w:val="en-US" w:eastAsia="zh-CN"/>
        </w:rPr>
        <w:t>报价文件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_Toc3264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7FF5C52">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_Toc23263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（1）初次报价一览表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_Toc23263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385515F4">
      <w:pPr>
        <w:pStyle w:val="39"/>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_Toc8075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lang w:val="en-US" w:eastAsia="zh-CN"/>
        </w:rPr>
        <w:t>商务技术文件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_Toc8075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A8A7CAB">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_Toc23710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（1）磋商响应函</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_Toc23710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64D5E148">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_Toc31633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（2）法定代表人授权书（非法定代表人参加时提供）</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_Toc31633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62DB5DE">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_Toc30182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（3）授权代表社保缴纳证明</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_Toc30182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6F7383AA">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_Toc13384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（4）法定代表人资格证明书（法定代表人参加时提供）</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_Toc13384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C584D2B">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_Toc6195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（5）采购需求偏离表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_Toc6195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13472DBF">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_Toc22961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（6）响应方基本情况表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_Toc22961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464B0812">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_Toc11815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（7）供应商同类合同一览表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_Toc11815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DD9FC9C">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_Toc1001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（8）详细技术和服务方案</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_Toc1001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38</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10BF6CD7">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_Toc28520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（9）项目组成员一览表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_Toc28520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38</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7054A883">
      <w:pPr>
        <w:pStyle w:val="26"/>
        <w:tabs>
          <w:tab w:val="right" w:leader="dot" w:pos="9413"/>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_Toc29708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（10）关于对磋商文件中有关条款的拒绝声明(如有)</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_Toc29708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38</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171C9B0">
      <w:pPr>
        <w:pStyle w:val="26"/>
        <w:tabs>
          <w:tab w:val="right" w:leader="dot" w:pos="9413"/>
        </w:tabs>
        <w:ind w:left="218" w:leftChars="104"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_Toc10344 </w:instrText>
      </w:r>
      <w:r>
        <w:rPr>
          <w:rFonts w:hint="eastAsia" w:ascii="宋体" w:hAnsi="宋体" w:eastAsia="宋体" w:cs="宋体"/>
          <w:color w:val="auto"/>
          <w:sz w:val="24"/>
          <w:szCs w:val="24"/>
        </w:rPr>
        <w:fldChar w:fldCharType="separate"/>
      </w:r>
      <w:r>
        <w:rPr>
          <w:rFonts w:hint="eastAsia" w:ascii="宋体" w:hAnsi="宋体" w:eastAsia="宋体" w:cs="宋体"/>
          <w:b/>
          <w:bCs/>
          <w:color w:val="auto"/>
          <w:sz w:val="24"/>
          <w:szCs w:val="24"/>
        </w:rPr>
        <w:t>评分标准索引表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_Toc10344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3FE12DD">
      <w:pPr>
        <w:rPr>
          <w:color w:val="auto"/>
        </w:rPr>
      </w:pPr>
      <w:r>
        <w:rPr>
          <w:rFonts w:hint="eastAsia" w:ascii="宋体" w:hAnsi="宋体" w:eastAsia="宋体" w:cs="宋体"/>
          <w:color w:val="auto"/>
          <w:sz w:val="24"/>
          <w:szCs w:val="24"/>
        </w:rPr>
        <w:fldChar w:fldCharType="end"/>
      </w:r>
    </w:p>
    <w:p w14:paraId="5CBE8224">
      <w:pPr>
        <w:pStyle w:val="4"/>
        <w:tabs>
          <w:tab w:val="right" w:leader="dot" w:pos="9000"/>
        </w:tabs>
        <w:snapToGrid w:val="0"/>
        <w:spacing w:before="0" w:after="0"/>
        <w:outlineLvl w:val="0"/>
        <w:rPr>
          <w:rStyle w:val="55"/>
          <w:b/>
          <w:color w:val="auto"/>
        </w:rPr>
      </w:pPr>
      <w:r>
        <w:rPr>
          <w:color w:val="auto"/>
          <w:sz w:val="24"/>
        </w:rPr>
        <w:br w:type="page"/>
      </w:r>
      <w:bookmarkStart w:id="1" w:name="_Toc118516209"/>
      <w:bookmarkStart w:id="2" w:name="_Toc171394907"/>
      <w:bookmarkStart w:id="3" w:name="_Toc4488"/>
      <w:bookmarkStart w:id="4" w:name="_Toc29438"/>
      <w:bookmarkStart w:id="5" w:name="_Toc7090"/>
      <w:bookmarkStart w:id="6" w:name="_Toc3034"/>
      <w:bookmarkStart w:id="7" w:name="_Toc32381"/>
      <w:bookmarkStart w:id="8" w:name="_Toc32496"/>
      <w:bookmarkStart w:id="9" w:name="_Toc440"/>
      <w:bookmarkStart w:id="10" w:name="_Toc4547"/>
      <w:bookmarkStart w:id="11" w:name="_Toc14280"/>
      <w:bookmarkStart w:id="12" w:name="_Toc16674"/>
      <w:bookmarkStart w:id="13" w:name="_Toc9769"/>
      <w:bookmarkStart w:id="14" w:name="_Toc938"/>
      <w:bookmarkStart w:id="15" w:name="_Toc13062"/>
      <w:bookmarkStart w:id="16" w:name="_Toc6441"/>
      <w:bookmarkStart w:id="17" w:name="_Toc10026"/>
      <w:bookmarkStart w:id="18" w:name="_Toc24330"/>
      <w:bookmarkStart w:id="19" w:name="_Toc8569"/>
      <w:bookmarkStart w:id="20" w:name="_Toc12052"/>
      <w:bookmarkStart w:id="21" w:name="_Toc25143"/>
      <w:bookmarkStart w:id="22" w:name="_Toc12840"/>
      <w:bookmarkStart w:id="23" w:name="_Toc20259"/>
      <w:bookmarkStart w:id="24" w:name="_Toc14546"/>
      <w:bookmarkStart w:id="25" w:name="_Toc15311"/>
      <w:bookmarkStart w:id="26" w:name="_Toc433537961"/>
      <w:bookmarkStart w:id="27" w:name="_Toc7321"/>
      <w:bookmarkStart w:id="28" w:name="_Toc29876"/>
      <w:bookmarkStart w:id="29" w:name="_Toc9280"/>
      <w:bookmarkStart w:id="30" w:name="_Toc9372"/>
      <w:bookmarkStart w:id="31" w:name="_Toc10391"/>
      <w:bookmarkStart w:id="32" w:name="_Toc27478"/>
      <w:bookmarkStart w:id="33" w:name="_Toc3154"/>
      <w:bookmarkStart w:id="34" w:name="_Toc17969"/>
      <w:bookmarkStart w:id="35" w:name="_Toc25841"/>
      <w:bookmarkStart w:id="36" w:name="_Toc23298"/>
      <w:r>
        <w:rPr>
          <w:rStyle w:val="55"/>
          <w:rFonts w:hint="eastAsia"/>
          <w:b/>
          <w:bCs w:val="0"/>
          <w:color w:val="auto"/>
        </w:rPr>
        <w:t>第一部分</w:t>
      </w:r>
      <w:bookmarkEnd w:id="1"/>
      <w:r>
        <w:rPr>
          <w:rStyle w:val="55"/>
          <w:b/>
          <w:bCs w:val="0"/>
          <w:color w:val="auto"/>
        </w:rPr>
        <w:t xml:space="preserve"> </w:t>
      </w:r>
      <w:r>
        <w:rPr>
          <w:rStyle w:val="55"/>
          <w:rFonts w:hint="eastAsia"/>
          <w:b/>
          <w:bCs w:val="0"/>
          <w:color w:val="auto"/>
        </w:rPr>
        <w:t>竞争性磋商</w:t>
      </w:r>
      <w:bookmarkEnd w:id="2"/>
      <w:r>
        <w:rPr>
          <w:rStyle w:val="55"/>
          <w:rFonts w:hint="eastAsia"/>
          <w:b/>
          <w:bCs w:val="0"/>
          <w:color w:val="auto"/>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090AB631">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171394910"/>
      <w:bookmarkStart w:id="39"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w:t>
      </w:r>
      <w:r>
        <w:rPr>
          <w:rFonts w:hint="eastAsia" w:asciiTheme="minorEastAsia" w:hAnsiTheme="minorEastAsia" w:eastAsiaTheme="minorEastAsia" w:cstheme="minorEastAsia"/>
          <w:color w:val="auto"/>
          <w:sz w:val="24"/>
          <w:szCs w:val="24"/>
        </w:rPr>
        <w:t>政府采购法实施条例》、《政府采购竞争性磋商采购方式管理暂行办法》、《浙江省政府采购活动现场组织管理办法》等法律法规部分相关条款，现就杭州电子科技大学推进器采购项目进行竞争性磋商(简称磋商)采购，欢迎国内合格的供应商前来参加。</w:t>
      </w:r>
    </w:p>
    <w:p w14:paraId="49418D5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color w:val="auto"/>
          <w:sz w:val="24"/>
          <w:szCs w:val="24"/>
          <w:lang w:val="en-US" w:eastAsia="zh-CN"/>
        </w:rPr>
      </w:pPr>
      <w:bookmarkStart w:id="40" w:name="_Toc21083"/>
      <w:bookmarkStart w:id="41" w:name="_Toc25225"/>
      <w:bookmarkStart w:id="42" w:name="_Toc6517"/>
      <w:bookmarkStart w:id="43" w:name="_Toc10031"/>
      <w:bookmarkStart w:id="44" w:name="_Toc12969"/>
      <w:bookmarkStart w:id="45" w:name="_Toc19591"/>
      <w:bookmarkStart w:id="46" w:name="_Toc28017"/>
      <w:bookmarkStart w:id="47" w:name="_Toc433537963"/>
      <w:bookmarkStart w:id="48" w:name="_Toc183786415"/>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w:t>
      </w:r>
      <w:r>
        <w:rPr>
          <w:rFonts w:hint="eastAsia" w:asciiTheme="minorEastAsia" w:hAnsiTheme="minorEastAsia" w:eastAsiaTheme="minorEastAsia" w:cstheme="minorEastAsia"/>
          <w:color w:val="auto"/>
          <w:sz w:val="24"/>
          <w:szCs w:val="24"/>
          <w:lang w:val="en-US" w:eastAsia="zh-CN"/>
        </w:rPr>
        <w:t>15</w:t>
      </w:r>
    </w:p>
    <w:p w14:paraId="112C0E5F">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7A87FCE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280"/>
        <w:gridCol w:w="1740"/>
        <w:gridCol w:w="1005"/>
        <w:gridCol w:w="1275"/>
        <w:gridCol w:w="2055"/>
      </w:tblGrid>
      <w:tr w14:paraId="0425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14" w:type="dxa"/>
            <w:vAlign w:val="center"/>
          </w:tcPr>
          <w:p w14:paraId="48EF931F">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2280" w:type="dxa"/>
            <w:tcBorders>
              <w:right w:val="single" w:color="000000" w:sz="4" w:space="0"/>
            </w:tcBorders>
            <w:vAlign w:val="center"/>
          </w:tcPr>
          <w:p w14:paraId="5A1A4AC3">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1740" w:type="dxa"/>
            <w:tcBorders>
              <w:right w:val="single" w:color="000000" w:sz="4" w:space="0"/>
            </w:tcBorders>
            <w:vAlign w:val="center"/>
          </w:tcPr>
          <w:p w14:paraId="4F345EBC">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1005" w:type="dxa"/>
            <w:tcBorders>
              <w:left w:val="single" w:color="000000" w:sz="4" w:space="0"/>
            </w:tcBorders>
            <w:vAlign w:val="center"/>
          </w:tcPr>
          <w:p w14:paraId="14AA61B0">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数量</w:t>
            </w:r>
          </w:p>
        </w:tc>
        <w:tc>
          <w:tcPr>
            <w:tcW w:w="1275" w:type="dxa"/>
            <w:vAlign w:val="center"/>
          </w:tcPr>
          <w:p w14:paraId="288759B1">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是否进口</w:t>
            </w:r>
          </w:p>
        </w:tc>
        <w:tc>
          <w:tcPr>
            <w:tcW w:w="2055" w:type="dxa"/>
            <w:vAlign w:val="center"/>
          </w:tcPr>
          <w:p w14:paraId="14E6CD3F">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w:t>
            </w:r>
            <w:r>
              <w:rPr>
                <w:rFonts w:hint="eastAsia" w:ascii="宋体" w:hAnsi="宋体" w:cs="宋体"/>
                <w:bCs/>
                <w:color w:val="auto"/>
                <w:spacing w:val="-6"/>
                <w:sz w:val="24"/>
                <w:szCs w:val="24"/>
                <w:lang w:val="en-US" w:eastAsia="zh-CN"/>
              </w:rPr>
              <w:t>(</w:t>
            </w:r>
            <w:r>
              <w:rPr>
                <w:rFonts w:hint="eastAsia" w:ascii="宋体" w:hAnsi="宋体" w:cs="宋体"/>
                <w:bCs/>
                <w:color w:val="auto"/>
                <w:spacing w:val="-6"/>
                <w:sz w:val="24"/>
                <w:szCs w:val="24"/>
              </w:rPr>
              <w:t>人民币元</w:t>
            </w:r>
            <w:r>
              <w:rPr>
                <w:rFonts w:hint="eastAsia" w:ascii="宋体" w:hAnsi="宋体" w:cs="宋体"/>
                <w:bCs/>
                <w:color w:val="auto"/>
                <w:spacing w:val="-6"/>
                <w:sz w:val="24"/>
                <w:szCs w:val="24"/>
                <w:lang w:val="en-US" w:eastAsia="zh-CN"/>
              </w:rPr>
              <w:t>)</w:t>
            </w:r>
          </w:p>
        </w:tc>
      </w:tr>
      <w:tr w14:paraId="00014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814" w:type="dxa"/>
            <w:vAlign w:val="center"/>
          </w:tcPr>
          <w:p w14:paraId="26246C61">
            <w:pPr>
              <w:spacing w:line="420" w:lineRule="exact"/>
              <w:jc w:val="center"/>
              <w:rPr>
                <w:rFonts w:ascii="宋体" w:hAnsi="宋体"/>
                <w:color w:val="auto"/>
                <w:sz w:val="24"/>
                <w:szCs w:val="24"/>
              </w:rPr>
            </w:pPr>
            <w:r>
              <w:rPr>
                <w:rFonts w:hint="eastAsia" w:ascii="宋体" w:hAnsi="宋体"/>
                <w:color w:val="auto"/>
                <w:sz w:val="24"/>
                <w:szCs w:val="24"/>
              </w:rPr>
              <w:t>1</w:t>
            </w:r>
          </w:p>
        </w:tc>
        <w:tc>
          <w:tcPr>
            <w:tcW w:w="2280" w:type="dxa"/>
            <w:tcBorders>
              <w:right w:val="single" w:color="000000" w:sz="4" w:space="0"/>
            </w:tcBorders>
            <w:vAlign w:val="center"/>
          </w:tcPr>
          <w:p w14:paraId="0635AE47">
            <w:pPr>
              <w:spacing w:line="420" w:lineRule="exact"/>
              <w:jc w:val="center"/>
              <w:rPr>
                <w:rFonts w:ascii="宋体" w:hAnsi="宋体"/>
                <w:color w:val="auto"/>
                <w:sz w:val="24"/>
                <w:szCs w:val="24"/>
              </w:rPr>
            </w:pPr>
            <w:r>
              <w:rPr>
                <w:rFonts w:hint="eastAsia" w:ascii="宋体" w:hAnsi="宋体"/>
                <w:color w:val="auto"/>
                <w:sz w:val="24"/>
                <w:szCs w:val="24"/>
              </w:rPr>
              <w:t>杭州电子科技大学推进器采购</w:t>
            </w:r>
          </w:p>
        </w:tc>
        <w:tc>
          <w:tcPr>
            <w:tcW w:w="1740" w:type="dxa"/>
            <w:tcBorders>
              <w:right w:val="single" w:color="000000" w:sz="4" w:space="0"/>
            </w:tcBorders>
            <w:vAlign w:val="center"/>
          </w:tcPr>
          <w:p w14:paraId="6071C634">
            <w:pPr>
              <w:spacing w:line="420" w:lineRule="exact"/>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详见采购需求</w:t>
            </w:r>
          </w:p>
        </w:tc>
        <w:tc>
          <w:tcPr>
            <w:tcW w:w="1005" w:type="dxa"/>
            <w:tcBorders>
              <w:left w:val="single" w:color="000000" w:sz="4" w:space="0"/>
            </w:tcBorders>
            <w:vAlign w:val="center"/>
          </w:tcPr>
          <w:p w14:paraId="60B2B2E7">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8套</w:t>
            </w:r>
          </w:p>
        </w:tc>
        <w:tc>
          <w:tcPr>
            <w:tcW w:w="1275" w:type="dxa"/>
            <w:vAlign w:val="center"/>
          </w:tcPr>
          <w:p w14:paraId="49B75327">
            <w:pPr>
              <w:spacing w:line="420" w:lineRule="exact"/>
              <w:jc w:val="center"/>
              <w:rPr>
                <w:rFonts w:hint="eastAsia" w:ascii="宋体" w:hAnsi="宋体" w:eastAsia="宋体"/>
                <w:color w:val="auto"/>
                <w:sz w:val="24"/>
                <w:szCs w:val="24"/>
                <w:lang w:eastAsia="zh-CN"/>
              </w:rPr>
            </w:pPr>
            <w:r>
              <w:rPr>
                <w:rFonts w:hint="eastAsia" w:ascii="宋体" w:hAnsi="宋体" w:cs="宋体"/>
                <w:color w:val="auto"/>
                <w:sz w:val="24"/>
                <w:lang w:val="en-US" w:eastAsia="zh-CN"/>
              </w:rPr>
              <w:t>否</w:t>
            </w:r>
          </w:p>
        </w:tc>
        <w:tc>
          <w:tcPr>
            <w:tcW w:w="2055" w:type="dxa"/>
            <w:vAlign w:val="center"/>
          </w:tcPr>
          <w:p w14:paraId="2F44B7CD">
            <w:pPr>
              <w:spacing w:line="420" w:lineRule="exact"/>
              <w:jc w:val="center"/>
              <w:rPr>
                <w:rFonts w:ascii="宋体" w:hAnsi="宋体"/>
                <w:color w:val="auto"/>
                <w:sz w:val="24"/>
                <w:szCs w:val="24"/>
              </w:rPr>
            </w:pPr>
            <w:r>
              <w:rPr>
                <w:rFonts w:hint="eastAsia" w:ascii="宋体" w:hAnsi="宋体" w:cs="宋体"/>
                <w:color w:val="auto"/>
                <w:sz w:val="24"/>
              </w:rPr>
              <w:t>408000</w:t>
            </w:r>
          </w:p>
        </w:tc>
      </w:tr>
    </w:tbl>
    <w:p w14:paraId="66CDCC1F">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14:paraId="7D9BB8D4">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0D02BB07">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49" w:name="_Toc171394913"/>
      <w:r>
        <w:rPr>
          <w:rFonts w:hint="eastAsia" w:ascii="宋体" w:hAnsi="宋体"/>
          <w:color w:val="auto"/>
          <w:sz w:val="24"/>
          <w:szCs w:val="24"/>
        </w:rPr>
        <w:t>2.落实政府采购政策需满足的资格要求：本项目整体专门面向中小企业采购（制造商须为中小企业）。监狱企业、残疾人福利性单位视同小型、微型企业。</w:t>
      </w:r>
    </w:p>
    <w:p w14:paraId="22A51F0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5514DAE5">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47C529A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10</w:t>
      </w:r>
      <w:r>
        <w:rPr>
          <w:rFonts w:hint="eastAsia" w:ascii="宋体" w:hAnsi="宋体"/>
          <w:color w:val="auto"/>
          <w:sz w:val="24"/>
          <w:szCs w:val="24"/>
        </w:rPr>
        <w:t>月</w:t>
      </w:r>
      <w:r>
        <w:rPr>
          <w:rFonts w:hint="default" w:ascii="宋体" w:hAnsi="宋体"/>
          <w:color w:val="auto"/>
          <w:sz w:val="24"/>
          <w:szCs w:val="24"/>
          <w:woUserID w:val="1"/>
        </w:rPr>
        <w:t>26</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11</w:t>
      </w:r>
      <w:r>
        <w:rPr>
          <w:rFonts w:hint="eastAsia" w:ascii="宋体" w:hAnsi="宋体"/>
          <w:color w:val="auto"/>
          <w:sz w:val="24"/>
          <w:szCs w:val="24"/>
        </w:rPr>
        <w:t>月</w:t>
      </w:r>
      <w:r>
        <w:rPr>
          <w:rFonts w:hint="default" w:ascii="宋体" w:hAnsi="宋体"/>
          <w:color w:val="auto"/>
          <w:sz w:val="24"/>
          <w:szCs w:val="24"/>
          <w:woUserID w:val="1"/>
        </w:rPr>
        <w:t>5</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7987D565">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64D3D0B3">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w:t>
      </w:r>
      <w:r>
        <w:rPr>
          <w:rFonts w:hint="eastAsia" w:ascii="宋体" w:hAnsi="宋体"/>
          <w:color w:val="auto"/>
          <w:sz w:val="24"/>
          <w:szCs w:val="24"/>
        </w:rPr>
        <w:t>，在获取采购文件菜单中选择项目，申请获取采购文件。</w:t>
      </w:r>
    </w:p>
    <w:p w14:paraId="3611B83B">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w:t>
      </w:r>
    </w:p>
    <w:p w14:paraId="70741D3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3CF4280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09966E2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08C96B6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default" w:ascii="宋体" w:hAnsi="宋体"/>
          <w:b/>
          <w:bCs/>
          <w:color w:val="auto"/>
          <w:sz w:val="24"/>
          <w:szCs w:val="24"/>
          <w:woUserID w:val="1"/>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default" w:ascii="宋体" w:hAnsi="宋体"/>
          <w:b/>
          <w:bCs/>
          <w:color w:val="auto"/>
          <w:sz w:val="24"/>
          <w:szCs w:val="24"/>
          <w:woUserID w:val="1"/>
        </w:rPr>
        <w:t>11</w:t>
      </w:r>
      <w:r>
        <w:rPr>
          <w:rFonts w:hint="eastAsia" w:ascii="宋体" w:hAnsi="宋体"/>
          <w:b/>
          <w:bCs/>
          <w:color w:val="auto"/>
          <w:sz w:val="24"/>
          <w:szCs w:val="24"/>
        </w:rPr>
        <w:t>月</w:t>
      </w:r>
      <w:r>
        <w:rPr>
          <w:rFonts w:hint="default" w:ascii="宋体" w:hAnsi="宋体"/>
          <w:b/>
          <w:bCs/>
          <w:color w:val="auto"/>
          <w:sz w:val="24"/>
          <w:szCs w:val="24"/>
          <w:woUserID w:val="1"/>
        </w:rPr>
        <w:t>5</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51D8D297">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42DF219F">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3E644F17">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default" w:ascii="宋体" w:hAnsi="宋体"/>
          <w:b/>
          <w:bCs/>
          <w:color w:val="auto"/>
          <w:sz w:val="24"/>
          <w:szCs w:val="24"/>
          <w:lang w:eastAsia="zh-CN"/>
          <w:woUserID w:val="1"/>
        </w:rPr>
        <w:t>11</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5</w:t>
      </w:r>
      <w:r>
        <w:rPr>
          <w:rFonts w:hint="eastAsia" w:ascii="宋体" w:hAnsi="宋体"/>
          <w:b/>
          <w:bCs/>
          <w:color w:val="auto"/>
          <w:sz w:val="24"/>
          <w:szCs w:val="24"/>
          <w:lang w:val="en-US" w:eastAsia="zh-CN"/>
        </w:rPr>
        <w:t>日</w:t>
      </w:r>
      <w:r>
        <w:rPr>
          <w:rFonts w:hint="eastAsia" w:ascii="宋体" w:hAnsi="宋体"/>
          <w:b/>
          <w:bCs/>
          <w:color w:val="auto"/>
          <w:sz w:val="24"/>
          <w:szCs w:val="24"/>
          <w:lang w:val="en-US" w:eastAsia="zh-CN"/>
        </w:rPr>
        <w:t xml:space="preserve">上午9时整 </w:t>
      </w:r>
    </w:p>
    <w:p w14:paraId="0C81FC78">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57D3B090">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50" w:name="OLE_LINK5"/>
      <w:r>
        <w:rPr>
          <w:rFonts w:hint="eastAsia" w:asciiTheme="minorEastAsia" w:hAnsiTheme="minorEastAsia" w:eastAsiaTheme="minorEastAsia" w:cstheme="minorEastAsia"/>
          <w:b/>
          <w:bCs/>
          <w:color w:val="auto"/>
          <w:sz w:val="24"/>
          <w:szCs w:val="24"/>
        </w:rPr>
        <w:t>公告期限</w:t>
      </w:r>
      <w:bookmarkEnd w:id="50"/>
    </w:p>
    <w:p w14:paraId="22A6A0BC">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11C38835">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197D330C">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采购人用户部门：杭州电子科技大学电子信息学院</w:t>
      </w:r>
    </w:p>
    <w:p w14:paraId="1636DC1B">
      <w:pPr>
        <w:widowControl/>
        <w:spacing w:line="288" w:lineRule="auto"/>
        <w:ind w:firstLine="480" w:firstLineChars="200"/>
        <w:jc w:val="left"/>
        <w:rPr>
          <w:rFonts w:hint="eastAsia" w:ascii="宋体" w:eastAsia="宋体"/>
          <w:color w:val="auto"/>
          <w:sz w:val="24"/>
          <w:szCs w:val="24"/>
          <w:lang w:val="en-US" w:eastAsia="zh-CN"/>
        </w:rPr>
      </w:pPr>
      <w:r>
        <w:rPr>
          <w:rFonts w:hint="eastAsia" w:ascii="宋体" w:hAnsi="宋体"/>
          <w:color w:val="auto"/>
          <w:sz w:val="24"/>
          <w:szCs w:val="24"/>
        </w:rPr>
        <w:t>采购需求联系人：</w:t>
      </w:r>
      <w:r>
        <w:rPr>
          <w:rFonts w:hint="eastAsia"/>
          <w:color w:val="auto"/>
          <w:sz w:val="24"/>
          <w:u w:val="single"/>
        </w:rPr>
        <w:t xml:space="preserve"> 陈</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13966202766</w:t>
      </w:r>
      <w:r>
        <w:rPr>
          <w:rFonts w:hint="eastAsia" w:ascii="宋体" w:hAnsi="宋体"/>
          <w:color w:val="auto"/>
          <w:sz w:val="24"/>
          <w:szCs w:val="24"/>
          <w:u w:val="single"/>
          <w:lang w:val="en-US" w:eastAsia="zh-CN"/>
        </w:rPr>
        <w:t xml:space="preserve"> </w:t>
      </w:r>
    </w:p>
    <w:p w14:paraId="7D242FE8">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11CD21ED">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7064BE8D">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371F32E8">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3BEA92C9">
      <w:pPr>
        <w:pStyle w:val="53"/>
        <w:rPr>
          <w:color w:val="auto"/>
        </w:rPr>
      </w:pPr>
    </w:p>
    <w:p w14:paraId="473B5961">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1A17D522">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5A51DE33">
      <w:pPr>
        <w:pStyle w:val="2"/>
        <w:rPr>
          <w:color w:val="auto"/>
        </w:rPr>
      </w:pPr>
    </w:p>
    <w:p w14:paraId="4E2F59C4">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7B403C2A">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10</w:t>
      </w:r>
      <w:r>
        <w:rPr>
          <w:rFonts w:hint="eastAsia" w:ascii="宋体" w:hAnsi="宋体"/>
          <w:color w:val="auto"/>
          <w:sz w:val="24"/>
          <w:szCs w:val="24"/>
        </w:rPr>
        <w:t>月</w:t>
      </w:r>
      <w:r>
        <w:rPr>
          <w:rFonts w:hint="default" w:ascii="宋体" w:hAnsi="宋体"/>
          <w:color w:val="auto"/>
          <w:sz w:val="24"/>
          <w:szCs w:val="24"/>
          <w:woUserID w:val="1"/>
        </w:rPr>
        <w:t>26</w:t>
      </w:r>
      <w:r>
        <w:rPr>
          <w:rFonts w:hint="eastAsia" w:ascii="宋体" w:hAnsi="宋体"/>
          <w:color w:val="auto"/>
          <w:sz w:val="24"/>
          <w:szCs w:val="24"/>
        </w:rPr>
        <w:t>日</w:t>
      </w:r>
    </w:p>
    <w:p w14:paraId="7E2B069F">
      <w:pPr>
        <w:wordWrap w:val="0"/>
        <w:adjustRightInd w:val="0"/>
        <w:snapToGrid w:val="0"/>
        <w:spacing w:line="420" w:lineRule="exact"/>
        <w:ind w:left="31" w:right="480" w:hanging="31" w:hangingChars="13"/>
        <w:jc w:val="right"/>
        <w:rPr>
          <w:rFonts w:ascii="宋体"/>
          <w:color w:val="auto"/>
          <w:sz w:val="24"/>
          <w:szCs w:val="24"/>
        </w:rPr>
      </w:pPr>
    </w:p>
    <w:p w14:paraId="4A78B79D">
      <w:pPr>
        <w:adjustRightInd w:val="0"/>
        <w:snapToGrid w:val="0"/>
        <w:spacing w:before="120" w:beforeLines="50" w:after="120" w:afterLines="50" w:line="420" w:lineRule="exact"/>
        <w:ind w:right="480"/>
        <w:jc w:val="center"/>
        <w:outlineLvl w:val="0"/>
        <w:rPr>
          <w:rStyle w:val="55"/>
          <w:rFonts w:hint="eastAsia" w:ascii="Times New Roman" w:hAnsi="Times New Roman"/>
          <w:color w:val="auto"/>
          <w:szCs w:val="22"/>
          <w:lang w:val="en-US" w:eastAsia="zh-CN" w:bidi="ar-SA"/>
        </w:rPr>
      </w:pPr>
      <w:r>
        <w:rPr>
          <w:rStyle w:val="111"/>
          <w:b w:val="0"/>
          <w:snapToGrid/>
          <w:color w:val="auto"/>
          <w:sz w:val="24"/>
          <w:szCs w:val="24"/>
        </w:rPr>
        <w:br w:type="page"/>
      </w:r>
      <w:bookmarkStart w:id="51" w:name="_Toc15380"/>
      <w:bookmarkStart w:id="52" w:name="_Toc31424"/>
      <w:bookmarkStart w:id="53" w:name="_Toc19935"/>
      <w:bookmarkStart w:id="54" w:name="_Toc14015"/>
      <w:bookmarkStart w:id="55" w:name="_Toc14615"/>
      <w:bookmarkStart w:id="56" w:name="_Toc31607"/>
      <w:bookmarkStart w:id="57" w:name="_Toc8413"/>
      <w:bookmarkStart w:id="58" w:name="_Toc27564"/>
      <w:bookmarkStart w:id="59" w:name="_Toc8774"/>
      <w:bookmarkStart w:id="60" w:name="_Toc13359"/>
      <w:bookmarkStart w:id="61" w:name="_Toc25493"/>
      <w:bookmarkStart w:id="62" w:name="_Toc30817"/>
      <w:bookmarkStart w:id="63" w:name="_Toc30864"/>
      <w:bookmarkStart w:id="64" w:name="_Toc8923"/>
      <w:bookmarkStart w:id="65" w:name="_Toc27007"/>
      <w:bookmarkStart w:id="66" w:name="_Toc25903"/>
      <w:bookmarkStart w:id="67" w:name="_Toc30939"/>
      <w:bookmarkStart w:id="68" w:name="_Toc31392"/>
      <w:bookmarkStart w:id="69" w:name="_Toc11189"/>
      <w:bookmarkStart w:id="70" w:name="_Toc5412"/>
      <w:bookmarkStart w:id="71" w:name="_Toc18447"/>
      <w:bookmarkStart w:id="72" w:name="_Toc16190"/>
      <w:bookmarkStart w:id="73" w:name="_Toc9474"/>
      <w:bookmarkStart w:id="74" w:name="_Toc13468"/>
      <w:bookmarkStart w:id="75" w:name="_Toc10682"/>
      <w:bookmarkStart w:id="76" w:name="_Toc21096"/>
      <w:bookmarkStart w:id="77" w:name="_Toc7205"/>
      <w:bookmarkStart w:id="78" w:name="_Toc20151"/>
      <w:bookmarkStart w:id="79" w:name="_Toc6139"/>
      <w:bookmarkStart w:id="80" w:name="_Toc30984"/>
      <w:bookmarkStart w:id="81" w:name="_Toc28369"/>
      <w:bookmarkStart w:id="82" w:name="_Toc14371"/>
      <w:bookmarkStart w:id="83" w:name="_Toc20175"/>
      <w:r>
        <w:rPr>
          <w:rStyle w:val="55"/>
          <w:rFonts w:hint="eastAsia" w:ascii="Times New Roman" w:hAnsi="Times New Roman"/>
          <w:color w:val="auto"/>
          <w:szCs w:val="22"/>
          <w:lang w:val="en-US" w:eastAsia="zh-CN" w:bidi="ar-SA"/>
        </w:rPr>
        <w:t>第二部分 响应方须知</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14:paraId="328BF06E">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84" w:name="_Toc26025"/>
      <w:bookmarkStart w:id="85" w:name="_Toc28079"/>
      <w:bookmarkStart w:id="86" w:name="_Toc6421"/>
      <w:bookmarkStart w:id="87" w:name="_Toc20573"/>
      <w:bookmarkStart w:id="88" w:name="_Toc12644"/>
      <w:bookmarkStart w:id="89" w:name="_Toc1714"/>
      <w:bookmarkStart w:id="90" w:name="_Toc30159"/>
      <w:bookmarkStart w:id="91" w:name="_Toc17697"/>
      <w:bookmarkStart w:id="92" w:name="_Toc10518"/>
      <w:bookmarkStart w:id="93" w:name="_Toc27500"/>
      <w:bookmarkStart w:id="94" w:name="_Toc483"/>
      <w:bookmarkStart w:id="95" w:name="_Toc26073"/>
      <w:bookmarkStart w:id="96" w:name="_Toc23359"/>
      <w:bookmarkStart w:id="97" w:name="_Toc32596"/>
      <w:bookmarkStart w:id="98" w:name="_Toc4505"/>
      <w:bookmarkStart w:id="99" w:name="_Toc28286"/>
      <w:bookmarkStart w:id="100" w:name="_Toc6715"/>
      <w:bookmarkStart w:id="101" w:name="_Toc10414"/>
      <w:bookmarkStart w:id="102" w:name="_Toc29793"/>
      <w:bookmarkStart w:id="103" w:name="_Toc23420"/>
      <w:bookmarkStart w:id="104" w:name="_Toc29458"/>
      <w:bookmarkStart w:id="105" w:name="_Toc23155"/>
      <w:bookmarkStart w:id="106" w:name="_Toc10657"/>
      <w:bookmarkStart w:id="107" w:name="_Toc3269"/>
      <w:bookmarkStart w:id="108" w:name="_Toc31880"/>
      <w:bookmarkStart w:id="109" w:name="_Toc16998"/>
      <w:bookmarkStart w:id="110" w:name="_Toc9123"/>
      <w:bookmarkStart w:id="111" w:name="_Toc20565"/>
      <w:bookmarkStart w:id="112" w:name="_Toc28026"/>
      <w:bookmarkStart w:id="113" w:name="_Toc1743"/>
      <w:bookmarkStart w:id="114" w:name="_Toc22339"/>
      <w:bookmarkStart w:id="115" w:name="_Toc26853"/>
      <w:bookmarkStart w:id="116" w:name="_Toc9778"/>
      <w:r>
        <w:rPr>
          <w:rFonts w:hint="eastAsia" w:ascii="楷体" w:hAnsi="楷体" w:eastAsia="楷体" w:cs="楷体"/>
          <w:snapToGrid w:val="0"/>
          <w:color w:val="auto"/>
          <w:kern w:val="44"/>
          <w:sz w:val="32"/>
          <w:szCs w:val="32"/>
        </w:rPr>
        <w:t>前附表</w:t>
      </w:r>
      <w:bookmarkEnd w:id="4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0773F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6F9AC30F">
            <w:pPr>
              <w:rPr>
                <w:rFonts w:ascii="宋体"/>
                <w:b/>
                <w:color w:val="auto"/>
                <w:sz w:val="24"/>
                <w:szCs w:val="24"/>
              </w:rPr>
            </w:pPr>
            <w:r>
              <w:rPr>
                <w:rFonts w:hint="eastAsia" w:ascii="宋体" w:hAnsi="宋体"/>
                <w:b/>
                <w:color w:val="auto"/>
                <w:sz w:val="24"/>
                <w:szCs w:val="24"/>
              </w:rPr>
              <w:t>序号</w:t>
            </w:r>
          </w:p>
        </w:tc>
        <w:tc>
          <w:tcPr>
            <w:tcW w:w="2043" w:type="dxa"/>
            <w:vAlign w:val="center"/>
          </w:tcPr>
          <w:p w14:paraId="058B8EDE">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20A7CA29">
            <w:pPr>
              <w:jc w:val="center"/>
              <w:rPr>
                <w:rFonts w:ascii="宋体"/>
                <w:b/>
                <w:color w:val="auto"/>
                <w:sz w:val="24"/>
                <w:szCs w:val="24"/>
              </w:rPr>
            </w:pPr>
            <w:r>
              <w:rPr>
                <w:rFonts w:hint="eastAsia" w:ascii="宋体" w:hAnsi="宋体"/>
                <w:b/>
                <w:color w:val="auto"/>
                <w:sz w:val="24"/>
                <w:szCs w:val="24"/>
              </w:rPr>
              <w:t>内容</w:t>
            </w:r>
          </w:p>
        </w:tc>
      </w:tr>
      <w:tr w14:paraId="72ECB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1444C94">
            <w:pPr>
              <w:pStyle w:val="181"/>
              <w:adjustRightInd/>
              <w:spacing w:line="240" w:lineRule="auto"/>
              <w:rPr>
                <w:color w:val="auto"/>
                <w:szCs w:val="24"/>
              </w:rPr>
            </w:pPr>
            <w:r>
              <w:rPr>
                <w:rFonts w:hint="eastAsia"/>
                <w:color w:val="auto"/>
                <w:szCs w:val="24"/>
              </w:rPr>
              <w:t>1</w:t>
            </w:r>
          </w:p>
        </w:tc>
        <w:tc>
          <w:tcPr>
            <w:tcW w:w="2043" w:type="dxa"/>
            <w:vAlign w:val="center"/>
          </w:tcPr>
          <w:p w14:paraId="0EBCB062">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62BFA35E">
            <w:pPr>
              <w:rPr>
                <w:rFonts w:ascii="宋体"/>
                <w:color w:val="auto"/>
                <w:sz w:val="24"/>
                <w:szCs w:val="24"/>
              </w:rPr>
            </w:pPr>
            <w:r>
              <w:rPr>
                <w:rFonts w:hint="eastAsia" w:ascii="宋体" w:hAnsi="宋体"/>
                <w:color w:val="auto"/>
                <w:sz w:val="24"/>
                <w:szCs w:val="24"/>
              </w:rPr>
              <w:t>杭州电子科技大学推进器采购</w:t>
            </w:r>
          </w:p>
        </w:tc>
      </w:tr>
      <w:tr w14:paraId="5B983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B8D4E99">
            <w:pPr>
              <w:jc w:val="center"/>
              <w:rPr>
                <w:rFonts w:ascii="宋体" w:hAnsi="宋体"/>
                <w:color w:val="auto"/>
                <w:sz w:val="24"/>
                <w:szCs w:val="24"/>
              </w:rPr>
            </w:pPr>
          </w:p>
        </w:tc>
        <w:tc>
          <w:tcPr>
            <w:tcW w:w="2043" w:type="dxa"/>
            <w:vAlign w:val="center"/>
          </w:tcPr>
          <w:p w14:paraId="349F6B41">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678A4A2F">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工业   。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05FF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0E2C75EC">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5F286D65">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14115F0D">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w:t>
            </w:r>
            <w:r>
              <w:rPr>
                <w:rFonts w:hint="eastAsia" w:ascii="宋体" w:hAnsi="宋体"/>
                <w:color w:val="auto"/>
                <w:sz w:val="24"/>
                <w:szCs w:val="24"/>
                <w:lang w:val="en-US" w:eastAsia="zh-CN"/>
              </w:rPr>
              <w:t>15</w:t>
            </w:r>
          </w:p>
        </w:tc>
      </w:tr>
      <w:tr w14:paraId="620A5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2AA54A4">
            <w:pPr>
              <w:jc w:val="center"/>
              <w:rPr>
                <w:rFonts w:ascii="宋体"/>
                <w:color w:val="auto"/>
                <w:sz w:val="24"/>
                <w:szCs w:val="24"/>
              </w:rPr>
            </w:pPr>
          </w:p>
        </w:tc>
        <w:tc>
          <w:tcPr>
            <w:tcW w:w="2043" w:type="dxa"/>
            <w:vAlign w:val="center"/>
          </w:tcPr>
          <w:p w14:paraId="541F9CEF">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6AF8A4ED">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5511F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41E398F">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30B06A9C">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39844176">
            <w:pPr>
              <w:pStyle w:val="28"/>
              <w:ind w:left="0" w:leftChars="0"/>
              <w:rPr>
                <w:color w:val="auto"/>
                <w:szCs w:val="24"/>
              </w:rPr>
            </w:pPr>
            <w:r>
              <w:rPr>
                <w:rFonts w:hint="eastAsia"/>
                <w:color w:val="auto"/>
                <w:szCs w:val="24"/>
              </w:rPr>
              <w:t>杭州电子科技大学</w:t>
            </w:r>
            <w:r>
              <w:rPr>
                <w:rFonts w:hint="eastAsia"/>
                <w:color w:val="auto"/>
                <w:kern w:val="0"/>
                <w:szCs w:val="24"/>
              </w:rPr>
              <w:t>电子信息学院</w:t>
            </w:r>
          </w:p>
        </w:tc>
      </w:tr>
      <w:tr w14:paraId="360F6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B2AAAB1">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035B8EAE">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5EFABC64">
            <w:pPr>
              <w:rPr>
                <w:rFonts w:ascii="宋体"/>
                <w:color w:val="auto"/>
                <w:sz w:val="24"/>
                <w:szCs w:val="24"/>
              </w:rPr>
            </w:pPr>
            <w:r>
              <w:rPr>
                <w:rFonts w:hint="eastAsia" w:ascii="宋体" w:hAnsi="宋体"/>
                <w:color w:val="auto"/>
                <w:sz w:val="24"/>
                <w:szCs w:val="24"/>
              </w:rPr>
              <w:t>详见第三部分采购需求</w:t>
            </w:r>
          </w:p>
        </w:tc>
      </w:tr>
      <w:tr w14:paraId="61CFE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4" w:type="dxa"/>
            <w:vAlign w:val="center"/>
          </w:tcPr>
          <w:p w14:paraId="77CF2CAF">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7BFEF450">
            <w:pPr>
              <w:jc w:val="center"/>
              <w:rPr>
                <w:color w:val="auto"/>
                <w:sz w:val="24"/>
              </w:rPr>
            </w:pPr>
            <w:r>
              <w:rPr>
                <w:rFonts w:hint="eastAsia"/>
                <w:color w:val="auto"/>
                <w:sz w:val="24"/>
              </w:rPr>
              <w:t>磋商报价及费用</w:t>
            </w:r>
          </w:p>
        </w:tc>
        <w:tc>
          <w:tcPr>
            <w:tcW w:w="6348" w:type="dxa"/>
            <w:vAlign w:val="center"/>
          </w:tcPr>
          <w:p w14:paraId="5628CD41">
            <w:pPr>
              <w:rPr>
                <w:color w:val="auto"/>
                <w:sz w:val="24"/>
              </w:rPr>
            </w:pPr>
            <w:r>
              <w:rPr>
                <w:rFonts w:hint="eastAsia"/>
                <w:color w:val="auto"/>
                <w:sz w:val="24"/>
              </w:rPr>
              <w:t>详见采购文件第二部分第三节第（三）点报价内容。</w:t>
            </w:r>
          </w:p>
        </w:tc>
      </w:tr>
      <w:tr w14:paraId="7CDA2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C353EF9">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18E435B2">
            <w:pPr>
              <w:jc w:val="center"/>
              <w:rPr>
                <w:rFonts w:ascii="宋体"/>
                <w:color w:val="auto"/>
                <w:sz w:val="24"/>
                <w:szCs w:val="24"/>
              </w:rPr>
            </w:pPr>
            <w:r>
              <w:rPr>
                <w:rFonts w:hint="eastAsia"/>
                <w:color w:val="auto"/>
                <w:sz w:val="24"/>
              </w:rPr>
              <w:t>磋商响应有效期</w:t>
            </w:r>
          </w:p>
        </w:tc>
        <w:tc>
          <w:tcPr>
            <w:tcW w:w="6348" w:type="dxa"/>
            <w:vAlign w:val="center"/>
          </w:tcPr>
          <w:p w14:paraId="0CC5478C">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644CF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9834438">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70B67D9C">
            <w:pPr>
              <w:jc w:val="center"/>
              <w:rPr>
                <w:rFonts w:ascii="宋体"/>
                <w:color w:val="auto"/>
                <w:sz w:val="24"/>
                <w:szCs w:val="24"/>
              </w:rPr>
            </w:pPr>
            <w:r>
              <w:rPr>
                <w:rFonts w:hint="eastAsia"/>
                <w:color w:val="auto"/>
                <w:sz w:val="24"/>
              </w:rPr>
              <w:t>磋商文件答疑</w:t>
            </w:r>
          </w:p>
        </w:tc>
        <w:tc>
          <w:tcPr>
            <w:tcW w:w="6348" w:type="dxa"/>
            <w:vAlign w:val="center"/>
          </w:tcPr>
          <w:p w14:paraId="094B2F2D">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11</w:t>
            </w:r>
            <w:r>
              <w:rPr>
                <w:rFonts w:hint="eastAsia"/>
                <w:color w:val="auto"/>
                <w:sz w:val="24"/>
                <w:u w:val="single"/>
              </w:rPr>
              <w:t>月</w:t>
            </w:r>
            <w:r>
              <w:rPr>
                <w:rFonts w:hint="default"/>
                <w:color w:val="auto"/>
                <w:sz w:val="24"/>
                <w:u w:val="single"/>
                <w:woUserID w:val="1"/>
              </w:rPr>
              <w:t>4</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11</w:t>
            </w:r>
            <w:r>
              <w:rPr>
                <w:rFonts w:hint="eastAsia"/>
                <w:color w:val="auto"/>
                <w:sz w:val="24"/>
                <w:u w:val="single"/>
              </w:rPr>
              <w:t>月</w:t>
            </w:r>
            <w:r>
              <w:rPr>
                <w:rFonts w:hint="default"/>
                <w:color w:val="auto"/>
                <w:sz w:val="24"/>
                <w:u w:val="single"/>
                <w:woUserID w:val="1"/>
              </w:rPr>
              <w:t>4</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rPr>
              <w:t>：</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5C58A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F8CD93F">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479A3381">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794558DD">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w:t>
            </w:r>
            <w:r>
              <w:rPr>
                <w:rFonts w:hint="eastAsia"/>
                <w:color w:val="auto"/>
                <w:sz w:val="24"/>
                <w:u w:val="single"/>
              </w:rPr>
              <w:t>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1F5171CF">
            <w:pPr>
              <w:jc w:val="left"/>
              <w:rPr>
                <w:rFonts w:ascii="宋体"/>
                <w:color w:val="auto"/>
                <w:sz w:val="24"/>
                <w:szCs w:val="24"/>
              </w:rPr>
            </w:pPr>
            <w:r>
              <w:rPr>
                <w:rFonts w:hint="eastAsia"/>
                <w:b/>
                <w:bCs/>
                <w:color w:val="auto"/>
                <w:sz w:val="24"/>
              </w:rPr>
              <w:t>特别说明：</w:t>
            </w:r>
            <w:r>
              <w:rPr>
                <w:rFonts w:hint="eastAsia"/>
                <w:color w:val="auto"/>
                <w:sz w:val="24"/>
              </w:rPr>
              <w:t>双休日和法定节</w:t>
            </w:r>
            <w:r>
              <w:rPr>
                <w:rFonts w:hint="eastAsia"/>
                <w:color w:val="auto"/>
                <w:sz w:val="24"/>
              </w:rPr>
              <w:t>假日不收件，供应商自行承担邮寄风险。）</w:t>
            </w:r>
          </w:p>
        </w:tc>
      </w:tr>
      <w:tr w14:paraId="240E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B9F52EB">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6FE2B570">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4AE21DC0">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7FBC4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EF4E3B3">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66C97691">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7DA4EBE5">
            <w:pPr>
              <w:jc w:val="left"/>
              <w:rPr>
                <w:rFonts w:ascii="宋体"/>
                <w:color w:val="auto"/>
                <w:sz w:val="24"/>
                <w:szCs w:val="24"/>
              </w:rPr>
            </w:pPr>
            <w:r>
              <w:rPr>
                <w:rFonts w:hint="eastAsia"/>
                <w:color w:val="auto"/>
                <w:sz w:val="24"/>
              </w:rPr>
              <w:t>综合评分法</w:t>
            </w:r>
          </w:p>
        </w:tc>
      </w:tr>
      <w:tr w14:paraId="611FC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0CF715D">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458E1E32">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3636B31E">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36D7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E2B5AA2">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20CADC6D">
            <w:pPr>
              <w:jc w:val="center"/>
              <w:rPr>
                <w:rFonts w:ascii="宋体"/>
                <w:color w:val="auto"/>
                <w:sz w:val="24"/>
                <w:szCs w:val="24"/>
              </w:rPr>
            </w:pPr>
            <w:r>
              <w:rPr>
                <w:rFonts w:hint="eastAsia"/>
                <w:color w:val="auto"/>
                <w:sz w:val="24"/>
              </w:rPr>
              <w:t>解释</w:t>
            </w:r>
          </w:p>
        </w:tc>
        <w:tc>
          <w:tcPr>
            <w:tcW w:w="6348" w:type="dxa"/>
            <w:vAlign w:val="center"/>
          </w:tcPr>
          <w:p w14:paraId="2433FBFE">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662E1678">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17"/>
      <w:bookmarkStart w:id="118" w:name="_Toc6991"/>
      <w:bookmarkStart w:id="119" w:name="_Toc23407"/>
      <w:bookmarkStart w:id="120" w:name="_Toc20897"/>
      <w:bookmarkStart w:id="121" w:name="_Toc11749"/>
      <w:bookmarkStart w:id="122" w:name="_Toc30371"/>
      <w:bookmarkStart w:id="123" w:name="_Toc2257"/>
      <w:bookmarkStart w:id="124" w:name="_Toc15936"/>
      <w:bookmarkStart w:id="125" w:name="_Toc18556"/>
      <w:bookmarkStart w:id="126" w:name="_Toc19879"/>
      <w:bookmarkStart w:id="127" w:name="_Toc3922"/>
      <w:bookmarkStart w:id="128" w:name="_Toc26898"/>
      <w:bookmarkStart w:id="129" w:name="_Toc6934"/>
      <w:bookmarkStart w:id="130" w:name="_Toc1408"/>
      <w:bookmarkStart w:id="131" w:name="_Toc22060"/>
      <w:bookmarkStart w:id="132" w:name="_Toc9017"/>
      <w:bookmarkStart w:id="133" w:name="_Toc18902"/>
      <w:bookmarkStart w:id="134" w:name="_Toc24333"/>
      <w:bookmarkStart w:id="135" w:name="_Toc20458"/>
      <w:bookmarkStart w:id="136" w:name="_Toc689"/>
      <w:bookmarkStart w:id="137" w:name="_Toc7947"/>
      <w:bookmarkStart w:id="138" w:name="_Toc14022"/>
      <w:bookmarkStart w:id="139" w:name="_Toc6841"/>
      <w:bookmarkStart w:id="140" w:name="_Toc27769"/>
      <w:bookmarkStart w:id="141" w:name="_Toc18182"/>
      <w:bookmarkStart w:id="142" w:name="_Toc7875"/>
      <w:bookmarkStart w:id="143" w:name="_Toc24686"/>
      <w:bookmarkStart w:id="144" w:name="_Toc6501"/>
      <w:bookmarkStart w:id="145" w:name="_Toc11583"/>
      <w:bookmarkStart w:id="146" w:name="_Toc15091"/>
      <w:bookmarkStart w:id="147" w:name="_Toc1492"/>
      <w:bookmarkStart w:id="148" w:name="_Toc6802"/>
      <w:bookmarkStart w:id="149" w:name="_Toc67"/>
      <w:bookmarkStart w:id="150" w:name="_Toc12127"/>
      <w:bookmarkStart w:id="151" w:name="_Toc3209"/>
      <w:bookmarkStart w:id="152" w:name="_Toc15369"/>
      <w:bookmarkStart w:id="153" w:name="_Toc19375"/>
      <w:r>
        <w:rPr>
          <w:rFonts w:hint="eastAsia" w:ascii="楷体" w:hAnsi="楷体" w:eastAsia="楷体" w:cs="楷体"/>
          <w:snapToGrid w:val="0"/>
          <w:color w:val="auto"/>
          <w:kern w:val="44"/>
          <w:sz w:val="32"/>
          <w:szCs w:val="32"/>
        </w:rPr>
        <w:t>一、磋商说明</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7AB97322">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3E434F67">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3561077A">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57695814">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3CEEDF93">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6849059B">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6D10E661">
      <w:pPr>
        <w:spacing w:line="288" w:lineRule="auto"/>
        <w:ind w:firstLine="420" w:firstLineChars="175"/>
        <w:rPr>
          <w:color w:val="auto"/>
          <w:sz w:val="24"/>
        </w:rPr>
      </w:pPr>
      <w:r>
        <w:rPr>
          <w:rFonts w:hint="eastAsia"/>
          <w:color w:val="auto"/>
          <w:sz w:val="24"/>
        </w:rPr>
        <w:t>（2）被质疑投诉，经证实情况严重的；</w:t>
      </w:r>
    </w:p>
    <w:p w14:paraId="3895EF66">
      <w:pPr>
        <w:spacing w:line="288" w:lineRule="auto"/>
        <w:ind w:firstLine="420" w:firstLineChars="175"/>
        <w:rPr>
          <w:color w:val="auto"/>
          <w:sz w:val="24"/>
        </w:rPr>
      </w:pPr>
      <w:r>
        <w:rPr>
          <w:rFonts w:hint="eastAsia"/>
          <w:color w:val="auto"/>
          <w:sz w:val="24"/>
        </w:rPr>
        <w:t>（3）使用不正当竞争手段，影响采购人正常采购活动的；</w:t>
      </w:r>
    </w:p>
    <w:p w14:paraId="1E1B6087">
      <w:pPr>
        <w:spacing w:line="288" w:lineRule="auto"/>
        <w:ind w:firstLine="420" w:firstLineChars="175"/>
        <w:rPr>
          <w:color w:val="auto"/>
          <w:sz w:val="24"/>
        </w:rPr>
      </w:pPr>
      <w:r>
        <w:rPr>
          <w:rFonts w:hint="eastAsia"/>
          <w:color w:val="auto"/>
          <w:sz w:val="24"/>
        </w:rPr>
        <w:t>（4）响应方串通投标的；</w:t>
      </w:r>
    </w:p>
    <w:p w14:paraId="34AAFC2B">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649EABBF">
      <w:pPr>
        <w:spacing w:line="288" w:lineRule="auto"/>
        <w:ind w:firstLine="420" w:firstLineChars="175"/>
        <w:rPr>
          <w:color w:val="auto"/>
          <w:sz w:val="24"/>
        </w:rPr>
      </w:pPr>
      <w:r>
        <w:rPr>
          <w:rFonts w:hint="eastAsia"/>
          <w:color w:val="auto"/>
          <w:sz w:val="24"/>
        </w:rPr>
        <w:t>（6）响应方在投标中弄虚作假，提供虚假材料的；</w:t>
      </w:r>
    </w:p>
    <w:p w14:paraId="356803F3">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22B92E3E">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398BA749">
      <w:pPr>
        <w:spacing w:line="288" w:lineRule="auto"/>
        <w:ind w:firstLine="420" w:firstLineChars="175"/>
        <w:rPr>
          <w:color w:val="auto"/>
          <w:sz w:val="24"/>
        </w:rPr>
      </w:pPr>
      <w:r>
        <w:rPr>
          <w:rFonts w:hint="eastAsia"/>
          <w:color w:val="auto"/>
          <w:sz w:val="24"/>
        </w:rPr>
        <w:t>（9）其他严重扰乱磋商程序的；</w:t>
      </w:r>
    </w:p>
    <w:p w14:paraId="678DB02E">
      <w:pPr>
        <w:spacing w:line="288" w:lineRule="auto"/>
        <w:ind w:firstLine="420" w:firstLineChars="175"/>
        <w:rPr>
          <w:color w:val="auto"/>
          <w:sz w:val="24"/>
        </w:rPr>
      </w:pPr>
      <w:r>
        <w:rPr>
          <w:rFonts w:hint="eastAsia"/>
          <w:color w:val="auto"/>
          <w:sz w:val="24"/>
        </w:rPr>
        <w:t>（10）未成交供应商恶意质疑、投诉的。</w:t>
      </w:r>
    </w:p>
    <w:p w14:paraId="55F27407">
      <w:pPr>
        <w:spacing w:line="288" w:lineRule="auto"/>
        <w:ind w:firstLine="420" w:firstLineChars="175"/>
        <w:rPr>
          <w:color w:val="auto"/>
          <w:sz w:val="24"/>
        </w:rPr>
      </w:pPr>
      <w:r>
        <w:rPr>
          <w:rFonts w:hint="eastAsia"/>
          <w:color w:val="auto"/>
          <w:sz w:val="24"/>
        </w:rPr>
        <w:t>（11）违反法律法规和合同约定的其他情形的。</w:t>
      </w:r>
    </w:p>
    <w:p w14:paraId="18D480ED">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7C133B4E">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10FF3318">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78FB13B5">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5A550C41">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4EC23369">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565EC08D">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33A6C0B2">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086BB8ED">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6078E088">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5114AE04">
      <w:pPr>
        <w:spacing w:line="288" w:lineRule="auto"/>
        <w:ind w:firstLine="477" w:firstLineChars="199"/>
        <w:rPr>
          <w:color w:val="auto"/>
          <w:sz w:val="24"/>
        </w:rPr>
      </w:pPr>
      <w:r>
        <w:rPr>
          <w:rFonts w:hint="eastAsia"/>
          <w:color w:val="auto"/>
          <w:sz w:val="24"/>
        </w:rPr>
        <w:t>磋商文件对响应文件签署、盖章的要求适用于电子签名。</w:t>
      </w:r>
    </w:p>
    <w:p w14:paraId="41F85B82">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68C5656C">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54" w:name="_Toc23883"/>
      <w:bookmarkStart w:id="155" w:name="_Toc12934"/>
      <w:bookmarkStart w:id="156" w:name="_Toc29315"/>
      <w:bookmarkStart w:id="157" w:name="_Toc17024"/>
      <w:bookmarkStart w:id="158" w:name="_Toc13352"/>
      <w:bookmarkStart w:id="159" w:name="_Toc13363"/>
      <w:bookmarkStart w:id="160" w:name="_Toc25249"/>
      <w:bookmarkStart w:id="161" w:name="_Toc6681"/>
      <w:bookmarkStart w:id="162" w:name="_Toc17921"/>
      <w:bookmarkStart w:id="163" w:name="_Toc12746"/>
      <w:bookmarkStart w:id="164" w:name="_Toc30651"/>
      <w:bookmarkStart w:id="165" w:name="_Toc4587"/>
      <w:bookmarkStart w:id="166" w:name="_Toc23441"/>
      <w:bookmarkStart w:id="167" w:name="_Toc30356"/>
      <w:bookmarkStart w:id="168" w:name="_Toc4054"/>
      <w:bookmarkStart w:id="169" w:name="_Toc25478"/>
      <w:bookmarkStart w:id="170" w:name="_Toc12939"/>
      <w:bookmarkStart w:id="171" w:name="_Toc10503"/>
      <w:bookmarkStart w:id="172" w:name="_Toc15004"/>
      <w:bookmarkStart w:id="173" w:name="_Toc16623"/>
      <w:bookmarkStart w:id="174" w:name="_Toc10460"/>
      <w:bookmarkStart w:id="175" w:name="_Toc11863"/>
      <w:bookmarkStart w:id="176" w:name="_Toc2692"/>
      <w:bookmarkStart w:id="177" w:name="_Toc32029"/>
      <w:bookmarkStart w:id="178" w:name="_Toc16259"/>
      <w:bookmarkStart w:id="179" w:name="_Toc14905"/>
      <w:bookmarkStart w:id="180" w:name="_Toc14339"/>
      <w:bookmarkStart w:id="181" w:name="_Toc7225"/>
      <w:r>
        <w:rPr>
          <w:rFonts w:hint="eastAsia" w:ascii="楷体" w:hAnsi="楷体" w:eastAsia="楷体" w:cs="楷体"/>
          <w:snapToGrid w:val="0"/>
          <w:color w:val="auto"/>
          <w:kern w:val="44"/>
          <w:sz w:val="32"/>
          <w:szCs w:val="32"/>
        </w:rPr>
        <w:t>二、磋商文件</w:t>
      </w:r>
      <w:bookmarkEnd w:id="40"/>
      <w:bookmarkEnd w:id="41"/>
      <w:bookmarkEnd w:id="42"/>
      <w:bookmarkEnd w:id="43"/>
      <w:bookmarkEnd w:id="44"/>
      <w:bookmarkEnd w:id="45"/>
      <w:bookmarkEnd w:id="46"/>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2A88CE8A">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7953189C">
      <w:pPr>
        <w:spacing w:line="288" w:lineRule="auto"/>
        <w:ind w:firstLine="360" w:firstLineChars="150"/>
        <w:rPr>
          <w:color w:val="auto"/>
          <w:sz w:val="24"/>
        </w:rPr>
      </w:pPr>
      <w:r>
        <w:rPr>
          <w:color w:val="auto"/>
          <w:sz w:val="24"/>
        </w:rPr>
        <w:t>1</w:t>
      </w:r>
      <w:r>
        <w:rPr>
          <w:rFonts w:hint="eastAsia"/>
          <w:color w:val="auto"/>
          <w:sz w:val="24"/>
        </w:rPr>
        <w:t>、磋商公告</w:t>
      </w:r>
    </w:p>
    <w:p w14:paraId="681B961D">
      <w:pPr>
        <w:spacing w:line="288" w:lineRule="auto"/>
        <w:ind w:firstLine="360" w:firstLineChars="150"/>
        <w:rPr>
          <w:color w:val="auto"/>
          <w:sz w:val="24"/>
        </w:rPr>
      </w:pPr>
      <w:r>
        <w:rPr>
          <w:color w:val="auto"/>
          <w:sz w:val="24"/>
        </w:rPr>
        <w:t>2</w:t>
      </w:r>
      <w:r>
        <w:rPr>
          <w:rFonts w:hint="eastAsia"/>
          <w:color w:val="auto"/>
          <w:sz w:val="24"/>
        </w:rPr>
        <w:t>、响应方须知</w:t>
      </w:r>
    </w:p>
    <w:p w14:paraId="13CA2D67">
      <w:pPr>
        <w:spacing w:line="288" w:lineRule="auto"/>
        <w:ind w:firstLine="360" w:firstLineChars="150"/>
        <w:rPr>
          <w:color w:val="auto"/>
          <w:sz w:val="24"/>
        </w:rPr>
      </w:pPr>
      <w:r>
        <w:rPr>
          <w:color w:val="auto"/>
          <w:sz w:val="24"/>
        </w:rPr>
        <w:t>3</w:t>
      </w:r>
      <w:r>
        <w:rPr>
          <w:rFonts w:hint="eastAsia"/>
          <w:color w:val="auto"/>
          <w:sz w:val="24"/>
        </w:rPr>
        <w:t>、采购要求</w:t>
      </w:r>
    </w:p>
    <w:p w14:paraId="3E9AD1DF">
      <w:pPr>
        <w:spacing w:line="288" w:lineRule="auto"/>
        <w:ind w:firstLine="360" w:firstLineChars="150"/>
        <w:rPr>
          <w:color w:val="auto"/>
          <w:sz w:val="24"/>
        </w:rPr>
      </w:pPr>
      <w:r>
        <w:rPr>
          <w:color w:val="auto"/>
          <w:sz w:val="24"/>
        </w:rPr>
        <w:t>4</w:t>
      </w:r>
      <w:r>
        <w:rPr>
          <w:rFonts w:hint="eastAsia"/>
          <w:color w:val="auto"/>
          <w:sz w:val="24"/>
        </w:rPr>
        <w:t>、评审办法及评分标准</w:t>
      </w:r>
    </w:p>
    <w:p w14:paraId="701CF02D">
      <w:pPr>
        <w:spacing w:line="288" w:lineRule="auto"/>
        <w:ind w:firstLine="360" w:firstLineChars="150"/>
        <w:rPr>
          <w:color w:val="auto"/>
          <w:sz w:val="24"/>
        </w:rPr>
      </w:pPr>
      <w:r>
        <w:rPr>
          <w:color w:val="auto"/>
          <w:sz w:val="24"/>
        </w:rPr>
        <w:t>5</w:t>
      </w:r>
      <w:r>
        <w:rPr>
          <w:rFonts w:hint="eastAsia"/>
          <w:color w:val="auto"/>
          <w:sz w:val="24"/>
        </w:rPr>
        <w:t>、合同主要条款</w:t>
      </w:r>
    </w:p>
    <w:p w14:paraId="188859FC">
      <w:pPr>
        <w:spacing w:line="288" w:lineRule="auto"/>
        <w:ind w:firstLine="360" w:firstLineChars="150"/>
        <w:rPr>
          <w:color w:val="auto"/>
          <w:sz w:val="24"/>
        </w:rPr>
      </w:pPr>
      <w:r>
        <w:rPr>
          <w:color w:val="auto"/>
          <w:sz w:val="24"/>
        </w:rPr>
        <w:t>6</w:t>
      </w:r>
      <w:r>
        <w:rPr>
          <w:rFonts w:hint="eastAsia"/>
          <w:color w:val="auto"/>
          <w:sz w:val="24"/>
        </w:rPr>
        <w:t>、响应文件格式</w:t>
      </w:r>
    </w:p>
    <w:p w14:paraId="53C32A8C">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1AF10A5F">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5381CC64">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65697BFE">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5AE87663">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772F9B0B">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73F1AD3C">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82" w:name="_Toc8035"/>
      <w:bookmarkStart w:id="183" w:name="_Toc14673"/>
      <w:bookmarkStart w:id="184" w:name="_Toc13358"/>
      <w:bookmarkStart w:id="185" w:name="_Toc7450"/>
      <w:bookmarkStart w:id="186" w:name="_Toc24465"/>
      <w:bookmarkStart w:id="187" w:name="_Toc10605"/>
      <w:bookmarkStart w:id="188" w:name="_Toc32051"/>
      <w:bookmarkStart w:id="189" w:name="_Toc805"/>
      <w:bookmarkStart w:id="190" w:name="_Toc30772"/>
      <w:bookmarkStart w:id="191" w:name="_Toc21890"/>
      <w:bookmarkStart w:id="192" w:name="_Toc15797"/>
      <w:bookmarkStart w:id="193" w:name="_Toc25502"/>
      <w:bookmarkStart w:id="194" w:name="_Toc789"/>
      <w:bookmarkStart w:id="195" w:name="_Toc2334"/>
      <w:bookmarkStart w:id="196" w:name="_Toc22140"/>
      <w:bookmarkStart w:id="197" w:name="_Toc19339"/>
      <w:bookmarkStart w:id="198" w:name="_Toc28201"/>
      <w:bookmarkStart w:id="199" w:name="_Toc25933"/>
      <w:bookmarkStart w:id="200" w:name="_Toc6503"/>
      <w:bookmarkStart w:id="201" w:name="_Toc32494"/>
      <w:bookmarkStart w:id="202" w:name="_Toc22572"/>
      <w:bookmarkStart w:id="203" w:name="_Toc4055"/>
      <w:bookmarkStart w:id="204" w:name="_Toc6322"/>
      <w:bookmarkStart w:id="205" w:name="_Toc4837"/>
      <w:bookmarkStart w:id="206" w:name="_Toc26634"/>
      <w:bookmarkStart w:id="207" w:name="_Toc9434"/>
      <w:bookmarkStart w:id="208" w:name="_Toc7515"/>
      <w:bookmarkStart w:id="209" w:name="_Toc3328"/>
      <w:bookmarkStart w:id="210" w:name="_Toc28569"/>
      <w:bookmarkStart w:id="211" w:name="_Toc17035"/>
      <w:bookmarkStart w:id="212" w:name="_Toc15772"/>
      <w:bookmarkStart w:id="213" w:name="_Toc16752"/>
      <w:bookmarkStart w:id="214" w:name="_Toc21501"/>
      <w:bookmarkStart w:id="215" w:name="_Toc11900"/>
      <w:bookmarkStart w:id="216" w:name="_Toc8094"/>
      <w:r>
        <w:rPr>
          <w:rFonts w:hint="eastAsia" w:ascii="楷体" w:hAnsi="楷体" w:eastAsia="楷体" w:cs="楷体"/>
          <w:snapToGrid w:val="0"/>
          <w:color w:val="auto"/>
          <w:kern w:val="44"/>
          <w:sz w:val="32"/>
          <w:szCs w:val="32"/>
        </w:rPr>
        <w:t>三、响应文件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楷体" w:hAnsi="楷体" w:eastAsia="楷体" w:cs="楷体"/>
          <w:snapToGrid w:val="0"/>
          <w:color w:val="auto"/>
          <w:kern w:val="44"/>
          <w:sz w:val="32"/>
          <w:szCs w:val="32"/>
        </w:rPr>
        <w:t>的编制</w:t>
      </w:r>
      <w:bookmarkEnd w:id="216"/>
    </w:p>
    <w:p w14:paraId="5BB216D1">
      <w:pPr>
        <w:spacing w:line="288" w:lineRule="auto"/>
        <w:outlineLvl w:val="2"/>
        <w:rPr>
          <w:b/>
          <w:bCs/>
          <w:color w:val="auto"/>
          <w:sz w:val="24"/>
        </w:rPr>
      </w:pPr>
      <w:r>
        <w:rPr>
          <w:rFonts w:hint="eastAsia"/>
          <w:b/>
          <w:bCs/>
          <w:color w:val="auto"/>
          <w:sz w:val="24"/>
        </w:rPr>
        <w:t>（一）响应文件的组成</w:t>
      </w:r>
    </w:p>
    <w:p w14:paraId="5D0F0845">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478DC10F">
      <w:pPr>
        <w:spacing w:line="288" w:lineRule="auto"/>
        <w:ind w:firstLine="422" w:firstLineChars="175"/>
        <w:rPr>
          <w:color w:val="auto"/>
          <w:sz w:val="24"/>
        </w:rPr>
      </w:pPr>
      <w:r>
        <w:rPr>
          <w:rFonts w:hint="eastAsia"/>
          <w:b/>
          <w:bCs/>
          <w:color w:val="auto"/>
          <w:sz w:val="24"/>
        </w:rPr>
        <w:t>响应文件组成：详见“第六部分  响应文件格式”目录</w:t>
      </w:r>
    </w:p>
    <w:p w14:paraId="59F95442">
      <w:pPr>
        <w:spacing w:line="288" w:lineRule="auto"/>
        <w:outlineLvl w:val="2"/>
        <w:rPr>
          <w:b/>
          <w:bCs/>
          <w:color w:val="auto"/>
          <w:sz w:val="24"/>
        </w:rPr>
      </w:pPr>
      <w:r>
        <w:rPr>
          <w:rFonts w:hint="eastAsia"/>
          <w:b/>
          <w:bCs/>
          <w:color w:val="auto"/>
          <w:sz w:val="24"/>
        </w:rPr>
        <w:t>（二）响应文件的签署和份数</w:t>
      </w:r>
    </w:p>
    <w:p w14:paraId="64FB76E1">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478FB1E5">
      <w:pPr>
        <w:spacing w:line="288" w:lineRule="auto"/>
        <w:ind w:firstLine="420" w:firstLineChars="175"/>
        <w:rPr>
          <w:color w:val="auto"/>
          <w:sz w:val="24"/>
        </w:rPr>
      </w:pPr>
      <w:r>
        <w:rPr>
          <w:rFonts w:hint="eastAsia"/>
          <w:color w:val="auto"/>
          <w:sz w:val="24"/>
        </w:rPr>
        <w:t>2.响应文件须由供应商在规定位置加盖公章</w:t>
      </w:r>
      <w:bookmarkStart w:id="217" w:name="_Hlk96329193"/>
      <w:r>
        <w:rPr>
          <w:rFonts w:hint="eastAsia"/>
          <w:color w:val="auto"/>
          <w:sz w:val="24"/>
        </w:rPr>
        <w:t>，供应商应写全称。</w:t>
      </w:r>
      <w:bookmarkEnd w:id="217"/>
    </w:p>
    <w:p w14:paraId="79D90658">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2BBCCA7C">
      <w:pPr>
        <w:spacing w:line="288" w:lineRule="auto"/>
        <w:ind w:firstLine="420" w:firstLineChars="175"/>
        <w:rPr>
          <w:color w:val="auto"/>
          <w:sz w:val="24"/>
        </w:rPr>
      </w:pPr>
      <w:r>
        <w:rPr>
          <w:rFonts w:hint="eastAsia"/>
          <w:color w:val="auto"/>
          <w:sz w:val="24"/>
        </w:rPr>
        <w:t>4.响应文件份数：</w:t>
      </w:r>
    </w:p>
    <w:p w14:paraId="45BF49ED">
      <w:pPr>
        <w:spacing w:line="288" w:lineRule="auto"/>
        <w:ind w:firstLine="422" w:firstLineChars="175"/>
        <w:rPr>
          <w:color w:val="auto"/>
          <w:sz w:val="24"/>
        </w:rPr>
      </w:pPr>
      <w:r>
        <w:rPr>
          <w:rFonts w:hint="eastAsia"/>
          <w:b/>
          <w:bCs/>
          <w:color w:val="auto"/>
          <w:sz w:val="24"/>
        </w:rPr>
        <w:t>电子加密响应文件：政府采购云</w:t>
      </w:r>
      <w:r>
        <w:rPr>
          <w:rFonts w:hint="eastAsia"/>
          <w:b/>
          <w:bCs/>
          <w:color w:val="auto"/>
          <w:sz w:val="24"/>
        </w:rPr>
        <w:t>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05D8BF9C">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182C9528">
      <w:pPr>
        <w:spacing w:line="288" w:lineRule="auto"/>
        <w:outlineLvl w:val="2"/>
        <w:rPr>
          <w:b/>
          <w:bCs/>
          <w:color w:val="auto"/>
          <w:sz w:val="24"/>
        </w:rPr>
      </w:pPr>
      <w:r>
        <w:rPr>
          <w:rFonts w:hint="eastAsia"/>
          <w:b/>
          <w:bCs/>
          <w:color w:val="auto"/>
          <w:sz w:val="24"/>
        </w:rPr>
        <w:t>（三）响应文件的上传、递交、修改和撤回</w:t>
      </w:r>
    </w:p>
    <w:p w14:paraId="73844BE8">
      <w:pPr>
        <w:spacing w:line="288" w:lineRule="auto"/>
        <w:ind w:firstLine="422" w:firstLineChars="175"/>
        <w:rPr>
          <w:b/>
          <w:bCs/>
          <w:color w:val="auto"/>
          <w:sz w:val="24"/>
        </w:rPr>
      </w:pPr>
      <w:r>
        <w:rPr>
          <w:rFonts w:hint="eastAsia"/>
          <w:b/>
          <w:bCs/>
          <w:color w:val="auto"/>
          <w:sz w:val="24"/>
        </w:rPr>
        <w:t>1.响应文件的上传、递交：</w:t>
      </w:r>
    </w:p>
    <w:p w14:paraId="779C7680">
      <w:pPr>
        <w:spacing w:line="288" w:lineRule="auto"/>
        <w:ind w:firstLine="420" w:firstLineChars="175"/>
        <w:rPr>
          <w:color w:val="auto"/>
          <w:sz w:val="24"/>
        </w:rPr>
      </w:pPr>
      <w:r>
        <w:rPr>
          <w:rFonts w:hint="eastAsia"/>
          <w:color w:val="auto"/>
          <w:sz w:val="24"/>
        </w:rPr>
        <w:t>（1）电子加密响应文件的上传：</w:t>
      </w:r>
    </w:p>
    <w:p w14:paraId="2389E94E">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029865FA">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1BF8438F">
      <w:pPr>
        <w:spacing w:line="288" w:lineRule="auto"/>
        <w:ind w:firstLine="420" w:firstLineChars="175"/>
        <w:rPr>
          <w:color w:val="auto"/>
          <w:sz w:val="24"/>
        </w:rPr>
      </w:pPr>
      <w:r>
        <w:rPr>
          <w:rFonts w:hint="eastAsia"/>
          <w:color w:val="auto"/>
          <w:sz w:val="24"/>
        </w:rPr>
        <w:t>（2）备份响应文件的密封包装、递交：</w:t>
      </w:r>
    </w:p>
    <w:p w14:paraId="2AF378C1">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0AFFBDE3">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432A3717">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03CDBB9C">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488DF75C">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3B2C782E">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4DAA9EC6">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387A45F0">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57B815F7">
      <w:pPr>
        <w:spacing w:line="288" w:lineRule="auto"/>
        <w:outlineLvl w:val="2"/>
        <w:rPr>
          <w:b/>
          <w:bCs/>
          <w:color w:val="auto"/>
          <w:sz w:val="24"/>
        </w:rPr>
      </w:pPr>
      <w:r>
        <w:rPr>
          <w:rFonts w:hint="eastAsia"/>
          <w:b/>
          <w:bCs/>
          <w:color w:val="auto"/>
          <w:sz w:val="24"/>
        </w:rPr>
        <w:t>（四）响应文件的语言及计量</w:t>
      </w:r>
    </w:p>
    <w:p w14:paraId="1EEBFA09">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2B39FD29">
      <w:pPr>
        <w:spacing w:line="288" w:lineRule="auto"/>
        <w:outlineLvl w:val="2"/>
        <w:rPr>
          <w:b/>
          <w:bCs/>
          <w:color w:val="auto"/>
          <w:sz w:val="24"/>
        </w:rPr>
      </w:pPr>
      <w:r>
        <w:rPr>
          <w:rFonts w:hint="eastAsia"/>
          <w:b/>
          <w:bCs/>
          <w:color w:val="auto"/>
          <w:sz w:val="24"/>
        </w:rPr>
        <w:t>（五）磋商报价</w:t>
      </w:r>
    </w:p>
    <w:p w14:paraId="375BA076">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4DE03E78">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w:t>
      </w:r>
      <w:r>
        <w:rPr>
          <w:rFonts w:hint="eastAsia"/>
          <w:color w:val="auto"/>
          <w:sz w:val="24"/>
          <w:lang w:val="en-US" w:eastAsia="zh-CN"/>
        </w:rPr>
        <w:t>响应</w:t>
      </w:r>
      <w:r>
        <w:rPr>
          <w:rFonts w:hint="eastAsia"/>
          <w:color w:val="auto"/>
          <w:sz w:val="24"/>
        </w:rPr>
        <w:t>文件可能被拒绝。</w:t>
      </w:r>
    </w:p>
    <w:p w14:paraId="7EB1D9DE">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707FD00A">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756E0304">
      <w:pPr>
        <w:spacing w:line="288" w:lineRule="auto"/>
        <w:outlineLvl w:val="2"/>
        <w:rPr>
          <w:b/>
          <w:bCs/>
          <w:color w:val="auto"/>
          <w:sz w:val="24"/>
        </w:rPr>
      </w:pPr>
      <w:r>
        <w:rPr>
          <w:rFonts w:hint="eastAsia"/>
          <w:b/>
          <w:bCs/>
          <w:color w:val="auto"/>
          <w:sz w:val="24"/>
        </w:rPr>
        <w:t>（六）响应有效期</w:t>
      </w:r>
    </w:p>
    <w:p w14:paraId="4393BB33">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15FE2D95">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18" w:name="_Toc16067"/>
      <w:r>
        <w:rPr>
          <w:rFonts w:hint="eastAsia" w:ascii="楷体" w:hAnsi="楷体" w:eastAsia="楷体" w:cs="楷体"/>
          <w:snapToGrid w:val="0"/>
          <w:color w:val="auto"/>
          <w:kern w:val="44"/>
          <w:sz w:val="32"/>
          <w:szCs w:val="32"/>
        </w:rPr>
        <w:t>四、响应无效的情形</w:t>
      </w:r>
      <w:bookmarkEnd w:id="218"/>
    </w:p>
    <w:p w14:paraId="4B794D23">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7FC2FC6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551C632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7E5BEEE6">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02E4348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1FC4D008">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41BD5CE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2798D35B">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4B6110A6">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33F99A08">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3865CA7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0F8021E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39E4716C">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058CA0B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1B7A2BAB">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46582C6C">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16D7762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3001976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w:t>
      </w:r>
      <w:r>
        <w:rPr>
          <w:rFonts w:hint="eastAsia" w:ascii="宋体" w:hAnsi="宋体"/>
          <w:color w:val="auto"/>
          <w:spacing w:val="-6"/>
          <w:sz w:val="24"/>
          <w:szCs w:val="24"/>
          <w:lang w:eastAsia="zh-CN"/>
        </w:rPr>
        <w:t>（</w:t>
      </w:r>
      <w:r>
        <w:rPr>
          <w:rFonts w:hint="eastAsia" w:ascii="宋体" w:hAnsi="宋体"/>
          <w:color w:val="auto"/>
          <w:spacing w:val="-6"/>
          <w:sz w:val="24"/>
          <w:szCs w:val="24"/>
        </w:rPr>
        <w:t>最高限价</w:t>
      </w:r>
      <w:r>
        <w:rPr>
          <w:rFonts w:hint="eastAsia" w:ascii="宋体" w:hAnsi="宋体"/>
          <w:color w:val="auto"/>
          <w:spacing w:val="-6"/>
          <w:sz w:val="24"/>
          <w:szCs w:val="24"/>
          <w:lang w:eastAsia="zh-CN"/>
        </w:rPr>
        <w:t>）</w:t>
      </w:r>
      <w:r>
        <w:rPr>
          <w:rFonts w:hint="eastAsia" w:ascii="宋体" w:hAnsi="宋体"/>
          <w:color w:val="auto"/>
          <w:spacing w:val="-6"/>
          <w:sz w:val="24"/>
          <w:szCs w:val="24"/>
        </w:rPr>
        <w:t>的；</w:t>
      </w:r>
    </w:p>
    <w:p w14:paraId="03B7169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0853DDDE">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5）最终报价出</w:t>
      </w:r>
      <w:r>
        <w:rPr>
          <w:rFonts w:hint="eastAsia" w:ascii="宋体" w:hAnsi="宋体"/>
          <w:color w:val="auto"/>
          <w:spacing w:val="-6"/>
          <w:sz w:val="24"/>
          <w:szCs w:val="24"/>
          <w:lang w:val="en-US" w:eastAsia="zh-CN"/>
        </w:rPr>
        <w:t>现以下异常低价情形之一，且未提供项目具体成本测算等与报价合理性相关的书面说明及必要的证明材料的，或者其提供的说明和材料不能证明其报价合理性，经评审委员会认定有可能影响产品质量或者不能诚信履约的，响应无效。</w:t>
      </w:r>
    </w:p>
    <w:p w14:paraId="39535F44">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①</w:t>
      </w:r>
      <w:r>
        <w:rPr>
          <w:rFonts w:hint="eastAsia" w:ascii="宋体" w:hAnsi="宋体"/>
          <w:color w:val="auto"/>
          <w:spacing w:val="-6"/>
          <w:sz w:val="24"/>
          <w:szCs w:val="24"/>
          <w:lang w:val="en-US" w:eastAsia="zh-CN"/>
        </w:rPr>
        <w:t>投标（响应）报价低于全部通过符合性审查供应商投标（响应）报价平均值50%的，即投标（响应）报价&lt;全部通过符合性审查供应商投标（响应）报价平均值×50%； </w:t>
      </w:r>
    </w:p>
    <w:p w14:paraId="2520CA78">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②</w:t>
      </w:r>
      <w:r>
        <w:rPr>
          <w:rFonts w:hint="eastAsia" w:ascii="宋体" w:hAnsi="宋体"/>
          <w:color w:val="auto"/>
          <w:spacing w:val="-6"/>
          <w:sz w:val="24"/>
          <w:szCs w:val="24"/>
          <w:lang w:val="en-US" w:eastAsia="zh-CN"/>
        </w:rPr>
        <w:t>投标（响应）报价低于通过符合性审查的次低报价供应商投标（响应）报价50%的，即投标（响应）报价&lt;通过符合性审查的次低报价供应商投标（响应）报价×50%； </w:t>
      </w:r>
    </w:p>
    <w:p w14:paraId="3FF5E043">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③</w:t>
      </w:r>
      <w:r>
        <w:rPr>
          <w:rFonts w:hint="eastAsia" w:ascii="宋体" w:hAnsi="宋体"/>
          <w:color w:val="auto"/>
          <w:spacing w:val="-6"/>
          <w:sz w:val="24"/>
          <w:szCs w:val="24"/>
          <w:lang w:val="en-US" w:eastAsia="zh-CN"/>
        </w:rPr>
        <w:t>投标（响应）报价低于采购项目最高限价45%的，即投标（响应）报价&lt;采购项目最高限价×45%；</w:t>
      </w:r>
    </w:p>
    <w:p w14:paraId="41A52D7F">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④</w:t>
      </w:r>
      <w:r>
        <w:rPr>
          <w:rFonts w:hint="eastAsia" w:ascii="宋体" w:hAnsi="宋体"/>
          <w:color w:val="auto"/>
          <w:spacing w:val="-6"/>
          <w:sz w:val="24"/>
          <w:szCs w:val="24"/>
          <w:lang w:val="en-US" w:eastAsia="zh-CN"/>
        </w:rPr>
        <w:t>评审委员会基于专业判断，认为供应商</w:t>
      </w:r>
      <w:r>
        <w:rPr>
          <w:rFonts w:hint="eastAsia" w:ascii="宋体" w:hAnsi="宋体"/>
          <w:color w:val="auto"/>
          <w:spacing w:val="-6"/>
          <w:sz w:val="24"/>
          <w:szCs w:val="24"/>
          <w:lang w:val="en-US" w:eastAsia="zh-CN"/>
        </w:rPr>
        <w:t>报价过低，有可能影响产品质量或者不能诚信履约的其他情形。</w:t>
      </w:r>
    </w:p>
    <w:p w14:paraId="69C37B2F">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3099D2DD">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57C9281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5FE0C43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5A3425C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40974FC9">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6CD605D4">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141E6EF3">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775D4CE5">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0AE19096">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47"/>
    <w:bookmarkEnd w:id="48"/>
    <w:p w14:paraId="36823F27">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19" w:name="_Toc28358"/>
      <w:bookmarkStart w:id="220" w:name="_Toc9444"/>
      <w:bookmarkStart w:id="221" w:name="_Toc27001"/>
      <w:bookmarkStart w:id="222" w:name="_Toc12201"/>
      <w:bookmarkStart w:id="223" w:name="_Toc11859"/>
      <w:bookmarkStart w:id="224" w:name="_Toc20980"/>
      <w:bookmarkStart w:id="225" w:name="_Toc30706"/>
      <w:bookmarkStart w:id="226" w:name="_Toc11365"/>
      <w:bookmarkStart w:id="227" w:name="_Toc23126"/>
      <w:bookmarkStart w:id="228" w:name="_Toc11828"/>
      <w:bookmarkStart w:id="229" w:name="_Toc22208"/>
      <w:bookmarkStart w:id="230" w:name="_Toc433537967"/>
      <w:bookmarkStart w:id="231" w:name="_Toc200"/>
      <w:bookmarkStart w:id="232" w:name="_Toc17194"/>
      <w:bookmarkStart w:id="233" w:name="_Toc23374"/>
      <w:bookmarkStart w:id="234" w:name="_Toc8571"/>
      <w:bookmarkStart w:id="235" w:name="_Toc8275"/>
      <w:bookmarkStart w:id="236" w:name="_Toc14837"/>
      <w:bookmarkStart w:id="237" w:name="_Toc6009"/>
      <w:bookmarkStart w:id="238" w:name="_Toc207550884"/>
      <w:bookmarkStart w:id="239" w:name="_Toc4601"/>
      <w:bookmarkStart w:id="240" w:name="_Toc6013"/>
      <w:bookmarkStart w:id="241" w:name="_Toc24390"/>
      <w:bookmarkStart w:id="242" w:name="_Toc13917"/>
      <w:bookmarkStart w:id="243" w:name="_Toc24793"/>
      <w:bookmarkStart w:id="244" w:name="_Toc25705"/>
      <w:bookmarkStart w:id="245" w:name="_Toc6290"/>
      <w:bookmarkStart w:id="246" w:name="_Toc14125"/>
      <w:bookmarkStart w:id="247" w:name="_Toc20654"/>
      <w:bookmarkStart w:id="248" w:name="_Toc6184"/>
      <w:bookmarkStart w:id="249" w:name="_Toc467"/>
      <w:bookmarkStart w:id="250" w:name="_Toc26820"/>
      <w:bookmarkStart w:id="251" w:name="_Toc32590"/>
      <w:bookmarkStart w:id="252" w:name="_Toc8057"/>
      <w:bookmarkStart w:id="253" w:name="_Toc183786419"/>
      <w:r>
        <w:rPr>
          <w:rFonts w:hint="eastAsia" w:ascii="楷体" w:hAnsi="楷体" w:eastAsia="楷体" w:cs="楷体"/>
          <w:snapToGrid w:val="0"/>
          <w:color w:val="auto"/>
          <w:kern w:val="44"/>
          <w:sz w:val="32"/>
          <w:szCs w:val="32"/>
        </w:rPr>
        <w:t>五、开启响应文件</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35E56CCF">
      <w:pPr>
        <w:spacing w:line="288" w:lineRule="auto"/>
        <w:ind w:firstLine="482"/>
        <w:rPr>
          <w:color w:val="auto"/>
          <w:sz w:val="24"/>
        </w:rPr>
      </w:pPr>
      <w:bookmarkStart w:id="254" w:name="_Toc26833"/>
      <w:bookmarkStart w:id="255" w:name="_Toc841"/>
      <w:bookmarkStart w:id="256" w:name="_Toc12629"/>
      <w:bookmarkStart w:id="257" w:name="_Toc8052"/>
      <w:bookmarkStart w:id="258" w:name="_Toc22094"/>
      <w:bookmarkStart w:id="259" w:name="_Toc8181"/>
      <w:bookmarkStart w:id="260" w:name="_Toc30360"/>
      <w:bookmarkStart w:id="261" w:name="_Toc29445"/>
      <w:bookmarkStart w:id="262" w:name="_Toc5075"/>
      <w:bookmarkStart w:id="263" w:name="_Toc32220"/>
      <w:bookmarkStart w:id="264" w:name="_Toc667"/>
      <w:bookmarkStart w:id="265" w:name="_Toc22017"/>
      <w:bookmarkStart w:id="266" w:name="_Toc7609"/>
      <w:bookmarkStart w:id="267" w:name="_Toc10251"/>
      <w:bookmarkStart w:id="268" w:name="_Toc650"/>
      <w:bookmarkStart w:id="269" w:name="_Toc26778"/>
      <w:bookmarkStart w:id="270" w:name="_Toc12021"/>
      <w:bookmarkStart w:id="271" w:name="_Toc29181"/>
      <w:bookmarkStart w:id="272" w:name="_Toc10811"/>
      <w:bookmarkStart w:id="273" w:name="_Toc15608"/>
      <w:bookmarkStart w:id="274" w:name="_Toc25227"/>
      <w:bookmarkStart w:id="275" w:name="_Toc13314"/>
      <w:bookmarkStart w:id="276" w:name="_Toc902"/>
      <w:bookmarkStart w:id="277" w:name="_Toc18579"/>
      <w:bookmarkStart w:id="278" w:name="_Toc27046"/>
      <w:bookmarkStart w:id="279" w:name="_Toc18007"/>
      <w:bookmarkStart w:id="280" w:name="_Toc28057"/>
      <w:bookmarkStart w:id="281" w:name="_Toc6558"/>
      <w:bookmarkStart w:id="282" w:name="_Toc10561"/>
      <w:bookmarkStart w:id="283" w:name="_Toc20003"/>
      <w:bookmarkStart w:id="284" w:name="_Toc30679"/>
      <w:bookmarkStart w:id="285" w:name="_Toc4789"/>
      <w:bookmarkStart w:id="286" w:name="_Toc11659"/>
      <w:bookmarkStart w:id="287" w:name="_Toc9028"/>
      <w:r>
        <w:rPr>
          <w:rFonts w:hint="eastAsia"/>
          <w:color w:val="auto"/>
          <w:sz w:val="24"/>
        </w:rPr>
        <w:t>采购机构按照磋商文件规定的时间通过电子交易平台组织开启，所有供应商均应当准时在线参加。供应商不足3家的，不得开启。</w:t>
      </w:r>
    </w:p>
    <w:p w14:paraId="63D698AC">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49978197">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44D4876E">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01BE9848">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88" w:name="_Toc1295"/>
      <w:r>
        <w:rPr>
          <w:rFonts w:hint="eastAsia" w:ascii="楷体" w:hAnsi="楷体" w:eastAsia="楷体" w:cs="楷体"/>
          <w:snapToGrid w:val="0"/>
          <w:color w:val="auto"/>
          <w:kern w:val="44"/>
          <w:sz w:val="32"/>
          <w:szCs w:val="32"/>
        </w:rPr>
        <w:t>六、</w:t>
      </w:r>
      <w:bookmarkEnd w:id="254"/>
      <w:bookmarkEnd w:id="255"/>
      <w:bookmarkEnd w:id="256"/>
      <w:r>
        <w:rPr>
          <w:rFonts w:hint="eastAsia" w:ascii="楷体" w:hAnsi="楷体" w:eastAsia="楷体" w:cs="楷体"/>
          <w:snapToGrid w:val="0"/>
          <w:color w:val="auto"/>
          <w:kern w:val="44"/>
          <w:sz w:val="32"/>
          <w:szCs w:val="32"/>
        </w:rPr>
        <w:t>评审和磋商</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6A29D0B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15FF683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049EE93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0BEC0F1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1</w:t>
      </w:r>
      <w:r>
        <w:rPr>
          <w:rFonts w:hint="eastAsia"/>
          <w:color w:val="auto"/>
          <w:sz w:val="24"/>
        </w:rPr>
        <w:t>、无效的响应文件不再进入下一步磋商程序；</w:t>
      </w:r>
    </w:p>
    <w:p w14:paraId="016C15D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2</w:t>
      </w:r>
      <w:r>
        <w:rPr>
          <w:rFonts w:hint="eastAsia"/>
          <w:color w:val="auto"/>
          <w:sz w:val="24"/>
        </w:rPr>
        <w:t>、判断响应文件的</w:t>
      </w:r>
      <w:r>
        <w:rPr>
          <w:rFonts w:hint="eastAsia"/>
          <w:color w:val="auto"/>
          <w:sz w:val="24"/>
          <w:lang w:val="en-US" w:eastAsia="zh-CN"/>
        </w:rPr>
        <w:t>有效</w:t>
      </w:r>
      <w:r>
        <w:rPr>
          <w:rFonts w:hint="eastAsia"/>
          <w:color w:val="auto"/>
          <w:sz w:val="24"/>
        </w:rPr>
        <w:t>性仅基于响应文件本身而不靠外部证据；</w:t>
      </w:r>
    </w:p>
    <w:p w14:paraId="08735BE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4884A518">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4A5DF2D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782788D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63BBB5B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在磋商过程中，磋商小组可以根据磋商文件和磋商情况实质性变动采购需求中的技术、服务要求以及合同草案条款</w:t>
      </w:r>
      <w:r>
        <w:rPr>
          <w:rFonts w:hint="eastAsia"/>
          <w:color w:val="auto"/>
          <w:sz w:val="24"/>
        </w:rPr>
        <w:t>，但不得变动磋商文件中的其他内容。实质性变动的内容，须经采购人代表确认。</w:t>
      </w:r>
    </w:p>
    <w:p w14:paraId="77E46BF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61C7B1E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16071E0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39F62F7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7F89A1C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5ECEBC2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55364C5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7A44F9E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rFonts w:hint="eastAsia"/>
          <w:color w:val="auto"/>
          <w:sz w:val="24"/>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09388A2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57EBC10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响应文件报价出现前后不一致的，除磋商文件另有规定外，按照下列规定修正：</w:t>
      </w:r>
    </w:p>
    <w:p w14:paraId="3256DCB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（一）响应文件中报价表内容与响应文件中相应内容不一致的，以报价表为准；</w:t>
      </w:r>
    </w:p>
    <w:p w14:paraId="24D0CD7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（二）大写金额和小写金额不一致的，以大写金额为准；</w:t>
      </w:r>
    </w:p>
    <w:p w14:paraId="13F3348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（三）单价</w:t>
      </w:r>
      <w:r>
        <w:rPr>
          <w:rFonts w:hint="eastAsia"/>
          <w:color w:val="auto"/>
          <w:sz w:val="24"/>
        </w:rPr>
        <w:t>金额小数点或者百分比有明显错位的，以报价表的总价为准，并修改单价；</w:t>
      </w:r>
    </w:p>
    <w:p w14:paraId="2CAA98A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（四）总价金额与按单价汇总金额不一致的，以单价金额计算结果为准；</w:t>
      </w:r>
    </w:p>
    <w:p w14:paraId="488D3A91">
      <w:pPr>
        <w:pStyle w:val="8"/>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414D937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rFonts w:hint="default"/>
          <w:b/>
          <w:bCs/>
          <w:color w:val="auto"/>
          <w:sz w:val="24"/>
          <w:szCs w:val="22"/>
          <w:lang w:val="en-US" w:eastAsia="zh-CN"/>
        </w:rPr>
      </w:pPr>
      <w:r>
        <w:rPr>
          <w:rFonts w:hint="eastAsia"/>
          <w:b/>
          <w:bCs/>
          <w:color w:val="auto"/>
          <w:sz w:val="24"/>
          <w:szCs w:val="22"/>
          <w:lang w:eastAsia="zh-CN"/>
        </w:rPr>
        <w:t>（</w:t>
      </w:r>
      <w:r>
        <w:rPr>
          <w:rFonts w:hint="eastAsia"/>
          <w:b/>
          <w:bCs/>
          <w:color w:val="auto"/>
          <w:sz w:val="24"/>
          <w:szCs w:val="22"/>
          <w:lang w:val="en-US" w:eastAsia="zh-CN"/>
        </w:rPr>
        <w:t>六</w:t>
      </w:r>
      <w:r>
        <w:rPr>
          <w:rFonts w:hint="eastAsia"/>
          <w:b/>
          <w:bCs/>
          <w:color w:val="auto"/>
          <w:sz w:val="24"/>
          <w:szCs w:val="22"/>
          <w:lang w:eastAsia="zh-CN"/>
        </w:rPr>
        <w:t>）</w:t>
      </w:r>
      <w:r>
        <w:rPr>
          <w:rFonts w:hint="eastAsia"/>
          <w:b/>
          <w:bCs/>
          <w:color w:val="auto"/>
          <w:sz w:val="24"/>
          <w:szCs w:val="22"/>
          <w:lang w:val="en-US" w:eastAsia="zh-CN"/>
        </w:rPr>
        <w:t>异常低价审查</w:t>
      </w:r>
    </w:p>
    <w:p w14:paraId="3358AFF5">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评审中出现下列情形之一的，评审委员会应当启动异常低价投标（响应）审查程序： </w:t>
      </w:r>
    </w:p>
    <w:p w14:paraId="512EF9A6">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1.投标（响应）报价低于全部通过符合性审查供应商投标（响应）报价平均值50%的，即投标（响应）报价&lt;全部通过符合性审查供应商投标（响应）报价平均值×50%； </w:t>
      </w:r>
    </w:p>
    <w:p w14:paraId="4E5F3111">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2.投标（响应）报价低于通过符合性审查的次低报价供应商投标（响应）报价50%的，即投标（响应）报价&lt;通过符合性审查的次低报价供应商投标（响应）报价×50%； </w:t>
      </w:r>
    </w:p>
    <w:p w14:paraId="12AA9D09">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3.投标（响应）报价低于采购项目最高限价45%的，即投标（响应）报价&lt;采购项目最高限价×45%； </w:t>
      </w:r>
    </w:p>
    <w:p w14:paraId="4CC330CA">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4.评审委员会基于专业判断，认为供应商报价过低，有可能影响产品质量或者不能诚信履约的其他情形。 </w:t>
      </w:r>
    </w:p>
    <w:p w14:paraId="0F6FF5C1">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评审委员会启动异常低价投标（响应）审查后，属于前述第1项至第4项情形的，</w:t>
      </w:r>
      <w:r>
        <w:rPr>
          <w:rFonts w:hint="eastAsia"/>
          <w:b/>
          <w:bCs/>
          <w:color w:val="auto"/>
          <w:sz w:val="24"/>
          <w:szCs w:val="22"/>
        </w:rPr>
        <w:t>应当要求相关供应商在评审现场合</w:t>
      </w:r>
      <w:r>
        <w:rPr>
          <w:rFonts w:hint="eastAsia"/>
          <w:b/>
          <w:bCs/>
          <w:color w:val="auto"/>
          <w:sz w:val="24"/>
          <w:szCs w:val="22"/>
        </w:rPr>
        <w:t>理的时间内对投标（响应）价格作出解释，提供项目具体成本测算等与报价合理性相关的书面说明及必要的证明材料，包括但不限于原材料成本、人工成本、制造费用等，</w:t>
      </w:r>
      <w:r>
        <w:rPr>
          <w:rFonts w:hint="eastAsia"/>
          <w:b/>
          <w:bCs/>
          <w:color w:val="auto"/>
          <w:sz w:val="24"/>
          <w:szCs w:val="22"/>
          <w:lang w:val="en-US" w:eastAsia="zh-CN"/>
        </w:rPr>
        <w:t>供应商应当同时提供</w:t>
      </w:r>
      <w:r>
        <w:rPr>
          <w:rFonts w:hint="eastAsia"/>
          <w:b/>
          <w:bCs/>
          <w:color w:val="auto"/>
          <w:sz w:val="24"/>
          <w:szCs w:val="22"/>
        </w:rPr>
        <w:t>同类项目中标（成交）价格、类似产品市场价格水平、行业人工费用标准、国家有关部门指导行业协会发布的行业平均成本</w:t>
      </w:r>
      <w:r>
        <w:rPr>
          <w:rFonts w:hint="eastAsia"/>
          <w:b/>
          <w:bCs/>
          <w:color w:val="auto"/>
          <w:sz w:val="24"/>
          <w:szCs w:val="22"/>
          <w:lang w:val="en-US" w:eastAsia="zh-CN"/>
        </w:rPr>
        <w:t>等相关证明材料</w:t>
      </w:r>
      <w:r>
        <w:rPr>
          <w:rFonts w:hint="eastAsia"/>
          <w:color w:val="auto"/>
          <w:sz w:val="24"/>
          <w:szCs w:val="22"/>
        </w:rPr>
        <w:t>，给予相关供应商的合理时间一般不少于30分钟。其中，属于第3项情形，供应商已随投标（响应）文件一并提交相关书面说明及必要的证明材料的，在评审现场可不再重复提交。 </w:t>
      </w:r>
    </w:p>
    <w:p w14:paraId="4809BFDC">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2591F67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七</w:t>
      </w:r>
      <w:r>
        <w:rPr>
          <w:rFonts w:hint="eastAsia"/>
          <w:b/>
          <w:bCs/>
          <w:color w:val="auto"/>
          <w:sz w:val="24"/>
        </w:rPr>
        <w:t>）综合评分</w:t>
      </w:r>
    </w:p>
    <w:p w14:paraId="00BD1A8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35D63F7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21D02A2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八</w:t>
      </w:r>
      <w:r>
        <w:rPr>
          <w:rFonts w:hint="eastAsia"/>
          <w:b/>
          <w:bCs/>
          <w:color w:val="auto"/>
          <w:sz w:val="24"/>
        </w:rPr>
        <w:t>）汇总商务技术得分</w:t>
      </w:r>
    </w:p>
    <w:p w14:paraId="6E7826B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16D01B3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6C722128">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九</w:t>
      </w:r>
      <w:r>
        <w:rPr>
          <w:rFonts w:hint="eastAsia"/>
          <w:b/>
          <w:bCs/>
          <w:color w:val="auto"/>
          <w:sz w:val="24"/>
        </w:rPr>
        <w:t>）排序与推荐</w:t>
      </w:r>
    </w:p>
    <w:p w14:paraId="751B6C5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w:t>
      </w:r>
      <w:r>
        <w:rPr>
          <w:rFonts w:hint="eastAsia"/>
          <w:color w:val="auto"/>
          <w:sz w:val="24"/>
        </w:rPr>
        <w:t>据综合评分情况，按照评审得分由高到低顺序推荐3名以上成交候选供应商，并编写评审报告。符合《政府采购竞争性磋商采购方式管理暂行办法》（财库〔2014〕214号）</w:t>
      </w:r>
      <w:bookmarkStart w:id="289" w:name="OLE_LINK6"/>
      <w:r>
        <w:rPr>
          <w:rFonts w:hint="eastAsia"/>
          <w:color w:val="auto"/>
          <w:sz w:val="24"/>
        </w:rPr>
        <w:t>第二十一条第三款</w:t>
      </w:r>
      <w:bookmarkEnd w:id="289"/>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39B7545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十</w:t>
      </w:r>
      <w:r>
        <w:rPr>
          <w:rFonts w:hint="eastAsia"/>
          <w:b/>
          <w:bCs/>
          <w:color w:val="auto"/>
          <w:sz w:val="24"/>
        </w:rPr>
        <w:t>）编写评审报告</w:t>
      </w:r>
    </w:p>
    <w:p w14:paraId="54BC39F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75DE381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w:t>
      </w:r>
      <w:r>
        <w:rPr>
          <w:rFonts w:hint="eastAsia"/>
          <w:b/>
          <w:bCs/>
          <w:color w:val="auto"/>
          <w:sz w:val="24"/>
          <w:lang w:val="en-US" w:eastAsia="zh-CN"/>
        </w:rPr>
        <w:t>一</w:t>
      </w:r>
      <w:r>
        <w:rPr>
          <w:rFonts w:hint="eastAsia"/>
          <w:b/>
          <w:bCs/>
          <w:color w:val="auto"/>
          <w:sz w:val="24"/>
        </w:rPr>
        <w:t>）磋商评审过程的保密性</w:t>
      </w:r>
    </w:p>
    <w:p w14:paraId="68561C5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2EC7584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6478F76E">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90" w:name="_Toc26757"/>
      <w:bookmarkStart w:id="291" w:name="_Toc17524"/>
      <w:bookmarkStart w:id="292" w:name="_Toc3813"/>
      <w:bookmarkStart w:id="293" w:name="_Toc7256"/>
      <w:bookmarkStart w:id="294" w:name="_Toc28002"/>
      <w:bookmarkStart w:id="295" w:name="_Toc9496"/>
      <w:bookmarkStart w:id="296" w:name="_Toc15767"/>
      <w:bookmarkStart w:id="297" w:name="_Toc26288"/>
      <w:bookmarkStart w:id="298" w:name="_Toc32587"/>
      <w:bookmarkStart w:id="299" w:name="_Toc12279"/>
      <w:bookmarkStart w:id="300" w:name="_Toc13854"/>
      <w:bookmarkStart w:id="301" w:name="_Toc4483"/>
      <w:bookmarkStart w:id="302" w:name="_Toc5529"/>
      <w:bookmarkStart w:id="303" w:name="_Toc5340"/>
      <w:bookmarkStart w:id="304" w:name="_Toc6273"/>
      <w:bookmarkStart w:id="305" w:name="_Toc27426"/>
      <w:bookmarkStart w:id="306" w:name="_Toc22665"/>
      <w:bookmarkStart w:id="307" w:name="_Toc8603"/>
      <w:bookmarkStart w:id="308" w:name="_Toc4926"/>
      <w:bookmarkStart w:id="309" w:name="_Toc26044"/>
      <w:bookmarkStart w:id="310" w:name="_Toc29029"/>
      <w:bookmarkStart w:id="311" w:name="_Toc18073"/>
      <w:bookmarkStart w:id="312" w:name="_Toc16451"/>
      <w:bookmarkStart w:id="313" w:name="_Toc30131"/>
      <w:bookmarkStart w:id="314" w:name="_Toc10879"/>
      <w:bookmarkStart w:id="315" w:name="_Toc22706"/>
      <w:bookmarkStart w:id="316" w:name="_Toc21433"/>
      <w:bookmarkStart w:id="317" w:name="_Toc29830"/>
      <w:bookmarkStart w:id="318" w:name="_Toc2251"/>
      <w:bookmarkStart w:id="319" w:name="_Toc20162"/>
      <w:bookmarkStart w:id="320" w:name="_Toc17917"/>
      <w:bookmarkStart w:id="321" w:name="_Toc326"/>
      <w:bookmarkStart w:id="322" w:name="_Toc21515"/>
      <w:bookmarkStart w:id="323" w:name="_Toc30041"/>
      <w:bookmarkStart w:id="324" w:name="_Toc14468"/>
      <w:r>
        <w:rPr>
          <w:rFonts w:hint="eastAsia" w:ascii="楷体" w:hAnsi="楷体" w:eastAsia="楷体" w:cs="楷体"/>
          <w:snapToGrid w:val="0"/>
          <w:color w:val="auto"/>
          <w:kern w:val="44"/>
          <w:sz w:val="32"/>
          <w:szCs w:val="32"/>
        </w:rPr>
        <w:t>七、合同授予</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4A82F04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08F2B71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6F0B77A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61220AB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4EF0BBA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6C98EEF2">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0238F355">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57D3BB00">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0EDC0E6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67C4B3FD">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3270660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58C23C83">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018065ED">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23E79DC7">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779E2770">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5C89E47C">
      <w:pPr>
        <w:pStyle w:val="6"/>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bookmarkStart w:id="325" w:name="_Toc27025"/>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bookmarkEnd w:id="325"/>
    </w:p>
    <w:p w14:paraId="2AA56C6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7CA7D82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2F168CE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71FA2D4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4D1702A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6729F09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1CE1E6D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7EEAA9E6">
      <w:pPr>
        <w:pStyle w:val="4"/>
        <w:bidi w:val="0"/>
        <w:outlineLvl w:val="0"/>
        <w:rPr>
          <w:rFonts w:hint="eastAsia" w:ascii="Times New Roman" w:hAnsi="Times New Roman" w:eastAsia="黑体" w:cs="Times New Roman"/>
          <w:b/>
          <w:color w:val="auto"/>
          <w:kern w:val="44"/>
          <w:sz w:val="36"/>
          <w:szCs w:val="22"/>
          <w:lang w:val="en-US" w:eastAsia="zh-CN" w:bidi="ar-SA"/>
        </w:rPr>
      </w:pPr>
      <w:bookmarkStart w:id="326" w:name="_Toc27094"/>
      <w:bookmarkStart w:id="327" w:name="_Toc31754"/>
      <w:bookmarkStart w:id="328" w:name="_Toc18478"/>
      <w:bookmarkStart w:id="329" w:name="_Toc10023"/>
      <w:bookmarkStart w:id="330" w:name="_Toc24700"/>
      <w:bookmarkStart w:id="331" w:name="_Toc30987"/>
      <w:bookmarkStart w:id="332" w:name="_Toc11599"/>
      <w:r>
        <w:rPr>
          <w:rStyle w:val="55"/>
          <w:rFonts w:ascii="Times New Roman" w:hAnsi="Times New Roman"/>
          <w:b/>
          <w:snapToGrid w:val="0"/>
          <w:color w:val="auto"/>
        </w:rPr>
        <w:br w:type="page"/>
      </w:r>
      <w:bookmarkStart w:id="333" w:name="_Toc8227"/>
      <w:bookmarkStart w:id="334" w:name="_Toc27525"/>
      <w:bookmarkStart w:id="335" w:name="_Toc15832"/>
      <w:bookmarkStart w:id="336" w:name="_Toc17768"/>
      <w:bookmarkStart w:id="337" w:name="_Toc5470"/>
      <w:bookmarkStart w:id="338" w:name="_Toc30301"/>
      <w:bookmarkStart w:id="339" w:name="_Toc30158"/>
      <w:bookmarkStart w:id="340" w:name="_Toc32035"/>
      <w:bookmarkStart w:id="341" w:name="_Toc20593"/>
      <w:bookmarkStart w:id="342" w:name="_Toc14142"/>
      <w:bookmarkStart w:id="343" w:name="_Toc16902"/>
      <w:bookmarkStart w:id="344" w:name="_Toc6438"/>
      <w:bookmarkStart w:id="345" w:name="_Toc7293"/>
      <w:bookmarkStart w:id="346" w:name="_Toc26100"/>
      <w:bookmarkStart w:id="347" w:name="_Toc15038"/>
      <w:bookmarkStart w:id="348" w:name="_Toc27781"/>
      <w:bookmarkStart w:id="349" w:name="_Toc26169"/>
      <w:bookmarkStart w:id="350" w:name="_Toc8630"/>
      <w:bookmarkStart w:id="351" w:name="_Toc24396"/>
      <w:bookmarkStart w:id="352" w:name="_Toc23225"/>
      <w:bookmarkStart w:id="353" w:name="_Toc23632"/>
      <w:bookmarkStart w:id="354" w:name="_Toc17708"/>
      <w:bookmarkStart w:id="355" w:name="_Toc12012"/>
      <w:bookmarkStart w:id="356" w:name="_Toc3282"/>
      <w:bookmarkStart w:id="357" w:name="_Toc12347"/>
      <w:bookmarkStart w:id="358" w:name="_Toc14406"/>
      <w:bookmarkStart w:id="359" w:name="_Toc365"/>
      <w:bookmarkStart w:id="360" w:name="_Toc22180"/>
      <w:bookmarkStart w:id="361" w:name="_Toc646"/>
      <w:bookmarkStart w:id="362" w:name="_Toc7338"/>
      <w:bookmarkStart w:id="363" w:name="_Toc9109"/>
      <w:bookmarkStart w:id="364" w:name="_Toc10406"/>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33"/>
    </w:p>
    <w:bookmarkEnd w:id="326"/>
    <w:bookmarkEnd w:id="327"/>
    <w:bookmarkEnd w:id="328"/>
    <w:bookmarkEnd w:id="329"/>
    <w:bookmarkEnd w:id="330"/>
    <w:bookmarkEnd w:id="331"/>
    <w:bookmarkEnd w:id="332"/>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14:paraId="2EE63F78">
      <w:pPr>
        <w:pStyle w:val="6"/>
        <w:ind w:left="0" w:firstLine="0"/>
        <w:outlineLvl w:val="1"/>
        <w:rPr>
          <w:rFonts w:hint="default" w:eastAsia="宋体"/>
          <w:color w:val="auto"/>
          <w:lang w:val="en-US" w:eastAsia="zh-CN"/>
        </w:rPr>
      </w:pPr>
      <w:bookmarkStart w:id="365" w:name="_Toc23353"/>
      <w:bookmarkStart w:id="366" w:name="_Toc29510"/>
      <w:bookmarkStart w:id="367" w:name="_Toc31434"/>
      <w:bookmarkStart w:id="368" w:name="_Toc3711"/>
      <w:bookmarkStart w:id="369" w:name="_Toc27955"/>
      <w:bookmarkStart w:id="370" w:name="_Toc21296"/>
      <w:bookmarkStart w:id="371" w:name="_Toc1660"/>
      <w:bookmarkStart w:id="372" w:name="_Toc20153"/>
      <w:bookmarkStart w:id="373" w:name="_Toc3691"/>
      <w:bookmarkStart w:id="374" w:name="_Toc14512"/>
      <w:r>
        <w:rPr>
          <w:rFonts w:hint="eastAsia"/>
          <w:color w:val="auto"/>
        </w:rPr>
        <w:t>一、</w:t>
      </w:r>
      <w:r>
        <w:rPr>
          <w:rFonts w:hint="eastAsia"/>
          <w:color w:val="auto"/>
          <w:lang w:val="en-US" w:eastAsia="zh-CN"/>
        </w:rPr>
        <w:t>项目说明</w:t>
      </w:r>
      <w:bookmarkEnd w:id="365"/>
    </w:p>
    <w:p w14:paraId="6C2F2716">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bCs/>
          <w:color w:val="auto"/>
          <w:sz w:val="24"/>
          <w:szCs w:val="24"/>
          <w:lang w:val="en-US" w:eastAsia="zh-CN"/>
        </w:rPr>
      </w:pPr>
      <w:r>
        <w:rPr>
          <w:rFonts w:hint="eastAsia"/>
          <w:bCs/>
          <w:color w:val="auto"/>
          <w:sz w:val="24"/>
          <w:szCs w:val="24"/>
          <w:lang w:val="en-US" w:eastAsia="zh-CN"/>
        </w:rPr>
        <w:t>本项目依托深海领域科研计划，拟研发一套工作水深达6000米的深海移动观测平台，用于执行高精度深海原位观测与海底取样任务。平台在实际坐底作业过程中常面临首选着陆点地形崎岖、观测视野受限或取样条件不佳等复杂海底微地形工况，需具备在6000米级水深及底流干扰条件下进行短距离自主移动、悬停与精准调姿的能力。深海推进器是实现上述功能的核心组件。为此，本项目计划购置8套适用于6000米深海环境的高性能水下电力推进器及配套组件，构建多自由度矢量动力推进系统。供应商需按期交付推进器本体、电机驱动单元及配套深海接插件等硬件设备，并配合采购方完成8套推进器与平台主控系统的机械结构集成、多节点电气对接以及底层控制逻辑的现场联调联试。</w:t>
      </w:r>
    </w:p>
    <w:p w14:paraId="4D995B37">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bCs/>
          <w:color w:val="auto"/>
          <w:sz w:val="24"/>
          <w:szCs w:val="24"/>
          <w:lang w:val="en-US" w:eastAsia="zh-CN"/>
        </w:rPr>
      </w:pPr>
      <w:r>
        <w:rPr>
          <w:rFonts w:hint="eastAsia"/>
          <w:bCs/>
          <w:color w:val="auto"/>
          <w:sz w:val="24"/>
          <w:szCs w:val="24"/>
          <w:lang w:val="en-US" w:eastAsia="zh-CN"/>
        </w:rPr>
        <w:t>本项目购置的8套推进器将构成推进器阵列，预期可在6000米深海复杂环境中实现可靠的动密封、静密封及抗磨损性能，从而保障平台在水下的高效连续作业；在此基础上，推进器还需具备快速动态响应与平滑推力输出能力，以支持平台在复杂海底完成抗流平移与精准调姿，进而确保观测与取样设备精确就位；同时，设备应提供开放的电气控制接口，与平台现有主控系统无缝兼容，并支持多节点高效组网协同控制，从而最大限度降低系统集成技术风险与联调时间成本。</w:t>
      </w:r>
    </w:p>
    <w:p w14:paraId="08F8F252">
      <w:pPr>
        <w:pStyle w:val="6"/>
        <w:ind w:left="0" w:firstLine="0"/>
        <w:outlineLvl w:val="1"/>
        <w:rPr>
          <w:color w:val="auto"/>
        </w:rPr>
      </w:pPr>
      <w:bookmarkStart w:id="375" w:name="_Toc11077"/>
      <w:r>
        <w:rPr>
          <w:rFonts w:hint="eastAsia"/>
          <w:color w:val="auto"/>
          <w:lang w:val="en-US" w:eastAsia="zh-CN"/>
        </w:rPr>
        <w:t>二、</w:t>
      </w:r>
      <w:r>
        <w:rPr>
          <w:rFonts w:hint="eastAsia"/>
          <w:color w:val="auto"/>
        </w:rPr>
        <w:t>货物清单</w:t>
      </w:r>
      <w:bookmarkEnd w:id="375"/>
    </w:p>
    <w:tbl>
      <w:tblPr>
        <w:tblStyle w:val="45"/>
        <w:tblW w:w="9360"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
        <w:gridCol w:w="985"/>
        <w:gridCol w:w="5184"/>
        <w:gridCol w:w="660"/>
        <w:gridCol w:w="1050"/>
        <w:gridCol w:w="990"/>
      </w:tblGrid>
      <w:tr w14:paraId="6F714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1" w:type="dxa"/>
            <w:noWrap w:val="0"/>
            <w:vAlign w:val="center"/>
          </w:tcPr>
          <w:p w14:paraId="287D52B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985" w:type="dxa"/>
            <w:noWrap w:val="0"/>
            <w:vAlign w:val="center"/>
          </w:tcPr>
          <w:p w14:paraId="060C7CB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5184" w:type="dxa"/>
            <w:noWrap w:val="0"/>
            <w:vAlign w:val="center"/>
          </w:tcPr>
          <w:p w14:paraId="62F137F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详细技术指标</w:t>
            </w:r>
          </w:p>
        </w:tc>
        <w:tc>
          <w:tcPr>
            <w:tcW w:w="660" w:type="dxa"/>
            <w:noWrap w:val="0"/>
            <w:vAlign w:val="center"/>
          </w:tcPr>
          <w:p w14:paraId="395861F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1050" w:type="dxa"/>
            <w:noWrap w:val="0"/>
            <w:vAlign w:val="center"/>
          </w:tcPr>
          <w:p w14:paraId="434495A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预算单价（元）</w:t>
            </w:r>
          </w:p>
        </w:tc>
        <w:tc>
          <w:tcPr>
            <w:tcW w:w="990" w:type="dxa"/>
            <w:noWrap w:val="0"/>
            <w:vAlign w:val="center"/>
          </w:tcPr>
          <w:p w14:paraId="48DB38B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预算总价（元）</w:t>
            </w:r>
          </w:p>
        </w:tc>
      </w:tr>
      <w:tr w14:paraId="77EB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491" w:type="dxa"/>
            <w:noWrap w:val="0"/>
            <w:vAlign w:val="center"/>
          </w:tcPr>
          <w:p w14:paraId="72A313A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985" w:type="dxa"/>
            <w:noWrap w:val="0"/>
            <w:vAlign w:val="center"/>
          </w:tcPr>
          <w:p w14:paraId="06552A89">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推进器</w:t>
            </w:r>
          </w:p>
        </w:tc>
        <w:tc>
          <w:tcPr>
            <w:tcW w:w="5184" w:type="dxa"/>
            <w:noWrap w:val="0"/>
            <w:vAlign w:val="top"/>
          </w:tcPr>
          <w:p w14:paraId="62D09119">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4"/>
                <w:szCs w:val="24"/>
                <w:lang w:val="en-US" w:eastAsia="zh-CN"/>
              </w:rPr>
            </w:pPr>
            <w:r>
              <w:rPr>
                <w:rFonts w:ascii="Times New Roman" w:hAnsi="Times New Roman"/>
                <w:color w:val="auto"/>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工作水深：≥6000m</w:t>
            </w:r>
            <w:r>
              <w:rPr>
                <w:rFonts w:hint="eastAsia" w:ascii="宋体" w:hAnsi="宋体" w:eastAsia="宋体" w:cs="宋体"/>
                <w:color w:val="auto"/>
                <w:sz w:val="24"/>
                <w:szCs w:val="24"/>
                <w:lang w:val="en-US" w:eastAsia="zh-CN"/>
              </w:rPr>
              <w:t>；</w:t>
            </w:r>
          </w:p>
          <w:p w14:paraId="5137A55F">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4"/>
                <w:szCs w:val="24"/>
                <w:lang w:val="en-US" w:eastAsia="zh-CN"/>
              </w:rPr>
            </w:pPr>
            <w:r>
              <w:rPr>
                <w:rFonts w:ascii="Times New Roman" w:hAnsi="Times New Roman"/>
                <w:color w:val="auto"/>
              </w:rPr>
              <w:t>▲</w:t>
            </w:r>
            <w:r>
              <w:rPr>
                <w:rFonts w:hint="eastAsia" w:ascii="宋体" w:hAnsi="宋体" w:eastAsia="宋体" w:cs="宋体"/>
                <w:color w:val="auto"/>
                <w:sz w:val="24"/>
                <w:szCs w:val="24"/>
                <w:lang w:val="en-US" w:eastAsia="zh-CN"/>
              </w:rPr>
              <w:t>2、额定功率：3kW；</w:t>
            </w:r>
          </w:p>
          <w:p w14:paraId="05C8DF4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3、额定电压：550VDC；</w:t>
            </w:r>
          </w:p>
          <w:p w14:paraId="4423CDE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4、额定转速：1600rpm；</w:t>
            </w:r>
          </w:p>
          <w:p w14:paraId="435010A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5、控制电压：24V；</w:t>
            </w:r>
          </w:p>
          <w:p w14:paraId="0609001D">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6、主要材质：铝合金或同等耐腐蚀合金材质；</w:t>
            </w:r>
          </w:p>
          <w:p w14:paraId="2CABB4F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7、外形尺寸：长度≤450mm，直径≤300mm；</w:t>
            </w:r>
          </w:p>
          <w:p w14:paraId="767B6BA8">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8、设备重量：≤18kg（空气中）；</w:t>
            </w:r>
          </w:p>
          <w:p w14:paraId="711AEF6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4"/>
                <w:szCs w:val="24"/>
                <w:lang w:val="en-US" w:eastAsia="zh-CN"/>
              </w:rPr>
            </w:pPr>
            <w:r>
              <w:rPr>
                <w:rFonts w:ascii="Times New Roman" w:hAnsi="Times New Roman"/>
                <w:color w:val="auto"/>
              </w:rPr>
              <w:t>▲</w:t>
            </w:r>
            <w:r>
              <w:rPr>
                <w:rFonts w:hint="eastAsia" w:ascii="宋体" w:hAnsi="宋体" w:eastAsia="宋体" w:cs="宋体"/>
                <w:color w:val="auto"/>
                <w:sz w:val="24"/>
                <w:szCs w:val="24"/>
                <w:lang w:val="en-US" w:eastAsia="zh-CN"/>
              </w:rPr>
              <w:t>9、正向额定推力不小于90kgf；</w:t>
            </w:r>
          </w:p>
          <w:p w14:paraId="0711D20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4"/>
                <w:szCs w:val="24"/>
                <w:lang w:val="en-US" w:eastAsia="zh-CN"/>
              </w:rPr>
            </w:pPr>
            <w:r>
              <w:rPr>
                <w:rFonts w:ascii="Times New Roman" w:hAnsi="Times New Roman"/>
                <w:color w:val="auto"/>
              </w:rPr>
              <w:t>▲</w:t>
            </w:r>
            <w:r>
              <w:rPr>
                <w:rFonts w:hint="eastAsia" w:ascii="宋体" w:hAnsi="宋体" w:eastAsia="宋体" w:cs="宋体"/>
                <w:color w:val="auto"/>
                <w:sz w:val="24"/>
                <w:szCs w:val="24"/>
                <w:lang w:val="en-US" w:eastAsia="zh-CN"/>
              </w:rPr>
              <w:t>10、反向额定推力不小于75kgf；</w:t>
            </w:r>
          </w:p>
          <w:p w14:paraId="0A351AF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4"/>
                <w:szCs w:val="24"/>
                <w:lang w:val="en-US" w:eastAsia="zh-CN"/>
              </w:rPr>
            </w:pPr>
            <w:r>
              <w:rPr>
                <w:rFonts w:ascii="Times New Roman" w:hAnsi="Times New Roman"/>
                <w:color w:val="auto"/>
              </w:rPr>
              <w:t>▲</w:t>
            </w:r>
            <w:r>
              <w:rPr>
                <w:rFonts w:hint="eastAsia" w:ascii="宋体" w:hAnsi="宋体" w:eastAsia="宋体" w:cs="宋体"/>
                <w:color w:val="auto"/>
                <w:sz w:val="24"/>
                <w:szCs w:val="24"/>
                <w:lang w:val="en-US" w:eastAsia="zh-CN"/>
              </w:rPr>
              <w:t>11、工作温度：0℃-50℃，适用于常规海洋环境；</w:t>
            </w:r>
          </w:p>
          <w:p w14:paraId="108DF6F4">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12、电控部分：每台设备内置一台电机驱动器，除必要的驱动设备运行外还需要具有转速反馈、电流反馈、状态反馈等其它基本功能；</w:t>
            </w:r>
          </w:p>
          <w:p w14:paraId="032A59AC">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13、接线要求：接线接口采用标准10芯公座；</w:t>
            </w:r>
          </w:p>
          <w:p w14:paraId="41F1C98E">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14、转向控制：支持正/反向推进切换，推力可调；</w:t>
            </w:r>
          </w:p>
          <w:p w14:paraId="0FE6E9D3">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15、配套文件要求：每台推进器须提供①设备使用说明书1套；②设备出厂编号证书1份；③核心部件压力测试报告、振动测试报告各1份；④设备总体性能测试报告1份。</w:t>
            </w:r>
          </w:p>
        </w:tc>
        <w:tc>
          <w:tcPr>
            <w:tcW w:w="660" w:type="dxa"/>
            <w:noWrap w:val="0"/>
            <w:vAlign w:val="center"/>
          </w:tcPr>
          <w:p w14:paraId="1FA3240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8</w:t>
            </w:r>
            <w:r>
              <w:rPr>
                <w:rFonts w:hint="eastAsia" w:ascii="宋体" w:hAnsi="宋体" w:eastAsia="宋体" w:cs="宋体"/>
                <w:color w:val="auto"/>
                <w:sz w:val="24"/>
                <w:szCs w:val="24"/>
                <w:lang w:val="en-US" w:eastAsia="zh-CN"/>
              </w:rPr>
              <w:t>套</w:t>
            </w:r>
          </w:p>
        </w:tc>
        <w:tc>
          <w:tcPr>
            <w:tcW w:w="1050" w:type="dxa"/>
            <w:noWrap w:val="0"/>
            <w:vAlign w:val="center"/>
          </w:tcPr>
          <w:p w14:paraId="67E9927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51000</w:t>
            </w:r>
          </w:p>
        </w:tc>
        <w:tc>
          <w:tcPr>
            <w:tcW w:w="990" w:type="dxa"/>
            <w:noWrap w:val="0"/>
            <w:vAlign w:val="center"/>
          </w:tcPr>
          <w:p w14:paraId="1348D6A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408000</w:t>
            </w:r>
          </w:p>
        </w:tc>
      </w:tr>
    </w:tbl>
    <w:p w14:paraId="2629EB12">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bCs/>
          <w:color w:val="auto"/>
          <w:sz w:val="24"/>
          <w:szCs w:val="24"/>
        </w:rPr>
      </w:pPr>
      <w:r>
        <w:rPr>
          <w:rFonts w:hint="eastAsia"/>
          <w:bCs/>
          <w:color w:val="auto"/>
          <w:sz w:val="24"/>
          <w:szCs w:val="24"/>
        </w:rPr>
        <w:t>注：1、上述采购产品中采购人提供了部分产品或部件或配件的参考品牌型号或认证（如有），但采购人同时也欢迎供应商提供品牌档次、技术性能、认证等级不低于参考品牌型号或认证的产品或部件或配件。</w:t>
      </w:r>
    </w:p>
    <w:p w14:paraId="6E1F71EC">
      <w:pPr>
        <w:pStyle w:val="8"/>
        <w:keepNext w:val="0"/>
        <w:keepLines w:val="0"/>
        <w:pageBreakBefore w:val="0"/>
        <w:widowControl w:val="0"/>
        <w:kinsoku/>
        <w:wordWrap/>
        <w:overflowPunct/>
        <w:topLinePunct w:val="0"/>
        <w:autoSpaceDE/>
        <w:autoSpaceDN/>
        <w:bidi w:val="0"/>
        <w:adjustRightInd/>
        <w:snapToGrid/>
        <w:spacing w:line="288" w:lineRule="auto"/>
        <w:textAlignment w:val="auto"/>
        <w:rPr>
          <w:bCs/>
          <w:color w:val="auto"/>
          <w:sz w:val="24"/>
          <w:szCs w:val="24"/>
        </w:rPr>
      </w:pPr>
      <w:r>
        <w:rPr>
          <w:rFonts w:hint="eastAsia"/>
          <w:bCs/>
          <w:color w:val="auto"/>
          <w:sz w:val="24"/>
        </w:rPr>
        <w:t>▲</w:t>
      </w:r>
      <w:r>
        <w:rPr>
          <w:rFonts w:hint="eastAsia"/>
          <w:bCs/>
          <w:color w:val="auto"/>
          <w:sz w:val="24"/>
          <w:szCs w:val="24"/>
        </w:rPr>
        <w:t>2、本项目采购的国产设备，不得提供进口设备投标（响应），否则投标（响应）无效。</w:t>
      </w:r>
    </w:p>
    <w:p w14:paraId="70161BAA">
      <w:pPr>
        <w:pStyle w:val="6"/>
        <w:ind w:left="0" w:firstLine="0"/>
        <w:outlineLvl w:val="1"/>
        <w:rPr>
          <w:color w:val="auto"/>
        </w:rPr>
      </w:pPr>
      <w:bookmarkStart w:id="376" w:name="_Toc7721"/>
      <w:r>
        <w:rPr>
          <w:rFonts w:hint="eastAsia"/>
          <w:color w:val="auto"/>
          <w:lang w:val="en-US" w:eastAsia="zh-CN"/>
        </w:rPr>
        <w:t>三</w:t>
      </w:r>
      <w:r>
        <w:rPr>
          <w:rFonts w:hint="eastAsia"/>
          <w:color w:val="auto"/>
        </w:rPr>
        <w:t>、商务要求</w:t>
      </w:r>
      <w:bookmarkEnd w:id="376"/>
    </w:p>
    <w:p w14:paraId="01945056">
      <w:pPr>
        <w:spacing w:line="360" w:lineRule="auto"/>
        <w:ind w:firstLine="420" w:firstLineChars="175"/>
        <w:rPr>
          <w:rFonts w:hint="eastAsia"/>
          <w:color w:val="auto"/>
          <w:sz w:val="24"/>
        </w:rPr>
      </w:pPr>
      <w:r>
        <w:rPr>
          <w:rFonts w:hint="eastAsia"/>
          <w:color w:val="auto"/>
          <w:sz w:val="24"/>
        </w:rPr>
        <w:t>甲方：采购人，乙方：成交供应商</w:t>
      </w:r>
    </w:p>
    <w:p w14:paraId="0577797E">
      <w:pPr>
        <w:spacing w:line="360" w:lineRule="auto"/>
        <w:ind w:firstLine="422" w:firstLineChars="175"/>
        <w:rPr>
          <w:rFonts w:hAnsi="宋体" w:cs="宋体"/>
          <w:color w:val="auto"/>
          <w:sz w:val="24"/>
        </w:rPr>
      </w:pPr>
      <w:r>
        <w:rPr>
          <w:rFonts w:hint="eastAsia" w:hAnsi="宋体" w:cs="宋体"/>
          <w:b/>
          <w:bCs/>
          <w:color w:val="auto"/>
          <w:sz w:val="24"/>
        </w:rPr>
        <w:t>1、</w:t>
      </w:r>
      <w:r>
        <w:rPr>
          <w:rFonts w:hint="eastAsia" w:ascii="宋体" w:hAnsi="宋体" w:cs="宋体"/>
          <w:b/>
          <w:bCs/>
          <w:color w:val="auto"/>
          <w:sz w:val="24"/>
        </w:rPr>
        <w:t>▲</w:t>
      </w:r>
      <w:r>
        <w:rPr>
          <w:rFonts w:hint="eastAsia" w:hAnsi="宋体" w:cs="宋体"/>
          <w:b/>
          <w:bCs/>
          <w:color w:val="auto"/>
          <w:sz w:val="24"/>
        </w:rPr>
        <w:t>交货期：</w:t>
      </w:r>
      <w:r>
        <w:rPr>
          <w:rFonts w:hint="eastAsia" w:hAnsi="宋体" w:cs="宋体"/>
          <w:color w:val="auto"/>
          <w:sz w:val="24"/>
        </w:rPr>
        <w:t>自合同签订之日起</w:t>
      </w:r>
      <w:r>
        <w:rPr>
          <w:rFonts w:hint="eastAsia" w:hAnsi="宋体" w:cs="宋体"/>
          <w:color w:val="auto"/>
          <w:sz w:val="24"/>
          <w:u w:val="single"/>
        </w:rPr>
        <w:t xml:space="preserve"> 90 </w:t>
      </w:r>
      <w:r>
        <w:rPr>
          <w:rFonts w:hint="eastAsia" w:hAnsi="宋体" w:cs="宋体"/>
          <w:color w:val="auto"/>
          <w:sz w:val="24"/>
        </w:rPr>
        <w:t>个工作日内。交货后</w:t>
      </w:r>
      <w:r>
        <w:rPr>
          <w:rFonts w:hint="eastAsia" w:hAnsi="宋体" w:cs="宋体"/>
          <w:color w:val="auto"/>
          <w:sz w:val="24"/>
          <w:u w:val="single"/>
        </w:rPr>
        <w:t xml:space="preserve">  10  </w:t>
      </w:r>
      <w:r>
        <w:rPr>
          <w:rFonts w:hint="eastAsia" w:hAnsi="宋体" w:cs="宋体"/>
          <w:color w:val="auto"/>
          <w:sz w:val="24"/>
        </w:rPr>
        <w:t>个工作日内完成安装调试。</w:t>
      </w:r>
    </w:p>
    <w:p w14:paraId="54E91186">
      <w:pPr>
        <w:spacing w:line="360" w:lineRule="auto"/>
        <w:ind w:firstLine="422" w:firstLineChars="175"/>
        <w:rPr>
          <w:rFonts w:hint="eastAsia" w:hAnsi="宋体" w:cs="宋体"/>
          <w:color w:val="auto"/>
          <w:sz w:val="24"/>
        </w:rPr>
      </w:pPr>
      <w:r>
        <w:rPr>
          <w:rFonts w:hint="eastAsia" w:hAnsi="宋体" w:cs="宋体"/>
          <w:b/>
          <w:bCs/>
          <w:color w:val="auto"/>
          <w:sz w:val="24"/>
        </w:rPr>
        <w:t>2、</w:t>
      </w:r>
      <w:r>
        <w:rPr>
          <w:rFonts w:hint="eastAsia" w:ascii="宋体" w:hAnsi="宋体" w:cs="宋体"/>
          <w:b/>
          <w:bCs/>
          <w:color w:val="auto"/>
          <w:sz w:val="24"/>
        </w:rPr>
        <w:t>▲</w:t>
      </w:r>
      <w:r>
        <w:rPr>
          <w:rFonts w:hint="eastAsia" w:hAnsi="宋体" w:cs="宋体"/>
          <w:b/>
          <w:bCs/>
          <w:color w:val="auto"/>
          <w:sz w:val="24"/>
        </w:rPr>
        <w:t>交货方式：</w:t>
      </w:r>
      <w:r>
        <w:rPr>
          <w:rFonts w:hint="eastAsia" w:hAnsi="宋体" w:cs="宋体"/>
          <w:color w:val="auto"/>
          <w:sz w:val="24"/>
          <w:u w:val="single"/>
        </w:rPr>
        <w:t>　送货上门　</w:t>
      </w:r>
      <w:r>
        <w:rPr>
          <w:rFonts w:hint="eastAsia" w:hAnsi="宋体" w:cs="宋体"/>
          <w:color w:val="auto"/>
          <w:sz w:val="24"/>
        </w:rPr>
        <w:t>。</w:t>
      </w:r>
    </w:p>
    <w:p w14:paraId="4E58B801">
      <w:pPr>
        <w:spacing w:line="360" w:lineRule="auto"/>
        <w:ind w:firstLine="422" w:firstLineChars="175"/>
        <w:rPr>
          <w:rFonts w:hint="eastAsia" w:hAnsi="宋体" w:cs="宋体"/>
          <w:color w:val="auto"/>
          <w:sz w:val="24"/>
        </w:rPr>
      </w:pPr>
      <w:r>
        <w:rPr>
          <w:rFonts w:hint="eastAsia" w:hAnsi="宋体" w:cs="宋体"/>
          <w:b/>
          <w:bCs/>
          <w:color w:val="auto"/>
          <w:sz w:val="24"/>
        </w:rPr>
        <w:t>3、</w:t>
      </w:r>
      <w:r>
        <w:rPr>
          <w:rFonts w:hint="eastAsia" w:ascii="宋体" w:hAnsi="宋体" w:cs="宋体"/>
          <w:b/>
          <w:bCs/>
          <w:color w:val="auto"/>
          <w:sz w:val="24"/>
        </w:rPr>
        <w:t>▲</w:t>
      </w:r>
      <w:r>
        <w:rPr>
          <w:rFonts w:hint="eastAsia" w:hAnsi="宋体" w:cs="宋体"/>
          <w:b/>
          <w:bCs/>
          <w:color w:val="auto"/>
          <w:sz w:val="24"/>
        </w:rPr>
        <w:t>交货地点 ：</w:t>
      </w:r>
      <w:r>
        <w:rPr>
          <w:rFonts w:hint="eastAsia" w:hAnsi="宋体" w:cs="宋体"/>
          <w:color w:val="auto"/>
          <w:sz w:val="24"/>
        </w:rPr>
        <w:t>甲方指定地点。</w:t>
      </w:r>
    </w:p>
    <w:p w14:paraId="47FD7710">
      <w:pPr>
        <w:spacing w:line="360" w:lineRule="auto"/>
        <w:ind w:firstLine="422" w:firstLineChars="175"/>
        <w:rPr>
          <w:rFonts w:hint="eastAsia" w:hAnsi="宋体" w:cs="宋体"/>
          <w:color w:val="auto"/>
          <w:sz w:val="24"/>
        </w:rPr>
      </w:pPr>
      <w:r>
        <w:rPr>
          <w:rFonts w:hint="eastAsia" w:hAnsi="宋体" w:cs="宋体"/>
          <w:b/>
          <w:bCs/>
          <w:color w:val="auto"/>
          <w:sz w:val="24"/>
        </w:rPr>
        <w:t>4、</w:t>
      </w:r>
      <w:r>
        <w:rPr>
          <w:rFonts w:hint="eastAsia" w:ascii="宋体" w:hAnsi="宋体" w:cs="宋体"/>
          <w:b/>
          <w:bCs/>
          <w:color w:val="auto"/>
          <w:sz w:val="24"/>
        </w:rPr>
        <w:t>▲</w:t>
      </w:r>
      <w:r>
        <w:rPr>
          <w:rFonts w:hint="eastAsia" w:hAnsi="宋体" w:cs="宋体"/>
          <w:b/>
          <w:bCs/>
          <w:color w:val="auto"/>
          <w:sz w:val="24"/>
        </w:rPr>
        <w:t>质保期</w:t>
      </w:r>
      <w:r>
        <w:rPr>
          <w:rFonts w:hint="eastAsia" w:hAnsi="宋体" w:cs="宋体"/>
          <w:color w:val="auto"/>
          <w:sz w:val="24"/>
        </w:rPr>
        <w:t>：自验收合格之日起，质保期</w:t>
      </w:r>
      <w:r>
        <w:rPr>
          <w:rFonts w:hint="eastAsia" w:hAnsi="宋体" w:cs="宋体"/>
          <w:color w:val="auto"/>
          <w:sz w:val="24"/>
          <w:u w:val="single"/>
        </w:rPr>
        <w:t xml:space="preserve"> 1 </w:t>
      </w:r>
      <w:r>
        <w:rPr>
          <w:rFonts w:hint="eastAsia" w:hAnsi="宋体" w:cs="宋体"/>
          <w:color w:val="auto"/>
          <w:sz w:val="24"/>
        </w:rPr>
        <w:t>年。货物生产日期要求在</w:t>
      </w:r>
      <w:r>
        <w:rPr>
          <w:rFonts w:hint="eastAsia" w:hAnsi="宋体" w:cs="宋体"/>
          <w:color w:val="auto"/>
          <w:sz w:val="24"/>
          <w:u w:val="single"/>
        </w:rPr>
        <w:t xml:space="preserve"> 2026 </w:t>
      </w:r>
      <w:r>
        <w:rPr>
          <w:rFonts w:hint="eastAsia" w:hAnsi="宋体" w:cs="宋体"/>
          <w:color w:val="auto"/>
          <w:sz w:val="24"/>
        </w:rPr>
        <w:t>年</w:t>
      </w:r>
      <w:r>
        <w:rPr>
          <w:rFonts w:hint="eastAsia" w:hAnsi="宋体" w:cs="宋体"/>
          <w:color w:val="auto"/>
          <w:sz w:val="24"/>
          <w:u w:val="single"/>
        </w:rPr>
        <w:t xml:space="preserve"> 1 </w:t>
      </w:r>
      <w:r>
        <w:rPr>
          <w:rFonts w:hint="eastAsia" w:hAnsi="宋体" w:cs="宋体"/>
          <w:color w:val="auto"/>
          <w:sz w:val="24"/>
        </w:rPr>
        <w:t>月后。</w:t>
      </w:r>
    </w:p>
    <w:p w14:paraId="25B8FFB6">
      <w:pPr>
        <w:spacing w:line="360" w:lineRule="auto"/>
        <w:ind w:firstLine="420" w:firstLineChars="175"/>
        <w:rPr>
          <w:rFonts w:hint="eastAsia" w:hAnsi="宋体" w:cs="宋体"/>
          <w:color w:val="auto"/>
          <w:sz w:val="24"/>
        </w:rPr>
      </w:pPr>
      <w:r>
        <w:rPr>
          <w:rFonts w:hint="eastAsia" w:hAnsi="宋体" w:cs="宋体"/>
          <w:color w:val="auto"/>
          <w:sz w:val="24"/>
          <w:lang w:val="en-US" w:eastAsia="zh-CN"/>
        </w:rPr>
        <w:t>质保</w:t>
      </w:r>
      <w:r>
        <w:rPr>
          <w:rFonts w:hint="eastAsia" w:hAnsi="宋体" w:cs="宋体"/>
          <w:color w:val="auto"/>
          <w:sz w:val="24"/>
        </w:rPr>
        <w:t>期间因质量问题造成的零部件更换由供应商负责。如产品在保修期内同一故障发生3次或在供应商在收到采购人维修要求之日起1个月内无法修复，供应商应无条件更换该产品。供应商需协助采购人对推进器相关的控制、结构等进行设计优化，促进推进器高效使用。设备问题报修后，</w:t>
      </w:r>
      <w:r>
        <w:rPr>
          <w:rFonts w:hint="eastAsia" w:hAnsi="宋体" w:cs="宋体"/>
          <w:color w:val="auto"/>
          <w:sz w:val="24"/>
          <w:lang w:val="en-US" w:eastAsia="zh-CN"/>
        </w:rPr>
        <w:t>供应商</w:t>
      </w:r>
      <w:r>
        <w:rPr>
          <w:rFonts w:hint="eastAsia" w:hAnsi="宋体" w:cs="宋体"/>
          <w:color w:val="auto"/>
          <w:sz w:val="24"/>
        </w:rPr>
        <w:t>应于4小时内响应，48小时内到达现场。</w:t>
      </w:r>
    </w:p>
    <w:p w14:paraId="23B5015D">
      <w:pPr>
        <w:spacing w:line="360" w:lineRule="auto"/>
        <w:ind w:firstLine="420" w:firstLineChars="175"/>
        <w:rPr>
          <w:rFonts w:hint="eastAsia" w:hAnsi="宋体" w:cs="宋体"/>
          <w:color w:val="auto"/>
          <w:sz w:val="24"/>
        </w:rPr>
      </w:pPr>
      <w:r>
        <w:rPr>
          <w:rFonts w:hint="eastAsia" w:hAnsi="宋体" w:cs="宋体"/>
          <w:color w:val="auto"/>
          <w:sz w:val="24"/>
        </w:rPr>
        <w:t>如因采购人操作不当等人为原因导致设备或系统损坏，供应商有责任及时提供技术服务予以修复</w:t>
      </w:r>
      <w:r>
        <w:rPr>
          <w:rFonts w:hint="eastAsia" w:hAnsi="宋体" w:cs="宋体"/>
          <w:color w:val="auto"/>
          <w:sz w:val="24"/>
          <w:lang w:val="en-US" w:eastAsia="zh-CN"/>
        </w:rPr>
        <w:t>；</w:t>
      </w:r>
      <w:r>
        <w:rPr>
          <w:rFonts w:hint="eastAsia" w:hAnsi="宋体" w:cs="宋体"/>
          <w:color w:val="auto"/>
          <w:sz w:val="24"/>
        </w:rPr>
        <w:t>其中，更换的备件及耗材费用按本合同约定的备件清单价格执行或以不高于同类客户的市场最优惠价格。维修前</w:t>
      </w:r>
      <w:r>
        <w:rPr>
          <w:rFonts w:hint="eastAsia" w:hAnsi="宋体" w:cs="宋体"/>
          <w:color w:val="auto"/>
          <w:sz w:val="24"/>
          <w:lang w:val="en-US" w:eastAsia="zh-CN"/>
        </w:rPr>
        <w:t>供应商</w:t>
      </w:r>
      <w:r>
        <w:rPr>
          <w:rFonts w:hint="eastAsia" w:hAnsi="宋体" w:cs="宋体"/>
          <w:color w:val="auto"/>
          <w:sz w:val="24"/>
        </w:rPr>
        <w:t>需提供故障报告及报价，经</w:t>
      </w:r>
      <w:r>
        <w:rPr>
          <w:rFonts w:hint="eastAsia" w:hAnsi="宋体" w:cs="宋体"/>
          <w:color w:val="auto"/>
          <w:sz w:val="24"/>
          <w:lang w:val="en-US" w:eastAsia="zh-CN"/>
        </w:rPr>
        <w:t>采购人</w:t>
      </w:r>
      <w:r>
        <w:rPr>
          <w:rFonts w:hint="eastAsia" w:hAnsi="宋体" w:cs="宋体"/>
          <w:color w:val="auto"/>
          <w:sz w:val="24"/>
        </w:rPr>
        <w:t>确认后实施。</w:t>
      </w:r>
    </w:p>
    <w:p w14:paraId="7757413F">
      <w:pPr>
        <w:spacing w:line="360" w:lineRule="auto"/>
        <w:ind w:firstLine="420" w:firstLineChars="175"/>
        <w:rPr>
          <w:rFonts w:hint="eastAsia"/>
          <w:color w:val="auto"/>
          <w:sz w:val="24"/>
        </w:rPr>
      </w:pPr>
      <w:r>
        <w:rPr>
          <w:rFonts w:hint="eastAsia" w:hAnsi="宋体" w:cs="宋体"/>
          <w:color w:val="auto"/>
          <w:sz w:val="24"/>
        </w:rPr>
        <w:t>在设备通过验收后1年内，</w:t>
      </w:r>
      <w:r>
        <w:rPr>
          <w:rFonts w:hint="eastAsia" w:hAnsi="宋体" w:cs="宋体"/>
          <w:color w:val="auto"/>
          <w:sz w:val="24"/>
          <w:lang w:val="en-US" w:eastAsia="zh-CN"/>
        </w:rPr>
        <w:t>供应商</w:t>
      </w:r>
      <w:r>
        <w:rPr>
          <w:rFonts w:hint="eastAsia" w:hAnsi="宋体" w:cs="宋体"/>
          <w:color w:val="auto"/>
          <w:sz w:val="24"/>
        </w:rPr>
        <w:t>有义务以不高于本合同约定的价格向甲方供应维护设备正常运行所需的备品备件，如在此期间</w:t>
      </w:r>
      <w:r>
        <w:rPr>
          <w:rFonts w:hint="eastAsia" w:hAnsi="宋体" w:cs="宋体"/>
          <w:color w:val="auto"/>
          <w:sz w:val="24"/>
          <w:lang w:val="en-US" w:eastAsia="zh-CN"/>
        </w:rPr>
        <w:t>供应商</w:t>
      </w:r>
      <w:r>
        <w:rPr>
          <w:rFonts w:hint="eastAsia" w:hAnsi="宋体" w:cs="宋体"/>
          <w:color w:val="auto"/>
          <w:sz w:val="24"/>
        </w:rPr>
        <w:t>计划停止或不再制造某些备品备件，将提前半年书面通知采购人，以便采购人有足够时间可以选购一些备品备件。</w:t>
      </w:r>
    </w:p>
    <w:p w14:paraId="0187A2AA">
      <w:pPr>
        <w:spacing w:line="360" w:lineRule="auto"/>
        <w:ind w:firstLine="422" w:firstLineChars="175"/>
        <w:rPr>
          <w:rFonts w:hint="eastAsia" w:hAnsi="宋体" w:cs="宋体"/>
          <w:b/>
          <w:bCs/>
          <w:color w:val="auto"/>
          <w:sz w:val="24"/>
          <w:szCs w:val="22"/>
        </w:rPr>
      </w:pPr>
      <w:r>
        <w:rPr>
          <w:rFonts w:hint="eastAsia" w:hAnsi="宋体" w:cs="宋体"/>
          <w:b/>
          <w:bCs/>
          <w:color w:val="auto"/>
          <w:sz w:val="24"/>
          <w:szCs w:val="22"/>
        </w:rPr>
        <w:t>5、▲付款方式：</w:t>
      </w:r>
    </w:p>
    <w:p w14:paraId="049DB149">
      <w:pPr>
        <w:spacing w:line="360" w:lineRule="auto"/>
        <w:ind w:firstLine="420" w:firstLineChars="175"/>
        <w:rPr>
          <w:rFonts w:hint="eastAsia" w:hAnsi="宋体" w:cs="宋体"/>
          <w:color w:val="auto"/>
          <w:sz w:val="24"/>
          <w:szCs w:val="22"/>
        </w:rPr>
      </w:pPr>
      <w:r>
        <w:rPr>
          <w:rFonts w:hint="eastAsia" w:hAnsi="宋体" w:cs="宋体"/>
          <w:color w:val="auto"/>
          <w:sz w:val="24"/>
          <w:szCs w:val="22"/>
        </w:rPr>
        <w:t>全部货物送达安装调试完毕，经甲方验收合格，收到增值税专用发票后10个工作日内，甲方向乙方一次性支付全部合同价款。</w:t>
      </w:r>
    </w:p>
    <w:p w14:paraId="0B015FB2">
      <w:pPr>
        <w:spacing w:line="360" w:lineRule="auto"/>
        <w:ind w:firstLine="422" w:firstLineChars="175"/>
        <w:rPr>
          <w:rFonts w:hint="eastAsia" w:hAnsi="宋体" w:eastAsia="宋体" w:cs="宋体"/>
          <w:b/>
          <w:bCs/>
          <w:color w:val="auto"/>
          <w:sz w:val="24"/>
          <w:szCs w:val="22"/>
          <w:lang w:eastAsia="zh-CN"/>
        </w:rPr>
      </w:pPr>
      <w:r>
        <w:rPr>
          <w:rFonts w:hint="eastAsia" w:hAnsi="宋体" w:cs="宋体"/>
          <w:b/>
          <w:bCs/>
          <w:color w:val="auto"/>
          <w:sz w:val="24"/>
          <w:szCs w:val="22"/>
          <w:lang w:val="en-US" w:eastAsia="zh-CN"/>
        </w:rPr>
        <w:t>6、</w:t>
      </w:r>
      <w:r>
        <w:rPr>
          <w:rFonts w:hint="eastAsia" w:hAnsi="宋体" w:cs="宋体"/>
          <w:b/>
          <w:bCs/>
          <w:color w:val="auto"/>
          <w:sz w:val="24"/>
          <w:szCs w:val="22"/>
        </w:rPr>
        <w:t>评分标准及</w:t>
      </w:r>
      <w:r>
        <w:rPr>
          <w:rFonts w:hint="eastAsia" w:hAnsi="宋体" w:cs="宋体"/>
          <w:b/>
          <w:bCs/>
          <w:color w:val="auto"/>
          <w:sz w:val="24"/>
          <w:szCs w:val="22"/>
          <w:lang w:val="en-US" w:eastAsia="zh-CN"/>
        </w:rPr>
        <w:t>合同基本条款</w:t>
      </w:r>
      <w:r>
        <w:rPr>
          <w:rFonts w:hint="eastAsia" w:hAnsi="宋体" w:cs="宋体"/>
          <w:b/>
          <w:bCs/>
          <w:color w:val="auto"/>
          <w:sz w:val="24"/>
          <w:szCs w:val="22"/>
        </w:rPr>
        <w:t>中明确的其它相关要求</w:t>
      </w:r>
      <w:r>
        <w:rPr>
          <w:rFonts w:hint="eastAsia" w:hAnsi="宋体" w:cs="宋体"/>
          <w:b/>
          <w:bCs/>
          <w:color w:val="auto"/>
          <w:sz w:val="24"/>
          <w:szCs w:val="22"/>
          <w:lang w:eastAsia="zh-CN"/>
        </w:rPr>
        <w:t>。</w:t>
      </w:r>
    </w:p>
    <w:p w14:paraId="13030C7E">
      <w:pPr>
        <w:spacing w:line="288" w:lineRule="auto"/>
        <w:jc w:val="left"/>
        <w:rPr>
          <w:rStyle w:val="55"/>
          <w:color w:val="auto"/>
        </w:rPr>
      </w:pPr>
      <w:r>
        <w:rPr>
          <w:rFonts w:hint="eastAsia" w:ascii="宋体" w:hAnsi="宋体" w:cs="宋体"/>
          <w:color w:val="auto"/>
          <w:sz w:val="24"/>
          <w:szCs w:val="24"/>
        </w:rPr>
        <w:br w:type="page"/>
      </w:r>
    </w:p>
    <w:bookmarkEnd w:id="366"/>
    <w:bookmarkEnd w:id="367"/>
    <w:bookmarkEnd w:id="368"/>
    <w:bookmarkEnd w:id="369"/>
    <w:bookmarkEnd w:id="370"/>
    <w:bookmarkEnd w:id="371"/>
    <w:bookmarkEnd w:id="372"/>
    <w:bookmarkEnd w:id="373"/>
    <w:bookmarkEnd w:id="374"/>
    <w:p w14:paraId="3062EDF2">
      <w:pPr>
        <w:pStyle w:val="4"/>
        <w:bidi w:val="0"/>
        <w:outlineLvl w:val="0"/>
        <w:rPr>
          <w:rFonts w:hint="eastAsia"/>
          <w:color w:val="auto"/>
          <w:szCs w:val="22"/>
        </w:rPr>
      </w:pPr>
      <w:bookmarkStart w:id="377" w:name="_Toc10129"/>
      <w:bookmarkStart w:id="378" w:name="_Toc28691"/>
      <w:bookmarkStart w:id="379" w:name="_Toc18980"/>
      <w:bookmarkStart w:id="380" w:name="_Toc8403"/>
      <w:bookmarkStart w:id="381" w:name="_Toc18295"/>
      <w:bookmarkStart w:id="382" w:name="_Toc9292"/>
      <w:bookmarkStart w:id="383" w:name="_Toc25130"/>
      <w:bookmarkStart w:id="384" w:name="_Toc26662"/>
      <w:bookmarkStart w:id="385" w:name="_Toc13623"/>
      <w:bookmarkStart w:id="386" w:name="_Toc17732"/>
      <w:bookmarkStart w:id="387" w:name="_Toc12327"/>
      <w:bookmarkStart w:id="388" w:name="_Toc3709"/>
      <w:bookmarkStart w:id="389" w:name="_Toc16392"/>
      <w:bookmarkStart w:id="390" w:name="_Toc98"/>
      <w:bookmarkStart w:id="391" w:name="_Toc1851"/>
      <w:bookmarkStart w:id="392" w:name="_Toc19846"/>
      <w:bookmarkStart w:id="393" w:name="_Toc19657"/>
      <w:bookmarkStart w:id="394" w:name="_Toc3339"/>
      <w:bookmarkStart w:id="395" w:name="_Toc11774"/>
      <w:bookmarkStart w:id="396" w:name="_Toc11902"/>
      <w:r>
        <w:rPr>
          <w:rFonts w:hint="eastAsia"/>
          <w:color w:val="auto"/>
          <w:szCs w:val="22"/>
        </w:rPr>
        <w:t>第四部分 评审办法与评分标准</w:t>
      </w:r>
      <w:bookmarkEnd w:id="377"/>
    </w:p>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14:paraId="1AFC149F">
      <w:pPr>
        <w:pStyle w:val="6"/>
        <w:ind w:left="0" w:firstLine="0"/>
        <w:outlineLvl w:val="1"/>
        <w:rPr>
          <w:color w:val="auto"/>
        </w:rPr>
      </w:pPr>
      <w:bookmarkStart w:id="397" w:name="_Toc908"/>
      <w:r>
        <w:rPr>
          <w:rFonts w:hint="eastAsia"/>
          <w:color w:val="auto"/>
        </w:rPr>
        <w:t>一、评审方法</w:t>
      </w:r>
      <w:bookmarkEnd w:id="397"/>
    </w:p>
    <w:p w14:paraId="698BB333">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2EA3F8DA">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1031A799">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37601111">
      <w:pPr>
        <w:pStyle w:val="6"/>
        <w:ind w:left="0" w:firstLine="0"/>
        <w:outlineLvl w:val="1"/>
        <w:rPr>
          <w:bCs/>
          <w:color w:val="auto"/>
          <w:sz w:val="24"/>
          <w:szCs w:val="24"/>
        </w:rPr>
      </w:pPr>
      <w:bookmarkStart w:id="398" w:name="_Toc27576"/>
      <w:r>
        <w:rPr>
          <w:rFonts w:hint="eastAsia"/>
          <w:bCs/>
          <w:color w:val="auto"/>
          <w:sz w:val="24"/>
          <w:szCs w:val="24"/>
        </w:rPr>
        <w:t>二、评审标准</w:t>
      </w:r>
      <w:bookmarkEnd w:id="398"/>
    </w:p>
    <w:tbl>
      <w:tblPr>
        <w:tblStyle w:val="45"/>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3E59F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5C09672">
            <w:pPr>
              <w:adjustRightInd w:val="0"/>
              <w:snapToGrid w:val="0"/>
              <w:spacing w:line="288" w:lineRule="auto"/>
              <w:jc w:val="center"/>
              <w:rPr>
                <w:b/>
                <w:bCs/>
                <w:color w:val="auto"/>
                <w:sz w:val="24"/>
              </w:rPr>
            </w:pPr>
            <w:r>
              <w:rPr>
                <w:rFonts w:hint="eastAsia"/>
                <w:b/>
                <w:bCs/>
                <w:color w:val="auto"/>
                <w:sz w:val="24"/>
              </w:rPr>
              <w:t>评审因素</w:t>
            </w:r>
          </w:p>
        </w:tc>
        <w:tc>
          <w:tcPr>
            <w:tcW w:w="854" w:type="dxa"/>
            <w:noWrap w:val="0"/>
            <w:vAlign w:val="center"/>
          </w:tcPr>
          <w:p w14:paraId="28395606">
            <w:pPr>
              <w:adjustRightInd w:val="0"/>
              <w:snapToGrid w:val="0"/>
              <w:spacing w:line="288" w:lineRule="auto"/>
              <w:jc w:val="center"/>
              <w:rPr>
                <w:b/>
                <w:bCs/>
                <w:color w:val="auto"/>
                <w:sz w:val="24"/>
              </w:rPr>
            </w:pPr>
            <w:r>
              <w:rPr>
                <w:rFonts w:hint="eastAsia"/>
                <w:b/>
                <w:bCs/>
                <w:color w:val="auto"/>
                <w:sz w:val="24"/>
              </w:rPr>
              <w:t>分值</w:t>
            </w:r>
          </w:p>
        </w:tc>
        <w:tc>
          <w:tcPr>
            <w:tcW w:w="6757" w:type="dxa"/>
            <w:noWrap w:val="0"/>
            <w:vAlign w:val="center"/>
          </w:tcPr>
          <w:p w14:paraId="743CF52B">
            <w:pPr>
              <w:adjustRightInd w:val="0"/>
              <w:snapToGrid w:val="0"/>
              <w:spacing w:line="288" w:lineRule="auto"/>
              <w:jc w:val="center"/>
              <w:rPr>
                <w:b/>
                <w:bCs/>
                <w:color w:val="auto"/>
                <w:sz w:val="24"/>
              </w:rPr>
            </w:pPr>
            <w:r>
              <w:rPr>
                <w:rFonts w:hint="eastAsia"/>
                <w:b/>
                <w:bCs/>
                <w:color w:val="auto"/>
                <w:sz w:val="24"/>
              </w:rPr>
              <w:t>评分细则</w:t>
            </w:r>
          </w:p>
        </w:tc>
      </w:tr>
      <w:tr w14:paraId="08A76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7A9FC689">
            <w:pPr>
              <w:adjustRightInd w:val="0"/>
              <w:snapToGrid w:val="0"/>
              <w:spacing w:line="288" w:lineRule="auto"/>
              <w:rPr>
                <w:color w:val="auto"/>
                <w:sz w:val="24"/>
              </w:rPr>
            </w:pPr>
            <w:r>
              <w:rPr>
                <w:rFonts w:hint="eastAsia"/>
                <w:b/>
                <w:bCs/>
                <w:color w:val="auto"/>
                <w:sz w:val="24"/>
              </w:rPr>
              <w:t>价格分（30分）</w:t>
            </w:r>
          </w:p>
        </w:tc>
      </w:tr>
      <w:tr w14:paraId="58E07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47CB1065">
            <w:pPr>
              <w:adjustRightInd w:val="0"/>
              <w:snapToGrid w:val="0"/>
              <w:spacing w:line="288" w:lineRule="auto"/>
              <w:jc w:val="center"/>
              <w:rPr>
                <w:b/>
                <w:bCs/>
                <w:color w:val="auto"/>
                <w:sz w:val="24"/>
              </w:rPr>
            </w:pPr>
            <w:r>
              <w:rPr>
                <w:rFonts w:hint="eastAsia"/>
                <w:b/>
                <w:bCs/>
                <w:color w:val="auto"/>
                <w:sz w:val="24"/>
              </w:rPr>
              <w:t>最后磋商报价</w:t>
            </w:r>
          </w:p>
        </w:tc>
        <w:tc>
          <w:tcPr>
            <w:tcW w:w="854" w:type="dxa"/>
            <w:noWrap w:val="0"/>
            <w:vAlign w:val="center"/>
          </w:tcPr>
          <w:p w14:paraId="1A9F68A8">
            <w:pPr>
              <w:adjustRightInd w:val="0"/>
              <w:snapToGrid w:val="0"/>
              <w:spacing w:line="288" w:lineRule="auto"/>
              <w:jc w:val="center"/>
              <w:rPr>
                <w:rFonts w:hint="eastAsia"/>
                <w:b/>
                <w:bCs/>
                <w:color w:val="auto"/>
                <w:sz w:val="24"/>
              </w:rPr>
            </w:pPr>
            <w:r>
              <w:rPr>
                <w:rFonts w:hint="eastAsia"/>
                <w:b/>
                <w:bCs/>
                <w:color w:val="auto"/>
                <w:sz w:val="24"/>
              </w:rPr>
              <w:t>30</w:t>
            </w:r>
          </w:p>
        </w:tc>
        <w:tc>
          <w:tcPr>
            <w:tcW w:w="6757" w:type="dxa"/>
            <w:noWrap w:val="0"/>
            <w:vAlign w:val="center"/>
          </w:tcPr>
          <w:p w14:paraId="1AA1622D">
            <w:pPr>
              <w:adjustRightInd w:val="0"/>
              <w:snapToGrid w:val="0"/>
              <w:spacing w:line="288" w:lineRule="auto"/>
              <w:ind w:firstLine="480" w:firstLineChars="200"/>
              <w:rPr>
                <w:color w:val="auto"/>
                <w:sz w:val="24"/>
              </w:rPr>
            </w:pPr>
            <w:r>
              <w:rPr>
                <w:rFonts w:hint="eastAsia"/>
                <w:color w:val="auto"/>
                <w:sz w:val="24"/>
              </w:rPr>
              <w:t>价格分统一采用低价优先法计算，即满足磋商文件要求且最后报价最低的供应商的价格为磋商基准价，其价格分为满分。其他供应商的价格分统一按照下列公式计算：</w:t>
            </w:r>
          </w:p>
          <w:p w14:paraId="4D12258F">
            <w:pPr>
              <w:adjustRightInd w:val="0"/>
              <w:snapToGrid w:val="0"/>
              <w:spacing w:line="288" w:lineRule="auto"/>
              <w:rPr>
                <w:color w:val="auto"/>
              </w:rPr>
            </w:pPr>
            <w:r>
              <w:rPr>
                <w:rFonts w:hint="eastAsia"/>
                <w:color w:val="auto"/>
                <w:sz w:val="24"/>
              </w:rPr>
              <w:t>磋商报价得分</w:t>
            </w:r>
            <w:r>
              <w:rPr>
                <w:color w:val="auto"/>
                <w:sz w:val="24"/>
              </w:rPr>
              <w:t>=（磋商基准价/最后磋商报价）×</w:t>
            </w:r>
            <w:r>
              <w:rPr>
                <w:rFonts w:hint="eastAsia"/>
                <w:color w:val="auto"/>
                <w:sz w:val="24"/>
                <w:u w:val="single"/>
              </w:rPr>
              <w:t xml:space="preserve"> 30 </w:t>
            </w:r>
            <w:r>
              <w:rPr>
                <w:rFonts w:hint="eastAsia"/>
                <w:color w:val="auto"/>
                <w:sz w:val="24"/>
              </w:rPr>
              <w:t>%×100。</w:t>
            </w:r>
          </w:p>
        </w:tc>
      </w:tr>
      <w:tr w14:paraId="1DFD0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75858E97">
            <w:pPr>
              <w:adjustRightInd w:val="0"/>
              <w:snapToGrid w:val="0"/>
              <w:spacing w:line="288" w:lineRule="auto"/>
              <w:rPr>
                <w:color w:val="auto"/>
                <w:sz w:val="24"/>
              </w:rPr>
            </w:pPr>
            <w:r>
              <w:rPr>
                <w:rFonts w:hint="eastAsia"/>
                <w:b/>
                <w:bCs/>
                <w:color w:val="auto"/>
                <w:sz w:val="24"/>
              </w:rPr>
              <w:t>商务分（10分）</w:t>
            </w:r>
          </w:p>
        </w:tc>
      </w:tr>
      <w:tr w14:paraId="30A7E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7A097054">
            <w:pPr>
              <w:adjustRightInd w:val="0"/>
              <w:snapToGrid w:val="0"/>
              <w:spacing w:line="288" w:lineRule="auto"/>
              <w:jc w:val="center"/>
              <w:rPr>
                <w:b/>
                <w:bCs/>
                <w:color w:val="auto"/>
                <w:sz w:val="24"/>
              </w:rPr>
            </w:pPr>
            <w:r>
              <w:rPr>
                <w:rFonts w:hint="eastAsia"/>
                <w:b/>
                <w:bCs/>
                <w:color w:val="auto"/>
                <w:sz w:val="24"/>
              </w:rPr>
              <w:t>质保期</w:t>
            </w:r>
          </w:p>
        </w:tc>
        <w:tc>
          <w:tcPr>
            <w:tcW w:w="854" w:type="dxa"/>
            <w:noWrap w:val="0"/>
            <w:vAlign w:val="center"/>
          </w:tcPr>
          <w:p w14:paraId="1E3D2801">
            <w:pPr>
              <w:adjustRightInd w:val="0"/>
              <w:snapToGrid w:val="0"/>
              <w:spacing w:line="288" w:lineRule="auto"/>
              <w:jc w:val="center"/>
              <w:rPr>
                <w:b/>
                <w:bCs/>
                <w:color w:val="auto"/>
                <w:sz w:val="24"/>
              </w:rPr>
            </w:pPr>
            <w:r>
              <w:rPr>
                <w:b/>
                <w:bCs/>
                <w:color w:val="auto"/>
                <w:sz w:val="24"/>
              </w:rPr>
              <w:t>2</w:t>
            </w:r>
          </w:p>
        </w:tc>
        <w:tc>
          <w:tcPr>
            <w:tcW w:w="6757" w:type="dxa"/>
            <w:noWrap w:val="0"/>
            <w:vAlign w:val="center"/>
          </w:tcPr>
          <w:p w14:paraId="008DE7E4">
            <w:pPr>
              <w:adjustRightInd w:val="0"/>
              <w:snapToGrid w:val="0"/>
              <w:spacing w:line="288" w:lineRule="auto"/>
              <w:rPr>
                <w:color w:val="auto"/>
                <w:sz w:val="24"/>
              </w:rPr>
            </w:pPr>
            <w:r>
              <w:rPr>
                <w:rFonts w:hint="eastAsia"/>
                <w:color w:val="auto"/>
                <w:sz w:val="24"/>
              </w:rPr>
              <w:t>质保期在满足磋商文件要求的基础上每延长一年加</w:t>
            </w:r>
            <w:r>
              <w:rPr>
                <w:color w:val="auto"/>
                <w:sz w:val="24"/>
              </w:rPr>
              <w:t>1</w:t>
            </w:r>
            <w:r>
              <w:rPr>
                <w:rFonts w:hint="eastAsia"/>
                <w:color w:val="auto"/>
                <w:sz w:val="24"/>
              </w:rPr>
              <w:t>分，最多加</w:t>
            </w:r>
            <w:r>
              <w:rPr>
                <w:color w:val="auto"/>
                <w:sz w:val="24"/>
              </w:rPr>
              <w:t>2</w:t>
            </w:r>
            <w:r>
              <w:rPr>
                <w:rFonts w:hint="eastAsia"/>
                <w:color w:val="auto"/>
                <w:sz w:val="24"/>
              </w:rPr>
              <w:t>分，延长时间不足一年的不计入加分，质保期不满足磋商文件要求的响应无效。</w:t>
            </w:r>
            <w:r>
              <w:rPr>
                <w:rFonts w:hint="eastAsia" w:ascii="宋体" w:hAnsi="宋体" w:cs="宋体"/>
                <w:b/>
                <w:bCs/>
                <w:color w:val="auto"/>
                <w:sz w:val="24"/>
                <w:lang w:bidi="ar"/>
              </w:rPr>
              <w:t>【客观分】</w:t>
            </w:r>
          </w:p>
        </w:tc>
      </w:tr>
      <w:tr w14:paraId="61477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268D056D">
            <w:pPr>
              <w:adjustRightInd w:val="0"/>
              <w:snapToGrid w:val="0"/>
              <w:spacing w:line="288" w:lineRule="auto"/>
              <w:jc w:val="center"/>
              <w:rPr>
                <w:b/>
                <w:bCs/>
                <w:color w:val="auto"/>
                <w:sz w:val="24"/>
              </w:rPr>
            </w:pPr>
            <w:r>
              <w:rPr>
                <w:rFonts w:hint="eastAsia"/>
                <w:b/>
                <w:bCs/>
                <w:color w:val="auto"/>
                <w:sz w:val="24"/>
              </w:rPr>
              <w:t>同类产品业绩</w:t>
            </w:r>
          </w:p>
        </w:tc>
        <w:tc>
          <w:tcPr>
            <w:tcW w:w="854" w:type="dxa"/>
            <w:noWrap w:val="0"/>
            <w:vAlign w:val="center"/>
          </w:tcPr>
          <w:p w14:paraId="6318102E">
            <w:pPr>
              <w:adjustRightInd w:val="0"/>
              <w:snapToGrid w:val="0"/>
              <w:spacing w:line="288" w:lineRule="auto"/>
              <w:jc w:val="center"/>
              <w:rPr>
                <w:rFonts w:hint="eastAsia"/>
                <w:b/>
                <w:bCs/>
                <w:color w:val="auto"/>
                <w:sz w:val="24"/>
              </w:rPr>
            </w:pPr>
            <w:r>
              <w:rPr>
                <w:rFonts w:hint="eastAsia"/>
                <w:b/>
                <w:bCs/>
                <w:color w:val="auto"/>
                <w:sz w:val="24"/>
              </w:rPr>
              <w:t>3</w:t>
            </w:r>
          </w:p>
        </w:tc>
        <w:tc>
          <w:tcPr>
            <w:tcW w:w="6757" w:type="dxa"/>
            <w:noWrap w:val="0"/>
            <w:vAlign w:val="center"/>
          </w:tcPr>
          <w:p w14:paraId="59F8E7F9">
            <w:pPr>
              <w:adjustRightInd w:val="0"/>
              <w:snapToGrid w:val="0"/>
              <w:spacing w:line="288" w:lineRule="auto"/>
              <w:rPr>
                <w:color w:val="auto"/>
                <w:sz w:val="24"/>
              </w:rPr>
            </w:pPr>
            <w:r>
              <w:rPr>
                <w:rFonts w:hint="eastAsia"/>
                <w:color w:val="auto"/>
                <w:sz w:val="24"/>
                <w:u w:val="none"/>
              </w:rPr>
              <w:t>供应商提供的推进器</w:t>
            </w:r>
            <w:r>
              <w:rPr>
                <w:rFonts w:hint="eastAsia"/>
                <w:color w:val="auto"/>
                <w:sz w:val="24"/>
              </w:rPr>
              <w:t>产品自2023年1月1日以来（以合同签订时间为准）的合同业绩（以提供的合同扫描件为准，</w:t>
            </w:r>
            <w:r>
              <w:rPr>
                <w:color w:val="auto"/>
                <w:sz w:val="24"/>
              </w:rPr>
              <w:t>同类产品不限定型号</w:t>
            </w:r>
            <w:r>
              <w:rPr>
                <w:rFonts w:hint="eastAsia"/>
                <w:color w:val="auto"/>
                <w:sz w:val="24"/>
              </w:rPr>
              <w:t>）。每提供1份合同业绩得</w:t>
            </w:r>
            <w:r>
              <w:rPr>
                <w:color w:val="auto"/>
                <w:sz w:val="24"/>
              </w:rPr>
              <w:t>1</w:t>
            </w:r>
            <w:r>
              <w:rPr>
                <w:rFonts w:hint="eastAsia"/>
                <w:color w:val="auto"/>
                <w:sz w:val="24"/>
              </w:rPr>
              <w:t>分，最高得3分。</w:t>
            </w:r>
            <w:r>
              <w:rPr>
                <w:rFonts w:hint="eastAsia" w:ascii="宋体" w:hAnsi="宋体" w:cs="宋体"/>
                <w:b/>
                <w:bCs/>
                <w:color w:val="auto"/>
                <w:sz w:val="24"/>
                <w:lang w:bidi="ar"/>
              </w:rPr>
              <w:t>【客观分】</w:t>
            </w:r>
          </w:p>
        </w:tc>
      </w:tr>
      <w:tr w14:paraId="43B44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5F3D4B1D">
            <w:pPr>
              <w:adjustRightInd w:val="0"/>
              <w:snapToGrid w:val="0"/>
              <w:spacing w:line="288" w:lineRule="auto"/>
              <w:jc w:val="center"/>
              <w:rPr>
                <w:b/>
                <w:bCs/>
                <w:color w:val="auto"/>
                <w:sz w:val="24"/>
              </w:rPr>
            </w:pPr>
            <w:r>
              <w:rPr>
                <w:rFonts w:hint="eastAsia"/>
                <w:b/>
                <w:bCs/>
                <w:color w:val="auto"/>
                <w:sz w:val="24"/>
              </w:rPr>
              <w:t>制造商实力</w:t>
            </w:r>
          </w:p>
        </w:tc>
        <w:tc>
          <w:tcPr>
            <w:tcW w:w="854" w:type="dxa"/>
            <w:noWrap w:val="0"/>
            <w:vAlign w:val="center"/>
          </w:tcPr>
          <w:p w14:paraId="5A1E03C0">
            <w:pPr>
              <w:adjustRightInd w:val="0"/>
              <w:snapToGrid w:val="0"/>
              <w:spacing w:line="288" w:lineRule="auto"/>
              <w:jc w:val="center"/>
              <w:rPr>
                <w:b/>
                <w:bCs/>
                <w:color w:val="auto"/>
                <w:sz w:val="24"/>
              </w:rPr>
            </w:pPr>
            <w:r>
              <w:rPr>
                <w:rFonts w:hint="eastAsia"/>
                <w:b/>
                <w:bCs/>
                <w:color w:val="auto"/>
                <w:sz w:val="24"/>
              </w:rPr>
              <w:t>5</w:t>
            </w:r>
          </w:p>
        </w:tc>
        <w:tc>
          <w:tcPr>
            <w:tcW w:w="6757" w:type="dxa"/>
            <w:noWrap w:val="0"/>
            <w:vAlign w:val="center"/>
          </w:tcPr>
          <w:p w14:paraId="23915CF1">
            <w:pPr>
              <w:adjustRightInd w:val="0"/>
              <w:snapToGrid w:val="0"/>
              <w:spacing w:line="288" w:lineRule="auto"/>
              <w:rPr>
                <w:color w:val="auto"/>
                <w:sz w:val="24"/>
              </w:rPr>
            </w:pPr>
            <w:r>
              <w:rPr>
                <w:rFonts w:hint="eastAsia"/>
                <w:color w:val="auto"/>
                <w:sz w:val="24"/>
                <w:szCs w:val="22"/>
              </w:rPr>
              <w:t>推进器制</w:t>
            </w:r>
            <w:r>
              <w:rPr>
                <w:rFonts w:hint="eastAsia"/>
                <w:color w:val="auto"/>
                <w:sz w:val="24"/>
              </w:rPr>
              <w:t>造商具有与本项目相关的下列证书的，每提供一份得1分，最高得5分。</w:t>
            </w:r>
            <w:r>
              <w:rPr>
                <w:rFonts w:hint="eastAsia" w:ascii="宋体" w:hAnsi="宋体" w:cs="宋体"/>
                <w:b w:val="0"/>
                <w:bCs w:val="0"/>
                <w:color w:val="auto"/>
                <w:sz w:val="24"/>
                <w:lang w:bidi="ar"/>
              </w:rPr>
              <w:t>①ISO9001 质量管理体系认证证书；②涉及水下推进器相关的专利证书。</w:t>
            </w:r>
            <w:r>
              <w:rPr>
                <w:rFonts w:hint="eastAsia" w:ascii="宋体" w:hAnsi="宋体" w:cs="宋体"/>
                <w:b/>
                <w:bCs/>
                <w:color w:val="auto"/>
                <w:sz w:val="24"/>
                <w:lang w:bidi="ar"/>
              </w:rPr>
              <w:t>【客观分】</w:t>
            </w:r>
          </w:p>
        </w:tc>
      </w:tr>
      <w:tr w14:paraId="4ED1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1F8676F0">
            <w:pPr>
              <w:adjustRightInd w:val="0"/>
              <w:snapToGrid w:val="0"/>
              <w:spacing w:line="288" w:lineRule="auto"/>
              <w:rPr>
                <w:color w:val="auto"/>
                <w:sz w:val="24"/>
              </w:rPr>
            </w:pPr>
            <w:r>
              <w:rPr>
                <w:rFonts w:hint="eastAsia"/>
                <w:b/>
                <w:bCs/>
                <w:color w:val="auto"/>
                <w:sz w:val="24"/>
              </w:rPr>
              <w:t>技术分（60分）</w:t>
            </w:r>
          </w:p>
        </w:tc>
      </w:tr>
      <w:tr w14:paraId="61A1B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F92CB97">
            <w:pPr>
              <w:adjustRightInd w:val="0"/>
              <w:snapToGrid w:val="0"/>
              <w:spacing w:line="288" w:lineRule="auto"/>
              <w:jc w:val="center"/>
              <w:rPr>
                <w:b/>
                <w:bCs/>
                <w:color w:val="auto"/>
                <w:sz w:val="24"/>
              </w:rPr>
            </w:pPr>
            <w:r>
              <w:rPr>
                <w:rFonts w:hint="eastAsia"/>
                <w:b/>
                <w:bCs/>
                <w:color w:val="auto"/>
                <w:sz w:val="24"/>
              </w:rPr>
              <w:t>技术指标符合程度</w:t>
            </w:r>
          </w:p>
        </w:tc>
        <w:tc>
          <w:tcPr>
            <w:tcW w:w="854" w:type="dxa"/>
            <w:noWrap w:val="0"/>
            <w:vAlign w:val="center"/>
          </w:tcPr>
          <w:p w14:paraId="3C7592EA">
            <w:pPr>
              <w:adjustRightInd w:val="0"/>
              <w:snapToGrid w:val="0"/>
              <w:spacing w:line="288" w:lineRule="auto"/>
              <w:jc w:val="center"/>
              <w:rPr>
                <w:rFonts w:hint="default" w:eastAsia="宋体"/>
                <w:b/>
                <w:bCs/>
                <w:color w:val="auto"/>
                <w:sz w:val="24"/>
                <w:lang w:val="en-US" w:eastAsia="zh-CN"/>
              </w:rPr>
            </w:pPr>
            <w:r>
              <w:rPr>
                <w:rFonts w:hint="eastAsia"/>
                <w:b/>
                <w:bCs/>
                <w:color w:val="auto"/>
                <w:sz w:val="24"/>
                <w:lang w:val="en-US" w:eastAsia="zh-CN"/>
              </w:rPr>
              <w:t>28</w:t>
            </w:r>
          </w:p>
        </w:tc>
        <w:tc>
          <w:tcPr>
            <w:tcW w:w="6757" w:type="dxa"/>
            <w:noWrap w:val="0"/>
            <w:vAlign w:val="center"/>
          </w:tcPr>
          <w:p w14:paraId="5D6A8AEC">
            <w:pPr>
              <w:adjustRightInd w:val="0"/>
              <w:snapToGrid w:val="0"/>
              <w:spacing w:line="288" w:lineRule="auto"/>
              <w:rPr>
                <w:color w:val="auto"/>
                <w:sz w:val="24"/>
              </w:rPr>
            </w:pPr>
            <w:r>
              <w:rPr>
                <w:rFonts w:hint="eastAsia"/>
                <w:color w:val="auto"/>
                <w:sz w:val="24"/>
              </w:rPr>
              <w:t>不符合技术指标要求中标注“▲”条款的响应文件无效，满足或优于磋商文件明确的全部技术指标要求的该项得满分；技术指标低于要求的（负偏离）每项扣2分，扣完为止，本项最高</w:t>
            </w:r>
            <w:r>
              <w:rPr>
                <w:rFonts w:hint="eastAsia"/>
                <w:color w:val="auto"/>
                <w:sz w:val="24"/>
                <w:lang w:val="en-US" w:eastAsia="zh-CN"/>
              </w:rPr>
              <w:t>28</w:t>
            </w:r>
            <w:r>
              <w:rPr>
                <w:rFonts w:hint="eastAsia"/>
                <w:color w:val="auto"/>
                <w:sz w:val="24"/>
              </w:rPr>
              <w:t>分。</w:t>
            </w:r>
            <w:r>
              <w:rPr>
                <w:rFonts w:hint="eastAsia" w:ascii="宋体" w:hAnsi="宋体" w:cs="宋体"/>
                <w:b/>
                <w:bCs/>
                <w:color w:val="auto"/>
                <w:sz w:val="24"/>
                <w:lang w:bidi="ar"/>
              </w:rPr>
              <w:t>【客观分】</w:t>
            </w:r>
          </w:p>
        </w:tc>
      </w:tr>
      <w:tr w14:paraId="55BF3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745" w:type="dxa"/>
            <w:noWrap w:val="0"/>
            <w:vAlign w:val="center"/>
          </w:tcPr>
          <w:p w14:paraId="05D50FEA">
            <w:pPr>
              <w:adjustRightInd w:val="0"/>
              <w:snapToGrid w:val="0"/>
              <w:spacing w:line="288" w:lineRule="auto"/>
              <w:jc w:val="center"/>
              <w:rPr>
                <w:b/>
                <w:bCs/>
                <w:color w:val="auto"/>
                <w:sz w:val="24"/>
              </w:rPr>
            </w:pPr>
            <w:r>
              <w:rPr>
                <w:rFonts w:hint="eastAsia"/>
                <w:b/>
                <w:bCs/>
                <w:color w:val="auto"/>
                <w:sz w:val="24"/>
              </w:rPr>
              <w:t>政策分</w:t>
            </w:r>
          </w:p>
        </w:tc>
        <w:tc>
          <w:tcPr>
            <w:tcW w:w="854" w:type="dxa"/>
            <w:noWrap w:val="0"/>
            <w:vAlign w:val="center"/>
          </w:tcPr>
          <w:p w14:paraId="4821CEF5">
            <w:pPr>
              <w:adjustRightInd w:val="0"/>
              <w:snapToGrid w:val="0"/>
              <w:spacing w:line="288" w:lineRule="auto"/>
              <w:jc w:val="center"/>
              <w:rPr>
                <w:b/>
                <w:bCs/>
                <w:color w:val="auto"/>
                <w:sz w:val="24"/>
              </w:rPr>
            </w:pPr>
            <w:r>
              <w:rPr>
                <w:rFonts w:hint="eastAsia"/>
                <w:b/>
                <w:bCs/>
                <w:color w:val="auto"/>
                <w:sz w:val="24"/>
              </w:rPr>
              <w:t>2</w:t>
            </w:r>
          </w:p>
        </w:tc>
        <w:tc>
          <w:tcPr>
            <w:tcW w:w="6757" w:type="dxa"/>
            <w:noWrap w:val="0"/>
            <w:vAlign w:val="center"/>
          </w:tcPr>
          <w:p w14:paraId="23EDE553">
            <w:pPr>
              <w:adjustRightInd w:val="0"/>
              <w:snapToGrid w:val="0"/>
              <w:spacing w:line="288" w:lineRule="auto"/>
              <w:rPr>
                <w:rFonts w:hint="eastAsia"/>
                <w:color w:val="auto"/>
                <w:sz w:val="24"/>
                <w:u w:val="single"/>
              </w:rPr>
            </w:pPr>
            <w:r>
              <w:rPr>
                <w:rFonts w:hint="eastAsia"/>
                <w:color w:val="auto"/>
                <w:sz w:val="24"/>
              </w:rPr>
              <w:t>报价产品列入财政部、发展改革委发布的节能产品品目清单的，提供国家市场监督管理总局公布的《参与实施政府采购节能产品认证机构名录》内的认证机构出具的、处于有效期之内的节能标志产品认证证书的，得1分；报价产品列入财政部、生态环境部发布的环境标志产品品目清单的，提供国家市场监督管理总局公布的《参与实施政府采购环境标志产品认证机构名录》内的认证机构出具的、处于有效期之内的环境标志产品认证证书，得1分。</w:t>
            </w:r>
            <w:r>
              <w:rPr>
                <w:rFonts w:hint="eastAsia" w:ascii="宋体" w:hAnsi="宋体" w:cs="宋体"/>
                <w:b/>
                <w:bCs/>
                <w:color w:val="auto"/>
                <w:sz w:val="24"/>
                <w:lang w:bidi="ar"/>
              </w:rPr>
              <w:t>【客观分】</w:t>
            </w:r>
          </w:p>
        </w:tc>
      </w:tr>
      <w:tr w14:paraId="78102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14:paraId="5752680D">
            <w:pPr>
              <w:spacing w:line="288" w:lineRule="auto"/>
              <w:jc w:val="center"/>
              <w:rPr>
                <w:b/>
                <w:bCs/>
                <w:color w:val="auto"/>
                <w:sz w:val="24"/>
              </w:rPr>
            </w:pPr>
            <w:r>
              <w:rPr>
                <w:rFonts w:hint="eastAsia" w:ascii="宋体" w:hAnsi="宋体" w:cs="宋体"/>
                <w:b/>
                <w:bCs/>
                <w:color w:val="auto"/>
                <w:spacing w:val="-6"/>
                <w:sz w:val="24"/>
                <w:lang w:bidi="ar"/>
              </w:rPr>
              <w:t>实施方案</w:t>
            </w:r>
          </w:p>
        </w:tc>
        <w:tc>
          <w:tcPr>
            <w:tcW w:w="854" w:type="dxa"/>
            <w:noWrap w:val="0"/>
            <w:vAlign w:val="center"/>
          </w:tcPr>
          <w:p w14:paraId="34E16DC1">
            <w:pPr>
              <w:spacing w:line="288" w:lineRule="auto"/>
              <w:jc w:val="center"/>
              <w:rPr>
                <w:rFonts w:hint="eastAsia"/>
                <w:b/>
                <w:bCs/>
                <w:color w:val="auto"/>
                <w:sz w:val="24"/>
              </w:rPr>
            </w:pPr>
            <w:r>
              <w:rPr>
                <w:rFonts w:hint="eastAsia" w:ascii="宋体" w:hAnsi="宋体" w:cs="宋体"/>
                <w:b/>
                <w:bCs/>
                <w:color w:val="auto"/>
                <w:spacing w:val="-6"/>
                <w:sz w:val="24"/>
                <w:lang w:bidi="ar"/>
              </w:rPr>
              <w:t>3</w:t>
            </w:r>
          </w:p>
        </w:tc>
        <w:tc>
          <w:tcPr>
            <w:tcW w:w="6757" w:type="dxa"/>
            <w:noWrap w:val="0"/>
            <w:vAlign w:val="center"/>
          </w:tcPr>
          <w:p w14:paraId="49039BEE">
            <w:pPr>
              <w:spacing w:line="288" w:lineRule="auto"/>
              <w:jc w:val="left"/>
              <w:rPr>
                <w:rFonts w:ascii="宋体" w:hAnsi="宋体" w:cs="宋体"/>
                <w:color w:val="auto"/>
                <w:spacing w:val="-6"/>
                <w:sz w:val="24"/>
                <w:lang w:bidi="ar"/>
              </w:rPr>
            </w:pPr>
            <w:r>
              <w:rPr>
                <w:rFonts w:hint="eastAsia" w:ascii="宋体" w:hAnsi="宋体" w:cs="宋体"/>
                <w:color w:val="auto"/>
                <w:spacing w:val="-6"/>
                <w:sz w:val="24"/>
                <w:lang w:bidi="ar"/>
              </w:rPr>
              <w:t>根据供应商提供的</w:t>
            </w:r>
            <w:r>
              <w:rPr>
                <w:rFonts w:ascii="宋体" w:hAnsi="宋体" w:cs="宋体"/>
                <w:color w:val="auto"/>
                <w:spacing w:val="-6"/>
                <w:sz w:val="24"/>
                <w:lang w:bidi="ar"/>
              </w:rPr>
              <w:t>对项目背景、建设内容及预期目标的理解，建设方案及建设思路等进行评分。有欠缺或不合理的，每处扣</w:t>
            </w:r>
            <w:r>
              <w:rPr>
                <w:rFonts w:hint="eastAsia" w:ascii="宋体" w:hAnsi="宋体" w:cs="宋体"/>
                <w:color w:val="auto"/>
                <w:spacing w:val="-6"/>
                <w:sz w:val="24"/>
                <w:lang w:bidi="ar"/>
              </w:rPr>
              <w:t>1</w:t>
            </w:r>
            <w:r>
              <w:rPr>
                <w:rFonts w:ascii="宋体" w:hAnsi="宋体" w:cs="宋体"/>
                <w:color w:val="auto"/>
                <w:spacing w:val="-6"/>
                <w:sz w:val="24"/>
                <w:lang w:bidi="ar"/>
              </w:rPr>
              <w:t>分。本项最高得</w:t>
            </w:r>
            <w:r>
              <w:rPr>
                <w:rFonts w:hint="eastAsia" w:ascii="宋体" w:hAnsi="宋体" w:cs="宋体"/>
                <w:color w:val="auto"/>
                <w:spacing w:val="-6"/>
                <w:sz w:val="24"/>
                <w:lang w:bidi="ar"/>
              </w:rPr>
              <w:t>3</w:t>
            </w:r>
            <w:r>
              <w:rPr>
                <w:rFonts w:ascii="宋体" w:hAnsi="宋体" w:cs="宋体"/>
                <w:color w:val="auto"/>
                <w:spacing w:val="-6"/>
                <w:sz w:val="24"/>
                <w:lang w:bidi="ar"/>
              </w:rPr>
              <w:t>分。</w:t>
            </w:r>
          </w:p>
        </w:tc>
      </w:tr>
      <w:tr w14:paraId="02D72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04747BF4">
            <w:pPr>
              <w:spacing w:line="288" w:lineRule="auto"/>
              <w:jc w:val="center"/>
              <w:rPr>
                <w:rFonts w:ascii="宋体" w:hAnsi="宋体" w:cs="宋体"/>
                <w:b/>
                <w:bCs/>
                <w:color w:val="auto"/>
                <w:spacing w:val="-6"/>
                <w:sz w:val="24"/>
                <w:lang w:bidi="ar"/>
              </w:rPr>
            </w:pPr>
          </w:p>
        </w:tc>
        <w:tc>
          <w:tcPr>
            <w:tcW w:w="854" w:type="dxa"/>
            <w:noWrap w:val="0"/>
            <w:vAlign w:val="center"/>
          </w:tcPr>
          <w:p w14:paraId="2EE43CEF">
            <w:pPr>
              <w:spacing w:line="288" w:lineRule="auto"/>
              <w:jc w:val="center"/>
              <w:rPr>
                <w:rFonts w:hint="eastAsia" w:ascii="宋体" w:hAnsi="宋体" w:cs="宋体"/>
                <w:b/>
                <w:bCs/>
                <w:color w:val="auto"/>
                <w:spacing w:val="-6"/>
                <w:sz w:val="24"/>
                <w:lang w:bidi="ar"/>
              </w:rPr>
            </w:pPr>
            <w:r>
              <w:rPr>
                <w:rFonts w:hint="eastAsia" w:cs="宋体"/>
                <w:b/>
                <w:bCs/>
                <w:color w:val="auto"/>
                <w:spacing w:val="-6"/>
                <w:sz w:val="24"/>
                <w:lang w:bidi="ar"/>
              </w:rPr>
              <w:t>3</w:t>
            </w:r>
          </w:p>
        </w:tc>
        <w:tc>
          <w:tcPr>
            <w:tcW w:w="6757" w:type="dxa"/>
            <w:noWrap w:val="0"/>
            <w:vAlign w:val="center"/>
          </w:tcPr>
          <w:p w14:paraId="5B9B9DF8">
            <w:pPr>
              <w:spacing w:line="288" w:lineRule="auto"/>
              <w:jc w:val="left"/>
              <w:rPr>
                <w:rFonts w:ascii="宋体" w:hAnsi="宋体" w:cs="宋体"/>
                <w:color w:val="auto"/>
                <w:spacing w:val="-6"/>
                <w:sz w:val="24"/>
                <w:lang w:bidi="ar"/>
              </w:rPr>
            </w:pPr>
            <w:r>
              <w:rPr>
                <w:rFonts w:hint="eastAsia" w:ascii="宋体" w:hAnsi="宋体" w:cs="宋体"/>
                <w:color w:val="auto"/>
                <w:spacing w:val="-6"/>
                <w:sz w:val="24"/>
                <w:lang w:bidi="ar"/>
              </w:rPr>
              <w:t>根据供应商提供的进度计划、项目管理方案的完整性、合理性打分。有欠缺或不合理的，每处扣1分。本项最高得3分。</w:t>
            </w:r>
          </w:p>
        </w:tc>
      </w:tr>
      <w:tr w14:paraId="0E6B4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745" w:type="dxa"/>
            <w:vMerge w:val="continue"/>
            <w:noWrap w:val="0"/>
            <w:vAlign w:val="center"/>
          </w:tcPr>
          <w:p w14:paraId="7579C1ED">
            <w:pPr>
              <w:spacing w:line="288" w:lineRule="auto"/>
              <w:jc w:val="center"/>
              <w:rPr>
                <w:rFonts w:ascii="宋体" w:hAnsi="宋体" w:cs="宋体"/>
                <w:b/>
                <w:bCs/>
                <w:color w:val="auto"/>
                <w:spacing w:val="-6"/>
                <w:sz w:val="24"/>
                <w:lang w:bidi="ar"/>
              </w:rPr>
            </w:pPr>
          </w:p>
        </w:tc>
        <w:tc>
          <w:tcPr>
            <w:tcW w:w="854" w:type="dxa"/>
            <w:noWrap w:val="0"/>
            <w:vAlign w:val="center"/>
          </w:tcPr>
          <w:p w14:paraId="132DC7AB">
            <w:pPr>
              <w:spacing w:line="288" w:lineRule="auto"/>
              <w:jc w:val="center"/>
              <w:rPr>
                <w:rFonts w:hint="eastAsia" w:cs="宋体"/>
                <w:b/>
                <w:bCs/>
                <w:color w:val="auto"/>
                <w:spacing w:val="-6"/>
                <w:sz w:val="24"/>
                <w:lang w:bidi="ar"/>
              </w:rPr>
            </w:pPr>
            <w:r>
              <w:rPr>
                <w:rFonts w:hint="eastAsia" w:cs="宋体"/>
                <w:b/>
                <w:bCs/>
                <w:color w:val="auto"/>
                <w:spacing w:val="-6"/>
                <w:sz w:val="24"/>
                <w:lang w:bidi="ar"/>
              </w:rPr>
              <w:t>3</w:t>
            </w:r>
          </w:p>
        </w:tc>
        <w:tc>
          <w:tcPr>
            <w:tcW w:w="6757" w:type="dxa"/>
            <w:noWrap w:val="0"/>
            <w:vAlign w:val="center"/>
          </w:tcPr>
          <w:p w14:paraId="055E575C">
            <w:pPr>
              <w:spacing w:line="288" w:lineRule="auto"/>
              <w:jc w:val="left"/>
              <w:rPr>
                <w:rFonts w:ascii="宋体" w:hAnsi="宋体" w:cs="宋体"/>
                <w:color w:val="auto"/>
                <w:spacing w:val="-6"/>
                <w:sz w:val="24"/>
                <w:lang w:bidi="ar"/>
              </w:rPr>
            </w:pPr>
            <w:r>
              <w:rPr>
                <w:rFonts w:hint="eastAsia" w:ascii="宋体" w:hAnsi="宋体" w:cs="宋体"/>
                <w:color w:val="auto"/>
                <w:spacing w:val="-6"/>
                <w:sz w:val="24"/>
                <w:lang w:bidi="ar"/>
              </w:rPr>
              <w:t>根据供应商提供的质量控制方案的完整性、合理性打分。有欠缺不合理的，每处扣1分。</w:t>
            </w:r>
            <w:r>
              <w:rPr>
                <w:rFonts w:hint="eastAsia" w:cs="宋体"/>
                <w:color w:val="auto"/>
                <w:spacing w:val="-6"/>
                <w:sz w:val="24"/>
                <w:lang w:bidi="ar"/>
              </w:rPr>
              <w:t>本项最高得3分。</w:t>
            </w:r>
          </w:p>
        </w:tc>
      </w:tr>
      <w:tr w14:paraId="1DD2C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731B9A99">
            <w:pPr>
              <w:spacing w:line="288" w:lineRule="auto"/>
              <w:jc w:val="center"/>
              <w:rPr>
                <w:rFonts w:ascii="宋体" w:hAnsi="宋体" w:cs="宋体"/>
                <w:b/>
                <w:bCs/>
                <w:color w:val="auto"/>
                <w:spacing w:val="-6"/>
                <w:sz w:val="24"/>
                <w:lang w:bidi="ar"/>
              </w:rPr>
            </w:pPr>
          </w:p>
        </w:tc>
        <w:tc>
          <w:tcPr>
            <w:tcW w:w="854" w:type="dxa"/>
            <w:noWrap w:val="0"/>
            <w:vAlign w:val="center"/>
          </w:tcPr>
          <w:p w14:paraId="5364F652">
            <w:pPr>
              <w:spacing w:line="288" w:lineRule="auto"/>
              <w:jc w:val="center"/>
              <w:rPr>
                <w:rFonts w:hint="eastAsia" w:ascii="宋体" w:hAnsi="宋体" w:cs="宋体"/>
                <w:b/>
                <w:bCs/>
                <w:color w:val="auto"/>
                <w:spacing w:val="-6"/>
                <w:sz w:val="24"/>
                <w:lang w:bidi="ar"/>
              </w:rPr>
            </w:pPr>
            <w:r>
              <w:rPr>
                <w:rFonts w:hint="eastAsia" w:cs="宋体"/>
                <w:b/>
                <w:bCs/>
                <w:color w:val="auto"/>
                <w:spacing w:val="-6"/>
                <w:sz w:val="24"/>
                <w:lang w:bidi="ar"/>
              </w:rPr>
              <w:t>3</w:t>
            </w:r>
          </w:p>
        </w:tc>
        <w:tc>
          <w:tcPr>
            <w:tcW w:w="6757" w:type="dxa"/>
            <w:noWrap w:val="0"/>
            <w:vAlign w:val="center"/>
          </w:tcPr>
          <w:p w14:paraId="42D731C0">
            <w:pPr>
              <w:spacing w:line="288" w:lineRule="auto"/>
              <w:jc w:val="left"/>
              <w:rPr>
                <w:rFonts w:ascii="宋体" w:hAnsi="宋体" w:cs="宋体"/>
                <w:color w:val="auto"/>
                <w:spacing w:val="-6"/>
                <w:sz w:val="24"/>
                <w:lang w:bidi="ar"/>
              </w:rPr>
            </w:pPr>
            <w:r>
              <w:rPr>
                <w:rFonts w:hint="eastAsia" w:ascii="宋体" w:hAnsi="宋体" w:cs="宋体"/>
                <w:color w:val="auto"/>
                <w:spacing w:val="-6"/>
                <w:sz w:val="24"/>
                <w:lang w:bidi="ar"/>
              </w:rPr>
              <w:t>根据供应商提供的供货方案的完整性、合理性打分。有欠缺或不合理的，每处扣1分。本项最高得3分。</w:t>
            </w:r>
          </w:p>
        </w:tc>
      </w:tr>
      <w:tr w14:paraId="12062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15C84DDA">
            <w:pPr>
              <w:spacing w:line="288" w:lineRule="auto"/>
              <w:jc w:val="center"/>
              <w:rPr>
                <w:rFonts w:ascii="宋体" w:hAnsi="宋体" w:cs="宋体"/>
                <w:b/>
                <w:bCs/>
                <w:color w:val="auto"/>
                <w:spacing w:val="-6"/>
                <w:sz w:val="24"/>
                <w:lang w:bidi="ar"/>
              </w:rPr>
            </w:pPr>
          </w:p>
        </w:tc>
        <w:tc>
          <w:tcPr>
            <w:tcW w:w="854" w:type="dxa"/>
            <w:noWrap w:val="0"/>
            <w:vAlign w:val="center"/>
          </w:tcPr>
          <w:p w14:paraId="08ABC360">
            <w:pPr>
              <w:spacing w:line="288" w:lineRule="auto"/>
              <w:jc w:val="center"/>
              <w:rPr>
                <w:rFonts w:hint="eastAsia" w:cs="宋体"/>
                <w:b/>
                <w:bCs/>
                <w:color w:val="auto"/>
                <w:spacing w:val="-6"/>
                <w:sz w:val="24"/>
                <w:lang w:bidi="ar"/>
              </w:rPr>
            </w:pPr>
            <w:r>
              <w:rPr>
                <w:rFonts w:hint="eastAsia" w:cs="宋体"/>
                <w:b/>
                <w:bCs/>
                <w:color w:val="auto"/>
                <w:spacing w:val="-6"/>
                <w:sz w:val="24"/>
                <w:lang w:bidi="ar"/>
              </w:rPr>
              <w:t>3</w:t>
            </w:r>
          </w:p>
        </w:tc>
        <w:tc>
          <w:tcPr>
            <w:tcW w:w="6757" w:type="dxa"/>
            <w:noWrap w:val="0"/>
            <w:vAlign w:val="center"/>
          </w:tcPr>
          <w:p w14:paraId="3BB4685F">
            <w:pPr>
              <w:spacing w:line="288" w:lineRule="auto"/>
              <w:jc w:val="left"/>
              <w:rPr>
                <w:rFonts w:hint="eastAsia" w:ascii="宋体" w:hAnsi="宋体" w:cs="宋体"/>
                <w:color w:val="auto"/>
                <w:spacing w:val="-6"/>
                <w:sz w:val="24"/>
                <w:lang w:bidi="ar"/>
              </w:rPr>
            </w:pPr>
            <w:r>
              <w:rPr>
                <w:rFonts w:hint="eastAsia" w:ascii="宋体" w:hAnsi="宋体" w:cs="宋体"/>
                <w:color w:val="auto"/>
                <w:spacing w:val="-6"/>
                <w:sz w:val="24"/>
                <w:lang w:bidi="ar"/>
              </w:rPr>
              <w:t>根据供应商提供的</w:t>
            </w:r>
            <w:r>
              <w:rPr>
                <w:rFonts w:ascii="宋体" w:hAnsi="宋体" w:cs="宋体"/>
                <w:color w:val="auto"/>
                <w:spacing w:val="-6"/>
                <w:sz w:val="24"/>
                <w:lang w:bidi="ar"/>
              </w:rPr>
              <w:t>应急预案</w:t>
            </w:r>
            <w:r>
              <w:rPr>
                <w:rFonts w:hint="eastAsia" w:ascii="宋体" w:hAnsi="宋体" w:cs="宋体"/>
                <w:color w:val="auto"/>
                <w:spacing w:val="-6"/>
                <w:sz w:val="24"/>
                <w:lang w:bidi="ar"/>
              </w:rPr>
              <w:t>（</w:t>
            </w:r>
            <w:r>
              <w:rPr>
                <w:rFonts w:ascii="宋体" w:hAnsi="宋体" w:cs="宋体"/>
                <w:color w:val="auto"/>
                <w:spacing w:val="-6"/>
                <w:sz w:val="24"/>
                <w:lang w:bidi="ar"/>
              </w:rPr>
              <w:t>紧急故障解决方案、响应时间、专业技术人员保障信息及服务电话，应急响应流程、备份措施</w:t>
            </w:r>
            <w:r>
              <w:rPr>
                <w:rFonts w:hint="eastAsia" w:ascii="宋体" w:hAnsi="宋体" w:cs="宋体"/>
                <w:color w:val="auto"/>
                <w:spacing w:val="-6"/>
                <w:sz w:val="24"/>
                <w:lang w:bidi="ar"/>
              </w:rPr>
              <w:t>等</w:t>
            </w:r>
            <w:r>
              <w:rPr>
                <w:rFonts w:ascii="宋体" w:hAnsi="宋体" w:cs="宋体"/>
                <w:color w:val="auto"/>
                <w:spacing w:val="-6"/>
                <w:sz w:val="24"/>
                <w:lang w:bidi="ar"/>
              </w:rPr>
              <w:t>有利于项目的顺利实施</w:t>
            </w:r>
            <w:r>
              <w:rPr>
                <w:rFonts w:hint="eastAsia" w:ascii="宋体" w:hAnsi="宋体" w:cs="宋体"/>
                <w:color w:val="auto"/>
                <w:spacing w:val="-6"/>
                <w:sz w:val="24"/>
                <w:lang w:bidi="ar"/>
              </w:rPr>
              <w:t>）</w:t>
            </w:r>
            <w:r>
              <w:rPr>
                <w:rFonts w:ascii="宋体" w:hAnsi="宋体" w:cs="宋体"/>
                <w:color w:val="auto"/>
                <w:spacing w:val="-6"/>
                <w:sz w:val="24"/>
                <w:lang w:bidi="ar"/>
              </w:rPr>
              <w:t>。有欠缺或不合理的，每处扣1分。本项最高得</w:t>
            </w:r>
            <w:r>
              <w:rPr>
                <w:rFonts w:hint="eastAsia" w:ascii="宋体" w:hAnsi="宋体" w:cs="宋体"/>
                <w:color w:val="auto"/>
                <w:spacing w:val="-6"/>
                <w:sz w:val="24"/>
                <w:lang w:bidi="ar"/>
              </w:rPr>
              <w:t>3</w:t>
            </w:r>
            <w:r>
              <w:rPr>
                <w:rFonts w:ascii="宋体" w:hAnsi="宋体" w:cs="宋体"/>
                <w:color w:val="auto"/>
                <w:spacing w:val="-6"/>
                <w:sz w:val="24"/>
                <w:lang w:bidi="ar"/>
              </w:rPr>
              <w:t>分。</w:t>
            </w:r>
          </w:p>
        </w:tc>
      </w:tr>
      <w:tr w14:paraId="5188A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07FDC098">
            <w:pPr>
              <w:spacing w:line="288" w:lineRule="auto"/>
              <w:jc w:val="center"/>
              <w:rPr>
                <w:b/>
                <w:bCs/>
                <w:color w:val="auto"/>
                <w:sz w:val="24"/>
              </w:rPr>
            </w:pPr>
            <w:r>
              <w:rPr>
                <w:rFonts w:hint="eastAsia" w:ascii="宋体" w:hAnsi="宋体" w:cs="宋体"/>
                <w:b/>
                <w:bCs/>
                <w:color w:val="auto"/>
                <w:sz w:val="24"/>
                <w:lang w:bidi="ar"/>
              </w:rPr>
              <w:t>验收、调试及试运行方案</w:t>
            </w:r>
          </w:p>
        </w:tc>
        <w:tc>
          <w:tcPr>
            <w:tcW w:w="854" w:type="dxa"/>
            <w:noWrap w:val="0"/>
            <w:vAlign w:val="center"/>
          </w:tcPr>
          <w:p w14:paraId="2E0CAED9">
            <w:pPr>
              <w:spacing w:line="288" w:lineRule="auto"/>
              <w:jc w:val="center"/>
              <w:rPr>
                <w:rFonts w:hint="eastAsia"/>
                <w:b/>
                <w:bCs/>
                <w:color w:val="auto"/>
                <w:sz w:val="24"/>
              </w:rPr>
            </w:pPr>
            <w:r>
              <w:rPr>
                <w:rFonts w:hint="eastAsia" w:cs="宋体"/>
                <w:b/>
                <w:bCs/>
                <w:color w:val="auto"/>
                <w:spacing w:val="-6"/>
                <w:sz w:val="24"/>
                <w:lang w:bidi="ar"/>
              </w:rPr>
              <w:t>3</w:t>
            </w:r>
          </w:p>
        </w:tc>
        <w:tc>
          <w:tcPr>
            <w:tcW w:w="6757" w:type="dxa"/>
            <w:noWrap w:val="0"/>
            <w:vAlign w:val="center"/>
          </w:tcPr>
          <w:p w14:paraId="25B2F52B">
            <w:pPr>
              <w:spacing w:line="288" w:lineRule="auto"/>
              <w:rPr>
                <w:color w:val="auto"/>
                <w:sz w:val="24"/>
              </w:rPr>
            </w:pPr>
            <w:r>
              <w:rPr>
                <w:rFonts w:hint="eastAsia" w:ascii="宋体" w:hAnsi="宋体" w:cs="宋体"/>
                <w:color w:val="auto"/>
                <w:sz w:val="24"/>
                <w:lang w:bidi="ar"/>
              </w:rPr>
              <w:t>根据供应商提供的验收、调试及试运行方案的</w:t>
            </w:r>
            <w:r>
              <w:rPr>
                <w:rFonts w:hint="eastAsia" w:cs="宋体"/>
                <w:color w:val="auto"/>
                <w:spacing w:val="-6"/>
                <w:sz w:val="24"/>
                <w:lang w:bidi="ar"/>
              </w:rPr>
              <w:t>完整性、合理性打分</w:t>
            </w:r>
            <w:r>
              <w:rPr>
                <w:rFonts w:hint="eastAsia" w:ascii="宋体" w:hAnsi="宋体" w:cs="宋体"/>
                <w:color w:val="auto"/>
                <w:spacing w:val="-6"/>
                <w:sz w:val="24"/>
                <w:lang w:bidi="ar"/>
              </w:rPr>
              <w:t>。有欠缺或不合理的，每处扣1分。</w:t>
            </w:r>
            <w:r>
              <w:rPr>
                <w:rFonts w:hint="eastAsia" w:cs="宋体"/>
                <w:color w:val="auto"/>
                <w:sz w:val="24"/>
                <w:lang w:bidi="ar"/>
              </w:rPr>
              <w:t>本项</w:t>
            </w:r>
            <w:r>
              <w:rPr>
                <w:rFonts w:hint="eastAsia" w:ascii="宋体" w:hAnsi="宋体" w:cs="宋体"/>
                <w:color w:val="auto"/>
                <w:sz w:val="24"/>
                <w:lang w:bidi="ar"/>
              </w:rPr>
              <w:t>最高得</w:t>
            </w:r>
            <w:r>
              <w:rPr>
                <w:rFonts w:hint="eastAsia" w:cs="宋体"/>
                <w:color w:val="auto"/>
                <w:sz w:val="24"/>
                <w:lang w:bidi="ar"/>
              </w:rPr>
              <w:t>3</w:t>
            </w:r>
            <w:r>
              <w:rPr>
                <w:rFonts w:hint="eastAsia" w:ascii="宋体" w:hAnsi="宋体" w:cs="宋体"/>
                <w:color w:val="auto"/>
                <w:sz w:val="24"/>
                <w:lang w:bidi="ar"/>
              </w:rPr>
              <w:t>分。</w:t>
            </w:r>
          </w:p>
        </w:tc>
      </w:tr>
      <w:tr w14:paraId="27BC4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745" w:type="dxa"/>
            <w:noWrap w:val="0"/>
            <w:vAlign w:val="center"/>
          </w:tcPr>
          <w:p w14:paraId="087833C3">
            <w:pPr>
              <w:spacing w:line="288" w:lineRule="auto"/>
              <w:jc w:val="center"/>
              <w:rPr>
                <w:rFonts w:ascii="宋体" w:hAnsi="宋体" w:cs="宋体"/>
                <w:b/>
                <w:bCs/>
                <w:color w:val="auto"/>
                <w:spacing w:val="-6"/>
                <w:sz w:val="24"/>
                <w:lang w:bidi="ar"/>
              </w:rPr>
            </w:pPr>
            <w:r>
              <w:rPr>
                <w:rFonts w:hint="eastAsia" w:ascii="宋体" w:hAnsi="宋体" w:cs="宋体"/>
                <w:b/>
                <w:bCs/>
                <w:color w:val="auto"/>
                <w:spacing w:val="-6"/>
                <w:sz w:val="24"/>
                <w:lang w:bidi="ar"/>
              </w:rPr>
              <w:t>项目负责人能力</w:t>
            </w:r>
          </w:p>
        </w:tc>
        <w:tc>
          <w:tcPr>
            <w:tcW w:w="854" w:type="dxa"/>
            <w:noWrap w:val="0"/>
            <w:vAlign w:val="center"/>
          </w:tcPr>
          <w:p w14:paraId="00FF2AC2">
            <w:pPr>
              <w:spacing w:line="288" w:lineRule="auto"/>
              <w:jc w:val="center"/>
              <w:rPr>
                <w:rFonts w:ascii="宋体" w:hAnsi="宋体" w:cs="宋体"/>
                <w:b/>
                <w:bCs/>
                <w:color w:val="auto"/>
                <w:spacing w:val="-6"/>
                <w:sz w:val="24"/>
                <w:lang w:bidi="ar"/>
              </w:rPr>
            </w:pPr>
            <w:r>
              <w:rPr>
                <w:rFonts w:hint="eastAsia" w:ascii="宋体" w:hAnsi="宋体" w:cs="宋体"/>
                <w:b/>
                <w:bCs/>
                <w:color w:val="auto"/>
                <w:spacing w:val="-6"/>
                <w:sz w:val="24"/>
                <w:lang w:bidi="ar"/>
              </w:rPr>
              <w:t>3</w:t>
            </w:r>
          </w:p>
        </w:tc>
        <w:tc>
          <w:tcPr>
            <w:tcW w:w="6757" w:type="dxa"/>
            <w:noWrap w:val="0"/>
            <w:vAlign w:val="center"/>
          </w:tcPr>
          <w:p w14:paraId="35D34C73">
            <w:pPr>
              <w:spacing w:line="288" w:lineRule="auto"/>
              <w:rPr>
                <w:rFonts w:hint="eastAsia" w:ascii="宋体" w:hAnsi="宋体" w:cs="宋体"/>
                <w:color w:val="auto"/>
                <w:sz w:val="24"/>
                <w:lang w:bidi="ar"/>
              </w:rPr>
            </w:pPr>
            <w:r>
              <w:rPr>
                <w:rFonts w:hint="eastAsia" w:ascii="宋体" w:hAnsi="宋体" w:cs="宋体"/>
                <w:color w:val="auto"/>
                <w:sz w:val="24"/>
                <w:lang w:bidi="ar"/>
              </w:rPr>
              <w:t>项目负责人具有机电工程或海洋工程相关中级及以上职称证书</w:t>
            </w:r>
          </w:p>
          <w:p w14:paraId="2EA0F17A">
            <w:pPr>
              <w:spacing w:line="288" w:lineRule="auto"/>
              <w:rPr>
                <w:rFonts w:ascii="宋体" w:hAnsi="宋体" w:cs="宋体"/>
                <w:color w:val="auto"/>
                <w:sz w:val="24"/>
                <w:lang w:bidi="ar"/>
              </w:rPr>
            </w:pPr>
            <w:r>
              <w:rPr>
                <w:rFonts w:hint="eastAsia" w:ascii="宋体" w:hAnsi="宋体" w:cs="宋体"/>
                <w:color w:val="auto"/>
                <w:sz w:val="24"/>
                <w:lang w:bidi="ar"/>
              </w:rPr>
              <w:t>的，得2分；具有高级职称的，得3分。须提供有效证书及开标前三个月内任意一月本单位社保缴纳证明。</w:t>
            </w:r>
            <w:r>
              <w:rPr>
                <w:rFonts w:hint="eastAsia" w:ascii="宋体" w:hAnsi="宋体" w:cs="宋体"/>
                <w:b/>
                <w:bCs/>
                <w:color w:val="auto"/>
                <w:sz w:val="24"/>
                <w:lang w:bidi="ar"/>
              </w:rPr>
              <w:t>【客观分】</w:t>
            </w:r>
          </w:p>
        </w:tc>
      </w:tr>
      <w:tr w14:paraId="0E108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0035E82C">
            <w:pPr>
              <w:spacing w:line="288" w:lineRule="auto"/>
              <w:jc w:val="center"/>
              <w:rPr>
                <w:rFonts w:hint="eastAsia"/>
                <w:b/>
                <w:bCs/>
                <w:color w:val="auto"/>
                <w:sz w:val="24"/>
              </w:rPr>
            </w:pPr>
            <w:r>
              <w:rPr>
                <w:rFonts w:hint="eastAsia" w:ascii="宋体" w:hAnsi="宋体" w:cs="宋体"/>
                <w:b/>
                <w:bCs/>
                <w:color w:val="auto"/>
                <w:spacing w:val="-6"/>
                <w:sz w:val="24"/>
                <w:lang w:bidi="ar"/>
              </w:rPr>
              <w:t>项目团队人员能力</w:t>
            </w:r>
          </w:p>
        </w:tc>
        <w:tc>
          <w:tcPr>
            <w:tcW w:w="854" w:type="dxa"/>
            <w:noWrap w:val="0"/>
            <w:vAlign w:val="center"/>
          </w:tcPr>
          <w:p w14:paraId="2FA623C4">
            <w:pPr>
              <w:spacing w:line="288" w:lineRule="auto"/>
              <w:jc w:val="center"/>
              <w:rPr>
                <w:rFonts w:hint="eastAsia"/>
                <w:b/>
                <w:bCs/>
                <w:color w:val="auto"/>
                <w:sz w:val="24"/>
              </w:rPr>
            </w:pPr>
            <w:r>
              <w:rPr>
                <w:rFonts w:hint="eastAsia" w:ascii="宋体" w:hAnsi="宋体" w:cs="宋体"/>
                <w:b/>
                <w:bCs/>
                <w:color w:val="auto"/>
                <w:spacing w:val="-6"/>
                <w:sz w:val="24"/>
                <w:lang w:bidi="ar"/>
              </w:rPr>
              <w:t>3</w:t>
            </w:r>
          </w:p>
        </w:tc>
        <w:tc>
          <w:tcPr>
            <w:tcW w:w="6757" w:type="dxa"/>
            <w:noWrap w:val="0"/>
            <w:vAlign w:val="center"/>
          </w:tcPr>
          <w:p w14:paraId="406C7A6D">
            <w:pPr>
              <w:spacing w:line="288" w:lineRule="auto"/>
              <w:rPr>
                <w:color w:val="auto"/>
                <w:sz w:val="24"/>
              </w:rPr>
            </w:pPr>
            <w:r>
              <w:rPr>
                <w:rFonts w:hint="eastAsia" w:ascii="宋体" w:hAnsi="宋体" w:cs="宋体"/>
                <w:color w:val="auto"/>
                <w:sz w:val="24"/>
                <w:lang w:bidi="ar"/>
              </w:rPr>
              <w:t>项目团队人员具有机电工程或海洋工程相关中级及以上职称证书的，每1人得1分，最高得3分。须提供有效证书及开标前三个月内任意一月本单位社保缴纳证明。</w:t>
            </w:r>
            <w:r>
              <w:rPr>
                <w:rFonts w:hint="eastAsia" w:ascii="宋体" w:hAnsi="宋体" w:cs="宋体"/>
                <w:b/>
                <w:bCs/>
                <w:color w:val="auto"/>
                <w:sz w:val="24"/>
                <w:lang w:bidi="ar"/>
              </w:rPr>
              <w:t>【客观分】</w:t>
            </w:r>
          </w:p>
        </w:tc>
      </w:tr>
      <w:tr w14:paraId="0433F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3622A84F">
            <w:pPr>
              <w:adjustRightInd w:val="0"/>
              <w:snapToGrid w:val="0"/>
              <w:spacing w:line="288" w:lineRule="auto"/>
              <w:jc w:val="center"/>
              <w:rPr>
                <w:b/>
                <w:bCs/>
                <w:color w:val="auto"/>
                <w:sz w:val="24"/>
              </w:rPr>
            </w:pPr>
            <w:r>
              <w:rPr>
                <w:rFonts w:hint="eastAsia"/>
                <w:b/>
                <w:bCs/>
                <w:color w:val="auto"/>
                <w:sz w:val="24"/>
              </w:rPr>
              <w:t>培训计划</w:t>
            </w:r>
          </w:p>
        </w:tc>
        <w:tc>
          <w:tcPr>
            <w:tcW w:w="854" w:type="dxa"/>
            <w:noWrap w:val="0"/>
            <w:vAlign w:val="center"/>
          </w:tcPr>
          <w:p w14:paraId="73674ACA">
            <w:pPr>
              <w:spacing w:line="288" w:lineRule="auto"/>
              <w:jc w:val="center"/>
              <w:rPr>
                <w:rFonts w:hint="eastAsia" w:eastAsia="宋体"/>
                <w:b/>
                <w:bCs/>
                <w:color w:val="auto"/>
                <w:sz w:val="24"/>
                <w:lang w:eastAsia="zh-CN"/>
              </w:rPr>
            </w:pPr>
            <w:r>
              <w:rPr>
                <w:rFonts w:hint="eastAsia" w:cs="宋体"/>
                <w:b/>
                <w:bCs/>
                <w:color w:val="auto"/>
                <w:spacing w:val="-6"/>
                <w:sz w:val="24"/>
                <w:lang w:val="en-US" w:eastAsia="zh-CN" w:bidi="ar"/>
              </w:rPr>
              <w:t>3</w:t>
            </w:r>
          </w:p>
        </w:tc>
        <w:tc>
          <w:tcPr>
            <w:tcW w:w="6757" w:type="dxa"/>
            <w:noWrap w:val="0"/>
            <w:vAlign w:val="center"/>
          </w:tcPr>
          <w:p w14:paraId="6A6B9310">
            <w:pPr>
              <w:spacing w:line="288" w:lineRule="auto"/>
              <w:rPr>
                <w:color w:val="auto"/>
                <w:sz w:val="24"/>
              </w:rPr>
            </w:pPr>
            <w:r>
              <w:rPr>
                <w:rFonts w:hint="eastAsia" w:ascii="宋体" w:hAnsi="宋体" w:cs="宋体"/>
                <w:color w:val="auto"/>
                <w:sz w:val="24"/>
                <w:lang w:bidi="ar"/>
              </w:rPr>
              <w:t>根据供应商提供培训计划方案的合理、可行性打分。有欠缺或不合理的，每处扣1分。本项最高得</w:t>
            </w:r>
            <w:r>
              <w:rPr>
                <w:rFonts w:hint="eastAsia" w:ascii="宋体" w:hAnsi="宋体" w:cs="宋体"/>
                <w:color w:val="auto"/>
                <w:sz w:val="24"/>
                <w:lang w:val="en-US" w:eastAsia="zh-CN" w:bidi="ar"/>
              </w:rPr>
              <w:t>3</w:t>
            </w:r>
            <w:r>
              <w:rPr>
                <w:rFonts w:hint="eastAsia" w:ascii="宋体" w:hAnsi="宋体" w:cs="宋体"/>
                <w:color w:val="auto"/>
                <w:sz w:val="24"/>
                <w:lang w:bidi="ar"/>
              </w:rPr>
              <w:t>分。</w:t>
            </w:r>
          </w:p>
        </w:tc>
      </w:tr>
      <w:tr w14:paraId="5D844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491284C4">
            <w:pPr>
              <w:adjustRightInd w:val="0"/>
              <w:snapToGrid w:val="0"/>
              <w:spacing w:line="288" w:lineRule="auto"/>
              <w:jc w:val="center"/>
              <w:rPr>
                <w:b/>
                <w:bCs/>
                <w:color w:val="auto"/>
                <w:sz w:val="24"/>
              </w:rPr>
            </w:pPr>
            <w:r>
              <w:rPr>
                <w:rFonts w:hint="eastAsia"/>
                <w:b/>
                <w:bCs/>
                <w:color w:val="auto"/>
                <w:sz w:val="24"/>
              </w:rPr>
              <w:t>售后服务</w:t>
            </w:r>
          </w:p>
        </w:tc>
        <w:tc>
          <w:tcPr>
            <w:tcW w:w="854" w:type="dxa"/>
            <w:noWrap w:val="0"/>
            <w:vAlign w:val="center"/>
          </w:tcPr>
          <w:p w14:paraId="01F62ECF">
            <w:pPr>
              <w:spacing w:line="288" w:lineRule="auto"/>
              <w:jc w:val="center"/>
              <w:rPr>
                <w:rFonts w:hint="eastAsia"/>
                <w:b/>
                <w:bCs/>
                <w:color w:val="auto"/>
                <w:sz w:val="24"/>
              </w:rPr>
            </w:pPr>
            <w:r>
              <w:rPr>
                <w:rFonts w:hint="eastAsia" w:cs="宋体"/>
                <w:b/>
                <w:bCs/>
                <w:color w:val="auto"/>
                <w:spacing w:val="-6"/>
                <w:sz w:val="24"/>
                <w:lang w:bidi="ar"/>
              </w:rPr>
              <w:t>3</w:t>
            </w:r>
          </w:p>
        </w:tc>
        <w:tc>
          <w:tcPr>
            <w:tcW w:w="6757" w:type="dxa"/>
            <w:noWrap w:val="0"/>
            <w:vAlign w:val="center"/>
          </w:tcPr>
          <w:p w14:paraId="17BD4FC4">
            <w:pPr>
              <w:spacing w:line="288" w:lineRule="auto"/>
              <w:rPr>
                <w:color w:val="auto"/>
                <w:sz w:val="24"/>
              </w:rPr>
            </w:pPr>
            <w:r>
              <w:rPr>
                <w:rFonts w:hint="eastAsia" w:ascii="宋体" w:hAnsi="宋体" w:cs="宋体"/>
                <w:color w:val="auto"/>
                <w:sz w:val="24"/>
                <w:lang w:bidi="ar"/>
              </w:rPr>
              <w:t>根据供应商承诺的售后服务响应时间、保证措施等情况打分。有欠缺或不合理的，每处扣1分。本项最高得3分。</w:t>
            </w:r>
          </w:p>
        </w:tc>
      </w:tr>
    </w:tbl>
    <w:p w14:paraId="40B93CA0">
      <w:pPr>
        <w:pStyle w:val="3"/>
        <w:spacing w:before="120" w:beforeLines="50" w:line="288" w:lineRule="auto"/>
        <w:ind w:firstLine="422" w:firstLineChars="175"/>
        <w:rPr>
          <w:rFonts w:hint="eastAsia"/>
          <w:b/>
          <w:color w:val="auto"/>
          <w:szCs w:val="24"/>
        </w:rPr>
      </w:pPr>
    </w:p>
    <w:p w14:paraId="44568BA2">
      <w:pPr>
        <w:pStyle w:val="3"/>
        <w:spacing w:before="120" w:beforeLines="50" w:line="288" w:lineRule="auto"/>
        <w:ind w:firstLine="422" w:firstLineChars="175"/>
        <w:rPr>
          <w:b/>
          <w:color w:val="auto"/>
          <w:szCs w:val="24"/>
        </w:rPr>
      </w:pPr>
      <w:r>
        <w:rPr>
          <w:rFonts w:hint="eastAsia"/>
          <w:b/>
          <w:color w:val="auto"/>
          <w:szCs w:val="24"/>
        </w:rPr>
        <w:t>注：（1）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159EC59B">
      <w:pPr>
        <w:numPr>
          <w:ilvl w:val="0"/>
          <w:numId w:val="5"/>
        </w:numPr>
        <w:spacing w:line="288" w:lineRule="auto"/>
        <w:ind w:firstLine="422" w:firstLineChars="175"/>
        <w:jc w:val="left"/>
        <w:rPr>
          <w:rFonts w:hint="eastAsia" w:ascii="宋体" w:hAnsi="宋体"/>
          <w:b/>
          <w:color w:val="auto"/>
          <w:sz w:val="24"/>
          <w:szCs w:val="24"/>
        </w:rPr>
      </w:pPr>
      <w:bookmarkStart w:id="399" w:name="_Toc24145"/>
      <w:bookmarkStart w:id="400" w:name="_Toc22598"/>
      <w:bookmarkStart w:id="401" w:name="_Toc1372"/>
      <w:bookmarkStart w:id="402" w:name="_Toc25244"/>
      <w:bookmarkStart w:id="403" w:name="_Toc6434"/>
      <w:bookmarkStart w:id="404" w:name="_Toc20757"/>
      <w:bookmarkStart w:id="405" w:name="_Toc10701"/>
      <w:r>
        <w:rPr>
          <w:rFonts w:hint="eastAsia" w:ascii="宋体" w:hAnsi="宋体"/>
          <w:b/>
          <w:color w:val="auto"/>
          <w:sz w:val="24"/>
          <w:szCs w:val="24"/>
        </w:rPr>
        <w:t>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32F9E59C">
      <w:pPr>
        <w:widowControl/>
        <w:snapToGrid w:val="0"/>
        <w:spacing w:line="288" w:lineRule="auto"/>
        <w:ind w:firstLine="482" w:firstLineChars="200"/>
        <w:rPr>
          <w:rFonts w:ascii="宋体" w:hAnsi="宋体" w:cs="宋体"/>
          <w:b/>
          <w:bCs/>
          <w:color w:val="auto"/>
          <w:sz w:val="24"/>
          <w:szCs w:val="24"/>
        </w:rPr>
      </w:pPr>
    </w:p>
    <w:p w14:paraId="15B00A86">
      <w:pPr>
        <w:spacing w:line="288" w:lineRule="auto"/>
        <w:rPr>
          <w:rFonts w:ascii="宋体" w:hAnsi="宋体"/>
          <w:b/>
          <w:color w:val="auto"/>
          <w:sz w:val="24"/>
          <w:szCs w:val="24"/>
        </w:rPr>
      </w:pPr>
      <w:r>
        <w:rPr>
          <w:rFonts w:hint="eastAsia" w:ascii="宋体" w:hAnsi="宋体"/>
          <w:b/>
          <w:color w:val="auto"/>
          <w:sz w:val="24"/>
          <w:szCs w:val="24"/>
        </w:rPr>
        <w:br w:type="page"/>
      </w:r>
    </w:p>
    <w:bookmarkEnd w:id="399"/>
    <w:bookmarkEnd w:id="400"/>
    <w:bookmarkEnd w:id="401"/>
    <w:bookmarkEnd w:id="402"/>
    <w:bookmarkEnd w:id="403"/>
    <w:bookmarkEnd w:id="404"/>
    <w:bookmarkEnd w:id="405"/>
    <w:p w14:paraId="5BD880ED">
      <w:pPr>
        <w:pStyle w:val="4"/>
        <w:keepNext/>
        <w:keepLines/>
        <w:pageBreakBefore w:val="0"/>
        <w:widowControl w:val="0"/>
        <w:kinsoku/>
        <w:wordWrap/>
        <w:overflowPunct/>
        <w:topLinePunct w:val="0"/>
        <w:autoSpaceDE/>
        <w:autoSpaceDN/>
        <w:bidi w:val="0"/>
        <w:adjustRightInd w:val="0"/>
        <w:snapToGrid/>
        <w:spacing w:before="0" w:after="0" w:line="360" w:lineRule="auto"/>
        <w:textAlignment w:val="auto"/>
        <w:outlineLvl w:val="0"/>
        <w:rPr>
          <w:color w:val="auto"/>
        </w:rPr>
      </w:pPr>
      <w:bookmarkStart w:id="406" w:name="_Toc20688"/>
      <w:bookmarkStart w:id="407" w:name="_Toc17908"/>
      <w:bookmarkStart w:id="408" w:name="_Toc20227"/>
      <w:bookmarkStart w:id="409" w:name="_Toc24073"/>
      <w:bookmarkStart w:id="410" w:name="_Toc32547"/>
      <w:bookmarkStart w:id="411" w:name="_Toc12648"/>
      <w:bookmarkStart w:id="412" w:name="_Toc29628"/>
      <w:bookmarkStart w:id="413" w:name="_Toc10961"/>
      <w:bookmarkStart w:id="414" w:name="_Toc31149"/>
      <w:bookmarkStart w:id="415" w:name="_Toc4881"/>
      <w:bookmarkStart w:id="416" w:name="_Toc27538"/>
      <w:bookmarkStart w:id="417" w:name="_Toc7720"/>
      <w:bookmarkStart w:id="418" w:name="_Toc5912"/>
      <w:bookmarkStart w:id="419" w:name="_Toc30909"/>
      <w:bookmarkStart w:id="420" w:name="_Toc9271"/>
      <w:bookmarkStart w:id="421" w:name="_Toc11101"/>
      <w:bookmarkStart w:id="422" w:name="_Toc10743"/>
      <w:bookmarkStart w:id="423" w:name="_Toc11193"/>
      <w:bookmarkStart w:id="424" w:name="_Toc11975"/>
      <w:bookmarkStart w:id="425" w:name="_Toc30074"/>
      <w:bookmarkStart w:id="426" w:name="_Toc2437"/>
      <w:bookmarkStart w:id="427" w:name="_Toc22186"/>
      <w:bookmarkStart w:id="428" w:name="_Hlk163050796"/>
      <w:bookmarkStart w:id="429" w:name="_Toc18610"/>
      <w:bookmarkStart w:id="430" w:name="_Toc1600"/>
      <w:bookmarkStart w:id="431" w:name="_Toc1047"/>
      <w:bookmarkStart w:id="432" w:name="_Toc8338"/>
      <w:bookmarkStart w:id="433" w:name="_Toc11103"/>
      <w:bookmarkStart w:id="434" w:name="_Toc10667"/>
      <w:bookmarkStart w:id="435" w:name="_Toc32613"/>
      <w:bookmarkStart w:id="436" w:name="_Toc10262"/>
      <w:bookmarkStart w:id="437" w:name="_Toc22722"/>
      <w:bookmarkStart w:id="438" w:name="_Toc6559"/>
      <w:bookmarkStart w:id="439" w:name="_Toc8120"/>
      <w:bookmarkStart w:id="440" w:name="_Toc16244"/>
      <w:bookmarkStart w:id="441" w:name="_Toc13533"/>
      <w:bookmarkStart w:id="442" w:name="_Toc2560"/>
      <w:bookmarkStart w:id="443" w:name="_Toc18687"/>
      <w:bookmarkStart w:id="444" w:name="_Toc3807"/>
      <w:bookmarkStart w:id="445" w:name="_Toc11486"/>
      <w:bookmarkStart w:id="446" w:name="_Toc16795"/>
      <w:bookmarkStart w:id="447" w:name="_Toc3727"/>
      <w:bookmarkStart w:id="448" w:name="_Toc12834"/>
      <w:bookmarkStart w:id="449" w:name="_Toc26629"/>
      <w:bookmarkStart w:id="450" w:name="_Toc24190"/>
      <w:bookmarkStart w:id="451" w:name="_Toc8356"/>
      <w:bookmarkStart w:id="452" w:name="_Toc22400"/>
      <w:r>
        <w:rPr>
          <w:rFonts w:hint="eastAsia"/>
          <w:color w:val="auto"/>
        </w:rPr>
        <w:t>第五部分 合同基本条款</w:t>
      </w:r>
      <w:bookmarkEnd w:id="406"/>
    </w:p>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14:paraId="34CE2EDA">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bookmarkEnd w:id="428"/>
    </w:p>
    <w:p w14:paraId="657642A5">
      <w:pPr>
        <w:keepNext w:val="0"/>
        <w:keepLines w:val="0"/>
        <w:pageBreakBefore w:val="0"/>
        <w:widowControl w:val="0"/>
        <w:kinsoku/>
        <w:wordWrap/>
        <w:overflowPunct/>
        <w:topLinePunct w:val="0"/>
        <w:autoSpaceDE/>
        <w:autoSpaceDN/>
        <w:bidi w:val="0"/>
        <w:adjustRightInd/>
        <w:spacing w:line="312" w:lineRule="auto"/>
        <w:jc w:val="center"/>
        <w:textAlignment w:val="auto"/>
        <w:rPr>
          <w:b/>
          <w:bCs/>
          <w:color w:val="auto"/>
          <w:sz w:val="28"/>
          <w:szCs w:val="28"/>
        </w:rPr>
      </w:pPr>
      <w:bookmarkStart w:id="453" w:name="_Toc30517"/>
      <w:bookmarkStart w:id="454" w:name="_Toc886"/>
      <w:r>
        <w:rPr>
          <w:rFonts w:hint="eastAsia"/>
          <w:b/>
          <w:bCs/>
          <w:color w:val="auto"/>
          <w:sz w:val="28"/>
          <w:szCs w:val="28"/>
        </w:rPr>
        <w:t>杭州电子科技大学采购合同（货物类）</w:t>
      </w:r>
    </w:p>
    <w:p w14:paraId="1EEBB115">
      <w:pPr>
        <w:keepNext w:val="0"/>
        <w:keepLines w:val="0"/>
        <w:pageBreakBefore w:val="0"/>
        <w:widowControl w:val="0"/>
        <w:kinsoku/>
        <w:wordWrap/>
        <w:overflowPunct/>
        <w:topLinePunct w:val="0"/>
        <w:autoSpaceDE/>
        <w:autoSpaceDN/>
        <w:bidi w:val="0"/>
        <w:adjustRightInd/>
        <w:spacing w:line="312" w:lineRule="auto"/>
        <w:jc w:val="right"/>
        <w:textAlignment w:val="auto"/>
        <w:rPr>
          <w:color w:val="auto"/>
        </w:rPr>
      </w:pPr>
      <w:r>
        <w:rPr>
          <w:rFonts w:hint="eastAsia"/>
          <w:color w:val="auto"/>
        </w:rPr>
        <w:t>合同编号_</w:t>
      </w:r>
      <w:r>
        <w:rPr>
          <w:color w:val="auto"/>
        </w:rPr>
        <w:t xml:space="preserve">________________ </w:t>
      </w:r>
    </w:p>
    <w:p w14:paraId="056A9177">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确认书号：</w:t>
      </w:r>
    </w:p>
    <w:p w14:paraId="16449ED4">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项目编号：</w:t>
      </w:r>
    </w:p>
    <w:p w14:paraId="05EF220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 xml:space="preserve">甲方（采购人）：杭州电子科技大学 </w:t>
      </w:r>
      <w:r>
        <w:rPr>
          <w:color w:val="auto"/>
        </w:rPr>
        <w:t xml:space="preserve"> </w:t>
      </w:r>
    </w:p>
    <w:p w14:paraId="2A43535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乙方（供应商）：</w:t>
      </w:r>
      <w:r>
        <w:rPr>
          <w:color w:val="auto"/>
        </w:rPr>
        <w:t xml:space="preserve"> </w:t>
      </w:r>
    </w:p>
    <w:p w14:paraId="6B8EC36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u w:val="none"/>
          <w:lang w:eastAsia="zh-CN"/>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367EC713">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一、采购货物与合同价格</w:t>
      </w:r>
    </w:p>
    <w:tbl>
      <w:tblPr>
        <w:tblStyle w:val="4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52B83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41DAE2F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1C9D724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5B6F42F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5C0E40B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7EFA98B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439BB53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6DE40AC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总价</w:t>
            </w:r>
          </w:p>
        </w:tc>
      </w:tr>
      <w:tr w14:paraId="46173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7AF893F">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color w:val="auto"/>
              </w:rPr>
              <w:t>1</w:t>
            </w:r>
          </w:p>
        </w:tc>
        <w:tc>
          <w:tcPr>
            <w:tcW w:w="1270" w:type="dxa"/>
            <w:tcBorders>
              <w:top w:val="single" w:color="auto" w:sz="4" w:space="0"/>
              <w:left w:val="single" w:color="auto" w:sz="4" w:space="0"/>
              <w:bottom w:val="single" w:color="auto" w:sz="4" w:space="0"/>
              <w:right w:val="single" w:color="auto" w:sz="4" w:space="0"/>
            </w:tcBorders>
            <w:vAlign w:val="center"/>
          </w:tcPr>
          <w:p w14:paraId="586E1D7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11BA7D21">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53D0CF1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5FA46D1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2F34FB1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7108CD6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40C7A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26B7977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70" w:type="dxa"/>
            <w:tcBorders>
              <w:top w:val="single" w:color="auto" w:sz="4" w:space="0"/>
              <w:left w:val="single" w:color="auto" w:sz="4" w:space="0"/>
              <w:bottom w:val="single" w:color="auto" w:sz="4" w:space="0"/>
              <w:right w:val="single" w:color="auto" w:sz="4" w:space="0"/>
            </w:tcBorders>
            <w:vAlign w:val="center"/>
          </w:tcPr>
          <w:p w14:paraId="29B6F96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0444E55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45A8D14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549A1B1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191CB2A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5B6F904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159DE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00CA6A83">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3981AE5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5DE10949">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二、供货范围</w:t>
      </w:r>
    </w:p>
    <w:p w14:paraId="7AD2203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合同供货范围包括所有合同货物、相关的技术资料。</w:t>
      </w:r>
    </w:p>
    <w:p w14:paraId="1FFC202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5B8DA805">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三、质保期、履约保证金与货款结算</w:t>
      </w:r>
    </w:p>
    <w:p w14:paraId="328146D2">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1</w:t>
      </w:r>
      <w:r>
        <w:rPr>
          <w:rFonts w:ascii="宋体" w:hAnsi="宋体"/>
          <w:b/>
          <w:bCs/>
          <w:color w:val="auto"/>
          <w:spacing w:val="-6"/>
        </w:rPr>
        <w:t>.</w:t>
      </w:r>
      <w:r>
        <w:rPr>
          <w:rFonts w:hint="eastAsia"/>
          <w:b/>
          <w:bCs/>
          <w:color w:val="auto"/>
        </w:rPr>
        <w:t>质保期</w:t>
      </w:r>
      <w:r>
        <w:rPr>
          <w:rFonts w:hint="eastAsia"/>
          <w:color w:val="auto"/>
        </w:rPr>
        <w:t>：自验收合格之日起，质保期</w:t>
      </w:r>
      <w:r>
        <w:rPr>
          <w:color w:val="auto"/>
          <w:u w:val="single"/>
        </w:rPr>
        <w:t xml:space="preserve">   </w:t>
      </w:r>
      <w:r>
        <w:rPr>
          <w:rFonts w:hint="eastAsia"/>
          <w:color w:val="auto"/>
          <w:u w:val="single"/>
          <w:lang w:val="en-US" w:eastAsia="zh-CN"/>
        </w:rPr>
        <w:t xml:space="preserve">  </w:t>
      </w:r>
      <w:r>
        <w:rPr>
          <w:rFonts w:hint="eastAsia"/>
          <w:color w:val="auto"/>
          <w:u w:val="none"/>
          <w:lang w:val="en-US" w:eastAsia="zh-CN"/>
        </w:rPr>
        <w:t xml:space="preserve"> 月</w:t>
      </w:r>
      <w:r>
        <w:rPr>
          <w:rFonts w:hint="eastAsia"/>
          <w:color w:val="auto"/>
        </w:rPr>
        <w:t>。超过质保期的货物，终生维修，维修时只收部件成本费。软件的质保期即维护期，乙方应提供升级服务。质保期内质保维护升级等费用包含在合同总价中，不额外收取。</w:t>
      </w:r>
      <w:r>
        <w:rPr>
          <w:rFonts w:hint="eastAsia"/>
          <w:color w:val="auto"/>
          <w:lang w:val="en-US" w:eastAsia="zh-CN"/>
        </w:rPr>
        <w:t>其他质保说明（如有）：</w:t>
      </w:r>
      <w:r>
        <w:rPr>
          <w:rFonts w:hint="eastAsia"/>
          <w:color w:val="auto"/>
          <w:u w:val="single"/>
          <w:lang w:val="en-US" w:eastAsia="zh-CN"/>
        </w:rPr>
        <w:t xml:space="preserve">                </w:t>
      </w:r>
      <w:r>
        <w:rPr>
          <w:rFonts w:hint="eastAsia"/>
          <w:color w:val="auto"/>
          <w:u w:val="none"/>
          <w:lang w:val="en-US" w:eastAsia="zh-CN"/>
        </w:rPr>
        <w:t>。</w:t>
      </w:r>
    </w:p>
    <w:p w14:paraId="3BE38DE7">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2.</w:t>
      </w:r>
      <w:r>
        <w:rPr>
          <w:rFonts w:hint="eastAsia"/>
          <w:b/>
          <w:bCs/>
          <w:color w:val="auto"/>
        </w:rPr>
        <w:t>履约保证金（如</w:t>
      </w:r>
      <w:r>
        <w:rPr>
          <w:rFonts w:hint="eastAsia"/>
          <w:b/>
          <w:bCs/>
          <w:color w:val="auto"/>
          <w:lang w:val="en-US" w:eastAsia="zh-CN"/>
        </w:rPr>
        <w:t>有</w:t>
      </w:r>
      <w:r>
        <w:rPr>
          <w:rFonts w:hint="eastAsia"/>
          <w:b/>
          <w:bCs/>
          <w:color w:val="auto"/>
        </w:rPr>
        <w:t>）：</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w:t>
      </w:r>
      <w:r>
        <w:rPr>
          <w:rFonts w:hint="eastAsia"/>
          <w:color w:val="auto"/>
          <w:lang w:eastAsia="zh-CN"/>
        </w:rPr>
        <w:t>（</w:t>
      </w:r>
      <w:r>
        <w:rPr>
          <w:rFonts w:hint="eastAsia"/>
          <w:color w:val="auto"/>
          <w:lang w:val="en-US" w:eastAsia="zh-CN"/>
        </w:rPr>
        <w:t>须到学校</w:t>
      </w:r>
      <w:r>
        <w:rPr>
          <w:rFonts w:hint="eastAsia"/>
          <w:color w:val="auto"/>
        </w:rPr>
        <w:t>计划财务</w:t>
      </w:r>
      <w:r>
        <w:rPr>
          <w:rFonts w:hint="eastAsia"/>
          <w:color w:val="auto"/>
          <w:lang w:val="en-US" w:eastAsia="zh-CN"/>
        </w:rPr>
        <w:t>处办理退还手续</w:t>
      </w:r>
      <w:r>
        <w:rPr>
          <w:rFonts w:hint="eastAsia"/>
          <w:color w:val="auto"/>
          <w:lang w:eastAsia="zh-CN"/>
        </w:rPr>
        <w:t>）</w:t>
      </w:r>
      <w:r>
        <w:rPr>
          <w:rFonts w:hint="eastAsia"/>
          <w:color w:val="auto"/>
        </w:rPr>
        <w:t>，以保函形式提交的履约保证金无需办理退还手续。收款单位（户名）：杭州电子科技大学。开户银行：工行高新支行。银行账号：</w:t>
      </w:r>
      <w:r>
        <w:rPr>
          <w:color w:val="auto"/>
        </w:rPr>
        <w:t>1202026209008806216</w:t>
      </w:r>
      <w:r>
        <w:rPr>
          <w:rFonts w:hint="eastAsia"/>
          <w:color w:val="auto"/>
        </w:rPr>
        <w:t>。</w:t>
      </w:r>
    </w:p>
    <w:p w14:paraId="0E482A31">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3</w:t>
      </w:r>
      <w:r>
        <w:rPr>
          <w:rFonts w:ascii="宋体" w:hAnsi="宋体"/>
          <w:b/>
          <w:bCs/>
          <w:color w:val="auto"/>
          <w:spacing w:val="-6"/>
        </w:rPr>
        <w:t>.</w:t>
      </w:r>
      <w:r>
        <w:rPr>
          <w:rFonts w:hint="eastAsia"/>
          <w:b/>
          <w:bCs/>
          <w:color w:val="auto"/>
        </w:rPr>
        <w:t>货款结算</w:t>
      </w:r>
      <w:r>
        <w:rPr>
          <w:rFonts w:hint="eastAsia"/>
          <w:b/>
          <w:bCs/>
          <w:color w:val="auto"/>
          <w:lang w:eastAsia="zh-CN"/>
        </w:rPr>
        <w:t>：</w:t>
      </w:r>
      <w:r>
        <w:rPr>
          <w:rFonts w:hint="eastAsia"/>
          <w:color w:val="auto"/>
        </w:rPr>
        <w:t>按以下第</w:t>
      </w:r>
      <w:r>
        <w:rPr>
          <w:rFonts w:hint="eastAsia"/>
          <w:color w:val="auto"/>
          <w:u w:val="single"/>
        </w:rPr>
        <w:t xml:space="preserve">        </w:t>
      </w:r>
      <w:r>
        <w:rPr>
          <w:rFonts w:hint="eastAsia"/>
          <w:color w:val="auto"/>
        </w:rPr>
        <w:t>种方式支付乙方合同价款。</w:t>
      </w:r>
    </w:p>
    <w:p w14:paraId="33FD16F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宋体" w:hAnsi="宋体"/>
          <w:color w:val="auto"/>
          <w:spacing w:val="-6"/>
        </w:rPr>
        <w:t>1</w:t>
      </w:r>
      <w:r>
        <w:rPr>
          <w:rFonts w:hint="eastAsia"/>
          <w:color w:val="auto"/>
        </w:rPr>
        <w:t>）预付款方式：合同生效以及具备实施条件且乙方已向甲方提交银行、保险公司等金融机构出具的预付款保函</w:t>
      </w:r>
      <w:r>
        <w:rPr>
          <w:rFonts w:hint="eastAsia"/>
          <w:color w:val="auto"/>
          <w:lang w:val="en-US" w:eastAsia="zh-CN"/>
        </w:rPr>
        <w:t>后</w:t>
      </w:r>
      <w:r>
        <w:rPr>
          <w:rFonts w:hint="eastAsia"/>
          <w:color w:val="auto"/>
        </w:rPr>
        <w:t>，</w:t>
      </w:r>
      <w:r>
        <w:rPr>
          <w:color w:val="auto"/>
        </w:rPr>
        <w:t>7</w:t>
      </w:r>
      <w:r>
        <w:rPr>
          <w:rFonts w:hint="eastAsia"/>
          <w:color w:val="auto"/>
        </w:rPr>
        <w:t>个工作日内，甲方向乙方支付合同总价的</w:t>
      </w:r>
      <w:r>
        <w:rPr>
          <w:color w:val="auto"/>
          <w:u w:val="single"/>
        </w:rPr>
        <w:t xml:space="preserve">      </w:t>
      </w:r>
      <w:r>
        <w:rPr>
          <w:color w:val="auto"/>
        </w:rPr>
        <w:t>%（</w:t>
      </w:r>
      <w:r>
        <w:rPr>
          <w:rFonts w:hint="eastAsia"/>
          <w:color w:val="auto"/>
          <w:lang w:val="en-US" w:eastAsia="zh-CN"/>
        </w:rPr>
        <w:t>中小微企业限</w:t>
      </w:r>
      <w:r>
        <w:rPr>
          <w:rFonts w:hint="eastAsia" w:ascii="仿宋_GB2312" w:hAnsi="仿宋" w:eastAsia="仿宋_GB2312" w:cs="仿宋_GB2312"/>
          <w:color w:val="auto"/>
          <w:kern w:val="2"/>
          <w:sz w:val="24"/>
          <w:szCs w:val="24"/>
          <w:lang w:val="en-US" w:eastAsia="zh-CN"/>
        </w:rPr>
        <w:t>3</w:t>
      </w:r>
      <w:r>
        <w:rPr>
          <w:rFonts w:hint="eastAsia" w:ascii="仿宋_GB2312" w:hAnsi="仿宋" w:eastAsia="仿宋_GB2312" w:cs="仿宋_GB2312"/>
          <w:color w:val="auto"/>
          <w:kern w:val="2"/>
          <w:sz w:val="24"/>
          <w:szCs w:val="24"/>
        </w:rPr>
        <w:t>0％</w:t>
      </w:r>
      <w:r>
        <w:rPr>
          <w:rFonts w:hint="eastAsia" w:ascii="仿宋_GB2312" w:hAnsi="仿宋" w:eastAsia="仿宋_GB2312" w:cs="仿宋_GB2312"/>
          <w:color w:val="auto"/>
          <w:kern w:val="2"/>
          <w:sz w:val="24"/>
          <w:szCs w:val="24"/>
          <w:lang w:val="en-US" w:eastAsia="zh-CN"/>
        </w:rPr>
        <w:t>-7</w:t>
      </w:r>
      <w:r>
        <w:rPr>
          <w:rFonts w:hint="eastAsia" w:ascii="仿宋_GB2312" w:hAnsi="仿宋" w:eastAsia="仿宋_GB2312" w:cs="仿宋_GB2312"/>
          <w:color w:val="auto"/>
          <w:kern w:val="2"/>
          <w:sz w:val="24"/>
          <w:szCs w:val="24"/>
        </w:rPr>
        <w:t>0%</w:t>
      </w:r>
      <w:r>
        <w:rPr>
          <w:color w:val="auto"/>
        </w:rPr>
        <w:t>）</w:t>
      </w:r>
      <w:r>
        <w:rPr>
          <w:rFonts w:hint="eastAsia"/>
          <w:color w:val="auto"/>
        </w:rPr>
        <w:t>；货物在乙方安装调试完毕经甲方验收合格并收到</w:t>
      </w:r>
      <w:r>
        <w:rPr>
          <w:rFonts w:hint="eastAsia"/>
          <w:color w:val="auto"/>
          <w:lang w:val="en-US" w:eastAsia="zh-CN"/>
        </w:rPr>
        <w:t>增值税专用</w:t>
      </w:r>
      <w:r>
        <w:rPr>
          <w:rFonts w:hint="eastAsia"/>
          <w:color w:val="auto"/>
        </w:rPr>
        <w:t>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。若供应商收取预付款，要求预付款保函有效期覆盖项目验收合格时间；提供了预付款保函则供应商无需再缴纳履约保证金。</w:t>
      </w:r>
    </w:p>
    <w:p w14:paraId="614C2FC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Theme="minorEastAsia" w:hAnsiTheme="minorEastAsia" w:eastAsiaTheme="minorEastAsia"/>
          <w:color w:val="auto"/>
        </w:rPr>
        <w:t>2</w:t>
      </w:r>
      <w:r>
        <w:rPr>
          <w:rFonts w:hint="eastAsia"/>
          <w:color w:val="auto"/>
        </w:rPr>
        <w:t>）无需预付款的，可以采用以下付款方式：</w:t>
      </w:r>
    </w:p>
    <w:p w14:paraId="5EA63AE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①</w:t>
      </w:r>
      <w:r>
        <w:rPr>
          <w:rFonts w:hint="eastAsia"/>
          <w:bCs/>
          <w:color w:val="auto"/>
        </w:rPr>
        <w:t>货到分期付款：</w:t>
      </w:r>
      <w:r>
        <w:rPr>
          <w:rFonts w:hint="eastAsia"/>
          <w:color w:val="auto"/>
        </w:rPr>
        <w:t>货物送达并经甲方初步验收并收到有效票据后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个工作日内，甲方向乙方支付合同总价的</w:t>
      </w:r>
      <w:r>
        <w:rPr>
          <w:color w:val="auto"/>
        </w:rPr>
        <w:t>30%</w:t>
      </w:r>
      <w:r>
        <w:rPr>
          <w:rFonts w:hint="eastAsia"/>
          <w:color w:val="auto"/>
        </w:rPr>
        <w:t>。</w:t>
      </w:r>
    </w:p>
    <w:p w14:paraId="2297EC5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②货到一次性支付：</w:t>
      </w:r>
    </w:p>
    <w:p w14:paraId="159DF85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全部货物送达安装调试完毕，经甲方验收合格，收到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个工作日内，甲方向乙方支付全部合同价款。</w:t>
      </w:r>
      <w:r>
        <w:rPr>
          <w:color w:val="auto"/>
        </w:rPr>
        <w:t xml:space="preserve"> </w:t>
      </w:r>
    </w:p>
    <w:p w14:paraId="6BF8290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③其它支付形式</w:t>
      </w:r>
      <w:r>
        <w:rPr>
          <w:rFonts w:hint="eastAsia"/>
          <w:color w:val="auto"/>
          <w:lang w:eastAsia="zh-CN"/>
        </w:rPr>
        <w:t>（</w:t>
      </w:r>
      <w:r>
        <w:rPr>
          <w:rFonts w:hint="eastAsia"/>
          <w:color w:val="auto"/>
        </w:rPr>
        <w:t>双方协商一致，</w:t>
      </w:r>
      <w:r>
        <w:rPr>
          <w:rFonts w:hint="eastAsia"/>
          <w:color w:val="auto"/>
          <w:lang w:val="en-US" w:eastAsia="zh-CN"/>
        </w:rPr>
        <w:t>须</w:t>
      </w:r>
      <w:r>
        <w:rPr>
          <w:rFonts w:hint="eastAsia"/>
          <w:color w:val="auto"/>
        </w:rPr>
        <w:t>符合采购法规</w:t>
      </w:r>
      <w:r>
        <w:rPr>
          <w:rFonts w:hint="eastAsia"/>
          <w:color w:val="auto"/>
          <w:lang w:eastAsia="zh-CN"/>
        </w:rPr>
        <w:t>）：</w:t>
      </w:r>
      <w:r>
        <w:rPr>
          <w:rFonts w:hint="eastAsia"/>
          <w:color w:val="auto"/>
          <w:u w:val="single"/>
          <w:lang w:val="en-US" w:eastAsia="zh-CN"/>
        </w:rPr>
        <w:t xml:space="preserve">                                </w:t>
      </w:r>
      <w:r>
        <w:rPr>
          <w:rFonts w:hint="eastAsia"/>
          <w:color w:val="auto"/>
        </w:rPr>
        <w:t>。</w:t>
      </w:r>
      <w:r>
        <w:rPr>
          <w:color w:val="auto"/>
        </w:rPr>
        <w:t xml:space="preserve">                </w:t>
      </w:r>
    </w:p>
    <w:p w14:paraId="2E70ADC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无论何种结算方式，付款前，乙方须交纳合同约定的履约保证金（如有）并提供</w:t>
      </w:r>
      <w:r>
        <w:rPr>
          <w:rFonts w:hint="eastAsia"/>
          <w:color w:val="auto"/>
          <w:lang w:val="en-US" w:eastAsia="zh-CN"/>
        </w:rPr>
        <w:t>履约保证金保函或</w:t>
      </w:r>
      <w:r>
        <w:rPr>
          <w:rFonts w:hint="eastAsia"/>
          <w:color w:val="auto"/>
        </w:rPr>
        <w:t>甲方财务处开具的履约保证金收据，乙方向甲方开具等额有效的票据。甲方开票信息如下：</w:t>
      </w:r>
    </w:p>
    <w:p w14:paraId="4119793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单位名称：杭州电子科技大学。税号：</w:t>
      </w:r>
      <w:r>
        <w:rPr>
          <w:color w:val="auto"/>
        </w:rPr>
        <w:t>12330000470009026T</w:t>
      </w:r>
    </w:p>
    <w:p w14:paraId="18D37C2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开户银行：工行杭州高新支行。账号：</w:t>
      </w:r>
      <w:r>
        <w:rPr>
          <w:color w:val="auto"/>
        </w:rPr>
        <w:t>1202026209008806216</w:t>
      </w:r>
    </w:p>
    <w:p w14:paraId="1391213A">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四、知识产权</w:t>
      </w:r>
      <w:r>
        <w:rPr>
          <w:color w:val="auto"/>
        </w:rPr>
        <w:t xml:space="preserve"> </w:t>
      </w:r>
    </w:p>
    <w:p w14:paraId="0612C5A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55" w:name="_Hlk155103594"/>
    </w:p>
    <w:bookmarkEnd w:id="455"/>
    <w:p w14:paraId="6875170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hint="eastAsia"/>
          <w:color w:val="auto"/>
        </w:rPr>
        <w:t>.涉及产品定做的，甲方交付给乙方的设计图纸、样品、模具等商业秘密和知识产权归属于甲方，许可乙方在合同范围内使用，乙方负有保密责任。</w:t>
      </w:r>
    </w:p>
    <w:p w14:paraId="7FADFDA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69F09A35">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五、转包或分包</w:t>
      </w:r>
    </w:p>
    <w:p w14:paraId="30F28A7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本合同范围的货物，应由乙方直接供应，不得转让他人供应。</w:t>
      </w:r>
    </w:p>
    <w:p w14:paraId="3C1E50C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2.</w:t>
      </w:r>
      <w:r>
        <w:rPr>
          <w:rFonts w:hint="eastAsia" w:asciiTheme="minorEastAsia" w:hAnsiTheme="minorEastAsia" w:eastAsiaTheme="minorEastAsia"/>
          <w:color w:val="auto"/>
          <w:szCs w:val="22"/>
        </w:rPr>
        <w:t>除非得到甲方的书面同意，乙方不得将本合同范围的货物分包给他人供应。</w:t>
      </w:r>
    </w:p>
    <w:p w14:paraId="54CF6CF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3.</w:t>
      </w:r>
      <w:r>
        <w:rPr>
          <w:rFonts w:hint="eastAsia" w:asciiTheme="minorEastAsia" w:hAnsiTheme="minorEastAsia" w:eastAsiaTheme="minorEastAsia"/>
          <w:color w:val="auto"/>
          <w:szCs w:val="22"/>
        </w:rPr>
        <w:t>如有转让或未经甲方同意的分包行为，甲方有权解除合同，没收履约保证金并要求乙方支付合同总价15%的违约金。</w:t>
      </w:r>
    </w:p>
    <w:p w14:paraId="3CF3D70A">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六、货物交付</w:t>
      </w:r>
    </w:p>
    <w:p w14:paraId="470B980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2C1C077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交货方式：</w:t>
      </w:r>
      <w:bookmarkStart w:id="456" w:name="_Hlk155602651"/>
      <w:r>
        <w:rPr>
          <w:rFonts w:hint="eastAsia"/>
          <w:color w:val="auto"/>
        </w:rPr>
        <w:t>送</w:t>
      </w:r>
      <w:r>
        <w:rPr>
          <w:color w:val="auto"/>
        </w:rPr>
        <w:t>货上门</w:t>
      </w:r>
      <w:bookmarkStart w:id="457" w:name="_Hlk155602451"/>
      <w:r>
        <w:rPr>
          <w:color w:val="auto"/>
        </w:rPr>
        <w:t>。</w:t>
      </w:r>
      <w:bookmarkEnd w:id="456"/>
      <w:bookmarkEnd w:id="457"/>
    </w:p>
    <w:p w14:paraId="5D5E2B6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交货地点：</w:t>
      </w:r>
      <w:bookmarkStart w:id="458" w:name="_Hlk155602663"/>
      <w:r>
        <w:rPr>
          <w:rFonts w:hint="eastAsia"/>
          <w:color w:val="auto"/>
        </w:rPr>
        <w:t>甲方指定地点</w:t>
      </w:r>
      <w:r>
        <w:rPr>
          <w:color w:val="auto"/>
        </w:rPr>
        <w:t>。</w:t>
      </w:r>
      <w:bookmarkEnd w:id="458"/>
    </w:p>
    <w:p w14:paraId="2A9BFA0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联系人及电话：</w:t>
      </w:r>
      <w:bookmarkStart w:id="459" w:name="_Hlk155181628"/>
      <w:r>
        <w:rPr>
          <w:rFonts w:hint="eastAsia"/>
          <w:color w:val="auto"/>
        </w:rPr>
        <w:t>甲方</w:t>
      </w:r>
      <w:r>
        <w:rPr>
          <w:color w:val="auto"/>
        </w:rPr>
        <w:t xml:space="preserve"> </w:t>
      </w:r>
      <w:r>
        <w:rPr>
          <w:rFonts w:hint="eastAsia"/>
          <w:color w:val="auto"/>
        </w:rPr>
        <w:t>姓名</w:t>
      </w:r>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；乙方</w:t>
      </w:r>
      <w:r>
        <w:rPr>
          <w:color w:val="auto"/>
        </w:rPr>
        <w:t xml:space="preserve"> </w:t>
      </w:r>
      <w:r>
        <w:rPr>
          <w:rFonts w:hint="eastAsia"/>
          <w:color w:val="auto"/>
        </w:rPr>
        <w:t>姓名</w:t>
      </w:r>
      <w:bookmarkEnd w:id="459"/>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w:t>
      </w:r>
    </w:p>
    <w:p w14:paraId="4010D47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74C1D9A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6</w:t>
      </w:r>
      <w:r>
        <w:rPr>
          <w:rFonts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4F56367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7</w:t>
      </w:r>
      <w:r>
        <w:rPr>
          <w:rFonts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6E520426">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七、安装与验收</w:t>
      </w:r>
    </w:p>
    <w:p w14:paraId="35CE6FE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验收由甲方负责实施，甲乙双方验收人员在安装数量和合同价格清单上签字确认。</w:t>
      </w:r>
    </w:p>
    <w:p w14:paraId="4ED0154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199B551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77F296A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最终验收：货物经安装调试完成且符合技术要求后，甲方负责在</w:t>
      </w:r>
      <w:r>
        <w:rPr>
          <w:rFonts w:hint="eastAsia"/>
          <w:color w:val="auto"/>
          <w:u w:val="single"/>
        </w:rPr>
        <w:t xml:space="preserve"> </w:t>
      </w:r>
      <w:r>
        <w:rPr>
          <w:rFonts w:hint="eastAsia"/>
          <w:color w:val="auto"/>
          <w:u w:val="single"/>
          <w:lang w:val="en-US" w:eastAsia="zh-CN"/>
        </w:rPr>
        <w:t>10</w:t>
      </w:r>
      <w:r>
        <w:rPr>
          <w:rFonts w:hint="eastAsia"/>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60" w:name="_Hlk155181772"/>
    </w:p>
    <w:bookmarkEnd w:id="460"/>
    <w:p w14:paraId="0FD2F82C">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八、质量保证与售后服务</w:t>
      </w:r>
    </w:p>
    <w:p w14:paraId="1F28E71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b w:val="0"/>
          <w:bCs w:val="0"/>
          <w:color w:val="auto"/>
        </w:rPr>
        <w:t>1</w:t>
      </w:r>
      <w:r>
        <w:rPr>
          <w:rFonts w:ascii="宋体" w:hAnsi="宋体"/>
          <w:b w:val="0"/>
          <w:bCs w:val="0"/>
          <w:color w:val="auto"/>
          <w:spacing w:val="-6"/>
        </w:rPr>
        <w:t>.</w:t>
      </w:r>
      <w:r>
        <w:rPr>
          <w:rFonts w:hint="eastAsia"/>
          <w:b w:val="0"/>
          <w:bCs w:val="0"/>
          <w:color w:val="auto"/>
        </w:rPr>
        <w:t>乙方</w:t>
      </w:r>
      <w:bookmarkStart w:id="461" w:name="_Hlk154577956"/>
      <w:r>
        <w:rPr>
          <w:rFonts w:hint="eastAsia"/>
          <w:b w:val="0"/>
          <w:bCs w:val="0"/>
          <w:color w:val="auto"/>
        </w:rPr>
        <w:t>应按</w:t>
      </w:r>
      <w:r>
        <w:rPr>
          <w:rFonts w:hint="eastAsia"/>
          <w:color w:val="auto"/>
        </w:rPr>
        <w:t>采购文件规定的货物性能、技术要求、质量标准向甲方提供</w:t>
      </w:r>
      <w:r>
        <w:rPr>
          <w:color w:val="auto"/>
          <w:u w:val="single"/>
        </w:rPr>
        <w:t xml:space="preserve">      </w:t>
      </w:r>
      <w:r>
        <w:rPr>
          <w:rFonts w:hint="eastAsia"/>
          <w:color w:val="auto"/>
        </w:rPr>
        <w:t>年</w:t>
      </w:r>
      <w:r>
        <w:rPr>
          <w:color w:val="auto"/>
          <w:u w:val="single"/>
        </w:rPr>
        <w:t xml:space="preserve">   </w:t>
      </w:r>
      <w:r>
        <w:rPr>
          <w:rFonts w:hint="eastAsia"/>
          <w:color w:val="auto"/>
        </w:rPr>
        <w:t>月后生产的，全新未经使用的，符合国家法律规定和技术规格、质量标准的出厂原装合格产品。</w:t>
      </w:r>
      <w:bookmarkEnd w:id="461"/>
    </w:p>
    <w:p w14:paraId="5F07E61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b w:val="0"/>
          <w:bCs w:val="0"/>
          <w:color w:val="auto"/>
        </w:rPr>
      </w:pPr>
      <w:r>
        <w:rPr>
          <w:rFonts w:asciiTheme="minorEastAsia" w:hAnsiTheme="minorEastAsia" w:eastAsiaTheme="minorEastAsia"/>
          <w:b w:val="0"/>
          <w:bCs w:val="0"/>
          <w:color w:val="auto"/>
        </w:rPr>
        <w:t>2</w:t>
      </w:r>
      <w:r>
        <w:rPr>
          <w:rFonts w:ascii="宋体" w:hAnsi="宋体"/>
          <w:b w:val="0"/>
          <w:bCs w:val="0"/>
          <w:color w:val="auto"/>
          <w:spacing w:val="-6"/>
        </w:rPr>
        <w:t>.</w:t>
      </w:r>
      <w:r>
        <w:rPr>
          <w:rFonts w:hint="eastAsia"/>
          <w:b w:val="0"/>
          <w:bCs w:val="0"/>
          <w:color w:val="auto"/>
        </w:rPr>
        <w:t>售后服务</w:t>
      </w:r>
    </w:p>
    <w:p w14:paraId="2C17B53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3A996BB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u w:val="single"/>
          <w:lang w:val="en-US" w:eastAsia="zh-CN"/>
        </w:rPr>
        <w:t>48</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u w:val="single"/>
          <w:lang w:val="en-US" w:eastAsia="zh-CN"/>
        </w:rPr>
        <w:t>4</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u w:val="single"/>
          <w:lang w:val="en-US" w:eastAsia="zh-CN"/>
        </w:rPr>
        <w:t>24</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u w:val="single"/>
          <w:lang w:val="en-US" w:eastAsia="zh-CN"/>
        </w:rPr>
        <w:t>48</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u w:val="single"/>
          <w:lang w:val="en-US" w:eastAsia="zh-CN"/>
        </w:rPr>
        <w:t>3</w:t>
      </w:r>
      <w:r>
        <w:rPr>
          <w:color w:val="auto"/>
          <w:u w:val="single"/>
        </w:rPr>
        <w:t xml:space="preserve">  </w:t>
      </w:r>
      <w:r>
        <w:rPr>
          <w:rFonts w:hint="eastAsia"/>
          <w:color w:val="auto"/>
        </w:rPr>
        <w:t>次维修后仍不能稳定、可靠运行的，甲方有权要求乙方免费更换。</w:t>
      </w:r>
    </w:p>
    <w:p w14:paraId="08E49226">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九、保密条款</w:t>
      </w:r>
    </w:p>
    <w:p w14:paraId="65CA875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2800649D">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十、违约责任</w:t>
      </w:r>
    </w:p>
    <w:p w14:paraId="495140D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lang w:val="en-US" w:eastAsia="zh-CN"/>
        </w:rPr>
        <w:t xml:space="preserve"> 万分之叁 </w:t>
      </w:r>
      <w:r>
        <w:rPr>
          <w:rFonts w:hint="eastAsia"/>
          <w:color w:val="auto"/>
        </w:rPr>
        <w:t>向乙方支付违约金。</w:t>
      </w:r>
    </w:p>
    <w:p w14:paraId="69BA8C0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乙方逾期交货完工的，每逾期一日，应按合同总价</w:t>
      </w:r>
      <w:r>
        <w:rPr>
          <w:rFonts w:hint="eastAsia"/>
          <w:color w:val="auto"/>
          <w:u w:val="single"/>
          <w:lang w:val="en-US" w:eastAsia="zh-CN"/>
        </w:rPr>
        <w:t xml:space="preserve"> 万分之叁 </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23896D1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2FB0730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乙方未能按约定要求履行保修义务的，</w:t>
      </w:r>
      <w:bookmarkStart w:id="462" w:name="_Hlk154755811"/>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元的违约金，同时，甲方有权委托第三方进行保修，所产生的费用由乙方承担。</w:t>
      </w:r>
      <w:bookmarkEnd w:id="462"/>
      <w:r>
        <w:rPr>
          <w:rFonts w:hint="eastAsia"/>
          <w:color w:val="auto"/>
        </w:rPr>
        <w:t>若因货物缺陷或乙方服务质量等问题造成甲方或任何人员人身、财产损害的，乙方应承担有关责任并作出相应赔偿。</w:t>
      </w:r>
    </w:p>
    <w:p w14:paraId="087543C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3CF86B73">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十一、不可抗力</w:t>
      </w:r>
    </w:p>
    <w:p w14:paraId="3F6E25A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0C5AC4F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w:t>
      </w:r>
      <w:r>
        <w:rPr>
          <w:rFonts w:ascii="宋体" w:hAnsi="宋体" w:cs="宋体"/>
          <w:color w:val="auto"/>
        </w:rPr>
        <w:t>3日内</w:t>
      </w:r>
      <w:r>
        <w:rPr>
          <w:rFonts w:hint="eastAsia"/>
          <w:color w:val="auto"/>
        </w:rPr>
        <w:t>通知对方，并寄送有关权威机构出具的证明。同时应立即尽一切合理努力采取措施，消除影响，减少损失。</w:t>
      </w:r>
    </w:p>
    <w:p w14:paraId="798BB99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0E1390E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本条所述的“不可抗力”依法律规定。</w:t>
      </w:r>
    </w:p>
    <w:p w14:paraId="33932FB7">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十二、法律适用与争议解决</w:t>
      </w:r>
    </w:p>
    <w:p w14:paraId="4D9F0D0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本合同的订立、解释、履行及争议解决，均适用中华人民共和国法律。</w:t>
      </w:r>
    </w:p>
    <w:p w14:paraId="6A9FBD2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本合同履行过程中发生争议的，甲乙双方应友好协商；协商不成的，任何一方可向甲方所在地人民法院起诉。</w:t>
      </w:r>
    </w:p>
    <w:p w14:paraId="7A125110">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十三、合同生效及其他</w:t>
      </w:r>
    </w:p>
    <w:p w14:paraId="7C84A8A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本合同经甲、乙双方代表签字并加盖单位公章或合同专用章后生效，甲方的单位公章盖采购中心合同专用章。</w:t>
      </w:r>
    </w:p>
    <w:p w14:paraId="22E5403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cs="宋体" w:asciiTheme="minorEastAsia" w:hAnsiTheme="minorEastAsia" w:eastAsiaTheme="minorEastAsia"/>
          <w:color w:val="auto"/>
        </w:rPr>
        <w:t>2</w:t>
      </w:r>
      <w:r>
        <w:rPr>
          <w:rFonts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67AC077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71C3F1F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1</w:t>
      </w:r>
      <w:r>
        <w:rPr>
          <w:rFonts w:hint="eastAsia"/>
          <w:color w:val="auto"/>
        </w:rPr>
        <w:t>）本合同及其补充合同、变更协议；</w:t>
      </w:r>
    </w:p>
    <w:p w14:paraId="760B903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2</w:t>
      </w:r>
      <w:r>
        <w:rPr>
          <w:rFonts w:hint="eastAsia"/>
          <w:color w:val="auto"/>
        </w:rPr>
        <w:t>）中标（成交）通知书；</w:t>
      </w:r>
    </w:p>
    <w:p w14:paraId="686351F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（3）投标（</w:t>
      </w:r>
      <w:r>
        <w:rPr>
          <w:rFonts w:hint="eastAsia"/>
          <w:color w:val="auto"/>
          <w:szCs w:val="22"/>
          <w:lang w:val="zh-CN"/>
        </w:rPr>
        <w:t>响应）文件（含澄清或者说明文件）；</w:t>
      </w:r>
    </w:p>
    <w:p w14:paraId="0D40AB6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（4）招标（非招标）</w:t>
      </w:r>
      <w:r>
        <w:rPr>
          <w:rFonts w:hint="eastAsia"/>
          <w:color w:val="auto"/>
          <w:szCs w:val="22"/>
          <w:lang w:val="zh-CN"/>
        </w:rPr>
        <w:t>文件（含澄清或者修改文件）；</w:t>
      </w:r>
    </w:p>
    <w:p w14:paraId="67352C0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rPr>
      </w:pPr>
      <w:r>
        <w:rPr>
          <w:rFonts w:hint="eastAsia"/>
          <w:color w:val="auto"/>
          <w:szCs w:val="22"/>
        </w:rPr>
        <w:t>（5）</w:t>
      </w:r>
      <w:r>
        <w:rPr>
          <w:rFonts w:hint="eastAsia"/>
          <w:color w:val="auto"/>
          <w:szCs w:val="22"/>
          <w:lang w:val="zh-CN"/>
        </w:rPr>
        <w:t>其他相关采购文件。</w:t>
      </w:r>
    </w:p>
    <w:p w14:paraId="43CCAC9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本合同未尽事宜，遵照《中华人民共和国民法典》有关条文执行。</w:t>
      </w:r>
    </w:p>
    <w:p w14:paraId="4BFD3A5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5.</w:t>
      </w:r>
      <w:r>
        <w:rPr>
          <w:rFonts w:hint="eastAsia" w:asciiTheme="minorEastAsia" w:hAnsiTheme="minorEastAsia" w:eastAsiaTheme="minorEastAsia"/>
          <w:color w:val="auto"/>
          <w:szCs w:val="22"/>
        </w:rPr>
        <w:t>本合同一式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份，具有同等法律效力。</w:t>
      </w:r>
    </w:p>
    <w:p w14:paraId="009622AE">
      <w:pPr>
        <w:keepNext w:val="0"/>
        <w:keepLines w:val="0"/>
        <w:pageBreakBefore w:val="0"/>
        <w:widowControl w:val="0"/>
        <w:kinsoku/>
        <w:wordWrap/>
        <w:overflowPunct/>
        <w:topLinePunct w:val="0"/>
        <w:autoSpaceDE/>
        <w:autoSpaceDN/>
        <w:bidi w:val="0"/>
        <w:adjustRightInd/>
        <w:spacing w:line="312" w:lineRule="auto"/>
        <w:textAlignment w:val="auto"/>
        <w:rPr>
          <w:color w:val="auto"/>
        </w:rPr>
      </w:pPr>
    </w:p>
    <w:p w14:paraId="1C8DD9C1">
      <w:pPr>
        <w:pStyle w:val="8"/>
        <w:keepNext w:val="0"/>
        <w:keepLines w:val="0"/>
        <w:pageBreakBefore w:val="0"/>
        <w:widowControl w:val="0"/>
        <w:kinsoku/>
        <w:wordWrap/>
        <w:overflowPunct/>
        <w:topLinePunct w:val="0"/>
        <w:autoSpaceDE/>
        <w:autoSpaceDN/>
        <w:bidi w:val="0"/>
        <w:adjustRightInd/>
        <w:spacing w:line="312" w:lineRule="auto"/>
        <w:textAlignment w:val="auto"/>
        <w:rPr>
          <w:color w:val="auto"/>
        </w:rPr>
      </w:pPr>
      <w:r>
        <w:rPr>
          <w:rFonts w:hint="eastAsia"/>
          <w:b/>
          <w:bCs/>
          <w:color w:val="auto"/>
        </w:rPr>
        <w:t>合同附件：</w:t>
      </w:r>
      <w:r>
        <w:rPr>
          <w:color w:val="auto"/>
        </w:rPr>
        <w:t xml:space="preserve"> </w:t>
      </w:r>
      <w:r>
        <w:rPr>
          <w:rFonts w:hint="eastAsia"/>
          <w:color w:val="auto"/>
        </w:rPr>
        <w:t>（附件名称</w:t>
      </w:r>
      <w:r>
        <w:rPr>
          <w:rFonts w:hint="eastAsia"/>
          <w:color w:val="auto"/>
          <w:u w:val="single"/>
          <w:lang w:val="en-US" w:eastAsia="zh-CN"/>
        </w:rPr>
        <w:t xml:space="preserve">                        </w:t>
      </w:r>
      <w:r>
        <w:rPr>
          <w:rFonts w:hint="eastAsia"/>
          <w:color w:val="auto"/>
          <w:u w:val="single"/>
        </w:rPr>
        <w:t>）</w:t>
      </w:r>
      <w:r>
        <w:rPr>
          <w:rFonts w:hint="eastAsia"/>
          <w:color w:val="auto"/>
        </w:rPr>
        <w:t>（如有）</w:t>
      </w:r>
    </w:p>
    <w:tbl>
      <w:tblPr>
        <w:tblStyle w:val="45"/>
        <w:tblW w:w="9249" w:type="dxa"/>
        <w:jc w:val="center"/>
        <w:tblLayout w:type="fixed"/>
        <w:tblCellMar>
          <w:top w:w="0" w:type="dxa"/>
          <w:left w:w="108" w:type="dxa"/>
          <w:bottom w:w="0" w:type="dxa"/>
          <w:right w:w="108" w:type="dxa"/>
        </w:tblCellMar>
      </w:tblPr>
      <w:tblGrid>
        <w:gridCol w:w="4438"/>
        <w:gridCol w:w="4811"/>
      </w:tblGrid>
      <w:tr w14:paraId="446DE10E">
        <w:tblPrEx>
          <w:tblCellMar>
            <w:top w:w="0" w:type="dxa"/>
            <w:left w:w="108" w:type="dxa"/>
            <w:bottom w:w="0" w:type="dxa"/>
            <w:right w:w="108" w:type="dxa"/>
          </w:tblCellMar>
        </w:tblPrEx>
        <w:trPr>
          <w:trHeight w:val="1112" w:hRule="atLeast"/>
          <w:jc w:val="center"/>
        </w:trPr>
        <w:tc>
          <w:tcPr>
            <w:tcW w:w="4438" w:type="dxa"/>
            <w:vAlign w:val="center"/>
          </w:tcPr>
          <w:p w14:paraId="16BEEFD1">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甲方：杭州电子科技大学（公章）</w:t>
            </w:r>
          </w:p>
        </w:tc>
        <w:tc>
          <w:tcPr>
            <w:tcW w:w="4811" w:type="dxa"/>
            <w:vAlign w:val="center"/>
          </w:tcPr>
          <w:p w14:paraId="0803E38C">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乙方：（公章）</w:t>
            </w:r>
          </w:p>
        </w:tc>
      </w:tr>
      <w:tr w14:paraId="7F8C8AE7">
        <w:tblPrEx>
          <w:tblCellMar>
            <w:top w:w="0" w:type="dxa"/>
            <w:left w:w="108" w:type="dxa"/>
            <w:bottom w:w="0" w:type="dxa"/>
            <w:right w:w="108" w:type="dxa"/>
          </w:tblCellMar>
        </w:tblPrEx>
        <w:trPr>
          <w:trHeight w:val="1261" w:hRule="atLeast"/>
          <w:jc w:val="center"/>
        </w:trPr>
        <w:tc>
          <w:tcPr>
            <w:tcW w:w="4438" w:type="dxa"/>
            <w:vAlign w:val="top"/>
          </w:tcPr>
          <w:p w14:paraId="798E494F">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48F1E33F">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c>
          <w:tcPr>
            <w:tcW w:w="4811" w:type="dxa"/>
            <w:vAlign w:val="top"/>
          </w:tcPr>
          <w:p w14:paraId="7A7A6E11">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4B3AF94C">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r>
      <w:tr w14:paraId="22DC3983">
        <w:tblPrEx>
          <w:tblCellMar>
            <w:top w:w="0" w:type="dxa"/>
            <w:left w:w="108" w:type="dxa"/>
            <w:bottom w:w="0" w:type="dxa"/>
            <w:right w:w="108" w:type="dxa"/>
          </w:tblCellMar>
        </w:tblPrEx>
        <w:trPr>
          <w:jc w:val="center"/>
        </w:trPr>
        <w:tc>
          <w:tcPr>
            <w:tcW w:w="4438" w:type="dxa"/>
            <w:vAlign w:val="center"/>
          </w:tcPr>
          <w:p w14:paraId="4D13FF18">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地址：杭州下沙高教园区二号大街1158号</w:t>
            </w:r>
          </w:p>
        </w:tc>
        <w:tc>
          <w:tcPr>
            <w:tcW w:w="4811" w:type="dxa"/>
            <w:vAlign w:val="center"/>
          </w:tcPr>
          <w:p w14:paraId="3186C019">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w:t>
            </w:r>
            <w:r>
              <w:rPr>
                <w:rFonts w:hint="eastAsia" w:ascii="宋体" w:hAnsi="宋体"/>
                <w:color w:val="auto"/>
                <w:spacing w:val="-6"/>
                <w:szCs w:val="21"/>
              </w:rPr>
              <w:tab/>
            </w:r>
            <w:r>
              <w:rPr>
                <w:rFonts w:hint="eastAsia" w:ascii="宋体" w:hAnsi="宋体"/>
                <w:color w:val="auto"/>
                <w:spacing w:val="-6"/>
                <w:szCs w:val="21"/>
              </w:rPr>
              <w:tab/>
            </w:r>
          </w:p>
        </w:tc>
      </w:tr>
      <w:tr w14:paraId="2FBDF600">
        <w:tblPrEx>
          <w:tblCellMar>
            <w:top w:w="0" w:type="dxa"/>
            <w:left w:w="108" w:type="dxa"/>
            <w:bottom w:w="0" w:type="dxa"/>
            <w:right w:w="108" w:type="dxa"/>
          </w:tblCellMar>
        </w:tblPrEx>
        <w:trPr>
          <w:jc w:val="center"/>
        </w:trPr>
        <w:tc>
          <w:tcPr>
            <w:tcW w:w="4438" w:type="dxa"/>
            <w:vAlign w:val="center"/>
          </w:tcPr>
          <w:p w14:paraId="592F786F">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电话： </w:t>
            </w:r>
          </w:p>
        </w:tc>
        <w:tc>
          <w:tcPr>
            <w:tcW w:w="4811" w:type="dxa"/>
            <w:vAlign w:val="center"/>
          </w:tcPr>
          <w:p w14:paraId="34670C7A">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电话：</w:t>
            </w:r>
            <w:r>
              <w:rPr>
                <w:rFonts w:hint="eastAsia" w:ascii="宋体" w:hAnsi="宋体"/>
                <w:color w:val="auto"/>
                <w:spacing w:val="-6"/>
                <w:szCs w:val="21"/>
              </w:rPr>
              <w:tab/>
            </w:r>
          </w:p>
        </w:tc>
      </w:tr>
      <w:tr w14:paraId="41FF7BF4">
        <w:tblPrEx>
          <w:tblCellMar>
            <w:top w:w="0" w:type="dxa"/>
            <w:left w:w="108" w:type="dxa"/>
            <w:bottom w:w="0" w:type="dxa"/>
            <w:right w:w="108" w:type="dxa"/>
          </w:tblCellMar>
        </w:tblPrEx>
        <w:trPr>
          <w:jc w:val="center"/>
        </w:trPr>
        <w:tc>
          <w:tcPr>
            <w:tcW w:w="4438" w:type="dxa"/>
            <w:vAlign w:val="center"/>
          </w:tcPr>
          <w:p w14:paraId="007D0388">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开户银行：工行高新支行 </w:t>
            </w:r>
          </w:p>
        </w:tc>
        <w:tc>
          <w:tcPr>
            <w:tcW w:w="4811" w:type="dxa"/>
            <w:vAlign w:val="center"/>
          </w:tcPr>
          <w:p w14:paraId="4C98381D">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开户银行：</w:t>
            </w:r>
            <w:r>
              <w:rPr>
                <w:rFonts w:hint="eastAsia" w:ascii="宋体" w:hAnsi="宋体"/>
                <w:color w:val="auto"/>
                <w:spacing w:val="-6"/>
                <w:szCs w:val="21"/>
              </w:rPr>
              <w:tab/>
            </w:r>
          </w:p>
        </w:tc>
      </w:tr>
      <w:tr w14:paraId="01AE5138">
        <w:tblPrEx>
          <w:tblCellMar>
            <w:top w:w="0" w:type="dxa"/>
            <w:left w:w="108" w:type="dxa"/>
            <w:bottom w:w="0" w:type="dxa"/>
            <w:right w:w="108" w:type="dxa"/>
          </w:tblCellMar>
        </w:tblPrEx>
        <w:trPr>
          <w:jc w:val="center"/>
        </w:trPr>
        <w:tc>
          <w:tcPr>
            <w:tcW w:w="4438" w:type="dxa"/>
            <w:vAlign w:val="center"/>
          </w:tcPr>
          <w:p w14:paraId="161F86C8">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帐号：1202026209008806216</w:t>
            </w:r>
          </w:p>
        </w:tc>
        <w:tc>
          <w:tcPr>
            <w:tcW w:w="4811" w:type="dxa"/>
            <w:vAlign w:val="center"/>
          </w:tcPr>
          <w:p w14:paraId="7096857B">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w:t>
            </w:r>
          </w:p>
        </w:tc>
      </w:tr>
      <w:tr w14:paraId="7FCA20A9">
        <w:tblPrEx>
          <w:tblCellMar>
            <w:top w:w="0" w:type="dxa"/>
            <w:left w:w="108" w:type="dxa"/>
            <w:bottom w:w="0" w:type="dxa"/>
            <w:right w:w="108" w:type="dxa"/>
          </w:tblCellMar>
        </w:tblPrEx>
        <w:trPr>
          <w:jc w:val="center"/>
        </w:trPr>
        <w:tc>
          <w:tcPr>
            <w:tcW w:w="4438" w:type="dxa"/>
            <w:vAlign w:val="center"/>
          </w:tcPr>
          <w:p w14:paraId="6CE9F31C">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c>
          <w:tcPr>
            <w:tcW w:w="4811" w:type="dxa"/>
            <w:vAlign w:val="center"/>
          </w:tcPr>
          <w:p w14:paraId="70C36D04">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r>
    </w:tbl>
    <w:p w14:paraId="5A5E692A">
      <w:pPr>
        <w:snapToGrid w:val="0"/>
        <w:spacing w:line="312" w:lineRule="auto"/>
        <w:ind w:firstLine="727" w:firstLineChars="202"/>
        <w:rPr>
          <w:rStyle w:val="55"/>
          <w:b w:val="0"/>
          <w:color w:val="auto"/>
          <w:szCs w:val="22"/>
        </w:rPr>
      </w:pPr>
      <w:r>
        <w:rPr>
          <w:rStyle w:val="55"/>
          <w:b w:val="0"/>
          <w:color w:val="auto"/>
          <w:szCs w:val="22"/>
        </w:rPr>
        <w:br w:type="page"/>
      </w:r>
    </w:p>
    <w:bookmarkEnd w:id="453"/>
    <w:bookmarkEnd w:id="454"/>
    <w:p w14:paraId="33FB672F">
      <w:pPr>
        <w:snapToGrid w:val="0"/>
        <w:spacing w:before="240" w:beforeLines="100" w:after="240" w:afterLines="100"/>
        <w:jc w:val="center"/>
        <w:outlineLvl w:val="0"/>
        <w:rPr>
          <w:rStyle w:val="55"/>
          <w:color w:val="auto"/>
        </w:rPr>
      </w:pPr>
      <w:bookmarkStart w:id="463" w:name="_Toc2191"/>
      <w:bookmarkStart w:id="464" w:name="_Toc32708"/>
      <w:bookmarkStart w:id="465" w:name="_Toc816"/>
      <w:bookmarkStart w:id="466" w:name="_Toc7308"/>
      <w:bookmarkStart w:id="467" w:name="_Toc23835"/>
      <w:bookmarkStart w:id="468" w:name="_Toc762"/>
      <w:bookmarkStart w:id="469" w:name="_Toc641"/>
      <w:bookmarkStart w:id="470" w:name="_Toc32309"/>
      <w:bookmarkStart w:id="471" w:name="_Toc11617"/>
      <w:bookmarkStart w:id="472" w:name="_Toc22294"/>
      <w:bookmarkStart w:id="473" w:name="_Toc27502"/>
      <w:bookmarkStart w:id="474" w:name="_Toc721"/>
      <w:bookmarkStart w:id="475" w:name="_Toc8672"/>
      <w:bookmarkStart w:id="476" w:name="_Toc21218"/>
      <w:bookmarkStart w:id="477" w:name="_Toc5553"/>
      <w:r>
        <w:rPr>
          <w:rStyle w:val="55"/>
          <w:rFonts w:hint="eastAsia"/>
          <w:color w:val="auto"/>
        </w:rPr>
        <w:t>第六部分</w:t>
      </w:r>
      <w:r>
        <w:rPr>
          <w:rStyle w:val="55"/>
          <w:color w:val="auto"/>
        </w:rPr>
        <w:t xml:space="preserve"> </w:t>
      </w:r>
      <w:r>
        <w:rPr>
          <w:rStyle w:val="55"/>
          <w:rFonts w:hint="eastAsia"/>
          <w:color w:val="auto"/>
        </w:rPr>
        <w:t>响应文件格式</w:t>
      </w:r>
    </w:p>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14:paraId="6FA048CA">
      <w:pPr>
        <w:adjustRightInd w:val="0"/>
        <w:snapToGrid w:val="0"/>
        <w:spacing w:line="288" w:lineRule="auto"/>
        <w:jc w:val="center"/>
        <w:outlineLvl w:val="0"/>
        <w:rPr>
          <w:b/>
          <w:bCs/>
          <w:color w:val="auto"/>
          <w:sz w:val="24"/>
          <w:szCs w:val="24"/>
        </w:rPr>
      </w:pPr>
      <w:bookmarkStart w:id="478" w:name="_Toc19804"/>
      <w:bookmarkStart w:id="479" w:name="_Toc4610"/>
      <w:bookmarkStart w:id="480" w:name="_Toc26648"/>
      <w:bookmarkStart w:id="481" w:name="_Toc2326"/>
      <w:bookmarkStart w:id="482" w:name="_Toc9623"/>
      <w:bookmarkStart w:id="483" w:name="_Toc19286"/>
      <w:bookmarkStart w:id="484" w:name="_Toc9636"/>
      <w:bookmarkStart w:id="485" w:name="_Toc20766"/>
      <w:bookmarkStart w:id="486" w:name="_Toc2886"/>
      <w:bookmarkStart w:id="487" w:name="_Toc14400"/>
      <w:bookmarkStart w:id="488" w:name="_Toc27063"/>
      <w:bookmarkStart w:id="489" w:name="_Toc14202"/>
      <w:bookmarkStart w:id="490" w:name="_Toc27551"/>
      <w:bookmarkStart w:id="491" w:name="_Toc6868"/>
      <w:bookmarkStart w:id="492" w:name="_Toc32522"/>
      <w:bookmarkStart w:id="493" w:name="_Toc3964"/>
      <w:bookmarkStart w:id="494" w:name="_Toc20870"/>
      <w:bookmarkStart w:id="495" w:name="_Toc32223"/>
      <w:bookmarkStart w:id="496" w:name="_Toc22675"/>
      <w:bookmarkStart w:id="497" w:name="_Toc13819"/>
      <w:bookmarkStart w:id="498" w:name="_Toc20738"/>
      <w:bookmarkStart w:id="499" w:name="_Toc31085"/>
      <w:bookmarkStart w:id="500" w:name="_Toc32185"/>
      <w:bookmarkStart w:id="501" w:name="_Toc17119"/>
      <w:bookmarkStart w:id="502" w:name="_Toc7013"/>
      <w:bookmarkStart w:id="503" w:name="_Toc32288"/>
      <w:bookmarkStart w:id="504" w:name="_Toc25819"/>
      <w:bookmarkStart w:id="505" w:name="_Toc8070"/>
      <w:bookmarkStart w:id="506" w:name="_Toc7409"/>
      <w:bookmarkStart w:id="507" w:name="_Toc28613"/>
      <w:bookmarkStart w:id="508" w:name="_Toc7710"/>
      <w:bookmarkStart w:id="509" w:name="_Toc706"/>
      <w:bookmarkStart w:id="510" w:name="_Toc28159"/>
      <w:bookmarkStart w:id="511" w:name="_Toc23756"/>
      <w:bookmarkStart w:id="512" w:name="_Toc4274"/>
      <w:bookmarkStart w:id="513" w:name="_Toc24168"/>
      <w:bookmarkStart w:id="514" w:name="_Toc9502"/>
      <w:bookmarkStart w:id="515" w:name="_Toc11204"/>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419492F4">
      <w:pPr>
        <w:adjustRightInd w:val="0"/>
        <w:snapToGrid w:val="0"/>
        <w:spacing w:line="288" w:lineRule="auto"/>
        <w:rPr>
          <w:color w:val="auto"/>
          <w:sz w:val="24"/>
          <w:szCs w:val="24"/>
        </w:rPr>
      </w:pPr>
    </w:p>
    <w:p w14:paraId="2836AA47">
      <w:pPr>
        <w:adjustRightInd w:val="0"/>
        <w:snapToGrid w:val="0"/>
        <w:spacing w:line="288" w:lineRule="auto"/>
        <w:ind w:firstLine="482" w:firstLineChars="200"/>
        <w:outlineLvl w:val="0"/>
        <w:rPr>
          <w:b/>
          <w:bCs/>
          <w:color w:val="auto"/>
          <w:sz w:val="24"/>
          <w:szCs w:val="24"/>
        </w:rPr>
      </w:pPr>
      <w:bookmarkStart w:id="516" w:name="_Hlk71884160"/>
      <w:r>
        <w:rPr>
          <w:rFonts w:hint="eastAsia"/>
          <w:b/>
          <w:bCs/>
          <w:color w:val="auto"/>
          <w:sz w:val="24"/>
          <w:szCs w:val="24"/>
        </w:rPr>
        <w:t>1.资格文件</w:t>
      </w:r>
    </w:p>
    <w:p w14:paraId="757C1FA1">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16"/>
    <w:p w14:paraId="48AC249C">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0C2FA155">
      <w:pPr>
        <w:adjustRightInd w:val="0"/>
        <w:snapToGrid w:val="0"/>
        <w:spacing w:line="288" w:lineRule="auto"/>
        <w:ind w:firstLine="480" w:firstLineChars="200"/>
        <w:outlineLvl w:val="1"/>
        <w:rPr>
          <w:color w:val="auto"/>
          <w:sz w:val="24"/>
          <w:szCs w:val="24"/>
        </w:rPr>
      </w:pPr>
      <w:bookmarkStart w:id="517"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71C4B70B">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bookmarkStart w:id="518" w:name="OLE_LINK3"/>
      <w:r>
        <w:rPr>
          <w:rFonts w:hint="eastAsia"/>
          <w:b/>
          <w:bCs/>
          <w:color w:val="auto"/>
          <w:sz w:val="24"/>
          <w:szCs w:val="24"/>
        </w:rPr>
        <w:t>▲</w:t>
      </w:r>
      <w:bookmarkEnd w:id="518"/>
      <w:r>
        <w:rPr>
          <w:rFonts w:hint="eastAsia"/>
          <w:color w:val="auto"/>
          <w:sz w:val="24"/>
          <w:szCs w:val="24"/>
        </w:rPr>
        <w:t>中小企业声明函</w:t>
      </w:r>
      <w:r>
        <w:rPr>
          <w:rFonts w:hint="eastAsia"/>
          <w:color w:val="auto"/>
          <w:sz w:val="24"/>
          <w:szCs w:val="24"/>
          <w:lang w:eastAsia="zh-CN"/>
        </w:rPr>
        <w:t>，</w:t>
      </w:r>
      <w:r>
        <w:rPr>
          <w:rFonts w:hint="eastAsia"/>
          <w:color w:val="auto"/>
          <w:sz w:val="24"/>
          <w:szCs w:val="24"/>
        </w:rPr>
        <w:t>属于监狱企业的证明文件（若属于监狱企业）</w:t>
      </w:r>
      <w:r>
        <w:rPr>
          <w:rFonts w:hint="eastAsia"/>
          <w:color w:val="auto"/>
          <w:sz w:val="24"/>
          <w:szCs w:val="24"/>
          <w:lang w:eastAsia="zh-CN"/>
        </w:rPr>
        <w:t>，</w:t>
      </w:r>
      <w:r>
        <w:rPr>
          <w:rFonts w:hint="eastAsia"/>
          <w:color w:val="auto"/>
          <w:sz w:val="24"/>
          <w:szCs w:val="24"/>
        </w:rPr>
        <w:t>残疾人福利性单位声明函（若属于残疾人福利性单位）</w:t>
      </w:r>
    </w:p>
    <w:bookmarkEnd w:id="517"/>
    <w:p w14:paraId="77C7C800">
      <w:pPr>
        <w:adjustRightInd w:val="0"/>
        <w:snapToGrid w:val="0"/>
        <w:spacing w:line="288" w:lineRule="auto"/>
        <w:ind w:firstLine="482" w:firstLineChars="200"/>
        <w:outlineLvl w:val="0"/>
        <w:rPr>
          <w:b/>
          <w:bCs/>
          <w:color w:val="auto"/>
          <w:sz w:val="24"/>
          <w:szCs w:val="24"/>
        </w:rPr>
      </w:pPr>
      <w:r>
        <w:rPr>
          <w:rFonts w:hint="eastAsia"/>
          <w:b/>
          <w:bCs/>
          <w:color w:val="auto"/>
          <w:sz w:val="24"/>
          <w:szCs w:val="24"/>
        </w:rPr>
        <w:t>2.报价文件</w:t>
      </w:r>
    </w:p>
    <w:p w14:paraId="0CD0F30D">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p>
    <w:p w14:paraId="15FB1F36">
      <w:pPr>
        <w:adjustRightInd w:val="0"/>
        <w:snapToGrid w:val="0"/>
        <w:spacing w:line="288" w:lineRule="auto"/>
        <w:ind w:firstLine="482" w:firstLineChars="200"/>
        <w:outlineLvl w:val="0"/>
        <w:rPr>
          <w:b/>
          <w:bCs/>
          <w:color w:val="auto"/>
          <w:sz w:val="24"/>
          <w:szCs w:val="24"/>
        </w:rPr>
      </w:pPr>
      <w:r>
        <w:rPr>
          <w:rFonts w:hint="eastAsia"/>
          <w:b/>
          <w:bCs/>
          <w:color w:val="auto"/>
          <w:sz w:val="24"/>
          <w:szCs w:val="24"/>
        </w:rPr>
        <w:t>3.商务和技术文件</w:t>
      </w:r>
    </w:p>
    <w:p w14:paraId="08261E0E">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014C60FD">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60FA0C19">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lang w:eastAsia="zh-CN"/>
        </w:rPr>
        <w:t>2026年1月</w:t>
      </w:r>
      <w:r>
        <w:rPr>
          <w:rFonts w:hint="eastAsia"/>
          <w:color w:val="auto"/>
          <w:sz w:val="24"/>
          <w:szCs w:val="24"/>
        </w:rPr>
        <w:t>（含）以后任意一月供应商授权代表社保缴纳证明（非法定代表人参加时提供）</w:t>
      </w:r>
    </w:p>
    <w:p w14:paraId="0AA2BFB6">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color w:val="auto"/>
          <w:sz w:val="24"/>
          <w:szCs w:val="24"/>
        </w:rPr>
        <w:t>采购需求偏离表</w:t>
      </w:r>
    </w:p>
    <w:p w14:paraId="6446E626">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rFonts w:hint="eastAsia"/>
          <w:color w:val="auto"/>
          <w:sz w:val="24"/>
          <w:szCs w:val="24"/>
        </w:rPr>
        <w:t>响应方基本情况表</w:t>
      </w:r>
    </w:p>
    <w:p w14:paraId="20C39EFB">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3265197D">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19" w:name="_Hlk71884196"/>
      <w:r>
        <w:rPr>
          <w:rFonts w:hint="eastAsia"/>
          <w:color w:val="auto"/>
          <w:sz w:val="24"/>
          <w:szCs w:val="24"/>
        </w:rPr>
        <w:t>详细技术和服务方案</w:t>
      </w:r>
    </w:p>
    <w:p w14:paraId="49C6CB64">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234B900A">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19"/>
    <w:p w14:paraId="34642F8B">
      <w:pPr>
        <w:adjustRightInd w:val="0"/>
        <w:snapToGrid w:val="0"/>
        <w:spacing w:line="288" w:lineRule="auto"/>
        <w:ind w:firstLine="482" w:firstLineChars="200"/>
        <w:outlineLvl w:val="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201C00E7">
      <w:pPr>
        <w:adjustRightInd w:val="0"/>
        <w:snapToGrid w:val="0"/>
        <w:spacing w:line="288" w:lineRule="auto"/>
        <w:jc w:val="center"/>
        <w:outlineLvl w:val="0"/>
        <w:rPr>
          <w:b/>
          <w:bCs/>
          <w:color w:val="auto"/>
          <w:sz w:val="84"/>
          <w:szCs w:val="84"/>
        </w:rPr>
      </w:pPr>
      <w:r>
        <w:rPr>
          <w:rFonts w:hint="eastAsia"/>
          <w:b/>
          <w:bCs/>
          <w:color w:val="auto"/>
          <w:sz w:val="84"/>
          <w:szCs w:val="84"/>
        </w:rPr>
        <w:t>资格文件</w:t>
      </w:r>
    </w:p>
    <w:p w14:paraId="2176940A">
      <w:pPr>
        <w:adjustRightInd w:val="0"/>
        <w:snapToGrid w:val="0"/>
        <w:spacing w:line="288" w:lineRule="auto"/>
        <w:jc w:val="center"/>
        <w:outlineLvl w:val="0"/>
        <w:rPr>
          <w:b/>
          <w:bCs/>
          <w:color w:val="auto"/>
          <w:sz w:val="24"/>
          <w:szCs w:val="24"/>
        </w:rPr>
      </w:pPr>
      <w:bookmarkStart w:id="520" w:name="_Hlk94097338"/>
      <w:r>
        <w:rPr>
          <w:rFonts w:hint="eastAsia"/>
          <w:b/>
          <w:bCs/>
          <w:color w:val="auto"/>
          <w:sz w:val="24"/>
          <w:szCs w:val="24"/>
        </w:rPr>
        <w:t>资格审查要求的资格证明材料(均需加盖公章)</w:t>
      </w:r>
      <w:bookmarkEnd w:id="520"/>
    </w:p>
    <w:p w14:paraId="7DF0C563">
      <w:pPr>
        <w:pStyle w:val="2"/>
        <w:ind w:firstLine="480"/>
        <w:rPr>
          <w:color w:val="auto"/>
          <w:sz w:val="24"/>
        </w:rPr>
      </w:pPr>
    </w:p>
    <w:p w14:paraId="5C148854">
      <w:pPr>
        <w:pStyle w:val="5"/>
        <w:bidi w:val="0"/>
        <w:rPr>
          <w:rFonts w:hint="default"/>
          <w:color w:val="auto"/>
          <w:lang w:val="en-US" w:eastAsia="zh-CN"/>
        </w:rPr>
      </w:pPr>
      <w:bookmarkStart w:id="521" w:name="_Toc23055"/>
      <w:r>
        <w:rPr>
          <w:rFonts w:hint="eastAsia"/>
          <w:color w:val="auto"/>
          <w:lang w:val="en-US" w:eastAsia="zh-CN"/>
        </w:rPr>
        <w:t>资格文件</w:t>
      </w:r>
      <w:bookmarkEnd w:id="521"/>
    </w:p>
    <w:p w14:paraId="52596F5F">
      <w:pPr>
        <w:adjustRightInd w:val="0"/>
        <w:snapToGrid w:val="0"/>
        <w:spacing w:line="288" w:lineRule="auto"/>
        <w:jc w:val="left"/>
        <w:outlineLvl w:val="9"/>
        <w:rPr>
          <w:b/>
          <w:bCs/>
          <w:color w:val="auto"/>
          <w:sz w:val="24"/>
          <w:szCs w:val="24"/>
        </w:rPr>
      </w:pPr>
    </w:p>
    <w:p w14:paraId="0534E25D">
      <w:pPr>
        <w:adjustRightInd w:val="0"/>
        <w:snapToGrid w:val="0"/>
        <w:spacing w:line="288" w:lineRule="auto"/>
        <w:jc w:val="left"/>
        <w:outlineLvl w:val="9"/>
        <w:rPr>
          <w:b/>
          <w:bCs/>
          <w:color w:val="auto"/>
          <w:sz w:val="24"/>
          <w:szCs w:val="24"/>
        </w:rPr>
      </w:pPr>
    </w:p>
    <w:p w14:paraId="00B65E8D">
      <w:pPr>
        <w:pStyle w:val="6"/>
        <w:ind w:left="0" w:firstLine="0"/>
        <w:outlineLvl w:val="0"/>
        <w:rPr>
          <w:color w:val="auto"/>
        </w:rPr>
      </w:pPr>
      <w:bookmarkStart w:id="522" w:name="_Toc30732"/>
      <w:r>
        <w:rPr>
          <w:rFonts w:hint="eastAsia"/>
          <w:color w:val="auto"/>
        </w:rPr>
        <w:t>1）有效的法人或者其他组织的营业执照等证明文件，自然人的身份证明</w:t>
      </w:r>
      <w:bookmarkEnd w:id="522"/>
    </w:p>
    <w:p w14:paraId="0774D23D">
      <w:pPr>
        <w:adjustRightInd w:val="0"/>
        <w:snapToGrid w:val="0"/>
        <w:spacing w:line="288" w:lineRule="auto"/>
        <w:rPr>
          <w:b/>
          <w:bCs/>
          <w:color w:val="auto"/>
          <w:sz w:val="24"/>
          <w:szCs w:val="24"/>
        </w:rPr>
      </w:pPr>
      <w:r>
        <w:rPr>
          <w:rFonts w:hint="eastAsia"/>
          <w:b/>
          <w:bCs/>
          <w:color w:val="auto"/>
          <w:sz w:val="24"/>
          <w:szCs w:val="24"/>
        </w:rPr>
        <w:t>说明：</w:t>
      </w:r>
    </w:p>
    <w:p w14:paraId="0ACBC9BF">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0FD72AC3">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2224E001">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677327F2">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747A47CD">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722C1342">
      <w:pPr>
        <w:adjustRightInd w:val="0"/>
        <w:snapToGrid w:val="0"/>
        <w:spacing w:line="288" w:lineRule="auto"/>
        <w:rPr>
          <w:color w:val="auto"/>
          <w:szCs w:val="21"/>
        </w:rPr>
      </w:pPr>
      <w:r>
        <w:rPr>
          <w:rFonts w:hint="eastAsia"/>
          <w:color w:val="auto"/>
          <w:szCs w:val="21"/>
        </w:rPr>
        <w:br w:type="page"/>
      </w:r>
    </w:p>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14:paraId="63A95E15">
      <w:pPr>
        <w:jc w:val="center"/>
        <w:rPr>
          <w:b/>
          <w:bCs/>
          <w:color w:val="auto"/>
          <w:sz w:val="32"/>
          <w:szCs w:val="32"/>
        </w:rPr>
      </w:pPr>
    </w:p>
    <w:p w14:paraId="35F396D6">
      <w:pPr>
        <w:pStyle w:val="6"/>
        <w:ind w:left="0" w:firstLine="0"/>
        <w:outlineLvl w:val="0"/>
        <w:rPr>
          <w:color w:val="auto"/>
        </w:rPr>
      </w:pPr>
      <w:bookmarkStart w:id="523" w:name="_Toc12402"/>
      <w:r>
        <w:rPr>
          <w:rFonts w:hint="eastAsia"/>
          <w:color w:val="auto"/>
        </w:rPr>
        <w:t>2）资格条件承诺函</w:t>
      </w:r>
      <w:bookmarkEnd w:id="523"/>
    </w:p>
    <w:p w14:paraId="4184EE13">
      <w:pPr>
        <w:jc w:val="center"/>
        <w:outlineLvl w:val="1"/>
        <w:rPr>
          <w:b/>
          <w:bCs/>
          <w:color w:val="auto"/>
          <w:sz w:val="32"/>
          <w:szCs w:val="32"/>
        </w:rPr>
      </w:pPr>
      <w:r>
        <w:rPr>
          <w:rFonts w:hint="eastAsia"/>
          <w:b/>
          <w:bCs/>
          <w:color w:val="auto"/>
          <w:sz w:val="32"/>
          <w:szCs w:val="32"/>
        </w:rPr>
        <w:t>资格条件承诺函</w:t>
      </w:r>
    </w:p>
    <w:p w14:paraId="03D2DCC8">
      <w:pPr>
        <w:snapToGrid w:val="0"/>
        <w:spacing w:line="360" w:lineRule="auto"/>
        <w:rPr>
          <w:color w:val="auto"/>
          <w:sz w:val="24"/>
        </w:rPr>
      </w:pPr>
    </w:p>
    <w:p w14:paraId="6D17D9F7">
      <w:pPr>
        <w:snapToGrid w:val="0"/>
        <w:spacing w:line="360" w:lineRule="auto"/>
        <w:rPr>
          <w:color w:val="auto"/>
          <w:sz w:val="24"/>
        </w:rPr>
      </w:pPr>
      <w:r>
        <w:rPr>
          <w:rFonts w:hint="eastAsia"/>
          <w:color w:val="auto"/>
          <w:sz w:val="24"/>
        </w:rPr>
        <w:t>杭州电子科技大学：</w:t>
      </w:r>
    </w:p>
    <w:p w14:paraId="15AF1C16">
      <w:pPr>
        <w:snapToGrid w:val="0"/>
        <w:spacing w:line="360" w:lineRule="auto"/>
        <w:ind w:firstLine="480" w:firstLineChars="200"/>
        <w:rPr>
          <w:color w:val="auto"/>
          <w:sz w:val="24"/>
        </w:rPr>
      </w:pPr>
      <w:r>
        <w:rPr>
          <w:rFonts w:hint="eastAsia"/>
          <w:color w:val="auto"/>
          <w:sz w:val="24"/>
        </w:rPr>
        <w:t>我方（供应商）承诺：</w:t>
      </w:r>
    </w:p>
    <w:p w14:paraId="60791B56">
      <w:pPr>
        <w:snapToGrid w:val="0"/>
        <w:spacing w:line="360" w:lineRule="auto"/>
        <w:ind w:firstLine="480" w:firstLineChars="200"/>
        <w:rPr>
          <w:color w:val="auto"/>
          <w:sz w:val="24"/>
        </w:rPr>
      </w:pPr>
      <w:r>
        <w:rPr>
          <w:rFonts w:hint="eastAsia"/>
          <w:color w:val="auto"/>
          <w:sz w:val="24"/>
        </w:rPr>
        <w:t>1、具有良好的商业信誉和健全的财务会计制度；</w:t>
      </w:r>
    </w:p>
    <w:p w14:paraId="4A92C6E7">
      <w:pPr>
        <w:snapToGrid w:val="0"/>
        <w:spacing w:line="360" w:lineRule="auto"/>
        <w:ind w:firstLine="480" w:firstLineChars="200"/>
        <w:rPr>
          <w:color w:val="auto"/>
          <w:sz w:val="24"/>
        </w:rPr>
      </w:pPr>
      <w:r>
        <w:rPr>
          <w:rFonts w:hint="eastAsia"/>
          <w:color w:val="auto"/>
          <w:sz w:val="24"/>
        </w:rPr>
        <w:t>2、具有履行合同所必需的设备和专业技术能力；</w:t>
      </w:r>
    </w:p>
    <w:p w14:paraId="1E6B8D93">
      <w:pPr>
        <w:snapToGrid w:val="0"/>
        <w:spacing w:line="360" w:lineRule="auto"/>
        <w:ind w:firstLine="480" w:firstLineChars="200"/>
        <w:rPr>
          <w:color w:val="auto"/>
          <w:sz w:val="24"/>
        </w:rPr>
      </w:pPr>
      <w:r>
        <w:rPr>
          <w:rFonts w:hint="eastAsia"/>
          <w:color w:val="auto"/>
          <w:sz w:val="24"/>
        </w:rPr>
        <w:t>3、严格依法缴纳税收和社会保障资金；</w:t>
      </w:r>
    </w:p>
    <w:p w14:paraId="719C8B07">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75DF96C5">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4899D869">
      <w:pPr>
        <w:snapToGrid w:val="0"/>
        <w:spacing w:line="360" w:lineRule="auto"/>
        <w:ind w:firstLine="480" w:firstLineChars="200"/>
        <w:rPr>
          <w:color w:val="auto"/>
          <w:sz w:val="24"/>
        </w:rPr>
      </w:pPr>
      <w:r>
        <w:rPr>
          <w:rFonts w:hint="eastAsia"/>
          <w:color w:val="auto"/>
          <w:sz w:val="24"/>
        </w:rPr>
        <w:t>6、不存在以下情况：</w:t>
      </w:r>
    </w:p>
    <w:p w14:paraId="54144AD0">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7077DB9E">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458E7A38">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5B841E13">
      <w:pPr>
        <w:snapToGrid w:val="0"/>
        <w:spacing w:line="360" w:lineRule="auto"/>
        <w:ind w:firstLine="480" w:firstLineChars="200"/>
        <w:rPr>
          <w:color w:val="auto"/>
          <w:sz w:val="24"/>
        </w:rPr>
      </w:pPr>
      <w:r>
        <w:rPr>
          <w:rFonts w:hint="eastAsia"/>
          <w:color w:val="auto"/>
          <w:sz w:val="24"/>
        </w:rPr>
        <w:t> </w:t>
      </w:r>
    </w:p>
    <w:p w14:paraId="06FF785B">
      <w:pPr>
        <w:snapToGrid w:val="0"/>
        <w:spacing w:line="360" w:lineRule="auto"/>
        <w:ind w:firstLine="480" w:firstLineChars="200"/>
        <w:rPr>
          <w:color w:val="auto"/>
          <w:sz w:val="24"/>
        </w:rPr>
      </w:pPr>
      <w:r>
        <w:rPr>
          <w:rFonts w:hint="eastAsia"/>
          <w:color w:val="auto"/>
          <w:sz w:val="24"/>
        </w:rPr>
        <w:t>特此承诺！</w:t>
      </w:r>
    </w:p>
    <w:p w14:paraId="420F5E1D">
      <w:pPr>
        <w:pStyle w:val="8"/>
        <w:rPr>
          <w:color w:val="auto"/>
          <w:sz w:val="24"/>
        </w:rPr>
      </w:pPr>
    </w:p>
    <w:p w14:paraId="06CE7EE1">
      <w:pPr>
        <w:rPr>
          <w:color w:val="auto"/>
          <w:sz w:val="24"/>
        </w:rPr>
      </w:pPr>
    </w:p>
    <w:p w14:paraId="6594825C">
      <w:pPr>
        <w:pStyle w:val="8"/>
        <w:rPr>
          <w:color w:val="auto"/>
        </w:rPr>
      </w:pPr>
    </w:p>
    <w:p w14:paraId="345DF8AB">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619E73D8">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F6F9E95">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4AA91FD7">
      <w:pPr>
        <w:adjustRightInd w:val="0"/>
        <w:snapToGrid w:val="0"/>
        <w:spacing w:line="288" w:lineRule="auto"/>
        <w:ind w:firstLine="480" w:firstLineChars="200"/>
        <w:rPr>
          <w:color w:val="auto"/>
          <w:sz w:val="24"/>
          <w:szCs w:val="24"/>
        </w:rPr>
      </w:pPr>
    </w:p>
    <w:p w14:paraId="6AB5AA39">
      <w:pPr>
        <w:adjustRightInd w:val="0"/>
        <w:snapToGrid w:val="0"/>
        <w:spacing w:line="288" w:lineRule="auto"/>
        <w:ind w:firstLine="480" w:firstLineChars="200"/>
        <w:rPr>
          <w:color w:val="auto"/>
          <w:sz w:val="24"/>
          <w:szCs w:val="24"/>
        </w:rPr>
      </w:pPr>
    </w:p>
    <w:p w14:paraId="2E38207D">
      <w:pPr>
        <w:pStyle w:val="6"/>
        <w:numPr>
          <w:ilvl w:val="0"/>
          <w:numId w:val="0"/>
        </w:numPr>
        <w:ind w:leftChars="0"/>
        <w:jc w:val="left"/>
        <w:outlineLvl w:val="9"/>
        <w:rPr>
          <w:rFonts w:hint="eastAsia"/>
          <w:color w:val="auto"/>
        </w:rPr>
      </w:pPr>
      <w:bookmarkStart w:id="524" w:name="_Toc2395"/>
      <w:r>
        <w:rPr>
          <w:rFonts w:hint="eastAsia"/>
          <w:color w:val="auto"/>
          <w:lang w:val="en-US" w:eastAsia="zh-CN"/>
        </w:rPr>
        <w:t>3）</w:t>
      </w:r>
      <w:r>
        <w:rPr>
          <w:rFonts w:hint="eastAsia"/>
          <w:color w:val="auto"/>
        </w:rPr>
        <w:t>落实政府采购政策需满足的资格要求：中小企业声明函</w:t>
      </w:r>
      <w:bookmarkEnd w:id="524"/>
    </w:p>
    <w:p w14:paraId="659A1D0D">
      <w:pPr>
        <w:rPr>
          <w:rFonts w:ascii="Times New Roman" w:hAnsi="Times New Roman"/>
          <w:b/>
          <w:color w:val="auto"/>
          <w:sz w:val="32"/>
          <w:szCs w:val="32"/>
        </w:rPr>
      </w:pPr>
      <w:r>
        <w:rPr>
          <w:rFonts w:ascii="Times New Roman" w:hAnsi="Times New Roman"/>
          <w:b/>
          <w:color w:val="auto"/>
          <w:sz w:val="32"/>
          <w:szCs w:val="32"/>
        </w:rPr>
        <w:br w:type="page"/>
      </w:r>
    </w:p>
    <w:p w14:paraId="597D87D0">
      <w:pPr>
        <w:pStyle w:val="27"/>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（货物）</w:t>
      </w:r>
    </w:p>
    <w:p w14:paraId="540E85E0">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提</w:t>
      </w:r>
      <w:r>
        <w:rPr>
          <w:rFonts w:hint="eastAsia" w:ascii="宋体" w:hAnsi="宋体" w:cs="宋体"/>
          <w:b/>
          <w:bCs/>
          <w:color w:val="auto"/>
          <w:w w:val="95"/>
          <w:szCs w:val="21"/>
        </w:rPr>
        <w:t>供的货物全部由符合政策要求的中小企业制造。</w:t>
      </w:r>
      <w:r>
        <w:rPr>
          <w:rFonts w:hint="eastAsia" w:ascii="宋体" w:hAnsi="宋体" w:cs="宋体"/>
          <w:color w:val="auto"/>
          <w:w w:val="95"/>
          <w:szCs w:val="21"/>
        </w:rPr>
        <w:t>相关企业</w:t>
      </w:r>
      <w:r>
        <w:rPr>
          <w:rFonts w:hint="eastAsia" w:ascii="宋体" w:hAnsi="宋体" w:cs="宋体"/>
          <w:color w:val="auto"/>
          <w:szCs w:val="21"/>
        </w:rPr>
        <w:t>（含联合体中的中小企业、签订分包意向协议的中小企业）的具体情况如下：</w:t>
      </w:r>
    </w:p>
    <w:p w14:paraId="6A6566C0">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1.</w:t>
      </w:r>
      <w:r>
        <w:rPr>
          <w:rFonts w:hint="eastAsia" w:ascii="宋体" w:hAnsi="宋体" w:cs="宋体"/>
          <w:i/>
          <w:color w:val="auto"/>
          <w:szCs w:val="21"/>
          <w:u w:val="single"/>
        </w:rPr>
        <w:t>（标的名称）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rPr>
        <w:t>采购文件中明确的所属行业）</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14:paraId="72AD6F96">
      <w:pPr>
        <w:pStyle w:val="20"/>
        <w:autoSpaceDE w:val="0"/>
        <w:autoSpaceDN w:val="0"/>
        <w:spacing w:after="0" w:line="360" w:lineRule="auto"/>
        <w:ind w:right="-65" w:rightChars="-31" w:firstLine="478" w:firstLineChars="228"/>
        <w:rPr>
          <w:rFonts w:ascii="宋体" w:hAnsi="宋体" w:cs="宋体"/>
          <w:color w:val="auto"/>
          <w:szCs w:val="21"/>
        </w:rPr>
      </w:pPr>
      <w:r>
        <w:rPr>
          <w:rFonts w:hint="eastAsia" w:ascii="宋体" w:hAnsi="宋体" w:cs="宋体"/>
          <w:color w:val="auto"/>
          <w:szCs w:val="21"/>
        </w:rPr>
        <w:t>……</w:t>
      </w:r>
    </w:p>
    <w:p w14:paraId="7CC2EC9D">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56D81ABF">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2F27DB09">
      <w:pPr>
        <w:pStyle w:val="20"/>
        <w:autoSpaceDE w:val="0"/>
        <w:autoSpaceDN w:val="0"/>
        <w:spacing w:after="0" w:line="360" w:lineRule="auto"/>
        <w:ind w:right="372" w:firstLine="645"/>
        <w:rPr>
          <w:rFonts w:ascii="宋体" w:hAnsi="宋体" w:cs="宋体"/>
          <w:color w:val="auto"/>
          <w:szCs w:val="21"/>
        </w:rPr>
      </w:pPr>
    </w:p>
    <w:p w14:paraId="2FEF3375">
      <w:pPr>
        <w:pStyle w:val="27"/>
        <w:spacing w:line="360" w:lineRule="auto"/>
        <w:ind w:left="-27" w:firstLine="4427" w:firstLineChars="2100"/>
        <w:rPr>
          <w:rFonts w:hAnsi="宋体" w:cs="宋体"/>
          <w:b/>
          <w:bCs/>
          <w:color w:val="auto"/>
          <w:sz w:val="21"/>
          <w:szCs w:val="21"/>
        </w:rPr>
      </w:pPr>
      <w:r>
        <w:rPr>
          <w:rFonts w:hint="eastAsia" w:hAnsi="宋体" w:cs="宋体"/>
          <w:b/>
          <w:bCs/>
          <w:color w:val="auto"/>
          <w:sz w:val="21"/>
          <w:szCs w:val="21"/>
        </w:rPr>
        <w:t xml:space="preserve">响应方（盖章）：            </w:t>
      </w:r>
    </w:p>
    <w:p w14:paraId="5E37B4C5">
      <w:pPr>
        <w:spacing w:line="480" w:lineRule="auto"/>
        <w:ind w:firstLine="4427" w:firstLineChars="2100"/>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48070019">
      <w:pPr>
        <w:pStyle w:val="27"/>
        <w:spacing w:line="420" w:lineRule="exact"/>
        <w:ind w:left="-27" w:firstLine="4410" w:firstLineChars="2100"/>
        <w:rPr>
          <w:rFonts w:hAnsi="宋体" w:cs="宋体"/>
          <w:color w:val="auto"/>
        </w:rPr>
      </w:pPr>
      <w:r>
        <w:rPr>
          <w:rFonts w:hint="eastAsia" w:hAnsi="宋体" w:cs="宋体"/>
          <w:color w:val="auto"/>
          <w:sz w:val="21"/>
          <w:szCs w:val="21"/>
        </w:rPr>
        <w:t>日期：      年   月   日</w:t>
      </w:r>
    </w:p>
    <w:p w14:paraId="224406C1">
      <w:pPr>
        <w:autoSpaceDE w:val="0"/>
        <w:autoSpaceDN w:val="0"/>
        <w:spacing w:line="360" w:lineRule="auto"/>
        <w:rPr>
          <w:color w:val="auto"/>
          <w:szCs w:val="21"/>
          <w:highlight w:val="green"/>
        </w:rPr>
      </w:pPr>
    </w:p>
    <w:p w14:paraId="2A079A13">
      <w:pPr>
        <w:pStyle w:val="3"/>
        <w:rPr>
          <w:color w:val="auto"/>
          <w:sz w:val="21"/>
          <w:szCs w:val="21"/>
        </w:rPr>
      </w:pPr>
    </w:p>
    <w:p w14:paraId="4B4FA028">
      <w:pPr>
        <w:pStyle w:val="3"/>
        <w:rPr>
          <w:color w:val="auto"/>
          <w:sz w:val="21"/>
          <w:szCs w:val="21"/>
        </w:rPr>
      </w:pPr>
    </w:p>
    <w:p w14:paraId="0FB3CA06">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70867860">
      <w:pPr>
        <w:pStyle w:val="20"/>
        <w:rPr>
          <w:b/>
          <w:bCs/>
          <w:color w:val="auto"/>
        </w:rPr>
      </w:pPr>
      <w:r>
        <w:rPr>
          <w:rFonts w:hint="eastAsia"/>
          <w:b/>
          <w:bCs/>
          <w:color w:val="auto"/>
        </w:rPr>
        <w:t>1.从业人员、营业收入、资产总额填报上一年度数据，无上一年度数据的新成立企业可不填报。</w:t>
      </w:r>
    </w:p>
    <w:p w14:paraId="2C576FC3">
      <w:pPr>
        <w:pStyle w:val="20"/>
        <w:rPr>
          <w:b/>
          <w:bCs/>
          <w:color w:val="auto"/>
        </w:rPr>
      </w:pPr>
      <w:r>
        <w:rPr>
          <w:rFonts w:hint="eastAsia"/>
          <w:b/>
          <w:bCs/>
          <w:color w:val="auto"/>
        </w:rPr>
        <w:t>2.本项目所属行业见前附表。</w:t>
      </w:r>
    </w:p>
    <w:p w14:paraId="3E12CD22">
      <w:pPr>
        <w:pStyle w:val="20"/>
        <w:rPr>
          <w:b/>
          <w:bCs/>
          <w:color w:val="auto"/>
        </w:rPr>
      </w:pPr>
      <w:r>
        <w:rPr>
          <w:rFonts w:hint="eastAsia"/>
          <w:b/>
          <w:bCs/>
          <w:color w:val="auto"/>
        </w:rPr>
        <w:t>3.中小企业划型标准规定（工信部联企业[2011]300号）附后。</w:t>
      </w:r>
    </w:p>
    <w:p w14:paraId="496D0033">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1B201343">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08A25D7E">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56440ED8">
      <w:pPr>
        <w:pStyle w:val="20"/>
        <w:rPr>
          <w:rFonts w:hAnsi="宋体"/>
          <w:color w:val="auto"/>
          <w:sz w:val="24"/>
        </w:rPr>
      </w:pPr>
      <w:r>
        <w:rPr>
          <w:rFonts w:hint="eastAsia"/>
          <w:b/>
          <w:bCs/>
          <w:color w:val="auto"/>
        </w:rPr>
        <w:t>7.本项目仅以《中小企业声明函》作为评判投标人是否属于中小企业的唯一依据。</w:t>
      </w:r>
      <w:r>
        <w:rPr>
          <w:rFonts w:hint="eastAsia" w:hAnsi="宋体"/>
          <w:color w:val="auto"/>
          <w:sz w:val="24"/>
        </w:rPr>
        <w:t xml:space="preserve">          </w:t>
      </w:r>
    </w:p>
    <w:p w14:paraId="01862890">
      <w:pPr>
        <w:pStyle w:val="27"/>
        <w:spacing w:before="120" w:after="120" w:line="360" w:lineRule="auto"/>
        <w:ind w:left="-27" w:firstLine="424"/>
        <w:rPr>
          <w:b/>
          <w:color w:val="auto"/>
        </w:rPr>
        <w:sectPr>
          <w:footerReference r:id="rId5" w:type="default"/>
          <w:pgSz w:w="11907" w:h="16840"/>
          <w:pgMar w:top="1134" w:right="1247" w:bottom="1247" w:left="1247" w:header="567" w:footer="794" w:gutter="0"/>
          <w:cols w:space="720" w:num="1"/>
        </w:sectPr>
      </w:pPr>
      <w:r>
        <w:rPr>
          <w:b/>
          <w:color w:val="auto"/>
        </w:rPr>
        <w:br w:type="page"/>
      </w:r>
    </w:p>
    <w:p w14:paraId="1AF6CC6D">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8671560" cy="5244465"/>
                    </a:xfrm>
                    <a:prstGeom prst="rect">
                      <a:avLst/>
                    </a:prstGeom>
                    <a:noFill/>
                    <a:ln>
                      <a:noFill/>
                    </a:ln>
                  </pic:spPr>
                </pic:pic>
              </a:graphicData>
            </a:graphic>
          </wp:inline>
        </w:drawing>
      </w:r>
    </w:p>
    <w:p w14:paraId="1D1CDFD3">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067DD7EF">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14:paraId="6E6EC69B">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34C48F91">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2D6F5EA9">
      <w:pPr>
        <w:adjustRightInd w:val="0"/>
        <w:snapToGrid w:val="0"/>
        <w:spacing w:line="288" w:lineRule="auto"/>
        <w:rPr>
          <w:color w:val="auto"/>
          <w:szCs w:val="21"/>
        </w:rPr>
      </w:pPr>
    </w:p>
    <w:p w14:paraId="4E14B42F">
      <w:pPr>
        <w:adjustRightInd w:val="0"/>
        <w:snapToGrid w:val="0"/>
        <w:spacing w:line="288" w:lineRule="auto"/>
        <w:rPr>
          <w:b/>
          <w:bCs/>
          <w:color w:val="auto"/>
          <w:szCs w:val="21"/>
        </w:rPr>
      </w:pPr>
      <w:r>
        <w:rPr>
          <w:rFonts w:hint="eastAsia"/>
          <w:b/>
          <w:bCs/>
          <w:color w:val="auto"/>
          <w:szCs w:val="21"/>
        </w:rPr>
        <w:t>说明：</w:t>
      </w:r>
    </w:p>
    <w:p w14:paraId="7B716051">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005CD44">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0B44285D">
      <w:pPr>
        <w:widowControl/>
        <w:adjustRightInd w:val="0"/>
        <w:snapToGrid w:val="0"/>
        <w:spacing w:line="288" w:lineRule="auto"/>
        <w:jc w:val="left"/>
        <w:rPr>
          <w:b/>
          <w:color w:val="auto"/>
          <w:spacing w:val="-6"/>
          <w:szCs w:val="21"/>
        </w:rPr>
      </w:pPr>
      <w:r>
        <w:rPr>
          <w:b/>
          <w:color w:val="auto"/>
          <w:spacing w:val="-6"/>
          <w:szCs w:val="21"/>
        </w:rPr>
        <w:br w:type="page"/>
      </w:r>
    </w:p>
    <w:p w14:paraId="7E922394">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55F75011">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1ADD712B">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1242DE40">
      <w:pPr>
        <w:spacing w:line="360" w:lineRule="auto"/>
        <w:ind w:firstLine="504" w:firstLineChars="200"/>
        <w:rPr>
          <w:color w:val="auto"/>
          <w:spacing w:val="6"/>
          <w:sz w:val="24"/>
        </w:rPr>
      </w:pPr>
    </w:p>
    <w:p w14:paraId="1BFBB74C">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28093180">
      <w:pPr>
        <w:pStyle w:val="53"/>
        <w:rPr>
          <w:color w:val="auto"/>
        </w:rPr>
      </w:pPr>
    </w:p>
    <w:p w14:paraId="29AB6F4A">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46C481F3">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1958850">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0DD6C066">
      <w:pPr>
        <w:adjustRightInd w:val="0"/>
        <w:snapToGrid w:val="0"/>
        <w:spacing w:line="288" w:lineRule="auto"/>
        <w:rPr>
          <w:rFonts w:ascii="宋体" w:hAnsi="宋体"/>
          <w:b/>
          <w:bCs/>
          <w:color w:val="auto"/>
          <w:szCs w:val="21"/>
        </w:rPr>
      </w:pPr>
    </w:p>
    <w:p w14:paraId="3A533A05">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7E9FC30D">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2A846807">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4711D033">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777C75D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3B59CF8F">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3A5190EB">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3BA4F78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9129C44">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1400FEC4">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09AA8518">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387FA68A">
      <w:pPr>
        <w:numPr>
          <w:ilvl w:val="0"/>
          <w:numId w:val="0"/>
        </w:numPr>
        <w:rPr>
          <w:color w:val="auto"/>
        </w:rPr>
      </w:pPr>
    </w:p>
    <w:p w14:paraId="3B78A9F4">
      <w:pPr>
        <w:pStyle w:val="6"/>
        <w:ind w:left="0" w:firstLine="0"/>
        <w:jc w:val="left"/>
        <w:outlineLvl w:val="9"/>
        <w:rPr>
          <w:rFonts w:hint="eastAsia"/>
          <w:color w:val="auto"/>
        </w:rPr>
      </w:pPr>
    </w:p>
    <w:p w14:paraId="3C5314AC">
      <w:pPr>
        <w:snapToGrid w:val="0"/>
        <w:spacing w:line="360" w:lineRule="auto"/>
        <w:rPr>
          <w:rFonts w:ascii="宋体" w:hAnsi="宋体" w:cs="宋体"/>
          <w:color w:val="auto"/>
          <w:sz w:val="24"/>
        </w:rPr>
      </w:pPr>
      <w:r>
        <w:rPr>
          <w:rFonts w:hint="eastAsia" w:ascii="宋体" w:hAnsi="宋体" w:cs="宋体"/>
          <w:color w:val="auto"/>
          <w:sz w:val="24"/>
        </w:rPr>
        <w:br w:type="page"/>
      </w:r>
    </w:p>
    <w:p w14:paraId="4916E47F">
      <w:pPr>
        <w:adjustRightInd w:val="0"/>
        <w:snapToGrid w:val="0"/>
        <w:spacing w:line="288" w:lineRule="auto"/>
        <w:jc w:val="center"/>
        <w:outlineLvl w:val="0"/>
        <w:rPr>
          <w:b/>
          <w:bCs/>
          <w:color w:val="auto"/>
          <w:sz w:val="84"/>
          <w:szCs w:val="84"/>
        </w:rPr>
      </w:pPr>
      <w:r>
        <w:rPr>
          <w:rFonts w:hint="eastAsia"/>
          <w:b/>
          <w:bCs/>
          <w:color w:val="auto"/>
          <w:sz w:val="84"/>
          <w:szCs w:val="84"/>
        </w:rPr>
        <w:t>报价文件</w:t>
      </w:r>
    </w:p>
    <w:p w14:paraId="157B4030">
      <w:pPr>
        <w:pStyle w:val="5"/>
        <w:keepNext/>
        <w:keepLines/>
        <w:pageBreakBefore w:val="0"/>
        <w:widowControl w:val="0"/>
        <w:kinsoku/>
        <w:wordWrap/>
        <w:overflowPunct/>
        <w:topLinePunct w:val="0"/>
        <w:autoSpaceDE/>
        <w:autoSpaceDN/>
        <w:bidi w:val="0"/>
        <w:adjustRightInd/>
        <w:snapToGrid/>
        <w:spacing w:line="240" w:lineRule="auto"/>
        <w:textAlignment w:val="auto"/>
        <w:rPr>
          <w:rFonts w:hint="default"/>
          <w:color w:val="auto"/>
          <w:lang w:val="en-US" w:eastAsia="zh-CN"/>
        </w:rPr>
      </w:pPr>
      <w:bookmarkStart w:id="525" w:name="_Toc3264"/>
      <w:bookmarkStart w:id="526" w:name="_Toc23089"/>
      <w:bookmarkStart w:id="527" w:name="_Toc4455"/>
      <w:bookmarkStart w:id="528" w:name="_Toc23539"/>
      <w:bookmarkStart w:id="529" w:name="_Toc24403"/>
      <w:bookmarkStart w:id="530" w:name="_Toc15307"/>
      <w:bookmarkStart w:id="531" w:name="_Toc6771"/>
      <w:bookmarkStart w:id="532" w:name="_Toc19897"/>
      <w:bookmarkStart w:id="533" w:name="_Toc25971"/>
      <w:bookmarkStart w:id="534" w:name="_Toc10749"/>
      <w:bookmarkStart w:id="535" w:name="_Toc20907"/>
      <w:bookmarkStart w:id="536" w:name="_Toc18705"/>
      <w:bookmarkStart w:id="537" w:name="_Toc24738"/>
      <w:bookmarkStart w:id="538" w:name="_Toc27484"/>
      <w:bookmarkStart w:id="539" w:name="_Toc16624"/>
      <w:bookmarkStart w:id="540" w:name="_Toc14637"/>
      <w:bookmarkStart w:id="541" w:name="_Toc3471"/>
      <w:bookmarkStart w:id="542" w:name="_Toc11579"/>
      <w:bookmarkStart w:id="543" w:name="_Toc14186"/>
      <w:bookmarkStart w:id="544" w:name="_Toc19268"/>
      <w:bookmarkStart w:id="545" w:name="_Toc19949"/>
      <w:bookmarkStart w:id="546" w:name="_Toc22542"/>
      <w:bookmarkStart w:id="547" w:name="_Toc32416"/>
      <w:bookmarkStart w:id="548" w:name="_Toc28619"/>
      <w:bookmarkStart w:id="549" w:name="_Toc25418"/>
      <w:bookmarkStart w:id="550" w:name="_Toc28695"/>
      <w:bookmarkStart w:id="551" w:name="_Toc25012"/>
      <w:bookmarkStart w:id="552" w:name="_Toc13470"/>
      <w:bookmarkStart w:id="553" w:name="_Toc12332"/>
      <w:bookmarkStart w:id="554" w:name="_Toc25718"/>
      <w:bookmarkStart w:id="555" w:name="_Toc5206"/>
      <w:bookmarkStart w:id="556" w:name="_Toc2198"/>
      <w:bookmarkStart w:id="557" w:name="_Toc23410"/>
      <w:bookmarkStart w:id="558" w:name="_Toc24678"/>
      <w:bookmarkStart w:id="559" w:name="_Toc16736"/>
      <w:bookmarkStart w:id="560" w:name="_Toc13060"/>
      <w:r>
        <w:rPr>
          <w:rFonts w:hint="eastAsia"/>
          <w:color w:val="auto"/>
          <w:lang w:val="en-US" w:eastAsia="zh-CN"/>
        </w:rPr>
        <w:t>报价文件</w:t>
      </w:r>
      <w:bookmarkEnd w:id="525"/>
    </w:p>
    <w:p w14:paraId="75A4B917">
      <w:pPr>
        <w:pStyle w:val="6"/>
        <w:ind w:left="0" w:firstLine="0"/>
        <w:outlineLvl w:val="0"/>
        <w:rPr>
          <w:color w:val="auto"/>
        </w:rPr>
      </w:pPr>
      <w:bookmarkStart w:id="561" w:name="_Toc23263"/>
      <w:r>
        <w:rPr>
          <w:rFonts w:hint="eastAsia"/>
          <w:color w:val="auto"/>
        </w:rPr>
        <w:t>（1）初次报价一览表</w:t>
      </w:r>
      <w:bookmarkEnd w:id="561"/>
    </w:p>
    <w:p w14:paraId="59C31027">
      <w:pPr>
        <w:pStyle w:val="6"/>
        <w:tabs>
          <w:tab w:val="left" w:pos="0"/>
          <w:tab w:val="clear" w:pos="1275"/>
        </w:tabs>
        <w:ind w:left="15" w:hanging="15"/>
        <w:outlineLvl w:val="9"/>
        <w:rPr>
          <w:rFonts w:ascii="黑体" w:hAnsi="黑体" w:eastAsia="黑体" w:cs="黑体"/>
          <w:color w:val="auto"/>
          <w:szCs w:val="28"/>
        </w:rPr>
      </w:pPr>
    </w:p>
    <w:p w14:paraId="3EBF618C">
      <w:pPr>
        <w:jc w:val="center"/>
        <w:outlineLvl w:val="1"/>
        <w:rPr>
          <w:b/>
          <w:bCs/>
          <w:color w:val="auto"/>
          <w:sz w:val="32"/>
          <w:szCs w:val="32"/>
        </w:rPr>
      </w:pPr>
      <w:r>
        <w:rPr>
          <w:rFonts w:hint="eastAsia"/>
          <w:b/>
          <w:bCs/>
          <w:color w:val="auto"/>
          <w:sz w:val="32"/>
          <w:szCs w:val="32"/>
        </w:rPr>
        <w:t>初次报价一览表</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166FF144">
      <w:pPr>
        <w:spacing w:line="460" w:lineRule="exact"/>
        <w:rPr>
          <w:color w:val="auto"/>
          <w:sz w:val="24"/>
        </w:rPr>
      </w:pPr>
      <w:r>
        <w:rPr>
          <w:rFonts w:hint="eastAsia"/>
          <w:color w:val="auto"/>
          <w:sz w:val="24"/>
        </w:rPr>
        <w:t>项目名称：</w:t>
      </w:r>
    </w:p>
    <w:p w14:paraId="6480AF59">
      <w:pPr>
        <w:spacing w:line="460" w:lineRule="exact"/>
        <w:rPr>
          <w:color w:val="auto"/>
          <w:sz w:val="24"/>
        </w:rPr>
      </w:pPr>
      <w:r>
        <w:rPr>
          <w:rFonts w:hint="eastAsia"/>
          <w:color w:val="auto"/>
          <w:sz w:val="24"/>
        </w:rPr>
        <w:t>项目编号：</w:t>
      </w:r>
    </w:p>
    <w:p w14:paraId="77C94324">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7C251C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31D734E4">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4507D1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4E485A7E">
            <w:pPr>
              <w:spacing w:line="360" w:lineRule="auto"/>
              <w:rPr>
                <w:rFonts w:ascii="宋体" w:hAnsi="宋体"/>
                <w:b/>
                <w:color w:val="auto"/>
                <w:spacing w:val="-6"/>
                <w:sz w:val="24"/>
              </w:rPr>
            </w:pPr>
          </w:p>
          <w:p w14:paraId="77C3D05F">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3433702B">
            <w:pPr>
              <w:spacing w:line="360" w:lineRule="auto"/>
              <w:rPr>
                <w:rFonts w:ascii="宋体" w:hAnsi="宋体"/>
                <w:color w:val="auto"/>
                <w:spacing w:val="-6"/>
                <w:sz w:val="24"/>
                <w:u w:val="single"/>
              </w:rPr>
            </w:pPr>
          </w:p>
          <w:p w14:paraId="24FF554B">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468529A2">
      <w:pPr>
        <w:pStyle w:val="42"/>
        <w:snapToGrid w:val="0"/>
        <w:spacing w:line="400" w:lineRule="exact"/>
        <w:rPr>
          <w:color w:val="auto"/>
          <w:szCs w:val="24"/>
        </w:rPr>
      </w:pPr>
      <w:r>
        <w:rPr>
          <w:rFonts w:hint="eastAsia"/>
          <w:color w:val="auto"/>
          <w:szCs w:val="24"/>
        </w:rPr>
        <w:t>注：本报价中应包含货物到达甲方或甲方指定用户并能正常使用所需的一切费用，包括但不限于包装费、运输费、装卸费、保险费、安装调试费、技术服务费、培训费、保修保换费、税费等。</w:t>
      </w:r>
    </w:p>
    <w:p w14:paraId="2851FD5E">
      <w:pPr>
        <w:pStyle w:val="42"/>
        <w:snapToGrid w:val="0"/>
        <w:spacing w:line="400" w:lineRule="exact"/>
        <w:rPr>
          <w:color w:val="auto"/>
          <w:szCs w:val="24"/>
        </w:rPr>
      </w:pPr>
      <w:r>
        <w:rPr>
          <w:rFonts w:hint="eastAsia"/>
          <w:color w:val="auto"/>
          <w:szCs w:val="24"/>
        </w:rPr>
        <w:t>货币单位：元（人民币）</w:t>
      </w:r>
    </w:p>
    <w:p w14:paraId="5E309C8F">
      <w:pPr>
        <w:spacing w:line="360" w:lineRule="auto"/>
        <w:ind w:right="-21" w:rightChars="-10"/>
        <w:rPr>
          <w:color w:val="auto"/>
          <w:sz w:val="24"/>
        </w:rPr>
      </w:pPr>
    </w:p>
    <w:p w14:paraId="47C88342">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62479C3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1B4AA8B">
      <w:pPr>
        <w:spacing w:before="240" w:beforeLines="100" w:after="240" w:afterLines="100"/>
        <w:jc w:val="left"/>
        <w:rPr>
          <w:color w:val="auto"/>
          <w:sz w:val="24"/>
          <w:szCs w:val="24"/>
        </w:rPr>
      </w:pPr>
      <w:r>
        <w:rPr>
          <w:rFonts w:hint="eastAsia" w:ascii="宋体" w:hAnsi="宋体" w:cs="宋体"/>
          <w:color w:val="auto"/>
          <w:sz w:val="24"/>
        </w:rPr>
        <w:t>日期：      年   月   日</w:t>
      </w:r>
    </w:p>
    <w:p w14:paraId="47CE189C">
      <w:pPr>
        <w:spacing w:line="360" w:lineRule="auto"/>
        <w:ind w:right="-21" w:rightChars="-10"/>
        <w:rPr>
          <w:color w:val="auto"/>
          <w:sz w:val="24"/>
        </w:rPr>
      </w:pPr>
    </w:p>
    <w:p w14:paraId="6D03E4A7">
      <w:pPr>
        <w:tabs>
          <w:tab w:val="left" w:pos="1055"/>
        </w:tabs>
        <w:jc w:val="left"/>
        <w:rPr>
          <w:color w:val="auto"/>
        </w:rPr>
        <w:sectPr>
          <w:footerReference r:id="rId6" w:type="default"/>
          <w:pgSz w:w="11907" w:h="16840"/>
          <w:pgMar w:top="1134" w:right="1247" w:bottom="1247" w:left="1247" w:header="567" w:footer="794" w:gutter="0"/>
          <w:cols w:space="720" w:num="1"/>
        </w:sectPr>
      </w:pPr>
    </w:p>
    <w:bookmarkEnd w:id="553"/>
    <w:bookmarkEnd w:id="554"/>
    <w:bookmarkEnd w:id="555"/>
    <w:bookmarkEnd w:id="556"/>
    <w:bookmarkEnd w:id="557"/>
    <w:bookmarkEnd w:id="558"/>
    <w:bookmarkEnd w:id="559"/>
    <w:bookmarkEnd w:id="560"/>
    <w:p w14:paraId="4908D42B">
      <w:pPr>
        <w:adjustRightInd w:val="0"/>
        <w:snapToGrid w:val="0"/>
        <w:spacing w:line="288" w:lineRule="auto"/>
        <w:jc w:val="center"/>
        <w:outlineLvl w:val="0"/>
        <w:rPr>
          <w:b/>
          <w:bCs/>
          <w:color w:val="auto"/>
          <w:sz w:val="84"/>
          <w:szCs w:val="84"/>
        </w:rPr>
      </w:pPr>
      <w:bookmarkStart w:id="562" w:name="_Toc593"/>
      <w:bookmarkStart w:id="563" w:name="_Toc31197"/>
      <w:bookmarkStart w:id="564" w:name="_Toc29034"/>
      <w:bookmarkStart w:id="565" w:name="_Toc11033"/>
      <w:bookmarkStart w:id="566" w:name="_Toc21390"/>
      <w:bookmarkStart w:id="567" w:name="_Toc27848"/>
      <w:bookmarkStart w:id="568" w:name="_Toc21599"/>
      <w:bookmarkStart w:id="569" w:name="_Toc10583"/>
      <w:bookmarkStart w:id="570" w:name="_Toc27765"/>
      <w:bookmarkStart w:id="571" w:name="_Toc2678"/>
      <w:bookmarkStart w:id="572" w:name="_Toc17483"/>
      <w:bookmarkStart w:id="573" w:name="_Toc32174"/>
      <w:bookmarkStart w:id="574" w:name="_Toc432"/>
      <w:bookmarkStart w:id="575" w:name="_Toc30975"/>
      <w:bookmarkStart w:id="576" w:name="_Toc23382"/>
      <w:bookmarkStart w:id="577" w:name="_Toc9514"/>
      <w:bookmarkStart w:id="578" w:name="_Toc22262"/>
      <w:bookmarkStart w:id="579" w:name="_Toc2960"/>
      <w:bookmarkStart w:id="580" w:name="_Toc25574"/>
      <w:bookmarkStart w:id="581" w:name="_Toc4882"/>
      <w:bookmarkStart w:id="582" w:name="_Toc1234"/>
      <w:bookmarkStart w:id="583" w:name="_Toc3902"/>
      <w:bookmarkStart w:id="584" w:name="_Toc5305"/>
      <w:bookmarkStart w:id="585" w:name="_Toc13355"/>
      <w:bookmarkStart w:id="586" w:name="_Toc4011"/>
      <w:bookmarkStart w:id="587" w:name="_Toc13604"/>
      <w:bookmarkStart w:id="588" w:name="_Toc4954"/>
      <w:bookmarkStart w:id="589" w:name="_Toc17061"/>
      <w:bookmarkStart w:id="590" w:name="_Toc6658"/>
      <w:bookmarkStart w:id="591" w:name="_Toc4245"/>
      <w:bookmarkStart w:id="592" w:name="_Toc19321"/>
      <w:bookmarkStart w:id="593" w:name="_Toc20322"/>
      <w:bookmarkStart w:id="594" w:name="_Toc10465"/>
      <w:bookmarkStart w:id="595" w:name="_Toc8554"/>
      <w:bookmarkStart w:id="596" w:name="_Toc28796"/>
      <w:bookmarkStart w:id="597" w:name="_Toc118516210"/>
      <w:r>
        <w:rPr>
          <w:rFonts w:hint="eastAsia"/>
          <w:b/>
          <w:bCs/>
          <w:color w:val="auto"/>
          <w:sz w:val="84"/>
          <w:szCs w:val="84"/>
        </w:rPr>
        <w:t>商务和技术文件</w:t>
      </w:r>
    </w:p>
    <w:p w14:paraId="6A869196">
      <w:pPr>
        <w:pStyle w:val="5"/>
        <w:keepNext/>
        <w:keepLines/>
        <w:pageBreakBefore w:val="0"/>
        <w:widowControl w:val="0"/>
        <w:kinsoku/>
        <w:wordWrap/>
        <w:overflowPunct/>
        <w:topLinePunct w:val="0"/>
        <w:autoSpaceDE/>
        <w:autoSpaceDN/>
        <w:bidi w:val="0"/>
        <w:adjustRightInd/>
        <w:snapToGrid/>
        <w:spacing w:line="240" w:lineRule="auto"/>
        <w:textAlignment w:val="auto"/>
        <w:rPr>
          <w:rFonts w:hint="default"/>
          <w:color w:val="auto"/>
          <w:lang w:val="en-US" w:eastAsia="zh-CN"/>
        </w:rPr>
      </w:pPr>
      <w:bookmarkStart w:id="598" w:name="_Toc8075"/>
      <w:r>
        <w:rPr>
          <w:rFonts w:hint="eastAsia"/>
          <w:color w:val="auto"/>
          <w:lang w:val="en-US" w:eastAsia="zh-CN"/>
        </w:rPr>
        <w:t>商务技术文件</w:t>
      </w:r>
      <w:bookmarkEnd w:id="598"/>
    </w:p>
    <w:p w14:paraId="6CD5F7EE">
      <w:pPr>
        <w:pStyle w:val="6"/>
        <w:ind w:left="0" w:firstLine="0"/>
        <w:outlineLvl w:val="0"/>
        <w:rPr>
          <w:color w:val="auto"/>
        </w:rPr>
      </w:pPr>
      <w:bookmarkStart w:id="599" w:name="_Toc23710"/>
      <w:r>
        <w:rPr>
          <w:rFonts w:hint="eastAsia"/>
          <w:color w:val="auto"/>
        </w:rPr>
        <w:t>（1）磋商响应函</w:t>
      </w:r>
      <w:bookmarkEnd w:id="599"/>
      <w:r>
        <w:rPr>
          <w:rFonts w:hint="eastAsia"/>
          <w:color w:val="auto"/>
        </w:rPr>
        <w:t xml:space="preserve">   </w:t>
      </w:r>
    </w:p>
    <w:p w14:paraId="7D319DD0">
      <w:pPr>
        <w:jc w:val="center"/>
        <w:outlineLvl w:val="1"/>
        <w:rPr>
          <w:b/>
          <w:color w:val="auto"/>
          <w:sz w:val="32"/>
          <w:szCs w:val="32"/>
        </w:rPr>
      </w:pPr>
      <w:r>
        <w:rPr>
          <w:rFonts w:hint="eastAsia"/>
          <w:b/>
          <w:color w:val="auto"/>
          <w:sz w:val="32"/>
          <w:szCs w:val="32"/>
        </w:rPr>
        <w:t>磋商响应函</w:t>
      </w:r>
    </w:p>
    <w:p w14:paraId="35FAB425">
      <w:pPr>
        <w:pStyle w:val="27"/>
        <w:ind w:left="-27" w:firstLine="530"/>
        <w:rPr>
          <w:rFonts w:ascii="Times New Roman" w:hAnsi="Times New Roman"/>
          <w:b/>
          <w:color w:val="auto"/>
          <w:sz w:val="30"/>
        </w:rPr>
      </w:pPr>
    </w:p>
    <w:p w14:paraId="4877CCB1">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24888360">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7268A262">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0EAB997A">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63C95BC6">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098F8389">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0F57CE02">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5B9A6626">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17228A73">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46FAC8A8">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4E7D4F92">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27D920C2">
      <w:pPr>
        <w:pStyle w:val="27"/>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4829D18D">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33B065E0">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144805DA">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125A1993">
      <w:pPr>
        <w:pStyle w:val="27"/>
        <w:spacing w:line="312" w:lineRule="auto"/>
        <w:ind w:left="-27" w:firstLine="422"/>
        <w:rPr>
          <w:rFonts w:ascii="Times New Roman" w:hAnsi="Times New Roman"/>
          <w:color w:val="auto"/>
          <w:sz w:val="24"/>
        </w:rPr>
      </w:pPr>
    </w:p>
    <w:p w14:paraId="29FD9632">
      <w:pPr>
        <w:pStyle w:val="27"/>
        <w:spacing w:line="312" w:lineRule="auto"/>
        <w:ind w:left="-27" w:firstLine="480" w:firstLineChars="200"/>
        <w:rPr>
          <w:rFonts w:ascii="Times New Roman" w:hAnsi="Times New Roman"/>
          <w:color w:val="auto"/>
          <w:sz w:val="24"/>
        </w:rPr>
      </w:pPr>
    </w:p>
    <w:p w14:paraId="6D089C4F">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0FC0845B">
      <w:pPr>
        <w:spacing w:line="480" w:lineRule="auto"/>
        <w:rPr>
          <w:rFonts w:hint="eastAsia"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B54A0D0">
      <w:pPr>
        <w:spacing w:line="480" w:lineRule="auto"/>
        <w:rPr>
          <w:color w:val="auto"/>
          <w:sz w:val="24"/>
          <w:szCs w:val="24"/>
        </w:rPr>
      </w:pPr>
      <w:r>
        <w:rPr>
          <w:rFonts w:hint="eastAsia" w:ascii="宋体" w:hAnsi="宋体" w:cs="宋体"/>
          <w:color w:val="auto"/>
          <w:sz w:val="24"/>
        </w:rPr>
        <w:t>日期：      年   月   日</w:t>
      </w:r>
    </w:p>
    <w:p w14:paraId="5CBD25C9">
      <w:pPr>
        <w:rPr>
          <w:rStyle w:val="57"/>
          <w:rFonts w:ascii="黑体" w:hAnsi="黑体" w:eastAsia="黑体" w:cs="黑体"/>
          <w:color w:val="auto"/>
          <w:szCs w:val="28"/>
        </w:rPr>
      </w:pPr>
    </w:p>
    <w:p w14:paraId="0A50BFE8">
      <w:pPr>
        <w:pStyle w:val="6"/>
        <w:ind w:left="0" w:firstLine="0"/>
        <w:outlineLvl w:val="0"/>
        <w:rPr>
          <w:color w:val="auto"/>
        </w:rPr>
      </w:pPr>
      <w:bookmarkStart w:id="600" w:name="_Toc31633"/>
      <w:r>
        <w:rPr>
          <w:rFonts w:hint="eastAsia"/>
          <w:color w:val="auto"/>
        </w:rPr>
        <w:t>（2）法定代表人授权书（非法定代表人参加时提供）</w:t>
      </w:r>
      <w:bookmarkEnd w:id="600"/>
    </w:p>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14:paraId="6C58A1F3">
      <w:pPr>
        <w:pStyle w:val="27"/>
        <w:tabs>
          <w:tab w:val="left" w:pos="450"/>
        </w:tabs>
        <w:spacing w:line="400" w:lineRule="atLeast"/>
        <w:ind w:left="-27" w:firstLine="422"/>
        <w:rPr>
          <w:rFonts w:ascii="Times New Roman" w:hAnsi="Times New Roman"/>
          <w:color w:val="auto"/>
          <w:sz w:val="24"/>
          <w:szCs w:val="24"/>
        </w:rPr>
      </w:pPr>
    </w:p>
    <w:p w14:paraId="59868710">
      <w:pPr>
        <w:pStyle w:val="27"/>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2AAA8FD1">
      <w:pPr>
        <w:pStyle w:val="27"/>
        <w:spacing w:line="600" w:lineRule="atLeast"/>
        <w:ind w:left="-27" w:firstLine="493"/>
        <w:rPr>
          <w:rFonts w:ascii="Times New Roman" w:hAnsi="Times New Roman"/>
          <w:color w:val="auto"/>
          <w:sz w:val="28"/>
          <w:u w:val="single"/>
        </w:rPr>
      </w:pPr>
    </w:p>
    <w:p w14:paraId="6ECD2086">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4A0D7D8F">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14360450">
      <w:pPr>
        <w:pStyle w:val="27"/>
        <w:spacing w:line="600" w:lineRule="atLeast"/>
        <w:ind w:left="-27" w:firstLine="422"/>
        <w:rPr>
          <w:rFonts w:ascii="Times New Roman" w:hAnsi="Times New Roman"/>
          <w:color w:val="auto"/>
          <w:sz w:val="24"/>
          <w:szCs w:val="24"/>
        </w:rPr>
      </w:pPr>
    </w:p>
    <w:p w14:paraId="32A85C34">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w:t>
      </w:r>
      <w:r>
        <w:rPr>
          <w:rFonts w:hint="eastAsia" w:ascii="宋体" w:hAnsi="宋体"/>
          <w:b/>
          <w:bCs/>
          <w:color w:val="auto"/>
          <w:spacing w:val="-6"/>
          <w:sz w:val="24"/>
          <w:szCs w:val="24"/>
          <w:u w:val="single"/>
          <w:lang w:eastAsia="zh-CN"/>
        </w:rPr>
        <w:t>2026年1月</w:t>
      </w:r>
      <w:r>
        <w:rPr>
          <w:rFonts w:hint="eastAsia" w:ascii="宋体" w:hAnsi="宋体"/>
          <w:b/>
          <w:bCs/>
          <w:color w:val="auto"/>
          <w:spacing w:val="-6"/>
          <w:sz w:val="24"/>
          <w:szCs w:val="24"/>
          <w:u w:val="single"/>
        </w:rPr>
        <w:t>（含）以后任意一月社保缴纳证明。</w:t>
      </w:r>
    </w:p>
    <w:p w14:paraId="4D2A9737">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735A9306">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7AC545AE">
      <w:pPr>
        <w:pStyle w:val="27"/>
        <w:spacing w:line="400" w:lineRule="atLeast"/>
        <w:ind w:left="-27" w:firstLine="422"/>
        <w:rPr>
          <w:rFonts w:ascii="Times New Roman" w:hAnsi="Times New Roman"/>
          <w:color w:val="auto"/>
          <w:sz w:val="24"/>
          <w:szCs w:val="24"/>
        </w:rPr>
      </w:pPr>
    </w:p>
    <w:p w14:paraId="3D0C8486">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7C09FA8D">
      <w:pPr>
        <w:pStyle w:val="27"/>
        <w:spacing w:line="400" w:lineRule="atLeast"/>
        <w:ind w:left="-27" w:firstLine="422"/>
        <w:rPr>
          <w:rFonts w:ascii="Times New Roman" w:hAnsi="Times New Roman"/>
          <w:color w:val="auto"/>
          <w:sz w:val="24"/>
          <w:szCs w:val="24"/>
        </w:rPr>
      </w:pPr>
    </w:p>
    <w:p w14:paraId="1477A497">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51343FC0">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6F15EA49">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68C7043C">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5F5881F7">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3719C70E">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5E727EA4">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2B01BE65">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7FF29C5D">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141DB4AA">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343AB5F2">
      <w:pPr>
        <w:widowControl/>
        <w:ind w:firstLine="723" w:firstLineChars="225"/>
        <w:jc w:val="left"/>
        <w:rPr>
          <w:b/>
          <w:color w:val="auto"/>
          <w:sz w:val="32"/>
          <w:szCs w:val="32"/>
        </w:rPr>
      </w:pPr>
    </w:p>
    <w:p w14:paraId="3CF1C145">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5928E70F">
      <w:pPr>
        <w:widowControl/>
        <w:ind w:firstLine="723" w:firstLineChars="225"/>
        <w:jc w:val="left"/>
        <w:rPr>
          <w:b/>
          <w:color w:val="auto"/>
          <w:sz w:val="32"/>
          <w:szCs w:val="32"/>
        </w:rPr>
      </w:pPr>
    </w:p>
    <w:p w14:paraId="6E71E4E6">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40AB7333">
      <w:pPr>
        <w:pStyle w:val="6"/>
        <w:ind w:left="0" w:firstLine="0"/>
        <w:outlineLvl w:val="0"/>
        <w:rPr>
          <w:color w:val="auto"/>
        </w:rPr>
      </w:pPr>
      <w:bookmarkStart w:id="601" w:name="_Toc30182"/>
      <w:r>
        <w:rPr>
          <w:rFonts w:hint="eastAsia"/>
          <w:color w:val="auto"/>
        </w:rPr>
        <w:t>（3）授权代表社保缴纳证明</w:t>
      </w:r>
      <w:bookmarkEnd w:id="601"/>
    </w:p>
    <w:p w14:paraId="322F1604">
      <w:pPr>
        <w:rPr>
          <w:rFonts w:ascii="宋体" w:hAnsi="宋体" w:cs="宋体"/>
          <w:b/>
          <w:color w:val="auto"/>
          <w:spacing w:val="-6"/>
          <w:sz w:val="32"/>
          <w:szCs w:val="32"/>
        </w:rPr>
      </w:pPr>
    </w:p>
    <w:p w14:paraId="1C339F48">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lang w:eastAsia="zh-CN"/>
        </w:rPr>
        <w:t>2026年1月</w:t>
      </w:r>
      <w:r>
        <w:rPr>
          <w:rFonts w:hint="eastAsia" w:ascii="宋体" w:hAnsi="宋体" w:cs="宋体"/>
          <w:b/>
          <w:color w:val="auto"/>
          <w:spacing w:val="-6"/>
          <w:sz w:val="32"/>
          <w:szCs w:val="32"/>
        </w:rPr>
        <w:t>（含）以后任意一月授权代表社保缴纳证明</w:t>
      </w:r>
    </w:p>
    <w:p w14:paraId="38758BE5">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7D5A2F56">
      <w:pPr>
        <w:widowControl/>
        <w:ind w:firstLine="723" w:firstLineChars="225"/>
        <w:jc w:val="left"/>
        <w:rPr>
          <w:b/>
          <w:color w:val="auto"/>
          <w:sz w:val="32"/>
          <w:szCs w:val="32"/>
        </w:rPr>
      </w:pPr>
    </w:p>
    <w:p w14:paraId="4CD4C101">
      <w:pPr>
        <w:widowControl/>
        <w:ind w:firstLine="723" w:firstLineChars="225"/>
        <w:jc w:val="left"/>
        <w:rPr>
          <w:b/>
          <w:color w:val="auto"/>
          <w:sz w:val="32"/>
          <w:szCs w:val="32"/>
        </w:rPr>
        <w:sectPr>
          <w:footerReference r:id="rId7" w:type="default"/>
          <w:pgSz w:w="11907" w:h="16840"/>
          <w:pgMar w:top="1134" w:right="1247" w:bottom="1247" w:left="1247" w:header="567" w:footer="794" w:gutter="0"/>
          <w:cols w:space="720" w:num="1"/>
        </w:sectPr>
      </w:pPr>
    </w:p>
    <w:p w14:paraId="6C6093CB">
      <w:pPr>
        <w:pStyle w:val="6"/>
        <w:ind w:left="0" w:firstLine="0"/>
        <w:outlineLvl w:val="0"/>
        <w:rPr>
          <w:color w:val="auto"/>
        </w:rPr>
      </w:pPr>
      <w:bookmarkStart w:id="602" w:name="_Toc23121"/>
      <w:bookmarkStart w:id="603" w:name="_Toc25890"/>
      <w:bookmarkStart w:id="604" w:name="_Toc26387"/>
      <w:bookmarkStart w:id="605" w:name="_Toc14222"/>
      <w:bookmarkStart w:id="606" w:name="_Toc21021"/>
      <w:bookmarkStart w:id="607" w:name="_Toc2212"/>
      <w:bookmarkStart w:id="608" w:name="_Toc19676"/>
      <w:bookmarkStart w:id="609" w:name="_Toc4883"/>
      <w:bookmarkStart w:id="610" w:name="_Toc30038"/>
      <w:bookmarkStart w:id="611" w:name="_Toc25749"/>
      <w:bookmarkStart w:id="612" w:name="_Toc13384"/>
      <w:bookmarkStart w:id="613" w:name="_Toc24184"/>
      <w:bookmarkStart w:id="614" w:name="_Toc24848"/>
      <w:bookmarkStart w:id="615" w:name="_Toc32360"/>
      <w:bookmarkStart w:id="616" w:name="_Toc31464"/>
      <w:bookmarkStart w:id="617" w:name="_Toc22103"/>
      <w:bookmarkStart w:id="618" w:name="_Toc4577"/>
      <w:bookmarkStart w:id="619" w:name="_Toc30387"/>
      <w:bookmarkStart w:id="620" w:name="_Toc350"/>
      <w:bookmarkStart w:id="621" w:name="_Toc772"/>
      <w:bookmarkStart w:id="622" w:name="_Toc14931"/>
      <w:bookmarkStart w:id="623" w:name="_Toc18481"/>
      <w:bookmarkStart w:id="624" w:name="_Toc14954"/>
      <w:bookmarkStart w:id="625" w:name="_Toc3968"/>
      <w:bookmarkStart w:id="626" w:name="_Toc31758"/>
      <w:bookmarkStart w:id="627" w:name="_Toc2570"/>
      <w:bookmarkStart w:id="628" w:name="_Toc5481"/>
      <w:bookmarkStart w:id="629" w:name="_Toc2974"/>
      <w:bookmarkStart w:id="630" w:name="_Toc11332"/>
      <w:bookmarkStart w:id="631" w:name="_Toc20129"/>
      <w:bookmarkStart w:id="632" w:name="_Toc26592"/>
      <w:bookmarkStart w:id="633" w:name="_Toc12615"/>
      <w:bookmarkStart w:id="634" w:name="_Toc26242"/>
      <w:bookmarkStart w:id="635" w:name="_Toc9338"/>
      <w:bookmarkStart w:id="636" w:name="_Toc31568"/>
      <w:bookmarkStart w:id="637" w:name="_Toc11813"/>
      <w:bookmarkStart w:id="638" w:name="_Toc20443"/>
      <w:bookmarkStart w:id="639" w:name="_Toc14198"/>
      <w:bookmarkStart w:id="640" w:name="_Toc28598"/>
      <w:r>
        <w:rPr>
          <w:rFonts w:hint="eastAsia"/>
          <w:color w:val="auto"/>
        </w:rPr>
        <w:t>（4）法定代表人资格证明书</w:t>
      </w:r>
      <w:bookmarkEnd w:id="602"/>
      <w:bookmarkEnd w:id="603"/>
      <w:bookmarkEnd w:id="604"/>
      <w:bookmarkEnd w:id="605"/>
      <w:bookmarkEnd w:id="606"/>
      <w:bookmarkEnd w:id="607"/>
      <w:bookmarkEnd w:id="608"/>
      <w:bookmarkEnd w:id="609"/>
      <w:bookmarkEnd w:id="610"/>
      <w:bookmarkEnd w:id="611"/>
      <w:r>
        <w:rPr>
          <w:rFonts w:hint="eastAsia"/>
          <w:color w:val="auto"/>
        </w:rPr>
        <w:t>（法定代表人参加时提供）</w:t>
      </w:r>
      <w:bookmarkEnd w:id="612"/>
    </w:p>
    <w:p w14:paraId="3A7C1C90">
      <w:pPr>
        <w:pStyle w:val="2"/>
        <w:ind w:left="0" w:leftChars="0" w:firstLine="0" w:firstLineChars="0"/>
        <w:rPr>
          <w:color w:val="auto"/>
        </w:rPr>
      </w:pPr>
    </w:p>
    <w:p w14:paraId="07888622">
      <w:pPr>
        <w:pStyle w:val="27"/>
        <w:tabs>
          <w:tab w:val="left" w:pos="450"/>
        </w:tabs>
        <w:spacing w:line="400" w:lineRule="atLeast"/>
        <w:ind w:left="-27" w:firstLine="565"/>
        <w:jc w:val="center"/>
        <w:outlineLvl w:val="1"/>
        <w:rPr>
          <w:rFonts w:ascii="Times New Roman" w:hAnsi="Times New Roman"/>
          <w:b/>
          <w:color w:val="auto"/>
          <w:sz w:val="32"/>
          <w:szCs w:val="32"/>
        </w:rPr>
      </w:pPr>
      <w:bookmarkStart w:id="641" w:name="_Toc10019"/>
      <w:r>
        <w:rPr>
          <w:rFonts w:hint="eastAsia" w:ascii="Times New Roman" w:hAnsi="Times New Roman"/>
          <w:b/>
          <w:color w:val="auto"/>
          <w:sz w:val="32"/>
          <w:szCs w:val="32"/>
        </w:rPr>
        <w:t>法定代表人资格证明书</w:t>
      </w:r>
      <w:bookmarkEnd w:id="641"/>
    </w:p>
    <w:p w14:paraId="59A5CAE4">
      <w:pPr>
        <w:spacing w:line="360" w:lineRule="auto"/>
        <w:jc w:val="center"/>
        <w:rPr>
          <w:b/>
          <w:color w:val="auto"/>
          <w:spacing w:val="-6"/>
          <w:sz w:val="24"/>
        </w:rPr>
      </w:pPr>
    </w:p>
    <w:p w14:paraId="365FCD95">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2FB9E21A">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5D10CCF5">
      <w:pPr>
        <w:spacing w:line="360" w:lineRule="auto"/>
        <w:ind w:firstLine="456" w:firstLineChars="200"/>
        <w:rPr>
          <w:bCs/>
          <w:color w:val="auto"/>
          <w:spacing w:val="-6"/>
          <w:sz w:val="24"/>
        </w:rPr>
      </w:pPr>
      <w:r>
        <w:rPr>
          <w:bCs/>
          <w:color w:val="auto"/>
          <w:spacing w:val="-6"/>
          <w:sz w:val="24"/>
        </w:rPr>
        <w:t>特此证明。</w:t>
      </w:r>
    </w:p>
    <w:p w14:paraId="0CB015F4">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0C686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6D13991E">
            <w:pPr>
              <w:jc w:val="center"/>
              <w:rPr>
                <w:color w:val="auto"/>
                <w:sz w:val="24"/>
              </w:rPr>
            </w:pPr>
            <w:r>
              <w:rPr>
                <w:color w:val="auto"/>
                <w:sz w:val="24"/>
              </w:rPr>
              <w:t>法定代表人身份证(正、反面)复印件粘贴处</w:t>
            </w:r>
          </w:p>
          <w:p w14:paraId="6542ECDC">
            <w:pPr>
              <w:spacing w:line="360" w:lineRule="auto"/>
              <w:jc w:val="center"/>
              <w:rPr>
                <w:bCs/>
                <w:color w:val="auto"/>
                <w:spacing w:val="-6"/>
                <w:sz w:val="24"/>
              </w:rPr>
            </w:pPr>
          </w:p>
        </w:tc>
      </w:tr>
    </w:tbl>
    <w:p w14:paraId="0DBC2328">
      <w:pPr>
        <w:spacing w:line="360" w:lineRule="auto"/>
        <w:rPr>
          <w:bCs/>
          <w:color w:val="auto"/>
          <w:spacing w:val="-6"/>
          <w:sz w:val="24"/>
        </w:rPr>
      </w:pPr>
    </w:p>
    <w:p w14:paraId="75734732">
      <w:pPr>
        <w:spacing w:line="360" w:lineRule="auto"/>
        <w:ind w:right="456"/>
        <w:rPr>
          <w:b/>
          <w:bCs/>
          <w:color w:val="auto"/>
          <w:spacing w:val="-6"/>
          <w:sz w:val="24"/>
        </w:rPr>
      </w:pPr>
    </w:p>
    <w:p w14:paraId="65090B08">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7CFD7B50">
      <w:pPr>
        <w:pStyle w:val="27"/>
        <w:spacing w:line="400" w:lineRule="atLeast"/>
        <w:ind w:left="-27" w:firstLine="2530" w:firstLineChars="1050"/>
        <w:rPr>
          <w:rFonts w:ascii="Times New Roman" w:hAnsi="Times New Roman"/>
          <w:b/>
          <w:bCs/>
          <w:color w:val="auto"/>
          <w:sz w:val="24"/>
          <w:szCs w:val="24"/>
        </w:rPr>
      </w:pPr>
    </w:p>
    <w:p w14:paraId="0D7F7F2B">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05E6A8B9">
      <w:pPr>
        <w:spacing w:line="360" w:lineRule="auto"/>
        <w:ind w:left="3578" w:leftChars="1704" w:right="456"/>
        <w:rPr>
          <w:b/>
          <w:bCs/>
          <w:color w:val="auto"/>
          <w:sz w:val="24"/>
          <w:szCs w:val="24"/>
        </w:rPr>
      </w:pPr>
      <w:r>
        <w:rPr>
          <w:rFonts w:hint="eastAsia"/>
          <w:b/>
          <w:bCs/>
          <w:color w:val="auto"/>
          <w:sz w:val="24"/>
          <w:szCs w:val="24"/>
        </w:rPr>
        <w:t xml:space="preserve"> </w:t>
      </w:r>
    </w:p>
    <w:p w14:paraId="5B65D705">
      <w:pPr>
        <w:spacing w:line="360" w:lineRule="auto"/>
        <w:ind w:left="3360" w:leftChars="1600" w:right="456"/>
        <w:rPr>
          <w:color w:val="auto"/>
          <w:sz w:val="24"/>
          <w:szCs w:val="24"/>
        </w:rPr>
      </w:pPr>
    </w:p>
    <w:p w14:paraId="3F595352">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14:paraId="51937930">
      <w:pPr>
        <w:pStyle w:val="6"/>
        <w:ind w:left="0" w:firstLine="0"/>
        <w:outlineLvl w:val="0"/>
        <w:rPr>
          <w:color w:val="auto"/>
        </w:rPr>
      </w:pPr>
      <w:bookmarkStart w:id="642" w:name="_Toc6195"/>
      <w:bookmarkStart w:id="643" w:name="_Toc1334"/>
      <w:bookmarkStart w:id="644" w:name="_Toc21937"/>
      <w:bookmarkStart w:id="645" w:name="_Toc3893"/>
      <w:bookmarkStart w:id="646" w:name="_Toc1553"/>
      <w:bookmarkStart w:id="647" w:name="_Toc30921"/>
      <w:bookmarkStart w:id="648" w:name="_Toc22052"/>
      <w:bookmarkStart w:id="649" w:name="_Toc25655"/>
      <w:bookmarkStart w:id="650" w:name="_Toc32465"/>
      <w:bookmarkStart w:id="651" w:name="_Toc21741"/>
      <w:bookmarkStart w:id="652" w:name="_Toc11492"/>
      <w:bookmarkStart w:id="653" w:name="_Toc27945"/>
      <w:bookmarkStart w:id="654" w:name="_Toc3162"/>
      <w:bookmarkStart w:id="655" w:name="_Toc16347"/>
      <w:bookmarkStart w:id="656" w:name="_Toc32367"/>
      <w:bookmarkStart w:id="657" w:name="_Toc20480"/>
      <w:bookmarkStart w:id="658" w:name="_Toc17219"/>
      <w:bookmarkStart w:id="659" w:name="_Toc29343"/>
      <w:bookmarkStart w:id="660" w:name="_Toc24530"/>
      <w:bookmarkStart w:id="661" w:name="_Toc6625"/>
      <w:bookmarkStart w:id="662" w:name="_Toc20101"/>
      <w:bookmarkStart w:id="663" w:name="_Toc30022"/>
      <w:bookmarkStart w:id="664" w:name="_Toc15720"/>
      <w:bookmarkStart w:id="665" w:name="_Toc23078"/>
      <w:bookmarkStart w:id="666" w:name="_Toc4163"/>
      <w:bookmarkStart w:id="667" w:name="_Toc5970"/>
      <w:bookmarkStart w:id="668" w:name="_Toc27347"/>
      <w:bookmarkStart w:id="669" w:name="_Toc27024"/>
      <w:bookmarkStart w:id="670" w:name="_Toc30169"/>
      <w:bookmarkStart w:id="671" w:name="_Toc15510"/>
      <w:bookmarkStart w:id="672" w:name="_Toc24989"/>
      <w:bookmarkStart w:id="673" w:name="_Toc2218"/>
      <w:bookmarkStart w:id="674" w:name="_Toc17126"/>
      <w:bookmarkStart w:id="675" w:name="_Toc11889"/>
      <w:bookmarkStart w:id="676" w:name="_Toc26243"/>
      <w:bookmarkStart w:id="677" w:name="_Toc441"/>
      <w:r>
        <w:rPr>
          <w:rFonts w:hint="eastAsia"/>
          <w:color w:val="auto"/>
        </w:rPr>
        <w:t>（5）采购需求偏离表</w:t>
      </w:r>
      <w:bookmarkEnd w:id="642"/>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14:paraId="700E1E2B">
      <w:pPr>
        <w:jc w:val="center"/>
        <w:outlineLvl w:val="1"/>
        <w:rPr>
          <w:b/>
          <w:bCs/>
          <w:color w:val="auto"/>
          <w:sz w:val="32"/>
        </w:rPr>
      </w:pPr>
      <w:r>
        <w:rPr>
          <w:rFonts w:hint="eastAsia"/>
          <w:b/>
          <w:bCs/>
          <w:color w:val="auto"/>
          <w:sz w:val="32"/>
        </w:rPr>
        <w:t>采购需求偏离表</w:t>
      </w:r>
    </w:p>
    <w:p w14:paraId="71DB0171">
      <w:pPr>
        <w:rPr>
          <w:b/>
          <w:bCs/>
          <w:color w:val="auto"/>
          <w:sz w:val="32"/>
        </w:rPr>
      </w:pPr>
    </w:p>
    <w:p w14:paraId="68358889">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42610139">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709589FC">
      <w:pPr>
        <w:pStyle w:val="27"/>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59461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258EB800">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068420E7">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4A2C13DF">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5AB310E5">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4B75B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6942B7D">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0F0D6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6AC85B9">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54AE8778">
            <w:pPr>
              <w:rPr>
                <w:rFonts w:ascii="宋体" w:hAnsi="宋体" w:cs="宋体"/>
                <w:color w:val="auto"/>
                <w:szCs w:val="21"/>
              </w:rPr>
            </w:pPr>
          </w:p>
        </w:tc>
        <w:tc>
          <w:tcPr>
            <w:tcW w:w="2574" w:type="dxa"/>
            <w:vAlign w:val="center"/>
          </w:tcPr>
          <w:p w14:paraId="4ECB2629">
            <w:pPr>
              <w:rPr>
                <w:rFonts w:ascii="宋体" w:hAnsi="宋体" w:cs="宋体"/>
                <w:color w:val="auto"/>
                <w:szCs w:val="21"/>
              </w:rPr>
            </w:pPr>
          </w:p>
        </w:tc>
        <w:tc>
          <w:tcPr>
            <w:tcW w:w="2124" w:type="dxa"/>
            <w:vAlign w:val="center"/>
          </w:tcPr>
          <w:p w14:paraId="0DA56DF5">
            <w:pPr>
              <w:rPr>
                <w:rFonts w:ascii="宋体" w:hAnsi="宋体" w:cs="宋体"/>
                <w:color w:val="auto"/>
                <w:szCs w:val="21"/>
              </w:rPr>
            </w:pPr>
          </w:p>
        </w:tc>
      </w:tr>
      <w:tr w14:paraId="3C5B1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99D91AF">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6E23E3BC">
            <w:pPr>
              <w:rPr>
                <w:rFonts w:ascii="宋体" w:hAnsi="宋体" w:cs="宋体"/>
                <w:color w:val="auto"/>
                <w:szCs w:val="21"/>
              </w:rPr>
            </w:pPr>
          </w:p>
        </w:tc>
        <w:tc>
          <w:tcPr>
            <w:tcW w:w="2574" w:type="dxa"/>
            <w:vAlign w:val="center"/>
          </w:tcPr>
          <w:p w14:paraId="37CC9FB4">
            <w:pPr>
              <w:rPr>
                <w:rFonts w:ascii="宋体" w:hAnsi="宋体" w:cs="宋体"/>
                <w:color w:val="auto"/>
                <w:szCs w:val="21"/>
              </w:rPr>
            </w:pPr>
          </w:p>
        </w:tc>
        <w:tc>
          <w:tcPr>
            <w:tcW w:w="2124" w:type="dxa"/>
            <w:vAlign w:val="center"/>
          </w:tcPr>
          <w:p w14:paraId="526530A2">
            <w:pPr>
              <w:rPr>
                <w:rFonts w:ascii="宋体" w:hAnsi="宋体" w:cs="宋体"/>
                <w:color w:val="auto"/>
                <w:szCs w:val="21"/>
              </w:rPr>
            </w:pPr>
          </w:p>
        </w:tc>
      </w:tr>
      <w:tr w14:paraId="5D911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EE6068F">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58152807">
            <w:pPr>
              <w:rPr>
                <w:rFonts w:ascii="宋体" w:hAnsi="宋体" w:cs="宋体"/>
                <w:color w:val="auto"/>
                <w:szCs w:val="21"/>
              </w:rPr>
            </w:pPr>
          </w:p>
        </w:tc>
        <w:tc>
          <w:tcPr>
            <w:tcW w:w="2574" w:type="dxa"/>
            <w:vAlign w:val="center"/>
          </w:tcPr>
          <w:p w14:paraId="08BC5593">
            <w:pPr>
              <w:rPr>
                <w:rFonts w:ascii="宋体" w:hAnsi="宋体" w:cs="宋体"/>
                <w:color w:val="auto"/>
                <w:szCs w:val="21"/>
              </w:rPr>
            </w:pPr>
          </w:p>
        </w:tc>
        <w:tc>
          <w:tcPr>
            <w:tcW w:w="2124" w:type="dxa"/>
            <w:vAlign w:val="center"/>
          </w:tcPr>
          <w:p w14:paraId="0B333CA3">
            <w:pPr>
              <w:rPr>
                <w:rFonts w:ascii="宋体" w:hAnsi="宋体" w:cs="宋体"/>
                <w:color w:val="auto"/>
                <w:szCs w:val="21"/>
              </w:rPr>
            </w:pPr>
          </w:p>
        </w:tc>
      </w:tr>
      <w:tr w14:paraId="52506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D3B2F73">
            <w:pPr>
              <w:rPr>
                <w:rFonts w:ascii="宋体" w:hAnsi="宋体" w:cs="宋体"/>
                <w:color w:val="auto"/>
                <w:szCs w:val="21"/>
              </w:rPr>
            </w:pPr>
            <w:r>
              <w:rPr>
                <w:rFonts w:hint="eastAsia" w:ascii="宋体" w:hAnsi="宋体" w:cs="宋体"/>
                <w:b/>
                <w:bCs/>
                <w:color w:val="auto"/>
                <w:szCs w:val="21"/>
              </w:rPr>
              <w:t>技术参数、功能、服务等技术要求（货物需注明型号规格、制造商）</w:t>
            </w:r>
          </w:p>
        </w:tc>
      </w:tr>
      <w:tr w14:paraId="61963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83C80C">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0FB1BD87">
            <w:pPr>
              <w:jc w:val="left"/>
              <w:rPr>
                <w:rFonts w:ascii="宋体" w:hAnsi="宋体" w:cs="宋体"/>
                <w:color w:val="auto"/>
                <w:szCs w:val="21"/>
              </w:rPr>
            </w:pPr>
          </w:p>
        </w:tc>
        <w:tc>
          <w:tcPr>
            <w:tcW w:w="2574" w:type="dxa"/>
            <w:vAlign w:val="center"/>
          </w:tcPr>
          <w:p w14:paraId="04974987">
            <w:pPr>
              <w:jc w:val="left"/>
              <w:rPr>
                <w:rFonts w:ascii="宋体" w:hAnsi="宋体" w:cs="宋体"/>
                <w:color w:val="auto"/>
                <w:szCs w:val="21"/>
              </w:rPr>
            </w:pPr>
          </w:p>
        </w:tc>
        <w:tc>
          <w:tcPr>
            <w:tcW w:w="2124" w:type="dxa"/>
            <w:vAlign w:val="center"/>
          </w:tcPr>
          <w:p w14:paraId="6F1A8425">
            <w:pPr>
              <w:jc w:val="left"/>
              <w:rPr>
                <w:rFonts w:ascii="宋体" w:hAnsi="宋体" w:cs="宋体"/>
                <w:color w:val="auto"/>
                <w:szCs w:val="21"/>
              </w:rPr>
            </w:pPr>
          </w:p>
        </w:tc>
      </w:tr>
      <w:tr w14:paraId="77343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FAFD957">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292CEA91">
            <w:pPr>
              <w:jc w:val="left"/>
              <w:rPr>
                <w:rFonts w:ascii="宋体" w:hAnsi="宋体" w:cs="宋体"/>
                <w:color w:val="auto"/>
                <w:szCs w:val="21"/>
              </w:rPr>
            </w:pPr>
          </w:p>
        </w:tc>
        <w:tc>
          <w:tcPr>
            <w:tcW w:w="2574" w:type="dxa"/>
            <w:vAlign w:val="center"/>
          </w:tcPr>
          <w:p w14:paraId="3DC27D43">
            <w:pPr>
              <w:jc w:val="left"/>
              <w:rPr>
                <w:rFonts w:ascii="宋体" w:hAnsi="宋体" w:cs="宋体"/>
                <w:color w:val="auto"/>
                <w:szCs w:val="21"/>
              </w:rPr>
            </w:pPr>
          </w:p>
        </w:tc>
        <w:tc>
          <w:tcPr>
            <w:tcW w:w="2124" w:type="dxa"/>
            <w:vAlign w:val="center"/>
          </w:tcPr>
          <w:p w14:paraId="40862DED">
            <w:pPr>
              <w:jc w:val="left"/>
              <w:rPr>
                <w:rFonts w:ascii="宋体" w:hAnsi="宋体" w:cs="宋体"/>
                <w:color w:val="auto"/>
                <w:szCs w:val="21"/>
              </w:rPr>
            </w:pPr>
          </w:p>
        </w:tc>
      </w:tr>
      <w:tr w14:paraId="6F15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B5D636B">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09224A78">
            <w:pPr>
              <w:jc w:val="left"/>
              <w:rPr>
                <w:rFonts w:ascii="宋体" w:hAnsi="宋体" w:cs="宋体"/>
                <w:color w:val="auto"/>
                <w:szCs w:val="21"/>
              </w:rPr>
            </w:pPr>
          </w:p>
        </w:tc>
        <w:tc>
          <w:tcPr>
            <w:tcW w:w="2574" w:type="dxa"/>
            <w:vAlign w:val="center"/>
          </w:tcPr>
          <w:p w14:paraId="02D8332C">
            <w:pPr>
              <w:jc w:val="left"/>
              <w:rPr>
                <w:rFonts w:ascii="宋体" w:hAnsi="宋体" w:cs="宋体"/>
                <w:color w:val="auto"/>
                <w:szCs w:val="21"/>
              </w:rPr>
            </w:pPr>
          </w:p>
        </w:tc>
        <w:tc>
          <w:tcPr>
            <w:tcW w:w="2124" w:type="dxa"/>
            <w:vAlign w:val="center"/>
          </w:tcPr>
          <w:p w14:paraId="5EA296FA">
            <w:pPr>
              <w:jc w:val="left"/>
              <w:rPr>
                <w:rFonts w:ascii="宋体" w:hAnsi="宋体" w:cs="宋体"/>
                <w:color w:val="auto"/>
                <w:szCs w:val="21"/>
              </w:rPr>
            </w:pPr>
          </w:p>
        </w:tc>
      </w:tr>
    </w:tbl>
    <w:p w14:paraId="5C53AAA4">
      <w:pPr>
        <w:spacing w:line="360" w:lineRule="auto"/>
        <w:rPr>
          <w:rFonts w:ascii="宋体" w:hAnsi="宋体"/>
          <w:b/>
          <w:bCs/>
          <w:color w:val="auto"/>
          <w:spacing w:val="-6"/>
          <w:szCs w:val="21"/>
        </w:rPr>
      </w:pPr>
    </w:p>
    <w:p w14:paraId="3C5AF8EE">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3B905ABE">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7F241AEF">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3E6307A8">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4866D853">
      <w:pPr>
        <w:pStyle w:val="27"/>
        <w:spacing w:line="400" w:lineRule="atLeast"/>
        <w:ind w:left="-27" w:firstLine="422"/>
        <w:rPr>
          <w:rFonts w:ascii="Times New Roman" w:hAnsi="Times New Roman"/>
          <w:color w:val="auto"/>
          <w:sz w:val="24"/>
        </w:rPr>
      </w:pPr>
    </w:p>
    <w:p w14:paraId="39878A8C">
      <w:pPr>
        <w:pStyle w:val="27"/>
        <w:spacing w:line="400" w:lineRule="atLeast"/>
        <w:ind w:left="-27" w:firstLine="422"/>
        <w:rPr>
          <w:rFonts w:ascii="Times New Roman" w:hAnsi="Times New Roman"/>
          <w:color w:val="auto"/>
          <w:sz w:val="24"/>
        </w:rPr>
      </w:pPr>
    </w:p>
    <w:p w14:paraId="56D03043">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03400123">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D84A969">
      <w:pPr>
        <w:spacing w:before="240" w:beforeLines="100" w:after="240" w:afterLines="100"/>
        <w:jc w:val="left"/>
        <w:rPr>
          <w:color w:val="auto"/>
          <w:sz w:val="24"/>
          <w:szCs w:val="24"/>
        </w:rPr>
      </w:pPr>
      <w:r>
        <w:rPr>
          <w:rFonts w:hint="eastAsia" w:ascii="宋体" w:hAnsi="宋体" w:cs="宋体"/>
          <w:color w:val="auto"/>
          <w:sz w:val="24"/>
        </w:rPr>
        <w:t>日期：      年   月   日</w:t>
      </w:r>
    </w:p>
    <w:p w14:paraId="6EA4AD03">
      <w:pPr>
        <w:pStyle w:val="27"/>
        <w:spacing w:line="400" w:lineRule="atLeast"/>
        <w:ind w:left="-27" w:firstLine="528"/>
        <w:rPr>
          <w:rFonts w:ascii="Times New Roman" w:hAnsi="Times New Roman"/>
          <w:color w:val="auto"/>
          <w:sz w:val="30"/>
        </w:rPr>
      </w:pPr>
    </w:p>
    <w:p w14:paraId="7A2D0729">
      <w:pPr>
        <w:pStyle w:val="6"/>
        <w:ind w:left="0" w:firstLine="0"/>
        <w:outlineLvl w:val="0"/>
        <w:rPr>
          <w:color w:val="auto"/>
        </w:rPr>
      </w:pPr>
      <w:r>
        <w:rPr>
          <w:bCs/>
          <w:color w:val="auto"/>
          <w:sz w:val="32"/>
        </w:rPr>
        <w:br w:type="page"/>
      </w:r>
      <w:bookmarkStart w:id="678" w:name="_Toc22961"/>
      <w:bookmarkStart w:id="679" w:name="_Toc12636"/>
      <w:bookmarkStart w:id="680" w:name="_Toc21842"/>
      <w:bookmarkStart w:id="681" w:name="_Toc24911"/>
      <w:bookmarkStart w:id="682" w:name="_Toc21740"/>
      <w:bookmarkStart w:id="683" w:name="_Toc18149"/>
      <w:bookmarkStart w:id="684" w:name="_Toc18959"/>
      <w:bookmarkStart w:id="685" w:name="_Toc27033"/>
      <w:bookmarkStart w:id="686" w:name="_Toc28469"/>
      <w:bookmarkStart w:id="687" w:name="_Toc1162"/>
      <w:bookmarkStart w:id="688" w:name="_Toc8117"/>
      <w:bookmarkStart w:id="689" w:name="_Toc12587"/>
      <w:bookmarkStart w:id="690" w:name="_Toc13064"/>
      <w:bookmarkStart w:id="691" w:name="_Toc23576"/>
      <w:bookmarkStart w:id="692" w:name="_Toc31984"/>
      <w:bookmarkStart w:id="693" w:name="_Toc21289"/>
      <w:bookmarkStart w:id="694" w:name="_Toc13471"/>
      <w:bookmarkStart w:id="695" w:name="_Toc5267"/>
      <w:bookmarkStart w:id="696" w:name="_Toc7973"/>
      <w:bookmarkStart w:id="697" w:name="_Toc24720"/>
      <w:bookmarkStart w:id="698" w:name="_Toc31125"/>
      <w:bookmarkStart w:id="699" w:name="_Toc29052"/>
      <w:bookmarkStart w:id="700" w:name="_Toc14028"/>
      <w:bookmarkStart w:id="701" w:name="_Toc4311"/>
      <w:bookmarkStart w:id="702" w:name="_Toc5561"/>
      <w:bookmarkStart w:id="703" w:name="_Toc5417"/>
      <w:bookmarkStart w:id="704" w:name="_Toc19442"/>
      <w:bookmarkStart w:id="705" w:name="_Toc25833"/>
      <w:bookmarkStart w:id="706" w:name="_Toc2658"/>
      <w:bookmarkStart w:id="707" w:name="_Toc32055"/>
      <w:bookmarkStart w:id="708" w:name="_Toc10664"/>
      <w:bookmarkStart w:id="709" w:name="_Toc15291"/>
      <w:bookmarkStart w:id="710" w:name="_Toc16944"/>
      <w:bookmarkStart w:id="711" w:name="_Toc10611"/>
      <w:bookmarkStart w:id="712" w:name="_Toc27408"/>
      <w:bookmarkStart w:id="713" w:name="_Toc21423"/>
      <w:bookmarkStart w:id="714" w:name="_Toc26665"/>
      <w:bookmarkStart w:id="715" w:name="_Toc26450"/>
      <w:bookmarkStart w:id="716" w:name="_Toc16423"/>
      <w:bookmarkStart w:id="717" w:name="_Toc16502"/>
      <w:bookmarkStart w:id="718" w:name="_Toc23122"/>
      <w:bookmarkStart w:id="719" w:name="_Toc32508"/>
      <w:bookmarkStart w:id="720" w:name="_Toc14653"/>
      <w:bookmarkStart w:id="721" w:name="_Toc18451"/>
      <w:bookmarkStart w:id="722" w:name="_Toc9470"/>
      <w:bookmarkStart w:id="723" w:name="_Toc3703"/>
      <w:bookmarkStart w:id="724" w:name="_Toc13985"/>
      <w:bookmarkStart w:id="725" w:name="_Toc12787"/>
      <w:bookmarkStart w:id="726" w:name="_Toc27705"/>
      <w:bookmarkStart w:id="727" w:name="_Toc22794"/>
      <w:bookmarkStart w:id="728" w:name="_Toc25187"/>
      <w:bookmarkStart w:id="729" w:name="_Toc15898"/>
      <w:bookmarkStart w:id="730" w:name="_Toc23923"/>
      <w:bookmarkStart w:id="731" w:name="_Toc3061"/>
      <w:bookmarkStart w:id="732" w:name="_Toc22720"/>
      <w:bookmarkStart w:id="733" w:name="_Toc22688"/>
      <w:bookmarkStart w:id="734" w:name="_Toc19416"/>
      <w:bookmarkStart w:id="735" w:name="_Toc1110"/>
      <w:bookmarkStart w:id="736" w:name="_Toc20418"/>
      <w:bookmarkStart w:id="737" w:name="_Toc17790"/>
      <w:bookmarkStart w:id="738" w:name="_Toc16636"/>
      <w:r>
        <w:rPr>
          <w:rFonts w:hint="eastAsia"/>
          <w:color w:val="auto"/>
        </w:rPr>
        <w:t>（6）响应方基本情况表</w:t>
      </w:r>
      <w:bookmarkEnd w:id="678"/>
    </w:p>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14:paraId="2097723E">
      <w:pPr>
        <w:jc w:val="center"/>
        <w:outlineLvl w:val="1"/>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2C89F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5179A86">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0C3F30F3">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08C8F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EDE7187">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1579286B">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48268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BE29CAF">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0FB2B437">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2798A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A1AB175">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7D055C7C">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780FCE15">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2AFDF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CF76292">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32DC7F9B">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4DBBB5A1">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4DED0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1054693">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6BEFD796">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24409E3D">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6DA1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FC70393">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7AAA78F6">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①ISO9001 质量管理体系认证证书；②涉及水下推进器相关的专利证书  </w:t>
            </w:r>
          </w:p>
        </w:tc>
      </w:tr>
      <w:tr w14:paraId="33909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F327CF5">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p>
        </w:tc>
        <w:tc>
          <w:tcPr>
            <w:tcW w:w="2520" w:type="dxa"/>
            <w:vAlign w:val="center"/>
          </w:tcPr>
          <w:p w14:paraId="2C2F8FD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5C1375F7">
            <w:pPr>
              <w:spacing w:line="360" w:lineRule="auto"/>
              <w:rPr>
                <w:rFonts w:hint="eastAsia" w:ascii="宋体" w:hAnsi="宋体" w:eastAsia="宋体" w:cs="宋体"/>
                <w:color w:val="auto"/>
                <w:sz w:val="24"/>
                <w:szCs w:val="24"/>
              </w:rPr>
            </w:pPr>
          </w:p>
        </w:tc>
      </w:tr>
    </w:tbl>
    <w:p w14:paraId="7A72783B">
      <w:pPr>
        <w:spacing w:line="360" w:lineRule="auto"/>
        <w:ind w:firstLine="240" w:firstLineChars="100"/>
        <w:rPr>
          <w:color w:val="auto"/>
          <w:sz w:val="24"/>
          <w:szCs w:val="24"/>
        </w:rPr>
      </w:pPr>
      <w:r>
        <w:rPr>
          <w:rFonts w:hint="eastAsia"/>
          <w:color w:val="auto"/>
          <w:sz w:val="24"/>
          <w:szCs w:val="24"/>
        </w:rPr>
        <w:t>说明：</w:t>
      </w:r>
    </w:p>
    <w:p w14:paraId="01E205DD">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168590D6">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0613CE7C">
      <w:pPr>
        <w:spacing w:line="360" w:lineRule="auto"/>
        <w:ind w:firstLine="360" w:firstLineChars="150"/>
        <w:jc w:val="left"/>
        <w:rPr>
          <w:color w:val="auto"/>
          <w:sz w:val="24"/>
          <w:szCs w:val="24"/>
        </w:rPr>
      </w:pPr>
    </w:p>
    <w:p w14:paraId="28EBD5D3">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569C4F1">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43CA1B8">
      <w:pPr>
        <w:spacing w:before="240" w:beforeLines="100" w:after="240" w:afterLines="100"/>
        <w:jc w:val="left"/>
        <w:rPr>
          <w:color w:val="auto"/>
          <w:sz w:val="24"/>
          <w:szCs w:val="24"/>
        </w:rPr>
      </w:pPr>
      <w:r>
        <w:rPr>
          <w:rFonts w:hint="eastAsia" w:ascii="宋体" w:hAnsi="宋体" w:cs="宋体"/>
          <w:color w:val="auto"/>
          <w:sz w:val="24"/>
        </w:rPr>
        <w:t>日期：      年   月   日</w:t>
      </w:r>
    </w:p>
    <w:p w14:paraId="6A096D69">
      <w:pPr>
        <w:widowControl/>
        <w:ind w:firstLine="843" w:firstLineChars="400"/>
        <w:jc w:val="left"/>
        <w:rPr>
          <w:b/>
          <w:color w:val="auto"/>
          <w:szCs w:val="21"/>
        </w:rPr>
      </w:pPr>
    </w:p>
    <w:p w14:paraId="5F025418">
      <w:pPr>
        <w:pStyle w:val="2"/>
        <w:ind w:left="0" w:leftChars="0" w:firstLine="0" w:firstLineChars="0"/>
        <w:rPr>
          <w:b/>
          <w:color w:val="auto"/>
          <w:szCs w:val="21"/>
        </w:rPr>
      </w:pPr>
    </w:p>
    <w:p w14:paraId="26A0FB50">
      <w:pPr>
        <w:pStyle w:val="2"/>
        <w:ind w:left="0" w:leftChars="0" w:firstLine="0" w:firstLineChars="0"/>
        <w:rPr>
          <w:rFonts w:hint="eastAsia" w:hAnsi="宋体" w:cs="宋体"/>
          <w:b/>
          <w:bCs/>
          <w:color w:val="auto"/>
          <w:sz w:val="24"/>
          <w:lang w:val="en-US" w:eastAsia="zh-CN" w:bidi="ar"/>
        </w:rPr>
      </w:pPr>
      <w:r>
        <w:rPr>
          <w:rFonts w:hint="eastAsia" w:hAnsi="宋体" w:cs="宋体"/>
          <w:b/>
          <w:bCs/>
          <w:color w:val="auto"/>
          <w:sz w:val="24"/>
          <w:lang w:val="en-US" w:eastAsia="zh-CN" w:bidi="ar"/>
        </w:rPr>
        <w:t>附：</w:t>
      </w:r>
    </w:p>
    <w:p w14:paraId="66ACB112">
      <w:pPr>
        <w:pStyle w:val="2"/>
        <w:ind w:left="0" w:leftChars="0" w:firstLine="0" w:firstLineChars="0"/>
        <w:rPr>
          <w:b/>
          <w:bCs/>
          <w:color w:val="auto"/>
          <w:szCs w:val="21"/>
        </w:rPr>
        <w:sectPr>
          <w:type w:val="nextColumn"/>
          <w:pgSz w:w="11907" w:h="16840"/>
          <w:pgMar w:top="1134" w:right="1247" w:bottom="1247" w:left="1247" w:header="567" w:footer="794" w:gutter="0"/>
          <w:cols w:space="720" w:num="1"/>
        </w:sectPr>
      </w:pPr>
      <w:r>
        <w:rPr>
          <w:rFonts w:hint="eastAsia" w:ascii="宋体" w:hAnsi="宋体" w:cs="宋体"/>
          <w:b/>
          <w:bCs/>
          <w:color w:val="auto"/>
          <w:sz w:val="24"/>
          <w:lang w:bidi="ar"/>
        </w:rPr>
        <w:t>①ISO9001 质量管理体系认证证书；②涉及水下推进器相关的专利证书</w:t>
      </w:r>
    </w:p>
    <w:p w14:paraId="4C9B02D9">
      <w:pPr>
        <w:pStyle w:val="6"/>
        <w:ind w:left="0" w:firstLine="0"/>
        <w:outlineLvl w:val="0"/>
        <w:rPr>
          <w:color w:val="auto"/>
        </w:rPr>
      </w:pPr>
      <w:bookmarkStart w:id="739" w:name="_Toc11815"/>
      <w:bookmarkStart w:id="740" w:name="_Toc18777"/>
      <w:bookmarkStart w:id="741" w:name="_Toc5024"/>
      <w:bookmarkStart w:id="742" w:name="_Toc20174"/>
      <w:bookmarkStart w:id="743" w:name="_Toc24426"/>
      <w:bookmarkStart w:id="744" w:name="_Toc17265"/>
      <w:bookmarkStart w:id="745" w:name="_Toc21110"/>
      <w:bookmarkStart w:id="746" w:name="_Toc21767"/>
      <w:bookmarkStart w:id="747" w:name="_Toc3841"/>
      <w:bookmarkStart w:id="748" w:name="_Toc16592"/>
      <w:bookmarkStart w:id="749" w:name="_Toc3327"/>
      <w:r>
        <w:rPr>
          <w:rFonts w:hint="eastAsia"/>
          <w:color w:val="auto"/>
        </w:rPr>
        <w:t>（7）供应商同类合同一览表</w:t>
      </w:r>
      <w:bookmarkEnd w:id="739"/>
    </w:p>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40"/>
    <w:bookmarkEnd w:id="741"/>
    <w:bookmarkEnd w:id="742"/>
    <w:bookmarkEnd w:id="743"/>
    <w:bookmarkEnd w:id="744"/>
    <w:bookmarkEnd w:id="745"/>
    <w:bookmarkEnd w:id="746"/>
    <w:bookmarkEnd w:id="747"/>
    <w:bookmarkEnd w:id="748"/>
    <w:bookmarkEnd w:id="749"/>
    <w:p w14:paraId="35047304">
      <w:pPr>
        <w:adjustRightInd w:val="0"/>
        <w:snapToGrid w:val="0"/>
        <w:spacing w:line="288" w:lineRule="auto"/>
        <w:jc w:val="center"/>
        <w:outlineLvl w:val="1"/>
        <w:rPr>
          <w:rFonts w:hint="eastAsia"/>
          <w:color w:val="auto"/>
          <w:sz w:val="24"/>
          <w:szCs w:val="24"/>
        </w:rPr>
      </w:pPr>
      <w:bookmarkStart w:id="750"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22A39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A7C4B93">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11D4E99A">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3150F4DC">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19703729">
            <w:pPr>
              <w:adjustRightInd w:val="0"/>
              <w:snapToGrid w:val="0"/>
              <w:spacing w:line="288" w:lineRule="auto"/>
              <w:jc w:val="center"/>
              <w:rPr>
                <w:color w:val="auto"/>
                <w:sz w:val="24"/>
                <w:szCs w:val="24"/>
              </w:rPr>
            </w:pPr>
            <w:r>
              <w:rPr>
                <w:rFonts w:hint="eastAsia"/>
                <w:color w:val="auto"/>
                <w:sz w:val="24"/>
                <w:szCs w:val="24"/>
              </w:rPr>
              <w:t>合同金额</w:t>
            </w:r>
          </w:p>
          <w:p w14:paraId="234F4124">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7C91187B">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18C3F36A">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34F85A60">
            <w:pPr>
              <w:adjustRightInd w:val="0"/>
              <w:snapToGrid w:val="0"/>
              <w:spacing w:line="288" w:lineRule="auto"/>
              <w:jc w:val="center"/>
              <w:rPr>
                <w:color w:val="auto"/>
                <w:sz w:val="24"/>
                <w:szCs w:val="24"/>
              </w:rPr>
            </w:pPr>
            <w:r>
              <w:rPr>
                <w:rFonts w:hint="eastAsia"/>
                <w:color w:val="auto"/>
                <w:sz w:val="24"/>
                <w:szCs w:val="24"/>
              </w:rPr>
              <w:t>采购单位</w:t>
            </w:r>
          </w:p>
          <w:p w14:paraId="14C2FDC1">
            <w:pPr>
              <w:adjustRightInd w:val="0"/>
              <w:snapToGrid w:val="0"/>
              <w:spacing w:line="288" w:lineRule="auto"/>
              <w:jc w:val="center"/>
              <w:rPr>
                <w:color w:val="auto"/>
                <w:sz w:val="24"/>
                <w:szCs w:val="24"/>
              </w:rPr>
            </w:pPr>
            <w:r>
              <w:rPr>
                <w:rFonts w:hint="eastAsia"/>
                <w:color w:val="auto"/>
                <w:sz w:val="24"/>
                <w:szCs w:val="24"/>
              </w:rPr>
              <w:t>联系人及电话</w:t>
            </w:r>
          </w:p>
        </w:tc>
      </w:tr>
      <w:tr w14:paraId="77942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EDD84AE">
            <w:pPr>
              <w:adjustRightInd w:val="0"/>
              <w:snapToGrid w:val="0"/>
              <w:spacing w:line="288" w:lineRule="auto"/>
              <w:jc w:val="center"/>
              <w:rPr>
                <w:color w:val="auto"/>
                <w:sz w:val="24"/>
                <w:szCs w:val="24"/>
              </w:rPr>
            </w:pPr>
          </w:p>
        </w:tc>
        <w:tc>
          <w:tcPr>
            <w:tcW w:w="1380" w:type="dxa"/>
            <w:vAlign w:val="center"/>
          </w:tcPr>
          <w:p w14:paraId="411EE14F">
            <w:pPr>
              <w:adjustRightInd w:val="0"/>
              <w:snapToGrid w:val="0"/>
              <w:spacing w:line="288" w:lineRule="auto"/>
              <w:jc w:val="center"/>
              <w:rPr>
                <w:color w:val="auto"/>
                <w:sz w:val="24"/>
                <w:szCs w:val="24"/>
              </w:rPr>
            </w:pPr>
          </w:p>
        </w:tc>
        <w:tc>
          <w:tcPr>
            <w:tcW w:w="1510" w:type="dxa"/>
            <w:vAlign w:val="center"/>
          </w:tcPr>
          <w:p w14:paraId="3A408AE5">
            <w:pPr>
              <w:adjustRightInd w:val="0"/>
              <w:snapToGrid w:val="0"/>
              <w:spacing w:line="288" w:lineRule="auto"/>
              <w:jc w:val="center"/>
              <w:rPr>
                <w:color w:val="auto"/>
                <w:sz w:val="24"/>
                <w:szCs w:val="24"/>
              </w:rPr>
            </w:pPr>
          </w:p>
        </w:tc>
        <w:tc>
          <w:tcPr>
            <w:tcW w:w="1256" w:type="dxa"/>
            <w:vAlign w:val="center"/>
          </w:tcPr>
          <w:p w14:paraId="1A4E62D7">
            <w:pPr>
              <w:adjustRightInd w:val="0"/>
              <w:snapToGrid w:val="0"/>
              <w:spacing w:line="288" w:lineRule="auto"/>
              <w:jc w:val="center"/>
              <w:rPr>
                <w:color w:val="auto"/>
                <w:sz w:val="24"/>
                <w:szCs w:val="24"/>
              </w:rPr>
            </w:pPr>
          </w:p>
        </w:tc>
        <w:tc>
          <w:tcPr>
            <w:tcW w:w="732" w:type="dxa"/>
            <w:vAlign w:val="center"/>
          </w:tcPr>
          <w:p w14:paraId="47DA0C19">
            <w:pPr>
              <w:adjustRightInd w:val="0"/>
              <w:snapToGrid w:val="0"/>
              <w:spacing w:line="288" w:lineRule="auto"/>
              <w:jc w:val="center"/>
              <w:rPr>
                <w:color w:val="auto"/>
                <w:sz w:val="24"/>
                <w:szCs w:val="24"/>
              </w:rPr>
            </w:pPr>
          </w:p>
        </w:tc>
        <w:tc>
          <w:tcPr>
            <w:tcW w:w="1005" w:type="dxa"/>
            <w:vAlign w:val="center"/>
          </w:tcPr>
          <w:p w14:paraId="11527894">
            <w:pPr>
              <w:adjustRightInd w:val="0"/>
              <w:snapToGrid w:val="0"/>
              <w:spacing w:line="288" w:lineRule="auto"/>
              <w:jc w:val="center"/>
              <w:rPr>
                <w:color w:val="auto"/>
                <w:sz w:val="24"/>
                <w:szCs w:val="24"/>
              </w:rPr>
            </w:pPr>
          </w:p>
        </w:tc>
        <w:tc>
          <w:tcPr>
            <w:tcW w:w="1675" w:type="dxa"/>
            <w:vAlign w:val="center"/>
          </w:tcPr>
          <w:p w14:paraId="5F833CB9">
            <w:pPr>
              <w:adjustRightInd w:val="0"/>
              <w:snapToGrid w:val="0"/>
              <w:spacing w:line="288" w:lineRule="auto"/>
              <w:jc w:val="center"/>
              <w:rPr>
                <w:color w:val="auto"/>
                <w:sz w:val="24"/>
                <w:szCs w:val="24"/>
              </w:rPr>
            </w:pPr>
          </w:p>
        </w:tc>
      </w:tr>
      <w:tr w14:paraId="5CA3E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FBA587A">
            <w:pPr>
              <w:adjustRightInd w:val="0"/>
              <w:snapToGrid w:val="0"/>
              <w:spacing w:line="288" w:lineRule="auto"/>
              <w:jc w:val="center"/>
              <w:rPr>
                <w:color w:val="auto"/>
                <w:sz w:val="24"/>
                <w:szCs w:val="24"/>
              </w:rPr>
            </w:pPr>
          </w:p>
        </w:tc>
        <w:tc>
          <w:tcPr>
            <w:tcW w:w="1380" w:type="dxa"/>
            <w:vAlign w:val="center"/>
          </w:tcPr>
          <w:p w14:paraId="51C9D157">
            <w:pPr>
              <w:adjustRightInd w:val="0"/>
              <w:snapToGrid w:val="0"/>
              <w:spacing w:line="288" w:lineRule="auto"/>
              <w:jc w:val="center"/>
              <w:rPr>
                <w:color w:val="auto"/>
                <w:sz w:val="24"/>
                <w:szCs w:val="24"/>
              </w:rPr>
            </w:pPr>
          </w:p>
        </w:tc>
        <w:tc>
          <w:tcPr>
            <w:tcW w:w="1510" w:type="dxa"/>
            <w:vAlign w:val="center"/>
          </w:tcPr>
          <w:p w14:paraId="53396760">
            <w:pPr>
              <w:adjustRightInd w:val="0"/>
              <w:snapToGrid w:val="0"/>
              <w:spacing w:line="288" w:lineRule="auto"/>
              <w:jc w:val="center"/>
              <w:rPr>
                <w:color w:val="auto"/>
                <w:sz w:val="24"/>
                <w:szCs w:val="24"/>
              </w:rPr>
            </w:pPr>
          </w:p>
        </w:tc>
        <w:tc>
          <w:tcPr>
            <w:tcW w:w="1256" w:type="dxa"/>
            <w:vAlign w:val="center"/>
          </w:tcPr>
          <w:p w14:paraId="725EAB1B">
            <w:pPr>
              <w:adjustRightInd w:val="0"/>
              <w:snapToGrid w:val="0"/>
              <w:spacing w:line="288" w:lineRule="auto"/>
              <w:jc w:val="center"/>
              <w:rPr>
                <w:color w:val="auto"/>
                <w:sz w:val="24"/>
                <w:szCs w:val="24"/>
              </w:rPr>
            </w:pPr>
          </w:p>
        </w:tc>
        <w:tc>
          <w:tcPr>
            <w:tcW w:w="732" w:type="dxa"/>
            <w:vAlign w:val="center"/>
          </w:tcPr>
          <w:p w14:paraId="6FAE3BC7">
            <w:pPr>
              <w:adjustRightInd w:val="0"/>
              <w:snapToGrid w:val="0"/>
              <w:spacing w:line="288" w:lineRule="auto"/>
              <w:jc w:val="center"/>
              <w:rPr>
                <w:color w:val="auto"/>
                <w:sz w:val="24"/>
                <w:szCs w:val="24"/>
              </w:rPr>
            </w:pPr>
          </w:p>
        </w:tc>
        <w:tc>
          <w:tcPr>
            <w:tcW w:w="1005" w:type="dxa"/>
            <w:vAlign w:val="center"/>
          </w:tcPr>
          <w:p w14:paraId="0E8C4290">
            <w:pPr>
              <w:adjustRightInd w:val="0"/>
              <w:snapToGrid w:val="0"/>
              <w:spacing w:line="288" w:lineRule="auto"/>
              <w:jc w:val="center"/>
              <w:rPr>
                <w:color w:val="auto"/>
                <w:sz w:val="24"/>
                <w:szCs w:val="24"/>
              </w:rPr>
            </w:pPr>
          </w:p>
        </w:tc>
        <w:tc>
          <w:tcPr>
            <w:tcW w:w="1675" w:type="dxa"/>
            <w:vAlign w:val="center"/>
          </w:tcPr>
          <w:p w14:paraId="2089161D">
            <w:pPr>
              <w:adjustRightInd w:val="0"/>
              <w:snapToGrid w:val="0"/>
              <w:spacing w:line="288" w:lineRule="auto"/>
              <w:jc w:val="center"/>
              <w:rPr>
                <w:color w:val="auto"/>
                <w:sz w:val="24"/>
                <w:szCs w:val="24"/>
              </w:rPr>
            </w:pPr>
          </w:p>
        </w:tc>
      </w:tr>
      <w:tr w14:paraId="0036E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FA8EED2">
            <w:pPr>
              <w:adjustRightInd w:val="0"/>
              <w:snapToGrid w:val="0"/>
              <w:spacing w:line="288" w:lineRule="auto"/>
              <w:jc w:val="center"/>
              <w:rPr>
                <w:color w:val="auto"/>
                <w:sz w:val="24"/>
                <w:szCs w:val="24"/>
              </w:rPr>
            </w:pPr>
          </w:p>
        </w:tc>
        <w:tc>
          <w:tcPr>
            <w:tcW w:w="1380" w:type="dxa"/>
            <w:vAlign w:val="center"/>
          </w:tcPr>
          <w:p w14:paraId="0ED1E6C0">
            <w:pPr>
              <w:adjustRightInd w:val="0"/>
              <w:snapToGrid w:val="0"/>
              <w:spacing w:line="288" w:lineRule="auto"/>
              <w:jc w:val="center"/>
              <w:rPr>
                <w:color w:val="auto"/>
                <w:sz w:val="24"/>
                <w:szCs w:val="24"/>
              </w:rPr>
            </w:pPr>
          </w:p>
        </w:tc>
        <w:tc>
          <w:tcPr>
            <w:tcW w:w="1510" w:type="dxa"/>
            <w:vAlign w:val="center"/>
          </w:tcPr>
          <w:p w14:paraId="0E309241">
            <w:pPr>
              <w:adjustRightInd w:val="0"/>
              <w:snapToGrid w:val="0"/>
              <w:spacing w:line="288" w:lineRule="auto"/>
              <w:jc w:val="center"/>
              <w:rPr>
                <w:color w:val="auto"/>
                <w:sz w:val="24"/>
                <w:szCs w:val="24"/>
              </w:rPr>
            </w:pPr>
          </w:p>
        </w:tc>
        <w:tc>
          <w:tcPr>
            <w:tcW w:w="1256" w:type="dxa"/>
            <w:vAlign w:val="center"/>
          </w:tcPr>
          <w:p w14:paraId="399F0FA9">
            <w:pPr>
              <w:adjustRightInd w:val="0"/>
              <w:snapToGrid w:val="0"/>
              <w:spacing w:line="288" w:lineRule="auto"/>
              <w:jc w:val="center"/>
              <w:rPr>
                <w:color w:val="auto"/>
                <w:sz w:val="24"/>
                <w:szCs w:val="24"/>
              </w:rPr>
            </w:pPr>
          </w:p>
        </w:tc>
        <w:tc>
          <w:tcPr>
            <w:tcW w:w="732" w:type="dxa"/>
            <w:vAlign w:val="center"/>
          </w:tcPr>
          <w:p w14:paraId="7E02ED8C">
            <w:pPr>
              <w:adjustRightInd w:val="0"/>
              <w:snapToGrid w:val="0"/>
              <w:spacing w:line="288" w:lineRule="auto"/>
              <w:jc w:val="center"/>
              <w:rPr>
                <w:color w:val="auto"/>
                <w:sz w:val="24"/>
                <w:szCs w:val="24"/>
              </w:rPr>
            </w:pPr>
          </w:p>
        </w:tc>
        <w:tc>
          <w:tcPr>
            <w:tcW w:w="1005" w:type="dxa"/>
            <w:vAlign w:val="center"/>
          </w:tcPr>
          <w:p w14:paraId="6E71B5E1">
            <w:pPr>
              <w:adjustRightInd w:val="0"/>
              <w:snapToGrid w:val="0"/>
              <w:spacing w:line="288" w:lineRule="auto"/>
              <w:jc w:val="center"/>
              <w:rPr>
                <w:color w:val="auto"/>
                <w:sz w:val="24"/>
                <w:szCs w:val="24"/>
              </w:rPr>
            </w:pPr>
          </w:p>
        </w:tc>
        <w:tc>
          <w:tcPr>
            <w:tcW w:w="1675" w:type="dxa"/>
            <w:vAlign w:val="center"/>
          </w:tcPr>
          <w:p w14:paraId="56D157BF">
            <w:pPr>
              <w:adjustRightInd w:val="0"/>
              <w:snapToGrid w:val="0"/>
              <w:spacing w:line="288" w:lineRule="auto"/>
              <w:jc w:val="center"/>
              <w:rPr>
                <w:color w:val="auto"/>
                <w:sz w:val="24"/>
                <w:szCs w:val="24"/>
              </w:rPr>
            </w:pPr>
          </w:p>
        </w:tc>
      </w:tr>
      <w:tr w14:paraId="4661E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A0028EA">
            <w:pPr>
              <w:adjustRightInd w:val="0"/>
              <w:snapToGrid w:val="0"/>
              <w:spacing w:line="288" w:lineRule="auto"/>
              <w:jc w:val="center"/>
              <w:rPr>
                <w:color w:val="auto"/>
                <w:sz w:val="24"/>
                <w:szCs w:val="24"/>
              </w:rPr>
            </w:pPr>
          </w:p>
        </w:tc>
        <w:tc>
          <w:tcPr>
            <w:tcW w:w="1380" w:type="dxa"/>
            <w:vAlign w:val="center"/>
          </w:tcPr>
          <w:p w14:paraId="60C48D44">
            <w:pPr>
              <w:adjustRightInd w:val="0"/>
              <w:snapToGrid w:val="0"/>
              <w:spacing w:line="288" w:lineRule="auto"/>
              <w:jc w:val="center"/>
              <w:rPr>
                <w:color w:val="auto"/>
                <w:sz w:val="24"/>
                <w:szCs w:val="24"/>
              </w:rPr>
            </w:pPr>
          </w:p>
        </w:tc>
        <w:tc>
          <w:tcPr>
            <w:tcW w:w="1510" w:type="dxa"/>
            <w:vAlign w:val="center"/>
          </w:tcPr>
          <w:p w14:paraId="544C8B98">
            <w:pPr>
              <w:adjustRightInd w:val="0"/>
              <w:snapToGrid w:val="0"/>
              <w:spacing w:line="288" w:lineRule="auto"/>
              <w:jc w:val="center"/>
              <w:rPr>
                <w:color w:val="auto"/>
                <w:sz w:val="24"/>
                <w:szCs w:val="24"/>
              </w:rPr>
            </w:pPr>
          </w:p>
        </w:tc>
        <w:tc>
          <w:tcPr>
            <w:tcW w:w="1256" w:type="dxa"/>
            <w:vAlign w:val="center"/>
          </w:tcPr>
          <w:p w14:paraId="4D2044C8">
            <w:pPr>
              <w:adjustRightInd w:val="0"/>
              <w:snapToGrid w:val="0"/>
              <w:spacing w:line="288" w:lineRule="auto"/>
              <w:jc w:val="center"/>
              <w:rPr>
                <w:color w:val="auto"/>
                <w:sz w:val="24"/>
                <w:szCs w:val="24"/>
              </w:rPr>
            </w:pPr>
          </w:p>
        </w:tc>
        <w:tc>
          <w:tcPr>
            <w:tcW w:w="732" w:type="dxa"/>
            <w:vAlign w:val="center"/>
          </w:tcPr>
          <w:p w14:paraId="285D67FB">
            <w:pPr>
              <w:adjustRightInd w:val="0"/>
              <w:snapToGrid w:val="0"/>
              <w:spacing w:line="288" w:lineRule="auto"/>
              <w:jc w:val="center"/>
              <w:rPr>
                <w:color w:val="auto"/>
                <w:sz w:val="24"/>
                <w:szCs w:val="24"/>
              </w:rPr>
            </w:pPr>
          </w:p>
        </w:tc>
        <w:tc>
          <w:tcPr>
            <w:tcW w:w="1005" w:type="dxa"/>
            <w:vAlign w:val="center"/>
          </w:tcPr>
          <w:p w14:paraId="2CDF9237">
            <w:pPr>
              <w:adjustRightInd w:val="0"/>
              <w:snapToGrid w:val="0"/>
              <w:spacing w:line="288" w:lineRule="auto"/>
              <w:jc w:val="center"/>
              <w:rPr>
                <w:color w:val="auto"/>
                <w:sz w:val="24"/>
                <w:szCs w:val="24"/>
              </w:rPr>
            </w:pPr>
          </w:p>
        </w:tc>
        <w:tc>
          <w:tcPr>
            <w:tcW w:w="1675" w:type="dxa"/>
            <w:vAlign w:val="center"/>
          </w:tcPr>
          <w:p w14:paraId="6F0E763E">
            <w:pPr>
              <w:adjustRightInd w:val="0"/>
              <w:snapToGrid w:val="0"/>
              <w:spacing w:line="288" w:lineRule="auto"/>
              <w:jc w:val="center"/>
              <w:rPr>
                <w:color w:val="auto"/>
                <w:sz w:val="24"/>
                <w:szCs w:val="24"/>
              </w:rPr>
            </w:pPr>
          </w:p>
        </w:tc>
      </w:tr>
    </w:tbl>
    <w:p w14:paraId="5FB473DF">
      <w:pPr>
        <w:adjustRightInd w:val="0"/>
        <w:snapToGrid w:val="0"/>
        <w:spacing w:line="288" w:lineRule="auto"/>
        <w:rPr>
          <w:color w:val="auto"/>
          <w:sz w:val="24"/>
          <w:szCs w:val="24"/>
        </w:rPr>
      </w:pPr>
    </w:p>
    <w:p w14:paraId="3E0772B7">
      <w:pPr>
        <w:adjustRightInd w:val="0"/>
        <w:snapToGrid w:val="0"/>
        <w:spacing w:line="288" w:lineRule="auto"/>
        <w:rPr>
          <w:color w:val="auto"/>
          <w:sz w:val="24"/>
          <w:szCs w:val="24"/>
        </w:rPr>
      </w:pPr>
      <w:r>
        <w:rPr>
          <w:rFonts w:hint="eastAsia"/>
          <w:color w:val="auto"/>
          <w:sz w:val="24"/>
          <w:szCs w:val="24"/>
        </w:rPr>
        <w:t>说明：</w:t>
      </w:r>
    </w:p>
    <w:p w14:paraId="370D4009">
      <w:pPr>
        <w:adjustRightInd w:val="0"/>
        <w:snapToGrid w:val="0"/>
        <w:spacing w:line="288" w:lineRule="auto"/>
        <w:rPr>
          <w:color w:val="auto"/>
          <w:sz w:val="24"/>
          <w:szCs w:val="24"/>
        </w:rPr>
      </w:pPr>
      <w:r>
        <w:rPr>
          <w:rFonts w:hint="eastAsia"/>
          <w:color w:val="auto"/>
          <w:sz w:val="24"/>
          <w:szCs w:val="24"/>
        </w:rPr>
        <w:t>1.供应商须提供上述业绩合同扫描件；</w:t>
      </w:r>
    </w:p>
    <w:p w14:paraId="0D88003F">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5DD19D83">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2DF7C75E">
      <w:pPr>
        <w:pStyle w:val="27"/>
        <w:spacing w:line="360" w:lineRule="auto"/>
        <w:ind w:left="-27" w:firstLine="424"/>
        <w:rPr>
          <w:rFonts w:ascii="Times New Roman" w:hAnsi="Times New Roman"/>
          <w:b/>
          <w:bCs/>
          <w:color w:val="auto"/>
          <w:sz w:val="24"/>
          <w:szCs w:val="24"/>
        </w:rPr>
      </w:pPr>
    </w:p>
    <w:p w14:paraId="48CD5FAB">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6459626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5496C9E">
      <w:pPr>
        <w:spacing w:line="360" w:lineRule="auto"/>
        <w:rPr>
          <w:color w:val="auto"/>
          <w:sz w:val="24"/>
          <w:szCs w:val="24"/>
        </w:rPr>
      </w:pPr>
      <w:r>
        <w:rPr>
          <w:rFonts w:hint="eastAsia" w:ascii="宋体" w:hAnsi="宋体" w:cs="宋体"/>
          <w:color w:val="auto"/>
          <w:sz w:val="24"/>
        </w:rPr>
        <w:t>日期：      年   月   日</w:t>
      </w:r>
    </w:p>
    <w:p w14:paraId="59AE226A">
      <w:pPr>
        <w:rPr>
          <w:rFonts w:ascii="黑体" w:hAnsi="黑体" w:eastAsia="黑体" w:cs="黑体"/>
          <w:color w:val="auto"/>
          <w:sz w:val="28"/>
          <w:szCs w:val="28"/>
        </w:rPr>
      </w:pPr>
      <w:bookmarkStart w:id="751" w:name="_Toc9100"/>
      <w:bookmarkStart w:id="752" w:name="_Toc27754"/>
      <w:bookmarkStart w:id="753" w:name="_Toc12743"/>
      <w:bookmarkStart w:id="754" w:name="_Toc20235"/>
      <w:bookmarkStart w:id="755" w:name="_Toc9428"/>
      <w:bookmarkStart w:id="756" w:name="_Toc28010"/>
      <w:bookmarkStart w:id="757" w:name="_Toc25395"/>
      <w:bookmarkStart w:id="758" w:name="_Toc27736"/>
      <w:bookmarkStart w:id="759" w:name="_Toc21474"/>
      <w:bookmarkStart w:id="760" w:name="_Toc16499"/>
      <w:bookmarkStart w:id="761" w:name="_Toc26175"/>
      <w:bookmarkStart w:id="762" w:name="_Toc30618"/>
      <w:bookmarkStart w:id="763" w:name="_Toc1352"/>
      <w:bookmarkStart w:id="764" w:name="_Toc29300"/>
      <w:bookmarkStart w:id="765" w:name="_Toc27924"/>
      <w:bookmarkStart w:id="766" w:name="_Toc6410"/>
      <w:bookmarkStart w:id="767" w:name="_Toc5640"/>
      <w:bookmarkStart w:id="768" w:name="_Toc22005"/>
      <w:bookmarkStart w:id="769" w:name="_Toc18122"/>
      <w:bookmarkStart w:id="770" w:name="_Toc21901"/>
      <w:bookmarkStart w:id="771" w:name="_Toc20421"/>
      <w:bookmarkStart w:id="772" w:name="_Toc25847"/>
      <w:bookmarkStart w:id="773" w:name="_Toc9650"/>
      <w:bookmarkStart w:id="774" w:name="_Toc11435"/>
      <w:bookmarkStart w:id="775" w:name="_Toc3809"/>
      <w:bookmarkStart w:id="776" w:name="_Toc8383"/>
      <w:bookmarkStart w:id="777" w:name="_Toc24884"/>
      <w:bookmarkStart w:id="778" w:name="_Toc31965"/>
      <w:bookmarkStart w:id="779" w:name="_Toc23972"/>
      <w:bookmarkStart w:id="780" w:name="_Toc32660"/>
      <w:bookmarkStart w:id="781" w:name="_Toc29974"/>
      <w:r>
        <w:rPr>
          <w:rFonts w:hint="eastAsia" w:ascii="黑体" w:hAnsi="黑体" w:eastAsia="黑体" w:cs="黑体"/>
          <w:color w:val="auto"/>
          <w:sz w:val="28"/>
          <w:szCs w:val="28"/>
        </w:rPr>
        <w:br w:type="page"/>
      </w:r>
    </w:p>
    <w:p w14:paraId="781E9F3D">
      <w:pPr>
        <w:pStyle w:val="6"/>
        <w:ind w:left="0" w:firstLine="0"/>
        <w:outlineLvl w:val="0"/>
        <w:rPr>
          <w:color w:val="auto"/>
        </w:rPr>
      </w:pPr>
      <w:bookmarkStart w:id="782" w:name="_Toc1001"/>
      <w:r>
        <w:rPr>
          <w:rFonts w:hint="eastAsia"/>
          <w:color w:val="auto"/>
        </w:rPr>
        <w:t>（8）</w:t>
      </w:r>
      <w:bookmarkEnd w:id="751"/>
      <w:bookmarkEnd w:id="752"/>
      <w:bookmarkEnd w:id="753"/>
      <w:r>
        <w:rPr>
          <w:rFonts w:hint="eastAsia"/>
          <w:color w:val="auto"/>
        </w:rPr>
        <w:t>详细技术和服务方案</w:t>
      </w:r>
      <w:bookmarkEnd w:id="754"/>
      <w:bookmarkEnd w:id="755"/>
      <w:bookmarkEnd w:id="756"/>
      <w:bookmarkEnd w:id="757"/>
      <w:bookmarkEnd w:id="758"/>
      <w:bookmarkEnd w:id="759"/>
      <w:bookmarkEnd w:id="760"/>
      <w:bookmarkEnd w:id="782"/>
    </w:p>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14:paraId="7A2A8D9D">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含实施方案、验收调试及试运行方案、培训计划、售后服务方案等</w:t>
      </w:r>
      <w:r>
        <w:rPr>
          <w:rFonts w:hint="eastAsia"/>
          <w:color w:val="auto"/>
          <w:sz w:val="24"/>
        </w:rPr>
        <w:t>）</w:t>
      </w:r>
    </w:p>
    <w:p w14:paraId="08FAF46A">
      <w:pPr>
        <w:pStyle w:val="27"/>
        <w:snapToGrid w:val="0"/>
        <w:spacing w:line="440" w:lineRule="exact"/>
        <w:ind w:left="-27" w:firstLine="422"/>
        <w:rPr>
          <w:rFonts w:asciiTheme="majorEastAsia" w:hAnsiTheme="majorEastAsia" w:eastAsiaTheme="majorEastAsia" w:cstheme="majorEastAsia"/>
          <w:color w:val="auto"/>
          <w:sz w:val="24"/>
          <w:szCs w:val="24"/>
        </w:rPr>
      </w:pPr>
    </w:p>
    <w:p w14:paraId="27AD6B12">
      <w:pPr>
        <w:spacing w:before="312" w:beforeLines="100" w:after="312" w:afterLines="100"/>
        <w:jc w:val="left"/>
        <w:rPr>
          <w:color w:val="auto"/>
          <w:sz w:val="24"/>
          <w:szCs w:val="24"/>
        </w:rPr>
      </w:pPr>
    </w:p>
    <w:p w14:paraId="3F67D619">
      <w:pPr>
        <w:rPr>
          <w:color w:val="auto"/>
        </w:rPr>
      </w:pPr>
    </w:p>
    <w:p w14:paraId="6E19F036">
      <w:pPr>
        <w:pStyle w:val="6"/>
        <w:ind w:left="0" w:firstLine="0"/>
        <w:outlineLvl w:val="0"/>
        <w:rPr>
          <w:color w:val="auto"/>
        </w:rPr>
      </w:pPr>
      <w:bookmarkStart w:id="783" w:name="_Toc23685"/>
      <w:bookmarkStart w:id="784" w:name="_Toc10148"/>
      <w:bookmarkStart w:id="785" w:name="_Toc19068"/>
      <w:bookmarkStart w:id="786" w:name="_Toc21572"/>
      <w:bookmarkStart w:id="787" w:name="_Toc28520"/>
      <w:bookmarkStart w:id="788" w:name="_Toc14897"/>
      <w:bookmarkStart w:id="789" w:name="_Toc3089"/>
      <w:bookmarkStart w:id="790" w:name="_Toc21017"/>
      <w:bookmarkStart w:id="791" w:name="_Toc13211"/>
      <w:bookmarkStart w:id="792" w:name="_Toc1664"/>
      <w:bookmarkStart w:id="793" w:name="_Toc1378"/>
      <w:r>
        <w:rPr>
          <w:rFonts w:hint="eastAsia"/>
          <w:color w:val="auto"/>
        </w:rPr>
        <w:t>（9）</w:t>
      </w:r>
      <w:bookmarkEnd w:id="783"/>
      <w:r>
        <w:rPr>
          <w:rFonts w:hint="eastAsia"/>
          <w:color w:val="auto"/>
        </w:rPr>
        <w:t>项目组成员一览表</w:t>
      </w:r>
      <w:bookmarkEnd w:id="784"/>
      <w:bookmarkEnd w:id="785"/>
      <w:bookmarkEnd w:id="786"/>
      <w:bookmarkEnd w:id="787"/>
      <w:bookmarkEnd w:id="788"/>
      <w:bookmarkEnd w:id="789"/>
      <w:bookmarkEnd w:id="790"/>
      <w:bookmarkEnd w:id="791"/>
    </w:p>
    <w:bookmarkEnd w:id="792"/>
    <w:bookmarkEnd w:id="793"/>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1E282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6C9646E2">
            <w:pPr>
              <w:pStyle w:val="27"/>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72DF602E">
            <w:pPr>
              <w:pStyle w:val="27"/>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2E991B8E">
            <w:pPr>
              <w:pStyle w:val="27"/>
              <w:snapToGrid w:val="0"/>
              <w:spacing w:line="440" w:lineRule="exact"/>
              <w:jc w:val="center"/>
              <w:rPr>
                <w:rFonts w:hint="default" w:eastAsia="宋体"/>
                <w:color w:val="auto"/>
                <w:sz w:val="21"/>
                <w:szCs w:val="21"/>
                <w:lang w:val="en-US" w:eastAsia="zh-CN"/>
              </w:rPr>
            </w:pPr>
            <w:r>
              <w:rPr>
                <w:rFonts w:hint="eastAsia"/>
                <w:color w:val="auto"/>
                <w:sz w:val="21"/>
                <w:szCs w:val="21"/>
              </w:rPr>
              <w:t>职称</w:t>
            </w:r>
            <w:r>
              <w:rPr>
                <w:rFonts w:hint="eastAsia"/>
                <w:color w:val="auto"/>
                <w:sz w:val="21"/>
                <w:szCs w:val="21"/>
                <w:lang w:val="en-US" w:eastAsia="zh-CN"/>
              </w:rPr>
              <w:t>或证书名称</w:t>
            </w:r>
          </w:p>
        </w:tc>
        <w:tc>
          <w:tcPr>
            <w:tcW w:w="1327" w:type="dxa"/>
            <w:vAlign w:val="top"/>
          </w:tcPr>
          <w:p w14:paraId="303E6039">
            <w:pPr>
              <w:pStyle w:val="27"/>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373AFEC9">
            <w:pPr>
              <w:pStyle w:val="27"/>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5F972495">
            <w:pPr>
              <w:pStyle w:val="27"/>
              <w:snapToGrid w:val="0"/>
              <w:spacing w:line="440" w:lineRule="exact"/>
              <w:jc w:val="center"/>
              <w:rPr>
                <w:color w:val="auto"/>
                <w:sz w:val="21"/>
                <w:szCs w:val="21"/>
              </w:rPr>
            </w:pPr>
            <w:r>
              <w:rPr>
                <w:rFonts w:hint="eastAsia"/>
                <w:color w:val="auto"/>
                <w:sz w:val="21"/>
                <w:szCs w:val="21"/>
              </w:rPr>
              <w:t>持证有效期</w:t>
            </w:r>
          </w:p>
        </w:tc>
      </w:tr>
      <w:tr w14:paraId="586DA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F96C8D4">
            <w:pPr>
              <w:pStyle w:val="27"/>
              <w:snapToGrid w:val="0"/>
              <w:spacing w:line="440" w:lineRule="exact"/>
              <w:ind w:left="-27" w:firstLine="370"/>
              <w:rPr>
                <w:color w:val="auto"/>
                <w:sz w:val="21"/>
                <w:szCs w:val="21"/>
              </w:rPr>
            </w:pPr>
          </w:p>
        </w:tc>
        <w:tc>
          <w:tcPr>
            <w:tcW w:w="1326" w:type="dxa"/>
          </w:tcPr>
          <w:p w14:paraId="766DA54D">
            <w:pPr>
              <w:pStyle w:val="27"/>
              <w:snapToGrid w:val="0"/>
              <w:spacing w:line="440" w:lineRule="exact"/>
              <w:ind w:left="-27" w:firstLine="370"/>
              <w:rPr>
                <w:color w:val="auto"/>
                <w:sz w:val="21"/>
                <w:szCs w:val="21"/>
              </w:rPr>
            </w:pPr>
          </w:p>
        </w:tc>
        <w:tc>
          <w:tcPr>
            <w:tcW w:w="1327" w:type="dxa"/>
          </w:tcPr>
          <w:p w14:paraId="620EA1A0">
            <w:pPr>
              <w:pStyle w:val="27"/>
              <w:snapToGrid w:val="0"/>
              <w:spacing w:line="440" w:lineRule="exact"/>
              <w:ind w:left="-27" w:firstLine="370"/>
              <w:rPr>
                <w:color w:val="auto"/>
                <w:sz w:val="21"/>
                <w:szCs w:val="21"/>
              </w:rPr>
            </w:pPr>
          </w:p>
        </w:tc>
        <w:tc>
          <w:tcPr>
            <w:tcW w:w="1327" w:type="dxa"/>
          </w:tcPr>
          <w:p w14:paraId="4DB65528">
            <w:pPr>
              <w:pStyle w:val="27"/>
              <w:snapToGrid w:val="0"/>
              <w:spacing w:line="440" w:lineRule="exact"/>
              <w:ind w:left="-27" w:firstLine="370"/>
              <w:rPr>
                <w:color w:val="auto"/>
                <w:sz w:val="21"/>
                <w:szCs w:val="21"/>
              </w:rPr>
            </w:pPr>
          </w:p>
        </w:tc>
        <w:tc>
          <w:tcPr>
            <w:tcW w:w="1327" w:type="dxa"/>
          </w:tcPr>
          <w:p w14:paraId="0DCF3764">
            <w:pPr>
              <w:pStyle w:val="27"/>
              <w:snapToGrid w:val="0"/>
              <w:spacing w:line="440" w:lineRule="exact"/>
              <w:ind w:left="-27" w:firstLine="370"/>
              <w:rPr>
                <w:color w:val="auto"/>
                <w:sz w:val="21"/>
                <w:szCs w:val="21"/>
              </w:rPr>
            </w:pPr>
          </w:p>
        </w:tc>
        <w:tc>
          <w:tcPr>
            <w:tcW w:w="1648" w:type="dxa"/>
          </w:tcPr>
          <w:p w14:paraId="43A0A9DE">
            <w:pPr>
              <w:pStyle w:val="27"/>
              <w:snapToGrid w:val="0"/>
              <w:spacing w:line="440" w:lineRule="exact"/>
              <w:ind w:left="-27" w:firstLine="370"/>
              <w:rPr>
                <w:color w:val="auto"/>
                <w:sz w:val="21"/>
                <w:szCs w:val="21"/>
              </w:rPr>
            </w:pPr>
          </w:p>
        </w:tc>
      </w:tr>
      <w:tr w14:paraId="54D7A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7FC010F">
            <w:pPr>
              <w:pStyle w:val="27"/>
              <w:snapToGrid w:val="0"/>
              <w:spacing w:line="440" w:lineRule="exact"/>
              <w:ind w:left="-27" w:firstLine="370"/>
              <w:rPr>
                <w:color w:val="auto"/>
                <w:sz w:val="21"/>
                <w:szCs w:val="21"/>
              </w:rPr>
            </w:pPr>
          </w:p>
        </w:tc>
        <w:tc>
          <w:tcPr>
            <w:tcW w:w="1326" w:type="dxa"/>
          </w:tcPr>
          <w:p w14:paraId="0E453424">
            <w:pPr>
              <w:pStyle w:val="27"/>
              <w:snapToGrid w:val="0"/>
              <w:spacing w:line="440" w:lineRule="exact"/>
              <w:ind w:left="-27" w:firstLine="370"/>
              <w:rPr>
                <w:color w:val="auto"/>
                <w:sz w:val="21"/>
                <w:szCs w:val="21"/>
              </w:rPr>
            </w:pPr>
          </w:p>
        </w:tc>
        <w:tc>
          <w:tcPr>
            <w:tcW w:w="1327" w:type="dxa"/>
          </w:tcPr>
          <w:p w14:paraId="7A82E1F9">
            <w:pPr>
              <w:pStyle w:val="27"/>
              <w:snapToGrid w:val="0"/>
              <w:spacing w:line="440" w:lineRule="exact"/>
              <w:ind w:left="-27" w:firstLine="370"/>
              <w:rPr>
                <w:color w:val="auto"/>
                <w:sz w:val="21"/>
                <w:szCs w:val="21"/>
              </w:rPr>
            </w:pPr>
          </w:p>
        </w:tc>
        <w:tc>
          <w:tcPr>
            <w:tcW w:w="1327" w:type="dxa"/>
          </w:tcPr>
          <w:p w14:paraId="2F68E624">
            <w:pPr>
              <w:pStyle w:val="27"/>
              <w:snapToGrid w:val="0"/>
              <w:spacing w:line="440" w:lineRule="exact"/>
              <w:ind w:left="-27" w:firstLine="370"/>
              <w:rPr>
                <w:color w:val="auto"/>
                <w:sz w:val="21"/>
                <w:szCs w:val="21"/>
              </w:rPr>
            </w:pPr>
          </w:p>
        </w:tc>
        <w:tc>
          <w:tcPr>
            <w:tcW w:w="1327" w:type="dxa"/>
          </w:tcPr>
          <w:p w14:paraId="4DD2D9CB">
            <w:pPr>
              <w:pStyle w:val="27"/>
              <w:snapToGrid w:val="0"/>
              <w:spacing w:line="440" w:lineRule="exact"/>
              <w:ind w:left="-27" w:firstLine="370"/>
              <w:rPr>
                <w:color w:val="auto"/>
                <w:sz w:val="21"/>
                <w:szCs w:val="21"/>
              </w:rPr>
            </w:pPr>
          </w:p>
        </w:tc>
        <w:tc>
          <w:tcPr>
            <w:tcW w:w="1648" w:type="dxa"/>
          </w:tcPr>
          <w:p w14:paraId="1815FAF9">
            <w:pPr>
              <w:pStyle w:val="27"/>
              <w:snapToGrid w:val="0"/>
              <w:spacing w:line="440" w:lineRule="exact"/>
              <w:ind w:left="-27" w:firstLine="370"/>
              <w:rPr>
                <w:color w:val="auto"/>
                <w:sz w:val="21"/>
                <w:szCs w:val="21"/>
              </w:rPr>
            </w:pPr>
          </w:p>
        </w:tc>
      </w:tr>
      <w:tr w14:paraId="1FB2E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6A042E9B">
            <w:pPr>
              <w:pStyle w:val="27"/>
              <w:snapToGrid w:val="0"/>
              <w:spacing w:line="440" w:lineRule="exact"/>
              <w:ind w:left="-27" w:firstLine="370"/>
              <w:rPr>
                <w:color w:val="auto"/>
                <w:sz w:val="21"/>
                <w:szCs w:val="21"/>
              </w:rPr>
            </w:pPr>
          </w:p>
        </w:tc>
        <w:tc>
          <w:tcPr>
            <w:tcW w:w="1326" w:type="dxa"/>
          </w:tcPr>
          <w:p w14:paraId="038DFAE0">
            <w:pPr>
              <w:pStyle w:val="27"/>
              <w:snapToGrid w:val="0"/>
              <w:spacing w:line="440" w:lineRule="exact"/>
              <w:ind w:left="-27" w:firstLine="370"/>
              <w:rPr>
                <w:color w:val="auto"/>
                <w:sz w:val="21"/>
                <w:szCs w:val="21"/>
              </w:rPr>
            </w:pPr>
          </w:p>
        </w:tc>
        <w:tc>
          <w:tcPr>
            <w:tcW w:w="1327" w:type="dxa"/>
          </w:tcPr>
          <w:p w14:paraId="72C0C18B">
            <w:pPr>
              <w:pStyle w:val="27"/>
              <w:snapToGrid w:val="0"/>
              <w:spacing w:line="440" w:lineRule="exact"/>
              <w:ind w:left="-27" w:firstLine="370"/>
              <w:rPr>
                <w:color w:val="auto"/>
                <w:sz w:val="21"/>
                <w:szCs w:val="21"/>
              </w:rPr>
            </w:pPr>
          </w:p>
        </w:tc>
        <w:tc>
          <w:tcPr>
            <w:tcW w:w="1327" w:type="dxa"/>
          </w:tcPr>
          <w:p w14:paraId="030C217E">
            <w:pPr>
              <w:pStyle w:val="27"/>
              <w:snapToGrid w:val="0"/>
              <w:spacing w:line="440" w:lineRule="exact"/>
              <w:ind w:left="-27" w:firstLine="370"/>
              <w:rPr>
                <w:color w:val="auto"/>
                <w:sz w:val="21"/>
                <w:szCs w:val="21"/>
              </w:rPr>
            </w:pPr>
          </w:p>
        </w:tc>
        <w:tc>
          <w:tcPr>
            <w:tcW w:w="1327" w:type="dxa"/>
          </w:tcPr>
          <w:p w14:paraId="2A6E8DD5">
            <w:pPr>
              <w:pStyle w:val="27"/>
              <w:snapToGrid w:val="0"/>
              <w:spacing w:line="440" w:lineRule="exact"/>
              <w:ind w:left="-27" w:firstLine="370"/>
              <w:rPr>
                <w:color w:val="auto"/>
                <w:sz w:val="21"/>
                <w:szCs w:val="21"/>
              </w:rPr>
            </w:pPr>
          </w:p>
        </w:tc>
        <w:tc>
          <w:tcPr>
            <w:tcW w:w="1648" w:type="dxa"/>
          </w:tcPr>
          <w:p w14:paraId="30CDFA6B">
            <w:pPr>
              <w:pStyle w:val="27"/>
              <w:snapToGrid w:val="0"/>
              <w:spacing w:line="440" w:lineRule="exact"/>
              <w:ind w:left="-27" w:firstLine="370"/>
              <w:rPr>
                <w:color w:val="auto"/>
                <w:sz w:val="21"/>
                <w:szCs w:val="21"/>
              </w:rPr>
            </w:pPr>
          </w:p>
        </w:tc>
      </w:tr>
      <w:tr w14:paraId="4DEEF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921F6BD">
            <w:pPr>
              <w:pStyle w:val="27"/>
              <w:snapToGrid w:val="0"/>
              <w:spacing w:line="440" w:lineRule="exact"/>
              <w:ind w:left="-27" w:firstLine="370"/>
              <w:rPr>
                <w:color w:val="auto"/>
                <w:sz w:val="21"/>
                <w:szCs w:val="21"/>
              </w:rPr>
            </w:pPr>
          </w:p>
        </w:tc>
        <w:tc>
          <w:tcPr>
            <w:tcW w:w="1326" w:type="dxa"/>
          </w:tcPr>
          <w:p w14:paraId="74041275">
            <w:pPr>
              <w:pStyle w:val="27"/>
              <w:snapToGrid w:val="0"/>
              <w:spacing w:line="440" w:lineRule="exact"/>
              <w:ind w:left="-27" w:firstLine="370"/>
              <w:rPr>
                <w:color w:val="auto"/>
                <w:sz w:val="21"/>
                <w:szCs w:val="21"/>
              </w:rPr>
            </w:pPr>
          </w:p>
        </w:tc>
        <w:tc>
          <w:tcPr>
            <w:tcW w:w="1327" w:type="dxa"/>
          </w:tcPr>
          <w:p w14:paraId="1892F9A3">
            <w:pPr>
              <w:pStyle w:val="27"/>
              <w:snapToGrid w:val="0"/>
              <w:spacing w:line="440" w:lineRule="exact"/>
              <w:ind w:left="-27" w:firstLine="370"/>
              <w:rPr>
                <w:color w:val="auto"/>
                <w:sz w:val="21"/>
                <w:szCs w:val="21"/>
              </w:rPr>
            </w:pPr>
          </w:p>
        </w:tc>
        <w:tc>
          <w:tcPr>
            <w:tcW w:w="1327" w:type="dxa"/>
          </w:tcPr>
          <w:p w14:paraId="332A59B2">
            <w:pPr>
              <w:pStyle w:val="27"/>
              <w:snapToGrid w:val="0"/>
              <w:spacing w:line="440" w:lineRule="exact"/>
              <w:ind w:left="-27" w:firstLine="370"/>
              <w:rPr>
                <w:color w:val="auto"/>
                <w:sz w:val="21"/>
                <w:szCs w:val="21"/>
              </w:rPr>
            </w:pPr>
          </w:p>
        </w:tc>
        <w:tc>
          <w:tcPr>
            <w:tcW w:w="1327" w:type="dxa"/>
          </w:tcPr>
          <w:p w14:paraId="067C14D9">
            <w:pPr>
              <w:pStyle w:val="27"/>
              <w:snapToGrid w:val="0"/>
              <w:spacing w:line="440" w:lineRule="exact"/>
              <w:ind w:left="-27" w:firstLine="370"/>
              <w:rPr>
                <w:color w:val="auto"/>
                <w:sz w:val="21"/>
                <w:szCs w:val="21"/>
              </w:rPr>
            </w:pPr>
          </w:p>
        </w:tc>
        <w:tc>
          <w:tcPr>
            <w:tcW w:w="1648" w:type="dxa"/>
          </w:tcPr>
          <w:p w14:paraId="3016FCAC">
            <w:pPr>
              <w:pStyle w:val="27"/>
              <w:snapToGrid w:val="0"/>
              <w:spacing w:line="440" w:lineRule="exact"/>
              <w:ind w:left="-27" w:firstLine="370"/>
              <w:rPr>
                <w:color w:val="auto"/>
                <w:sz w:val="21"/>
                <w:szCs w:val="21"/>
              </w:rPr>
            </w:pPr>
          </w:p>
        </w:tc>
      </w:tr>
      <w:tr w14:paraId="4DF03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4BFBC41">
            <w:pPr>
              <w:pStyle w:val="27"/>
              <w:snapToGrid w:val="0"/>
              <w:spacing w:line="440" w:lineRule="exact"/>
              <w:ind w:left="-27" w:firstLine="370"/>
              <w:rPr>
                <w:color w:val="auto"/>
                <w:sz w:val="21"/>
                <w:szCs w:val="21"/>
              </w:rPr>
            </w:pPr>
          </w:p>
        </w:tc>
        <w:tc>
          <w:tcPr>
            <w:tcW w:w="1326" w:type="dxa"/>
          </w:tcPr>
          <w:p w14:paraId="675023B2">
            <w:pPr>
              <w:pStyle w:val="27"/>
              <w:snapToGrid w:val="0"/>
              <w:spacing w:line="440" w:lineRule="exact"/>
              <w:ind w:left="-27" w:firstLine="370"/>
              <w:rPr>
                <w:color w:val="auto"/>
                <w:sz w:val="21"/>
                <w:szCs w:val="21"/>
              </w:rPr>
            </w:pPr>
          </w:p>
        </w:tc>
        <w:tc>
          <w:tcPr>
            <w:tcW w:w="1327" w:type="dxa"/>
          </w:tcPr>
          <w:p w14:paraId="34D5045E">
            <w:pPr>
              <w:pStyle w:val="27"/>
              <w:snapToGrid w:val="0"/>
              <w:spacing w:line="440" w:lineRule="exact"/>
              <w:ind w:left="-27" w:firstLine="370"/>
              <w:rPr>
                <w:color w:val="auto"/>
                <w:sz w:val="21"/>
                <w:szCs w:val="21"/>
              </w:rPr>
            </w:pPr>
          </w:p>
        </w:tc>
        <w:tc>
          <w:tcPr>
            <w:tcW w:w="1327" w:type="dxa"/>
          </w:tcPr>
          <w:p w14:paraId="01A4E0E1">
            <w:pPr>
              <w:pStyle w:val="27"/>
              <w:snapToGrid w:val="0"/>
              <w:spacing w:line="440" w:lineRule="exact"/>
              <w:ind w:left="-27" w:firstLine="370"/>
              <w:rPr>
                <w:color w:val="auto"/>
                <w:sz w:val="21"/>
                <w:szCs w:val="21"/>
              </w:rPr>
            </w:pPr>
          </w:p>
        </w:tc>
        <w:tc>
          <w:tcPr>
            <w:tcW w:w="1327" w:type="dxa"/>
          </w:tcPr>
          <w:p w14:paraId="7DCB35DC">
            <w:pPr>
              <w:pStyle w:val="27"/>
              <w:snapToGrid w:val="0"/>
              <w:spacing w:line="440" w:lineRule="exact"/>
              <w:ind w:left="-27" w:firstLine="370"/>
              <w:rPr>
                <w:color w:val="auto"/>
                <w:sz w:val="21"/>
                <w:szCs w:val="21"/>
              </w:rPr>
            </w:pPr>
          </w:p>
        </w:tc>
        <w:tc>
          <w:tcPr>
            <w:tcW w:w="1648" w:type="dxa"/>
          </w:tcPr>
          <w:p w14:paraId="0E43D7B4">
            <w:pPr>
              <w:pStyle w:val="27"/>
              <w:snapToGrid w:val="0"/>
              <w:spacing w:line="440" w:lineRule="exact"/>
              <w:ind w:left="-27" w:firstLine="370"/>
              <w:rPr>
                <w:color w:val="auto"/>
                <w:sz w:val="21"/>
                <w:szCs w:val="21"/>
              </w:rPr>
            </w:pPr>
          </w:p>
        </w:tc>
      </w:tr>
    </w:tbl>
    <w:p w14:paraId="6FE15E10">
      <w:pPr>
        <w:pStyle w:val="27"/>
        <w:snapToGrid w:val="0"/>
        <w:spacing w:line="440" w:lineRule="exact"/>
        <w:ind w:left="-27" w:firstLine="370"/>
        <w:rPr>
          <w:color w:val="auto"/>
          <w:sz w:val="21"/>
          <w:szCs w:val="21"/>
        </w:rPr>
      </w:pPr>
      <w:r>
        <w:rPr>
          <w:rFonts w:hint="eastAsia"/>
          <w:color w:val="auto"/>
          <w:sz w:val="21"/>
          <w:szCs w:val="21"/>
        </w:rPr>
        <w:t>注：附学历职称证书复印件、</w:t>
      </w:r>
      <w:r>
        <w:rPr>
          <w:rFonts w:hint="eastAsia"/>
          <w:color w:val="auto"/>
          <w:sz w:val="21"/>
          <w:szCs w:val="21"/>
          <w:lang w:val="en-US" w:eastAsia="zh-CN"/>
        </w:rPr>
        <w:t>开标前三个内任意一月本单位社保证明材料</w:t>
      </w:r>
      <w:r>
        <w:rPr>
          <w:rFonts w:hint="eastAsia"/>
          <w:color w:val="auto"/>
          <w:sz w:val="21"/>
          <w:szCs w:val="21"/>
        </w:rPr>
        <w:t>。</w:t>
      </w:r>
    </w:p>
    <w:p w14:paraId="5481CE66">
      <w:pPr>
        <w:pStyle w:val="27"/>
        <w:spacing w:line="360" w:lineRule="auto"/>
        <w:ind w:left="-27" w:firstLine="422"/>
        <w:rPr>
          <w:rFonts w:ascii="Times New Roman" w:hAnsi="Times New Roman"/>
          <w:color w:val="auto"/>
          <w:sz w:val="24"/>
          <w:szCs w:val="24"/>
        </w:rPr>
      </w:pPr>
    </w:p>
    <w:p w14:paraId="59C8FFE1">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1F511E3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6C89B4B">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44D6D85F">
      <w:pPr>
        <w:pStyle w:val="6"/>
        <w:ind w:left="0" w:firstLine="0"/>
        <w:jc w:val="left"/>
        <w:outlineLvl w:val="9"/>
        <w:rPr>
          <w:rFonts w:ascii="黑体" w:hAnsi="黑体" w:eastAsia="黑体" w:cs="黑体"/>
          <w:color w:val="auto"/>
          <w:sz w:val="24"/>
          <w:szCs w:val="24"/>
        </w:rPr>
      </w:pPr>
    </w:p>
    <w:p w14:paraId="2E9E6FA1">
      <w:pPr>
        <w:pStyle w:val="6"/>
        <w:ind w:left="0" w:firstLine="0"/>
        <w:outlineLvl w:val="0"/>
        <w:rPr>
          <w:color w:val="auto"/>
        </w:rPr>
      </w:pPr>
      <w:bookmarkStart w:id="794" w:name="_Toc10021"/>
      <w:bookmarkStart w:id="795" w:name="_Toc13735"/>
      <w:bookmarkStart w:id="796" w:name="_Toc14194"/>
      <w:bookmarkStart w:id="797" w:name="_Toc29708"/>
      <w:bookmarkStart w:id="798" w:name="_Toc31661"/>
      <w:bookmarkStart w:id="799" w:name="_Toc20288"/>
      <w:bookmarkStart w:id="800" w:name="_Toc2271"/>
      <w:bookmarkStart w:id="801" w:name="_Toc3296"/>
      <w:bookmarkStart w:id="802" w:name="_Toc30223"/>
      <w:bookmarkStart w:id="803" w:name="_Toc29121"/>
      <w:bookmarkStart w:id="804" w:name="_Toc15835"/>
      <w:r>
        <w:rPr>
          <w:rFonts w:hint="eastAsia"/>
          <w:color w:val="auto"/>
        </w:rPr>
        <w:t>（10）关于对磋商文件中有关条款的拒绝声明</w:t>
      </w:r>
      <w:bookmarkEnd w:id="750"/>
      <w:r>
        <w:rPr>
          <w:rFonts w:hint="eastAsia"/>
          <w:color w:val="auto"/>
        </w:rPr>
        <w:t>(如有)</w:t>
      </w:r>
      <w:bookmarkEnd w:id="794"/>
      <w:bookmarkEnd w:id="795"/>
      <w:bookmarkEnd w:id="796"/>
      <w:bookmarkEnd w:id="797"/>
      <w:bookmarkEnd w:id="798"/>
      <w:bookmarkEnd w:id="799"/>
      <w:bookmarkEnd w:id="800"/>
      <w:bookmarkEnd w:id="801"/>
      <w:bookmarkEnd w:id="802"/>
      <w:bookmarkEnd w:id="803"/>
      <w:bookmarkEnd w:id="804"/>
      <w:r>
        <w:rPr>
          <w:rFonts w:hint="eastAsia"/>
          <w:color w:val="auto"/>
        </w:rPr>
        <w:t xml:space="preserve"> </w:t>
      </w:r>
    </w:p>
    <w:bookmarkEnd w:id="0"/>
    <w:bookmarkEnd w:id="253"/>
    <w:bookmarkEnd w:id="597"/>
    <w:p w14:paraId="544DEE26">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0554FEC">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CADD112">
      <w:pPr>
        <w:spacing w:before="312" w:beforeLines="100" w:after="312" w:afterLines="100"/>
        <w:jc w:val="left"/>
        <w:rPr>
          <w:color w:val="auto"/>
          <w:sz w:val="24"/>
        </w:rPr>
      </w:pPr>
      <w:r>
        <w:rPr>
          <w:rFonts w:hint="eastAsia" w:ascii="宋体" w:hAnsi="宋体" w:cs="宋体"/>
          <w:color w:val="auto"/>
          <w:sz w:val="24"/>
        </w:rPr>
        <w:t>日期：      年   月   日</w:t>
      </w:r>
    </w:p>
    <w:p w14:paraId="6193C984">
      <w:pPr>
        <w:pStyle w:val="6"/>
        <w:ind w:left="0" w:firstLine="0"/>
        <w:jc w:val="left"/>
        <w:outlineLvl w:val="0"/>
        <w:rPr>
          <w:color w:val="auto"/>
        </w:rPr>
      </w:pPr>
      <w:bookmarkStart w:id="805" w:name="_Toc10344"/>
      <w:r>
        <w:rPr>
          <w:rFonts w:hint="eastAsia"/>
          <w:color w:val="auto"/>
        </w:rPr>
        <w:t>评分标准索引表</w:t>
      </w:r>
      <w:bookmarkEnd w:id="805"/>
    </w:p>
    <w:p w14:paraId="183F7A0A">
      <w:pPr>
        <w:jc w:val="center"/>
        <w:outlineLvl w:val="0"/>
        <w:rPr>
          <w:color w:val="auto"/>
          <w:sz w:val="36"/>
          <w:szCs w:val="36"/>
        </w:rPr>
      </w:pPr>
      <w:r>
        <w:rPr>
          <w:rFonts w:hint="eastAsia"/>
          <w:color w:val="auto"/>
          <w:sz w:val="36"/>
          <w:szCs w:val="36"/>
        </w:rPr>
        <w:t>评分标准索引表</w:t>
      </w:r>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6B4984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377A68E1">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770513C5">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557A8ED7">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397BEE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0172A016">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13BCC6CA">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3CEC1770">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7EFE3F5">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BA621E1">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657404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13BC1E7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C06F025">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489C51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8F4D46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4EC9E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6C105C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88A969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B0483C6">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DE4067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E1F01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459A68C">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B7597F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187ECF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17CCA8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953C3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B0EFE94">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11683A0">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3ED6BD3">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730616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65B38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04A7F0F8">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B9DAD4A">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DB7A56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39AA40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D3889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5DC34158">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7267310">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9B93BA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AEBDD41">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95A79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4F49048C">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55474E20">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3924F5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F9AC4B7">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3A13C6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3DED424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636324C">
            <w:pPr>
              <w:rPr>
                <w:color w:val="auto"/>
                <w:sz w:val="24"/>
                <w:szCs w:val="24"/>
              </w:rPr>
            </w:pPr>
          </w:p>
          <w:p w14:paraId="7BCBA21B">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6B8B91D">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B1F2259">
            <w:pPr>
              <w:jc w:val="left"/>
              <w:rPr>
                <w:rFonts w:ascii="楷体_GB2312" w:eastAsia="楷体_GB2312"/>
                <w:color w:val="auto"/>
                <w:sz w:val="24"/>
                <w:szCs w:val="24"/>
              </w:rPr>
            </w:pPr>
            <w:r>
              <w:rPr>
                <w:rFonts w:hint="eastAsia" w:ascii="仿宋_GB2312" w:eastAsia="仿宋_GB2312"/>
                <w:color w:val="auto"/>
                <w:sz w:val="24"/>
                <w:szCs w:val="24"/>
              </w:rPr>
              <w:t>……</w:t>
            </w:r>
          </w:p>
        </w:tc>
      </w:tr>
      <w:tr w14:paraId="0AE1A2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5C5DEBE5">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568E216">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7F329E1">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29A91AD8">
            <w:pPr>
              <w:jc w:val="left"/>
              <w:rPr>
                <w:rFonts w:ascii="楷体_GB2312" w:eastAsia="楷体_GB2312"/>
                <w:color w:val="auto"/>
                <w:sz w:val="24"/>
                <w:szCs w:val="24"/>
              </w:rPr>
            </w:pPr>
          </w:p>
        </w:tc>
      </w:tr>
      <w:tr w14:paraId="102F4B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CD8E858">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DC3FC2D">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D2DB6A0">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E4303A4">
            <w:pPr>
              <w:jc w:val="left"/>
              <w:rPr>
                <w:rFonts w:ascii="楷体_GB2312" w:eastAsia="楷体_GB2312"/>
                <w:color w:val="auto"/>
                <w:sz w:val="24"/>
                <w:szCs w:val="24"/>
              </w:rPr>
            </w:pPr>
          </w:p>
        </w:tc>
      </w:tr>
      <w:tr w14:paraId="6BCEDE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05B19025">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84A162B">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4AFDEB5">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EF0F33C">
            <w:pPr>
              <w:jc w:val="left"/>
              <w:rPr>
                <w:rFonts w:ascii="楷体_GB2312" w:eastAsia="楷体_GB2312"/>
                <w:color w:val="auto"/>
                <w:sz w:val="24"/>
                <w:szCs w:val="24"/>
              </w:rPr>
            </w:pPr>
          </w:p>
        </w:tc>
      </w:tr>
      <w:tr w14:paraId="26A13E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F48C1AF">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65FC29D">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9A26FF9">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594D3F6">
            <w:pPr>
              <w:jc w:val="left"/>
              <w:rPr>
                <w:rFonts w:ascii="楷体_GB2312" w:eastAsia="楷体_GB2312"/>
                <w:color w:val="auto"/>
                <w:sz w:val="24"/>
                <w:szCs w:val="24"/>
              </w:rPr>
            </w:pPr>
          </w:p>
        </w:tc>
      </w:tr>
      <w:tr w14:paraId="14B18B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D8D213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E285094">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D18F7B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F00557E">
            <w:pPr>
              <w:jc w:val="left"/>
              <w:rPr>
                <w:rFonts w:ascii="楷体_GB2312" w:eastAsia="楷体_GB2312"/>
                <w:color w:val="auto"/>
                <w:sz w:val="24"/>
                <w:szCs w:val="24"/>
              </w:rPr>
            </w:pPr>
          </w:p>
        </w:tc>
      </w:tr>
    </w:tbl>
    <w:p w14:paraId="2258A078">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bookmarkEnd w:id="806"/>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23072">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29DA2948">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FD7FC9F">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2982D34C">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6D2908B7">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03A40B20">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69A57CCC">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41FC8B63">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05862636"/>
    </w:sdtPr>
    <w:sdtContent>
      <w:p w14:paraId="2C04CD92">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60E2F699">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7C36A">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AB8F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BE5FA"/>
    <w:multiLevelType w:val="singleLevel"/>
    <w:tmpl w:val="D55BE5FA"/>
    <w:lvl w:ilvl="0" w:tentative="0">
      <w:start w:val="2"/>
      <w:numFmt w:val="decimal"/>
      <w:suff w:val="nothing"/>
      <w:lvlText w:val="（%1）"/>
      <w:lvlJc w:val="left"/>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40069E"/>
    <w:rsid w:val="025F6B08"/>
    <w:rsid w:val="026A341E"/>
    <w:rsid w:val="02964D1B"/>
    <w:rsid w:val="029730A3"/>
    <w:rsid w:val="02A47215"/>
    <w:rsid w:val="02D12D2D"/>
    <w:rsid w:val="030335B6"/>
    <w:rsid w:val="031962A8"/>
    <w:rsid w:val="03252D18"/>
    <w:rsid w:val="0336576B"/>
    <w:rsid w:val="034A65A2"/>
    <w:rsid w:val="035577FB"/>
    <w:rsid w:val="03985896"/>
    <w:rsid w:val="03C22421"/>
    <w:rsid w:val="04092495"/>
    <w:rsid w:val="04093D75"/>
    <w:rsid w:val="04320A42"/>
    <w:rsid w:val="0474102A"/>
    <w:rsid w:val="04880273"/>
    <w:rsid w:val="04C87066"/>
    <w:rsid w:val="04EC1F69"/>
    <w:rsid w:val="05517763"/>
    <w:rsid w:val="05CB71F4"/>
    <w:rsid w:val="06065BB1"/>
    <w:rsid w:val="0612539D"/>
    <w:rsid w:val="06187C8D"/>
    <w:rsid w:val="06800FCE"/>
    <w:rsid w:val="068F69D2"/>
    <w:rsid w:val="06B04356"/>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576A0F"/>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391F9C"/>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787921"/>
    <w:rsid w:val="1D9C79B2"/>
    <w:rsid w:val="1DF5BF4B"/>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53ABD"/>
    <w:rsid w:val="27F75337"/>
    <w:rsid w:val="289F1376"/>
    <w:rsid w:val="28A45687"/>
    <w:rsid w:val="28BD0AC4"/>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2FB63DA8"/>
    <w:rsid w:val="2FEE3E24"/>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A66375"/>
    <w:rsid w:val="39C845F6"/>
    <w:rsid w:val="39F63344"/>
    <w:rsid w:val="3A2727A3"/>
    <w:rsid w:val="3A754CE5"/>
    <w:rsid w:val="3A926CC8"/>
    <w:rsid w:val="3B19339C"/>
    <w:rsid w:val="3B397CB5"/>
    <w:rsid w:val="3B3F12E2"/>
    <w:rsid w:val="3BA4A217"/>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066B3"/>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580AE3"/>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ED6E80"/>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DA28CE"/>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7BF116"/>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D9E0F23"/>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3">
    <w:name w:val="Body Text Indent"/>
    <w:basedOn w:val="1"/>
    <w:next w:val="2"/>
    <w:link w:val="70"/>
    <w:qFormat/>
    <w:uiPriority w:val="99"/>
    <w:pPr>
      <w:adjustRightInd w:val="0"/>
      <w:spacing w:line="360" w:lineRule="auto"/>
      <w:ind w:firstLine="490"/>
      <w:jc w:val="left"/>
    </w:pPr>
    <w:rPr>
      <w:rFonts w:ascii="宋体" w:hAnsi="宋体"/>
      <w:sz w:val="24"/>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next w:val="22"/>
    <w:link w:val="67"/>
    <w:qFormat/>
    <w:uiPriority w:val="99"/>
    <w:pPr>
      <w:ind w:firstLine="420" w:firstLineChars="100"/>
    </w:pPr>
  </w:style>
  <w:style w:type="paragraph" w:styleId="22">
    <w:name w:val="toc 6"/>
    <w:basedOn w:val="1"/>
    <w:next w:val="1"/>
    <w:qFormat/>
    <w:uiPriority w:val="99"/>
    <w:pPr>
      <w:ind w:left="1050"/>
      <w:jc w:val="left"/>
    </w:pPr>
    <w:rPr>
      <w:rFonts w:ascii="Arial" w:hAnsi="Arial" w:cs="Arial"/>
      <w:kern w:val="2"/>
      <w:sz w:val="18"/>
      <w:szCs w:val="18"/>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8"/>
    <w:next w:val="18"/>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4"/>
    <w:qFormat/>
    <w:locked/>
    <w:uiPriority w:val="99"/>
    <w:rPr>
      <w:rFonts w:eastAsia="黑体" w:cs="Times New Roman"/>
      <w:b/>
      <w:kern w:val="44"/>
      <w:sz w:val="36"/>
    </w:rPr>
  </w:style>
  <w:style w:type="character" w:customStyle="1" w:styleId="56">
    <w:name w:val="标题 2 字符"/>
    <w:basedOn w:val="47"/>
    <w:link w:val="5"/>
    <w:qFormat/>
    <w:locked/>
    <w:uiPriority w:val="99"/>
    <w:rPr>
      <w:rFonts w:ascii="Arial" w:hAnsi="Arial" w:eastAsia="黑体" w:cs="Times New Roman"/>
      <w:b/>
      <w:snapToGrid w:val="0"/>
      <w:kern w:val="44"/>
      <w:sz w:val="28"/>
    </w:rPr>
  </w:style>
  <w:style w:type="character" w:customStyle="1" w:styleId="57">
    <w:name w:val="标题 3 字符"/>
    <w:basedOn w:val="47"/>
    <w:link w:val="6"/>
    <w:qFormat/>
    <w:locked/>
    <w:uiPriority w:val="99"/>
    <w:rPr>
      <w:rFonts w:ascii="宋体" w:cs="Times New Roman"/>
      <w:b/>
      <w:kern w:val="2"/>
      <w:sz w:val="28"/>
    </w:rPr>
  </w:style>
  <w:style w:type="character" w:customStyle="1" w:styleId="58">
    <w:name w:val="标题 4 字符"/>
    <w:basedOn w:val="47"/>
    <w:link w:val="7"/>
    <w:qFormat/>
    <w:locked/>
    <w:uiPriority w:val="99"/>
    <w:rPr>
      <w:rFonts w:ascii="黑体" w:eastAsia="黑体" w:cs="Times New Roman"/>
      <w:b/>
      <w:kern w:val="2"/>
      <w:sz w:val="24"/>
    </w:rPr>
  </w:style>
  <w:style w:type="character" w:customStyle="1" w:styleId="59">
    <w:name w:val="标题 5 字符"/>
    <w:basedOn w:val="47"/>
    <w:link w:val="9"/>
    <w:qFormat/>
    <w:locked/>
    <w:uiPriority w:val="99"/>
    <w:rPr>
      <w:rFonts w:cs="Times New Roman"/>
      <w:b/>
      <w:snapToGrid w:val="0"/>
      <w:sz w:val="28"/>
    </w:rPr>
  </w:style>
  <w:style w:type="character" w:customStyle="1" w:styleId="60">
    <w:name w:val="标题 6 字符"/>
    <w:basedOn w:val="47"/>
    <w:link w:val="10"/>
    <w:qFormat/>
    <w:locked/>
    <w:uiPriority w:val="99"/>
    <w:rPr>
      <w:rFonts w:ascii="黑体" w:hAnsi="黑体" w:eastAsia="楷体" w:cs="Times New Roman"/>
      <w:b/>
      <w:kern w:val="2"/>
      <w:sz w:val="24"/>
    </w:rPr>
  </w:style>
  <w:style w:type="character" w:customStyle="1" w:styleId="61">
    <w:name w:val="标题 7 字符"/>
    <w:basedOn w:val="47"/>
    <w:link w:val="11"/>
    <w:qFormat/>
    <w:locked/>
    <w:uiPriority w:val="99"/>
    <w:rPr>
      <w:rFonts w:ascii="Arial" w:hAnsi="Arial" w:cs="Times New Roman"/>
      <w:b/>
      <w:kern w:val="2"/>
      <w:sz w:val="24"/>
    </w:rPr>
  </w:style>
  <w:style w:type="character" w:customStyle="1" w:styleId="62">
    <w:name w:val="标题 8 字符"/>
    <w:basedOn w:val="47"/>
    <w:link w:val="12"/>
    <w:qFormat/>
    <w:locked/>
    <w:uiPriority w:val="99"/>
    <w:rPr>
      <w:rFonts w:ascii="黑体" w:hAnsi="黑体" w:eastAsia="楷体" w:cs="Times New Roman"/>
      <w:kern w:val="2"/>
      <w:sz w:val="24"/>
    </w:rPr>
  </w:style>
  <w:style w:type="character" w:customStyle="1" w:styleId="63">
    <w:name w:val="标题 9 字符"/>
    <w:basedOn w:val="47"/>
    <w:link w:val="13"/>
    <w:qFormat/>
    <w:locked/>
    <w:uiPriority w:val="99"/>
    <w:rPr>
      <w:rFonts w:ascii="黑体" w:hAnsi="黑体" w:eastAsia="楷体" w:cs="Times New Roman"/>
      <w:kern w:val="2"/>
      <w:sz w:val="21"/>
    </w:rPr>
  </w:style>
  <w:style w:type="character" w:customStyle="1" w:styleId="64">
    <w:name w:val="批注文字 字符"/>
    <w:basedOn w:val="47"/>
    <w:link w:val="18"/>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7"/>
    <w:link w:val="17"/>
    <w:qFormat/>
    <w:locked/>
    <w:uiPriority w:val="99"/>
    <w:rPr>
      <w:rFonts w:cs="Times New Roman"/>
      <w:snapToGrid w:val="0"/>
      <w:sz w:val="21"/>
      <w:shd w:val="clear" w:color="auto" w:fill="000080"/>
    </w:rPr>
  </w:style>
  <w:style w:type="character" w:customStyle="1" w:styleId="69">
    <w:name w:val="正文文本 3 字符"/>
    <w:basedOn w:val="47"/>
    <w:link w:val="19"/>
    <w:semiHidden/>
    <w:qFormat/>
    <w:locked/>
    <w:uiPriority w:val="99"/>
    <w:rPr>
      <w:rFonts w:cs="Times New Roman"/>
      <w:kern w:val="0"/>
      <w:sz w:val="16"/>
      <w:szCs w:val="16"/>
    </w:rPr>
  </w:style>
  <w:style w:type="character" w:customStyle="1" w:styleId="70">
    <w:name w:val="正文文本缩进 字符"/>
    <w:basedOn w:val="47"/>
    <w:link w:val="3"/>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39</Pages>
  <Words>29336</Words>
  <Characters>30473</Characters>
  <Lines>257</Lines>
  <Paragraphs>72</Paragraphs>
  <TotalTime>39</TotalTime>
  <ScaleCrop>false</ScaleCrop>
  <LinksUpToDate>false</LinksUpToDate>
  <CharactersWithSpaces>32392</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2018-07-17T15:39:00Z</dcterms:created>
  <dc:creator>小周</dc:creator>
  <cp:lastModifiedBy>施翔</cp:lastModifiedBy>
  <cp:lastPrinted>2026-10-26T16:56:00Z</cp:lastPrinted>
  <dcterms:modified xsi:type="dcterms:W3CDTF">2026-10-26T09:36:23Z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