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快速霍尔测量系统</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快速霍尔测量系统</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QSZBB250326ZHGK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[2025]67313号、[2025]71048号</w:t>
      </w:r>
    </w:p>
    <w:p w14:paraId="43139F7B">
      <w:pPr>
        <w:adjustRightInd w:val="0"/>
        <w:snapToGrid w:val="0"/>
        <w:spacing w:line="288" w:lineRule="auto"/>
        <w:rPr>
          <w:rFonts w:ascii="楷体" w:hAnsi="楷体" w:eastAsia="楷体" w:cs="Times New Roman"/>
          <w:b/>
          <w:color w:val="auto"/>
          <w:szCs w:val="21"/>
          <w:highlight w:val="none"/>
        </w:rPr>
      </w:pPr>
    </w:p>
    <w:p w14:paraId="561CA082">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25CD13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快速霍尔测量系统</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2025年11月14日</w:t>
      </w:r>
      <w:r>
        <w:rPr>
          <w:rFonts w:hint="eastAsia" w:ascii="宋体" w:hAnsi="宋体" w:eastAsia="宋体" w:cs="Times New Roman"/>
          <w:b/>
          <w:color w:val="auto"/>
          <w:szCs w:val="21"/>
          <w:highlight w:val="none"/>
          <w:u w:val="single"/>
        </w:rPr>
        <w:t>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28359002"/>
      <w:bookmarkStart w:id="1" w:name="_Toc35393621"/>
      <w:bookmarkStart w:id="2" w:name="_Toc28359079"/>
      <w:bookmarkStart w:id="3" w:name="_Toc35393790"/>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QSZBB250326ZHGK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快速霍尔测量系统</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670000元</w:t>
      </w:r>
    </w:p>
    <w:p w14:paraId="11D1D49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.最高限价：670000元</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自合同签订之日起240日内交付。</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快速霍尔测量系统</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94F0C66">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是</w:t>
            </w:r>
          </w:p>
        </w:tc>
      </w:tr>
    </w:tbl>
    <w:p w14:paraId="0D505C25">
      <w:pPr>
        <w:adjustRightInd w:val="0"/>
        <w:snapToGrid w:val="0"/>
        <w:spacing w:line="288" w:lineRule="auto"/>
        <w:rPr>
          <w:rFonts w:ascii="宋体" w:hAnsi="宋体" w:eastAsia="宋体" w:cs="宋体"/>
          <w:b/>
          <w:color w:val="auto"/>
          <w:szCs w:val="21"/>
          <w:highlight w:val="none"/>
        </w:rPr>
      </w:pPr>
      <w:bookmarkStart w:id="5" w:name="_Toc35393622"/>
      <w:bookmarkStart w:id="6" w:name="_Toc28359003"/>
      <w:bookmarkStart w:id="7" w:name="_Toc35393791"/>
      <w:bookmarkStart w:id="8" w:name="_Toc28359080"/>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10</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24</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2025年11月14日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2025年11月14日</w:t>
      </w:r>
      <w:r>
        <w:rPr>
          <w:rFonts w:hint="eastAsia" w:ascii="宋体" w:hAnsi="宋体" w:eastAsia="宋体" w:cs="Times New Roman"/>
          <w:bCs/>
          <w:color w:val="auto"/>
          <w:szCs w:val="21"/>
          <w:highlight w:val="none"/>
        </w:rPr>
        <w:t>9:00:00（北京时间）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2025年11月14日</w:t>
      </w:r>
      <w:r>
        <w:rPr>
          <w:rFonts w:hint="eastAsia" w:ascii="宋体" w:hAnsi="宋体" w:eastAsia="宋体" w:cs="Times New Roman"/>
          <w:bCs/>
          <w:color w:val="auto"/>
          <w:szCs w:val="21"/>
          <w:highlight w:val="none"/>
        </w:rPr>
        <w:t>9:00:00（北京时间）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28359084"/>
      <w:bookmarkStart w:id="20" w:name="_Toc28359007"/>
      <w:bookmarkStart w:id="21" w:name="_Toc35393794"/>
      <w:bookmarkStart w:id="22" w:name="_Toc35393625"/>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28359008"/>
      <w:bookmarkStart w:id="30" w:name="_Toc35393796"/>
      <w:bookmarkStart w:id="31" w:name="_Toc28359085"/>
      <w:bookmarkStart w:id="32" w:name="_Toc35393627"/>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30E717FC">
      <w:pPr>
        <w:adjustRightInd w:val="0"/>
        <w:snapToGrid w:val="0"/>
        <w:spacing w:line="288" w:lineRule="auto"/>
        <w:ind w:firstLine="424" w:firstLineChars="202"/>
        <w:rPr>
          <w:rFonts w:hint="eastAsia" w:ascii="宋体" w:hAnsi="宋体" w:eastAsia="宋体" w:cs="宋体"/>
          <w:color w:val="auto"/>
          <w:szCs w:val="21"/>
          <w:highlight w:val="none"/>
          <w:lang w:eastAsia="zh-CN"/>
        </w:rPr>
      </w:pPr>
      <w:r>
        <w:rPr>
          <w:rFonts w:hint="eastAsia" w:ascii="宋体" w:hAnsi="宋体" w:eastAsia="宋体" w:cs="Times New Roman"/>
          <w:color w:val="auto"/>
          <w:szCs w:val="21"/>
          <w:highlight w:val="none"/>
        </w:rPr>
        <w:t>项目联系</w:t>
      </w:r>
      <w:r>
        <w:rPr>
          <w:rFonts w:hint="eastAsia" w:ascii="宋体" w:hAnsi="宋体" w:eastAsia="宋体" w:cs="宋体"/>
          <w:color w:val="auto"/>
          <w:szCs w:val="21"/>
          <w:highlight w:val="none"/>
        </w:rPr>
        <w:t>人（询问）：</w:t>
      </w:r>
      <w:r>
        <w:rPr>
          <w:rFonts w:hint="eastAsia" w:ascii="宋体" w:hAnsi="宋体" w:eastAsia="宋体" w:cs="宋体"/>
          <w:color w:val="auto"/>
          <w:szCs w:val="21"/>
          <w:highlight w:val="none"/>
          <w:lang w:eastAsia="zh-CN"/>
        </w:rPr>
        <w:t>苏</w:t>
      </w:r>
      <w:r>
        <w:rPr>
          <w:rFonts w:hint="eastAsia" w:ascii="宋体" w:hAnsi="宋体" w:eastAsia="宋体" w:cs="宋体"/>
          <w:color w:val="auto"/>
          <w:szCs w:val="21"/>
          <w:highlight w:val="none"/>
          <w:lang w:val="en-US" w:eastAsia="zh-CN"/>
        </w:rPr>
        <w:t>老师</w:t>
      </w:r>
    </w:p>
    <w:p w14:paraId="32E80010">
      <w:pPr>
        <w:adjustRightInd w:val="0"/>
        <w:snapToGrid w:val="0"/>
        <w:spacing w:line="288" w:lineRule="auto"/>
        <w:ind w:firstLine="424" w:firstLineChars="202"/>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项目联系方式（询问）：</w:t>
      </w:r>
      <w:r>
        <w:rPr>
          <w:rFonts w:hint="eastAsia" w:ascii="宋体" w:hAnsi="宋体" w:eastAsia="宋体" w:cs="宋体"/>
          <w:color w:val="auto"/>
          <w:highlight w:val="none"/>
          <w:lang w:val="en-US" w:eastAsia="zh-CN"/>
        </w:rPr>
        <w:t>15168495048</w:t>
      </w:r>
    </w:p>
    <w:p w14:paraId="209040C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质疑联系方式：0571-86</w:t>
      </w:r>
      <w:r>
        <w:rPr>
          <w:rFonts w:hint="eastAsia" w:ascii="宋体" w:hAnsi="宋体" w:eastAsia="宋体" w:cs="Times New Roman"/>
          <w:color w:val="auto"/>
          <w:szCs w:val="21"/>
          <w:highlight w:val="none"/>
          <w:lang w:val="en-US" w:eastAsia="zh-CN"/>
        </w:rPr>
        <w:t>915026</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2F81AB73">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3.同级政府采购监督管理部门</w:t>
      </w:r>
    </w:p>
    <w:p w14:paraId="084B9583">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传真：/</w:t>
      </w:r>
    </w:p>
    <w:p w14:paraId="2931E870">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联系人：亓老师</w:t>
      </w:r>
    </w:p>
    <w:p w14:paraId="3C80EDC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监督投诉电话：0571-87713574</w:t>
      </w:r>
    </w:p>
    <w:p w14:paraId="5C0CD420">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599CCC13">
            <w:pPr>
              <w:adjustRightInd w:val="0"/>
              <w:snapToGrid w:val="0"/>
              <w:spacing w:line="288" w:lineRule="auto"/>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1.合同签订后5个工作日内，中标人向采购人提交合同总价</w:t>
            </w:r>
            <w:r>
              <w:rPr>
                <w:rFonts w:hint="eastAsia" w:ascii="宋体" w:hAnsi="宋体" w:eastAsia="宋体" w:cs="宋体"/>
                <w:color w:val="auto"/>
                <w:spacing w:val="-6"/>
                <w:kern w:val="0"/>
                <w:szCs w:val="21"/>
                <w:highlight w:val="none"/>
                <w:lang w:val="en-US" w:eastAsia="zh-CN" w:bidi="ar"/>
              </w:rPr>
              <w:t>1</w:t>
            </w:r>
            <w:r>
              <w:rPr>
                <w:rFonts w:hint="eastAsia" w:ascii="宋体" w:hAnsi="宋体" w:eastAsia="宋体" w:cs="宋体"/>
                <w:color w:val="auto"/>
                <w:spacing w:val="-6"/>
                <w:kern w:val="0"/>
                <w:szCs w:val="21"/>
                <w:highlight w:val="none"/>
                <w:lang w:bidi="ar"/>
              </w:rPr>
              <w:t>%的履约保证金，履约保证金在合同履约期间无违约情形的，项目验收结束后，于7个工作日内退还（不计息）；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45DAAD3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w:t>
            </w:r>
          </w:p>
          <w:p w14:paraId="3C0E388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2.在签订合同时，供应商明确表示无需预付款或者主动要求降低预付款比例的，可降低预付款比例（预付款保函同步调整）。</w:t>
            </w:r>
          </w:p>
          <w:p w14:paraId="3ABAB33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3.若供应商收取预付款，要求预付款保函有效期覆盖项目验收合格时间；提供了预付款保函则供应商无需再缴纳履约保证金。</w:t>
            </w:r>
          </w:p>
          <w:p w14:paraId="3120B2A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val="en-US" w:eastAsia="zh-CN"/>
              </w:rPr>
              <w:t>4.</w:t>
            </w:r>
            <w:r>
              <w:rPr>
                <w:rFonts w:hint="eastAsia" w:ascii="宋体" w:hAnsi="宋体" w:eastAsia="宋体" w:cs="宋体"/>
                <w:color w:val="auto"/>
                <w:spacing w:val="-6"/>
                <w:kern w:val="0"/>
                <w:szCs w:val="21"/>
                <w:highlight w:val="none"/>
              </w:rPr>
              <w:t>签订合同时中标人明确表示无需预付款的，可以采用以下付款方式：</w:t>
            </w:r>
          </w:p>
          <w:p w14:paraId="009F8E1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②货到一次性支付：全部货物送达安装调试完毕，经采购人验收合格，收到发票后10个工作日内，采购人向中标人支付全部合同价款。</w:t>
            </w:r>
          </w:p>
          <w:p w14:paraId="30AB151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77F59AD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自合同签订之日起240日内交付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远程技术支持：</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应具有稳定的技术支持队伍和完善的服务支持网络，提供7×24小时技术支持服务，及时响应</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的技术服务支持需求，提出有效的解决方案，解决</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在货物使用过程中遇到的实际问题。</w:t>
            </w:r>
          </w:p>
          <w:p w14:paraId="69B52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如在使用过程中发生质量问题，供应商维修响应时间：1小时以内；</w:t>
            </w:r>
          </w:p>
          <w:p w14:paraId="02E376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电话技术支持时间：2小时以内；</w:t>
            </w:r>
          </w:p>
          <w:p w14:paraId="344AF96C">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both"/>
              <w:textAlignment w:val="auto"/>
              <w:rPr>
                <w:rFonts w:hint="eastAsia" w:ascii="宋体" w:hAnsi="宋体" w:eastAsia="宋体" w:cs="宋体"/>
                <w:color w:val="auto"/>
                <w:szCs w:val="21"/>
                <w:highlight w:val="none"/>
                <w:u w:val="single"/>
              </w:rPr>
            </w:pPr>
            <w:r>
              <w:rPr>
                <w:rFonts w:hint="eastAsia" w:ascii="宋体" w:hAnsi="宋体" w:eastAsia="宋体" w:cs="宋体"/>
                <w:color w:val="auto"/>
                <w:kern w:val="2"/>
                <w:sz w:val="21"/>
                <w:szCs w:val="21"/>
                <w:highlight w:val="none"/>
                <w:u w:val="single"/>
                <w:lang w:val="en-US" w:eastAsia="zh-CN" w:bidi="ar"/>
              </w:rPr>
              <w:t>对于通过电话、邮件等远程技术支持不能解决的问题，供应商应在24小时内派遣相关人员赶赴现场，48小时内维修完毕；发生紧急抢修事故的，供应商应在接到采购人通知后12小时内到达现场抢修，并于到达现场10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highlight w:val="none"/>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u w:val="none"/>
                <w:lang w:val="en-US" w:eastAsia="zh-CN"/>
              </w:rPr>
              <w:t>供应商应提供详细的</w:t>
            </w:r>
            <w:r>
              <w:rPr>
                <w:rFonts w:hint="eastAsia" w:ascii="宋体" w:hAnsi="宋体" w:eastAsia="宋体" w:cs="宋体"/>
                <w:color w:val="auto"/>
                <w:szCs w:val="21"/>
                <w:highlight w:val="none"/>
              </w:rPr>
              <w:t>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供应商应按招标文件规定向采购人提供全新</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原装合格产品，</w:t>
            </w:r>
            <w:r>
              <w:rPr>
                <w:rFonts w:hint="eastAsia" w:ascii="宋体" w:hAnsi="宋体" w:eastAsia="宋体" w:cs="宋体"/>
                <w:color w:val="auto"/>
                <w:szCs w:val="21"/>
                <w:highlight w:val="none"/>
                <w:lang w:val="en-US" w:eastAsia="zh-CN"/>
              </w:rPr>
              <w:t>产品应</w:t>
            </w:r>
            <w:r>
              <w:rPr>
                <w:rFonts w:hint="eastAsia" w:ascii="宋体" w:hAnsi="宋体" w:eastAsia="宋体" w:cs="宋体"/>
                <w:color w:val="auto"/>
                <w:szCs w:val="21"/>
                <w:highlight w:val="none"/>
              </w:rPr>
              <w:t>符合国家法律法规规定。</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供应商应</w:t>
            </w:r>
            <w:r>
              <w:rPr>
                <w:rFonts w:hint="eastAsia" w:ascii="宋体" w:hAnsi="宋体" w:eastAsia="宋体" w:cs="宋体"/>
                <w:color w:val="auto"/>
                <w:szCs w:val="21"/>
                <w:highlight w:val="none"/>
              </w:rPr>
              <w:t>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w:t>
            </w:r>
            <w:r>
              <w:rPr>
                <w:rFonts w:hint="eastAsia" w:ascii="宋体" w:hAnsi="宋体" w:eastAsia="宋体" w:cs="宋体"/>
                <w:color w:val="auto"/>
                <w:szCs w:val="21"/>
                <w:highlight w:val="none"/>
                <w:lang w:val="en-US" w:eastAsia="zh-CN"/>
              </w:rPr>
              <w:t>和安装调试方案</w:t>
            </w:r>
            <w:r>
              <w:rPr>
                <w:rFonts w:hint="eastAsia" w:ascii="宋体" w:hAnsi="宋体" w:eastAsia="宋体" w:cs="宋体"/>
                <w:color w:val="auto"/>
                <w:szCs w:val="21"/>
                <w:highlight w:val="none"/>
              </w:rPr>
              <w:t>。</w:t>
            </w:r>
          </w:p>
          <w:p w14:paraId="48874C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.技术支持：</w:t>
            </w:r>
          </w:p>
          <w:p w14:paraId="4560E7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.供应商应提供质保期满后主要零部件报价单、质保期满后维护费、软件升级及其相关服务内容；</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产品相关配件、附件、备品备件及耗材的准备和保障措施、消耗水平和成本</w:t>
            </w:r>
            <w:r>
              <w:rPr>
                <w:rFonts w:hint="eastAsia" w:ascii="宋体" w:hAnsi="宋体" w:eastAsia="宋体" w:cs="宋体"/>
                <w:color w:val="auto"/>
                <w:szCs w:val="21"/>
                <w:highlight w:val="none"/>
                <w:lang w:val="en-US" w:eastAsia="zh-CN"/>
              </w:rPr>
              <w:t>方案</w:t>
            </w:r>
            <w:r>
              <w:rPr>
                <w:rFonts w:hint="eastAsia" w:ascii="宋体" w:hAnsi="宋体" w:eastAsia="宋体" w:cs="宋体"/>
                <w:color w:val="auto"/>
                <w:szCs w:val="21"/>
                <w:highlight w:val="none"/>
              </w:rPr>
              <w:t>。</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2.培训</w:t>
            </w:r>
            <w:r>
              <w:rPr>
                <w:rFonts w:hint="eastAsia" w:ascii="宋体" w:hAnsi="宋体" w:eastAsia="宋体" w:cs="宋体"/>
                <w:color w:val="auto"/>
                <w:szCs w:val="21"/>
                <w:highlight w:val="none"/>
              </w:rPr>
              <w:t>实现方式、时间、地点、人数应在投标文件中详细说明</w:t>
            </w:r>
            <w:r>
              <w:rPr>
                <w:rFonts w:hint="eastAsia" w:ascii="宋体" w:hAnsi="宋体" w:eastAsia="宋体" w:cs="宋体"/>
                <w:color w:val="auto"/>
                <w:szCs w:val="21"/>
                <w:highlight w:val="none"/>
                <w:lang w:eastAsia="zh-CN"/>
              </w:rPr>
              <w:t>；</w:t>
            </w:r>
          </w:p>
          <w:p w14:paraId="7DF872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供应商应提供相应的培训计划、培训范围，实施方案</w:t>
            </w:r>
            <w:r>
              <w:rPr>
                <w:rFonts w:hint="eastAsia" w:ascii="宋体" w:hAnsi="宋体" w:eastAsia="宋体" w:cs="宋体"/>
                <w:color w:val="auto"/>
                <w:szCs w:val="21"/>
                <w:highlight w:val="none"/>
                <w:lang w:val="en-US" w:eastAsia="zh-CN"/>
              </w:rPr>
              <w:t>；</w:t>
            </w:r>
          </w:p>
          <w:p w14:paraId="3D36B1A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在设备安装现场进行培训，投标人对培训效果负责，培训时间不少于3天。培训内容包括设备的构造、原理，工艺调整、参数设定，操作规程，紧急事故处理，系统的使用，设备维护、保养、注意事项，常见故障及排除，易损件的更换等。</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2CFA4B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1.验收由采购人负责实施；货物经安装调试完成且符合技术要求后，采购人负责在10个工作日内进行最终验收。如采购人需要，验收时供应商必须在现场。</w:t>
            </w:r>
          </w:p>
          <w:p w14:paraId="18E61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2.验收依据：</w:t>
            </w:r>
          </w:p>
          <w:p w14:paraId="7F8C82A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14:paraId="7FA43E6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14:paraId="4D71A2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14:paraId="57A5C96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522001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14:paraId="1B352E1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14:paraId="27CF556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14:paraId="3EBA809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14:paraId="762ED5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14:paraId="5103A4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r w14:paraId="617F76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6D7F46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Cs w:val="21"/>
                <w:highlight w:val="none"/>
              </w:rPr>
            </w:pPr>
            <w:bookmarkStart w:id="57" w:name="_GoBack" w:colFirst="0" w:colLast="1"/>
            <w:r>
              <w:rPr>
                <w:rFonts w:hint="eastAsia" w:ascii="宋体" w:hAnsi="宋体" w:eastAsia="宋体" w:cs="宋体"/>
                <w:b/>
                <w:bCs/>
                <w:kern w:val="2"/>
                <w:sz w:val="21"/>
                <w:szCs w:val="21"/>
                <w:lang w:val="en-US" w:eastAsia="zh-CN"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7457EEDC">
            <w:pPr>
              <w:keepNext w:val="0"/>
              <w:keepLines w:val="0"/>
              <w:widowControl w:val="0"/>
              <w:suppressLineNumbers w:val="0"/>
              <w:adjustRightInd w:val="0"/>
              <w:snapToGrid w:val="0"/>
              <w:spacing w:before="0" w:beforeAutospacing="0" w:after="0" w:afterAutospacing="0" w:line="288" w:lineRule="auto"/>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b w:val="0"/>
                <w:bCs w:val="0"/>
                <w:kern w:val="2"/>
                <w:sz w:val="21"/>
                <w:szCs w:val="21"/>
                <w:lang w:val="en-US" w:eastAsia="zh-CN" w:bidi="ar"/>
              </w:rPr>
              <w:t>按“第五章  拟签订的合同文本”相关违约责任及争议解决方式内容。</w:t>
            </w:r>
          </w:p>
        </w:tc>
      </w:tr>
      <w:bookmarkEnd w:id="57"/>
    </w:tbl>
    <w:p w14:paraId="0BBD8ED0">
      <w:pPr>
        <w:adjustRightInd w:val="0"/>
        <w:snapToGrid w:val="0"/>
        <w:spacing w:line="288" w:lineRule="auto"/>
        <w:rPr>
          <w:rFonts w:ascii="宋体" w:hAnsi="宋体" w:eastAsia="宋体" w:cs="Times New Roman"/>
          <w:b/>
          <w:color w:val="auto"/>
          <w:szCs w:val="21"/>
          <w:highlight w:val="none"/>
        </w:rPr>
      </w:pPr>
    </w:p>
    <w:p w14:paraId="155758D7">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满足快速霍尔测量系统的使用需求。</w:t>
      </w:r>
    </w:p>
    <w:p w14:paraId="052E21C8">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10" w:type="dxa"/>
            <w:vAlign w:val="center"/>
          </w:tcPr>
          <w:p w14:paraId="3B9DB4B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1" w:type="dxa"/>
            <w:vAlign w:val="center"/>
          </w:tcPr>
          <w:p w14:paraId="601BB26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61" w:type="dxa"/>
            <w:vAlign w:val="center"/>
          </w:tcPr>
          <w:p w14:paraId="302F457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6269" w:type="dxa"/>
            <w:vAlign w:val="center"/>
          </w:tcPr>
          <w:p w14:paraId="7F7ED66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1</w:t>
            </w:r>
          </w:p>
        </w:tc>
        <w:tc>
          <w:tcPr>
            <w:tcW w:w="1810" w:type="dxa"/>
            <w:vAlign w:val="center"/>
          </w:tcPr>
          <w:p w14:paraId="2F9DD2F4">
            <w:pPr>
              <w:adjustRightInd w:val="0"/>
              <w:snapToGrid w:val="0"/>
              <w:spacing w:line="288" w:lineRule="auto"/>
              <w:jc w:val="center"/>
              <w:rPr>
                <w:rFonts w:hint="eastAsia" w:ascii="宋体" w:hAnsi="宋体" w:eastAsia="宋体" w:cs="Times New Roman"/>
                <w:color w:val="auto"/>
                <w:szCs w:val="21"/>
                <w:highlight w:val="none"/>
                <w:lang w:eastAsia="zh-CN"/>
              </w:rPr>
            </w:pPr>
            <w:r>
              <w:rPr>
                <w:rFonts w:hint="eastAsia" w:ascii="宋体" w:hAnsi="宋体" w:eastAsia="宋体" w:cs="Times New Roman"/>
                <w:b/>
                <w:bCs/>
                <w:color w:val="auto"/>
                <w:szCs w:val="21"/>
                <w:highlight w:val="none"/>
                <w:lang w:eastAsia="zh-CN"/>
              </w:rPr>
              <w:t>快速霍尔测量系统</w:t>
            </w:r>
          </w:p>
        </w:tc>
        <w:tc>
          <w:tcPr>
            <w:tcW w:w="661" w:type="dxa"/>
            <w:vAlign w:val="center"/>
          </w:tcPr>
          <w:p w14:paraId="77DC8DC0">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14:paraId="66A5AD68">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14:paraId="790CDD72">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可支持与低温强磁场实验装置（如综合物性测量系统）等联用进行低温强磁场（可兼容低至2K量级的低温实验环境，以及高至9T量级的强磁场实验环境）等极端实验条件下的材料及器件的霍尔测量，并能实现高效率的单边场快速霍尔测量，同时可支持宽阻值范围的电阻特性测量（最大电阻可达10MΩ量级）；</w:t>
            </w:r>
          </w:p>
          <w:p w14:paraId="398CE858">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★2.测量方法：单边场快速霍尔测量，无需翻转磁场进行多次测量；</w:t>
            </w:r>
          </w:p>
          <w:p w14:paraId="0CDDDC31">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3.测量模式：兼容四引线法和六引线法进行霍尔和电阻测量；</w:t>
            </w:r>
          </w:p>
          <w:p w14:paraId="4528C823">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4.电流源输出量程：1uA to 100mA；</w:t>
            </w:r>
          </w:p>
          <w:p w14:paraId="59161A54">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5.电压测量量程：1mV to 10V；</w:t>
            </w:r>
          </w:p>
          <w:p w14:paraId="25DD8894">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▲6.电阻测量量程：10mΩ to 10MΩ；</w:t>
            </w:r>
          </w:p>
          <w:p w14:paraId="4CD67FC5">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★7.迁移率测量范围：0.001cm²/V•s～10⁶cm²/V•s；</w:t>
            </w:r>
          </w:p>
          <w:p w14:paraId="2EE7DC8D">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★8.样品腔内径：≤1英寸；</w:t>
            </w:r>
          </w:p>
          <w:p w14:paraId="573FB842">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9.样品托电学针脚：12个；</w:t>
            </w:r>
          </w:p>
          <w:p w14:paraId="12442793">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★10.联用兼容性：可与具有低温强磁场极端实验条件的综合物性测量系统(PPMS)联用，兼容低至2K量级的低温实验环境，以及高至9T量级的强磁场实验环境；</w:t>
            </w:r>
          </w:p>
          <w:p w14:paraId="4255D433">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11.配件要求：</w:t>
            </w:r>
          </w:p>
          <w:p w14:paraId="132CB47A">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11.1 电学测量样品托1个；</w:t>
            </w:r>
          </w:p>
          <w:p w14:paraId="6D3FD804">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11.2 石英样品杆1个；</w:t>
            </w:r>
          </w:p>
          <w:p w14:paraId="44271034">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11.3黄铜样品杆1个；</w:t>
            </w:r>
          </w:p>
          <w:p w14:paraId="3C5E071D">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11.4 PPMS取样杆1件；</w:t>
            </w:r>
          </w:p>
          <w:p w14:paraId="367F7391">
            <w:pPr>
              <w:adjustRightInd w:val="0"/>
              <w:snapToGrid w:val="0"/>
              <w:spacing w:line="288" w:lineRule="auto"/>
              <w:jc w:val="left"/>
              <w:rPr>
                <w:rFonts w:hint="default" w:ascii="宋体" w:hAnsi="宋体" w:cs="宋体" w:eastAsiaTheme="minorEastAsia"/>
                <w:color w:val="auto"/>
                <w:szCs w:val="21"/>
                <w:highlight w:val="none"/>
                <w:lang w:val="en-US" w:eastAsia="zh-CN"/>
              </w:rPr>
            </w:pPr>
            <w:r>
              <w:rPr>
                <w:rFonts w:hint="eastAsia" w:ascii="宋体" w:hAnsi="宋体" w:eastAsia="宋体" w:cs="宋体"/>
                <w:color w:val="auto"/>
                <w:szCs w:val="21"/>
                <w:highlight w:val="none"/>
                <w:lang w:val="en-US" w:eastAsia="zh-CN"/>
              </w:rPr>
              <w:t>11.5 干泵1台。</w:t>
            </w:r>
          </w:p>
        </w:tc>
      </w:tr>
    </w:tbl>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杭州电子科技大学快速霍尔测量系统</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ascii="宋体" w:hAnsi="宋体" w:eastAsia="宋体"/>
                <w:color w:val="auto"/>
                <w:szCs w:val="21"/>
                <w:highlight w:val="none"/>
              </w:rPr>
              <w:t>，须提供</w:t>
            </w:r>
            <w:r>
              <w:rPr>
                <w:rFonts w:ascii="宋体" w:hAnsi="宋体" w:eastAsia="宋体"/>
                <w:bCs/>
                <w:color w:val="auto"/>
                <w:szCs w:val="21"/>
                <w:highlight w:val="none"/>
              </w:rPr>
              <w:t>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2025年1月（含）</w:t>
            </w:r>
            <w:r>
              <w:rPr>
                <w:rFonts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1073C959">
            <w:pPr>
              <w:adjustRightInd w:val="0"/>
              <w:snapToGrid w:val="0"/>
              <w:spacing w:line="288" w:lineRule="auto"/>
              <w:rPr>
                <w:rFonts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63817493">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3877AAAB">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14:paraId="3F923D64">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ascii="宋体" w:hAnsi="宋体" w:eastAsia="宋体"/>
                <w:color w:val="auto"/>
                <w:szCs w:val="21"/>
                <w:highlight w:val="none"/>
              </w:rPr>
              <w:t>证明材料</w:t>
            </w:r>
            <w:r>
              <w:rPr>
                <w:rFonts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7F6A2B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5D2194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30EC00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3.进口设备的价格采用免税的人民币报价，交货方式为CIP杭州电子科技大学，由中标人</w:t>
            </w:r>
            <w:r>
              <w:rPr>
                <w:rFonts w:hint="eastAsia" w:ascii="宋体" w:hAnsi="宋体" w:eastAsia="宋体"/>
                <w:color w:val="auto"/>
                <w:szCs w:val="21"/>
                <w:highlight w:val="none"/>
                <w:lang w:val="en-US" w:eastAsia="zh-CN"/>
              </w:rPr>
              <w:t>负责</w:t>
            </w:r>
            <w:r>
              <w:rPr>
                <w:rFonts w:hint="eastAsia" w:ascii="宋体" w:hAnsi="宋体" w:eastAsia="宋体"/>
                <w:color w:val="auto"/>
                <w:szCs w:val="21"/>
                <w:highlight w:val="none"/>
              </w:rPr>
              <w:t>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提供进口设备免税承诺函；</w:t>
            </w:r>
          </w:p>
          <w:p w14:paraId="4EA92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0DCF9B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r>
              <w:rPr>
                <w:rFonts w:hint="eastAsia" w:ascii="宋体" w:hAnsi="宋体" w:eastAsia="宋体"/>
                <w:color w:val="auto"/>
                <w:szCs w:val="21"/>
                <w:highlight w:val="none"/>
                <w:lang w:eastAsia="zh-CN"/>
              </w:rPr>
              <w:t>；</w:t>
            </w:r>
          </w:p>
          <w:p w14:paraId="00BE9585">
            <w:pPr>
              <w:pStyle w:val="13"/>
              <w:adjustRightInd w:val="0"/>
              <w:snapToGrid w:val="0"/>
              <w:spacing w:before="0" w:beforeLines="0" w:after="0" w:afterLines="0" w:line="288" w:lineRule="auto"/>
              <w:jc w:val="left"/>
              <w:rPr>
                <w:rFonts w:hAnsi="宋体" w:eastAsia="宋体" w:cs="宋体"/>
                <w:color w:val="auto"/>
                <w:sz w:val="21"/>
                <w:szCs w:val="21"/>
                <w:highlight w:val="none"/>
              </w:rPr>
            </w:pPr>
            <w:r>
              <w:rPr>
                <w:rFonts w:hint="eastAsia" w:hAnsi="宋体" w:eastAsia="宋体" w:cs="宋体"/>
                <w:color w:val="auto"/>
                <w:sz w:val="21"/>
                <w:szCs w:val="21"/>
                <w:highlight w:val="none"/>
              </w:rPr>
              <w:t>▲</w:t>
            </w:r>
            <w:r>
              <w:rPr>
                <w:rFonts w:hint="eastAsia" w:hAnsi="宋体" w:eastAsia="宋体" w:cs="宋体"/>
                <w:color w:val="auto"/>
                <w:sz w:val="21"/>
                <w:szCs w:val="21"/>
                <w:highlight w:val="none"/>
                <w:lang w:val="en-US" w:eastAsia="zh-CN"/>
              </w:rPr>
              <w:t>6</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eastAsia"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14:paraId="75D18B7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520D327E">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杭州电子科技大学快速霍尔测量系统</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5A973184">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79E3587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3875F7BB">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招标文件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15D04C3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4501DE1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49FA18C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招标文件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，供应商相应的投标产品须提供国家确定的认证机构出具的、处于有效期之内的节能产品认证证书。</w:t>
      </w:r>
    </w:p>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5D9D45AB">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675E2E1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（工业和信息化部中小企业局）中小企业规模类型自测小程序：http://baosong.miit.gov.cn/ScaleTest。</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607F047E">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4B4764B">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5B139B56">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772691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default"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721FE0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75A0B7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eastAsia" w:ascii="宋体" w:hAnsi="宋体" w:eastAsia="宋体"/>
          <w:color w:val="auto"/>
          <w:szCs w:val="21"/>
          <w:highlight w:val="none"/>
        </w:rPr>
      </w:pPr>
      <w:r>
        <w:rPr>
          <w:rFonts w:hint="eastAsia" w:ascii="宋体" w:hAnsi="宋体" w:eastAsia="宋体"/>
          <w:color w:val="auto"/>
          <w:szCs w:val="21"/>
          <w:highlight w:val="none"/>
        </w:rPr>
        <w:t>3.进口设备的价格采用免税的人民币报价，交货方式为CIP杭州电子科技大学，由中标人</w:t>
      </w:r>
      <w:r>
        <w:rPr>
          <w:rFonts w:hint="eastAsia" w:ascii="宋体" w:hAnsi="宋体" w:eastAsia="宋体"/>
          <w:color w:val="auto"/>
          <w:szCs w:val="21"/>
          <w:highlight w:val="none"/>
          <w:lang w:val="en-US" w:eastAsia="zh-CN"/>
        </w:rPr>
        <w:t>负责</w:t>
      </w:r>
      <w:r>
        <w:rPr>
          <w:rFonts w:hint="eastAsia" w:ascii="宋体" w:hAnsi="宋体" w:eastAsia="宋体"/>
          <w:color w:val="auto"/>
          <w:szCs w:val="21"/>
          <w:highlight w:val="none"/>
        </w:rPr>
        <w:t>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提供进口设备免税承诺函；</w:t>
      </w:r>
    </w:p>
    <w:p w14:paraId="7D1980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6F240D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r>
        <w:rPr>
          <w:rFonts w:hint="eastAsia" w:ascii="宋体" w:hAnsi="宋体" w:eastAsia="宋体"/>
          <w:color w:val="auto"/>
          <w:szCs w:val="21"/>
          <w:highlight w:val="none"/>
          <w:lang w:eastAsia="zh-CN"/>
        </w:rPr>
        <w:t>；</w:t>
      </w:r>
    </w:p>
    <w:p w14:paraId="30966F27">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w:t>
      </w:r>
      <w:r>
        <w:rPr>
          <w:rFonts w:hint="eastAsia" w:hAnsi="宋体" w:eastAsia="宋体" w:cs="宋体"/>
          <w:color w:val="auto"/>
          <w:sz w:val="21"/>
          <w:szCs w:val="21"/>
          <w:highlight w:val="none"/>
          <w:lang w:val="en-US" w:eastAsia="zh-CN"/>
        </w:rPr>
        <w:t>6</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eastAsia"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【客观分】投标人提供自202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技术条款低于技术要求（负偏离）的每项扣3分；</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扣分10项</w:t>
            </w:r>
            <w:r>
              <w:rPr>
                <w:rFonts w:hint="eastAsia" w:ascii="宋体" w:hAnsi="宋体" w:eastAsia="宋体" w:cs="宋体"/>
                <w:color w:val="auto"/>
                <w:szCs w:val="21"/>
                <w:highlight w:val="none"/>
              </w:rPr>
              <w:t>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14:paraId="76D481BB">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highlight w:val="none"/>
        </w:rPr>
      </w:pPr>
      <w:bookmarkStart w:id="53" w:name="_Hlk81817373"/>
      <w:bookmarkStart w:id="54"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245B78A5">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b/>
          <w:bCs/>
          <w:color w:val="9BBB59"/>
          <w:sz w:val="21"/>
          <w:szCs w:val="21"/>
          <w:u w:val="single"/>
        </w:rPr>
      </w:pPr>
      <w:r>
        <w:rPr>
          <w:rFonts w:hint="eastAsia" w:ascii="宋体" w:hAnsi="宋体" w:eastAsia="宋体" w:cs="宋体"/>
          <w:b/>
          <w:bCs/>
          <w:sz w:val="21"/>
          <w:szCs w:val="21"/>
        </w:rPr>
        <w:t>合同编号</w:t>
      </w:r>
      <w:r>
        <w:rPr>
          <w:rFonts w:hint="eastAsia" w:ascii="宋体" w:hAnsi="宋体" w:eastAsia="宋体" w:cs="宋体"/>
          <w:b/>
          <w:bCs/>
          <w:sz w:val="21"/>
          <w:szCs w:val="21"/>
          <w:u w:val="single"/>
        </w:rPr>
        <w:t xml:space="preserve">        </w:t>
      </w:r>
    </w:p>
    <w:p w14:paraId="208F6B87">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杭州电子科技大学采购合同</w:t>
      </w:r>
    </w:p>
    <w:p w14:paraId="544A9F4D">
      <w:pPr>
        <w:keepNext w:val="0"/>
        <w:keepLines w:val="0"/>
        <w:pageBreakBefore w:val="0"/>
        <w:widowControl w:val="0"/>
        <w:kinsoku/>
        <w:wordWrap/>
        <w:overflowPunct/>
        <w:topLinePunct w:val="0"/>
        <w:bidi w:val="0"/>
        <w:spacing w:line="288" w:lineRule="auto"/>
        <w:ind w:left="0" w:hanging="6195" w:hangingChars="295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项目编号：</w:t>
      </w:r>
    </w:p>
    <w:p w14:paraId="6CB4FBC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确认书编号：</w:t>
      </w:r>
    </w:p>
    <w:p w14:paraId="59D4AC94">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甲方（需方）：杭州电子科技大学</w:t>
      </w:r>
    </w:p>
    <w:p w14:paraId="07D9C667">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乙方（供方）：</w:t>
      </w:r>
    </w:p>
    <w:p w14:paraId="68A88A31">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采购代理机构（鉴证方）：</w:t>
      </w:r>
    </w:p>
    <w:p w14:paraId="191F4ED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签约时间、地点：2025年  月   日，浙江杭州</w:t>
      </w:r>
    </w:p>
    <w:p w14:paraId="20E0289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为了保护甲乙双方合法权益，根据</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（项目编号：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r>
        <w:rPr>
          <w:rFonts w:hint="eastAsia" w:ascii="宋体" w:hAnsi="宋体" w:eastAsia="宋体" w:cs="宋体"/>
          <w:sz w:val="21"/>
          <w:szCs w:val="21"/>
          <w:u w:val="single"/>
        </w:rPr>
        <w:t>公开招标</w:t>
      </w:r>
      <w:r>
        <w:rPr>
          <w:rFonts w:hint="eastAsia" w:ascii="宋体" w:hAnsi="宋体" w:eastAsia="宋体" w:cs="宋体"/>
          <w:sz w:val="21"/>
          <w:szCs w:val="21"/>
        </w:rPr>
        <w:t>的中标（成交）结果，签署本合同，以资共同遵守。</w:t>
      </w:r>
    </w:p>
    <w:p w14:paraId="2B1ED01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一、采购货物与合同价格</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316"/>
        <w:gridCol w:w="3316"/>
        <w:gridCol w:w="745"/>
        <w:gridCol w:w="824"/>
        <w:gridCol w:w="1249"/>
        <w:gridCol w:w="1438"/>
      </w:tblGrid>
      <w:tr w14:paraId="3BB6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37363F98">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684" w:type="pct"/>
            <w:tcBorders>
              <w:top w:val="single" w:color="auto" w:sz="4" w:space="0"/>
              <w:left w:val="nil"/>
              <w:bottom w:val="single" w:color="auto" w:sz="4" w:space="0"/>
              <w:right w:val="single" w:color="auto" w:sz="4" w:space="0"/>
            </w:tcBorders>
            <w:noWrap w:val="0"/>
            <w:vAlign w:val="center"/>
          </w:tcPr>
          <w:p w14:paraId="6C3078B2">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货物名称</w:t>
            </w:r>
          </w:p>
        </w:tc>
        <w:tc>
          <w:tcPr>
            <w:tcW w:w="1723" w:type="pct"/>
            <w:tcBorders>
              <w:top w:val="single" w:color="auto" w:sz="4" w:space="0"/>
              <w:left w:val="nil"/>
              <w:bottom w:val="single" w:color="auto" w:sz="4" w:space="0"/>
              <w:right w:val="single" w:color="auto" w:sz="4" w:space="0"/>
            </w:tcBorders>
            <w:noWrap w:val="0"/>
            <w:vAlign w:val="center"/>
          </w:tcPr>
          <w:p w14:paraId="50375AE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品牌、型号等</w:t>
            </w:r>
          </w:p>
        </w:tc>
        <w:tc>
          <w:tcPr>
            <w:tcW w:w="387" w:type="pct"/>
            <w:tcBorders>
              <w:top w:val="single" w:color="auto" w:sz="4" w:space="0"/>
              <w:left w:val="nil"/>
              <w:bottom w:val="single" w:color="auto" w:sz="4" w:space="0"/>
              <w:right w:val="single" w:color="auto" w:sz="4" w:space="0"/>
            </w:tcBorders>
            <w:noWrap w:val="0"/>
            <w:vAlign w:val="center"/>
          </w:tcPr>
          <w:p w14:paraId="7119932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428" w:type="pct"/>
            <w:tcBorders>
              <w:top w:val="single" w:color="auto" w:sz="4" w:space="0"/>
              <w:left w:val="nil"/>
              <w:bottom w:val="single" w:color="auto" w:sz="4" w:space="0"/>
              <w:right w:val="single" w:color="auto" w:sz="4" w:space="0"/>
            </w:tcBorders>
            <w:noWrap w:val="0"/>
            <w:vAlign w:val="center"/>
          </w:tcPr>
          <w:p w14:paraId="279BD591">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单位</w:t>
            </w:r>
          </w:p>
        </w:tc>
        <w:tc>
          <w:tcPr>
            <w:tcW w:w="649" w:type="pct"/>
            <w:tcBorders>
              <w:top w:val="single" w:color="auto" w:sz="4" w:space="0"/>
              <w:left w:val="nil"/>
              <w:bottom w:val="single" w:color="auto" w:sz="4" w:space="0"/>
              <w:right w:val="single" w:color="auto" w:sz="4" w:space="0"/>
            </w:tcBorders>
            <w:noWrap w:val="0"/>
            <w:vAlign w:val="center"/>
          </w:tcPr>
          <w:p w14:paraId="20BE759D">
            <w:pPr>
              <w:keepNext w:val="0"/>
              <w:keepLines w:val="0"/>
              <w:pageBreakBefore w:val="0"/>
              <w:widowControl w:val="0"/>
              <w:kinsoku/>
              <w:wordWrap/>
              <w:overflowPunct/>
              <w:topLinePunct w:val="0"/>
              <w:bidi w:val="0"/>
              <w:spacing w:line="288" w:lineRule="auto"/>
              <w:ind w:left="0" w:firstLine="210" w:firstLineChars="100"/>
              <w:textAlignment w:val="auto"/>
              <w:rPr>
                <w:rFonts w:hint="eastAsia" w:ascii="宋体" w:hAnsi="宋体" w:eastAsia="宋体" w:cs="宋体"/>
                <w:sz w:val="21"/>
                <w:szCs w:val="21"/>
              </w:rPr>
            </w:pPr>
            <w:r>
              <w:rPr>
                <w:rFonts w:hint="eastAsia" w:ascii="宋体" w:hAnsi="宋体" w:eastAsia="宋体" w:cs="宋体"/>
                <w:sz w:val="21"/>
                <w:szCs w:val="21"/>
              </w:rPr>
              <w:t>单价</w:t>
            </w:r>
          </w:p>
        </w:tc>
        <w:tc>
          <w:tcPr>
            <w:tcW w:w="744" w:type="pct"/>
            <w:tcBorders>
              <w:top w:val="single" w:color="auto" w:sz="4" w:space="0"/>
              <w:left w:val="nil"/>
              <w:bottom w:val="single" w:color="auto" w:sz="4" w:space="0"/>
              <w:right w:val="single" w:color="auto" w:sz="4" w:space="0"/>
            </w:tcBorders>
            <w:noWrap w:val="0"/>
            <w:vAlign w:val="center"/>
          </w:tcPr>
          <w:p w14:paraId="595FAA40">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总价</w:t>
            </w:r>
          </w:p>
        </w:tc>
      </w:tr>
      <w:tr w14:paraId="1169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7F6626D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684" w:type="pct"/>
            <w:tcBorders>
              <w:top w:val="single" w:color="auto" w:sz="4" w:space="0"/>
              <w:left w:val="nil"/>
              <w:bottom w:val="single" w:color="auto" w:sz="4" w:space="0"/>
              <w:right w:val="single" w:color="auto" w:sz="4" w:space="0"/>
            </w:tcBorders>
            <w:noWrap w:val="0"/>
            <w:vAlign w:val="center"/>
          </w:tcPr>
          <w:p w14:paraId="07618C0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1C54DF1A">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品牌、型号、详细技术参数（技术参数可以合同附件方式提供）</w:t>
            </w:r>
          </w:p>
        </w:tc>
        <w:tc>
          <w:tcPr>
            <w:tcW w:w="387" w:type="pct"/>
            <w:tcBorders>
              <w:top w:val="single" w:color="auto" w:sz="4" w:space="0"/>
              <w:left w:val="nil"/>
              <w:bottom w:val="single" w:color="auto" w:sz="4" w:space="0"/>
              <w:right w:val="single" w:color="auto" w:sz="4" w:space="0"/>
            </w:tcBorders>
            <w:noWrap w:val="0"/>
            <w:vAlign w:val="center"/>
          </w:tcPr>
          <w:p w14:paraId="591B2514">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2DE51F1">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BFAF87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79229781">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r>
      <w:tr w14:paraId="6A864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6B75490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684" w:type="pct"/>
            <w:tcBorders>
              <w:top w:val="single" w:color="auto" w:sz="4" w:space="0"/>
              <w:left w:val="nil"/>
              <w:bottom w:val="single" w:color="auto" w:sz="4" w:space="0"/>
              <w:right w:val="single" w:color="auto" w:sz="4" w:space="0"/>
            </w:tcBorders>
            <w:noWrap w:val="0"/>
            <w:vAlign w:val="center"/>
          </w:tcPr>
          <w:p w14:paraId="5C9D5B3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6EECC30B">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p>
        </w:tc>
        <w:tc>
          <w:tcPr>
            <w:tcW w:w="387" w:type="pct"/>
            <w:tcBorders>
              <w:top w:val="single" w:color="auto" w:sz="4" w:space="0"/>
              <w:left w:val="nil"/>
              <w:bottom w:val="single" w:color="auto" w:sz="4" w:space="0"/>
              <w:right w:val="single" w:color="auto" w:sz="4" w:space="0"/>
            </w:tcBorders>
            <w:noWrap w:val="0"/>
            <w:vAlign w:val="center"/>
          </w:tcPr>
          <w:p w14:paraId="125DA836">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54EB0D0">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1CB7AF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0B33C517">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r>
      <w:tr w14:paraId="4A8E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5E8193A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合同总价（元，人民币）：小写￥              ，大写：</w:t>
            </w:r>
          </w:p>
        </w:tc>
      </w:tr>
    </w:tbl>
    <w:p w14:paraId="297940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注：以上合同总价包含货物到达甲方或甲方指定用户并能正常使用所需的一切费用，包括但不限于设备（软件）费、包装费、运输费、装卸费、保险费、安装调试费、技术服务费、培训费、保修保换费、税费等。</w:t>
      </w:r>
    </w:p>
    <w:p w14:paraId="77D3A6D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二、供货范围</w:t>
      </w:r>
    </w:p>
    <w:p w14:paraId="63AB517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合同供货范围包括所有合同货物、相关的技术资料。</w:t>
      </w:r>
    </w:p>
    <w:p w14:paraId="606EEBD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3BCEE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三、质保期、履约保证金与</w:t>
      </w:r>
      <w:r>
        <w:rPr>
          <w:rFonts w:hint="eastAsia" w:ascii="宋体" w:hAnsi="宋体" w:eastAsia="宋体" w:cs="宋体"/>
          <w:spacing w:val="-6"/>
          <w:sz w:val="21"/>
          <w:szCs w:val="21"/>
        </w:rPr>
        <w:t>货款的支付</w:t>
      </w:r>
    </w:p>
    <w:p w14:paraId="2AFE010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1.质保期：自验收合格之日起，整机质保期</w:t>
      </w:r>
      <w:r>
        <w:rPr>
          <w:rFonts w:hint="eastAsia" w:ascii="宋体" w:hAnsi="宋体" w:eastAsia="宋体" w:cs="宋体"/>
          <w:sz w:val="21"/>
          <w:szCs w:val="21"/>
          <w:u w:val="single"/>
        </w:rPr>
        <w:t xml:space="preserve">   </w:t>
      </w:r>
      <w:r>
        <w:rPr>
          <w:rFonts w:hint="eastAsia" w:ascii="宋体" w:hAnsi="宋体" w:eastAsia="宋体" w:cs="宋体"/>
          <w:sz w:val="21"/>
          <w:szCs w:val="21"/>
        </w:rPr>
        <w:t>年，其中</w:t>
      </w:r>
      <w:r>
        <w:rPr>
          <w:rFonts w:hint="eastAsia" w:ascii="宋体" w:hAnsi="宋体" w:eastAsia="宋体" w:cs="宋体"/>
          <w:sz w:val="21"/>
          <w:szCs w:val="21"/>
          <w:u w:val="single"/>
        </w:rPr>
        <w:t xml:space="preserve">    </w:t>
      </w:r>
      <w:r>
        <w:rPr>
          <w:rFonts w:hint="eastAsia" w:ascii="宋体" w:hAnsi="宋体" w:eastAsia="宋体" w:cs="宋体"/>
          <w:sz w:val="21"/>
          <w:szCs w:val="21"/>
        </w:rPr>
        <w:t>（配件名称）质保</w:t>
      </w:r>
      <w:r>
        <w:rPr>
          <w:rFonts w:hint="eastAsia" w:ascii="宋体" w:hAnsi="宋体" w:eastAsia="宋体" w:cs="宋体"/>
          <w:sz w:val="21"/>
          <w:szCs w:val="21"/>
          <w:u w:val="single"/>
        </w:rPr>
        <w:t xml:space="preserve">   </w:t>
      </w:r>
      <w:r>
        <w:rPr>
          <w:rFonts w:hint="eastAsia" w:ascii="宋体" w:hAnsi="宋体" w:eastAsia="宋体" w:cs="宋体"/>
          <w:sz w:val="21"/>
          <w:szCs w:val="21"/>
        </w:rPr>
        <w:t>年（如需要）。超过质保期的货物，终生维修，维修时只收部件成本费。软件的质保期即维护期，乙方应提供升级服务。质保期内质保维护升级等费用包含在合同总价中，不额外收取。</w:t>
      </w:r>
    </w:p>
    <w:p w14:paraId="6EE70DB7">
      <w:pPr>
        <w:keepNext w:val="0"/>
        <w:keepLines w:val="0"/>
        <w:pageBreakBefore w:val="0"/>
        <w:widowControl w:val="0"/>
        <w:kinsoku/>
        <w:wordWrap/>
        <w:overflowPunct/>
        <w:topLinePunct w:val="0"/>
        <w:bidi w:val="0"/>
        <w:spacing w:line="288" w:lineRule="auto"/>
        <w:ind w:left="0" w:firstLine="420" w:firstLineChars="200"/>
        <w:jc w:val="left"/>
        <w:textAlignment w:val="auto"/>
        <w:rPr>
          <w:rFonts w:hint="eastAsia" w:ascii="宋体" w:hAnsi="宋体" w:eastAsia="宋体" w:cs="宋体"/>
          <w:bCs/>
          <w:sz w:val="21"/>
          <w:szCs w:val="21"/>
        </w:rPr>
      </w:pPr>
      <w:r>
        <w:rPr>
          <w:rFonts w:hint="eastAsia" w:ascii="宋体" w:hAnsi="宋体" w:eastAsia="宋体" w:cs="宋体"/>
          <w:sz w:val="21"/>
          <w:szCs w:val="21"/>
        </w:rPr>
        <w:t>2.履约保证金</w:t>
      </w:r>
      <w:r>
        <w:rPr>
          <w:rFonts w:hint="eastAsia" w:ascii="宋体" w:hAnsi="宋体" w:eastAsia="宋体" w:cs="宋体"/>
          <w:bCs/>
          <w:sz w:val="21"/>
          <w:szCs w:val="21"/>
        </w:rPr>
        <w:t>：</w:t>
      </w:r>
      <w:r>
        <w:rPr>
          <w:rFonts w:hint="eastAsia" w:ascii="宋体" w:hAnsi="宋体" w:eastAsia="宋体" w:cs="宋体"/>
          <w:sz w:val="21"/>
          <w:szCs w:val="21"/>
        </w:rPr>
        <w:t>合同总金额的</w:t>
      </w:r>
      <w:r>
        <w:rPr>
          <w:rFonts w:hint="eastAsia" w:ascii="宋体" w:hAnsi="宋体" w:eastAsia="宋体" w:cs="宋体"/>
          <w:sz w:val="21"/>
          <w:szCs w:val="21"/>
          <w:u w:val="single"/>
        </w:rPr>
        <w:t>1</w:t>
      </w:r>
      <w:r>
        <w:rPr>
          <w:rFonts w:hint="eastAsia" w:ascii="宋体" w:hAnsi="宋体" w:eastAsia="宋体" w:cs="宋体"/>
          <w:sz w:val="21"/>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提供了预付款保函则供应商无需再缴纳履约保证金。</w:t>
      </w:r>
    </w:p>
    <w:p w14:paraId="04C51C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3.货款的支付（根据项目要求、采购文件、采购结果，按以下方式选择填写）：</w:t>
      </w:r>
    </w:p>
    <w:p w14:paraId="128E98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z w:val="21"/>
          <w:szCs w:val="21"/>
        </w:rPr>
        <w:t>合同生效以及具备实施条件后7个工作日内，且乙方已向甲方提交银行、保险公司等金融机构出具的预付款保函</w:t>
      </w:r>
      <w:r>
        <w:rPr>
          <w:rFonts w:hint="eastAsia" w:ascii="宋体" w:hAnsi="宋体" w:eastAsia="宋体" w:cs="宋体"/>
          <w:color w:val="auto"/>
          <w:sz w:val="21"/>
          <w:szCs w:val="21"/>
          <w:lang w:eastAsia="zh-CN"/>
        </w:rPr>
        <w:t>（预付款保函有效期覆盖项目验收合格时间）</w:t>
      </w:r>
      <w:r>
        <w:rPr>
          <w:rFonts w:hint="eastAsia" w:ascii="宋体" w:hAnsi="宋体" w:eastAsia="宋体" w:cs="宋体"/>
          <w:color w:val="auto"/>
          <w:sz w:val="21"/>
          <w:szCs w:val="21"/>
        </w:rPr>
        <w:t>的，甲方向乙方支付合同总价的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%；货物在乙方安装调试完毕经甲方验收合格并收到发票后7个工作日内，向乙方支付合同总价的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E464FB2">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396" w:firstLineChars="20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注：付款前，乙方须提供甲方财务处开具的履约保证金收据，乙方向甲方开具等额有效的合格增值税专用发票。采购人开票信息如下：</w:t>
      </w:r>
    </w:p>
    <w:p w14:paraId="2A7D85AE">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单位名称：杭州电子科技大学。税号：12330000470009026T</w:t>
      </w:r>
    </w:p>
    <w:p w14:paraId="6C60AB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rPr>
        <w:t>开户银行：工行杭州高新支行   账号：1202026209008806216</w:t>
      </w:r>
    </w:p>
    <w:p w14:paraId="0D2DBC9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四、其他条款约定</w:t>
      </w:r>
    </w:p>
    <w:p w14:paraId="5E7C549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1.如本合同货物为进口货物时，甲方协助乙方在到货前办好进口货物审批和免税手续。</w:t>
      </w:r>
    </w:p>
    <w:p w14:paraId="7BFA57D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2.如本合同货物为进口货物时，乙方应根据本次采购结果（本合同约定的）提供双方确认的进口货物的品名、型号规格、配置配件、技术要求、价格、制造厂商或生产国别、售后服务等相关书面资料。</w:t>
      </w:r>
    </w:p>
    <w:p w14:paraId="07E0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由乙方指定的境外公司签订外贸合同，如乙方指定的境外公司未能履行所签订外贸合同的条款时，则乙方指定的该境外公司名下的所有合同法律后果、责任和风险转由乙方承担，乙方无条件接受。</w:t>
      </w:r>
    </w:p>
    <w:p w14:paraId="73183A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3.如本合同货物为进口货物时，乙方负责对外签订外贸合同、协助商谈运输方式、到货地点，办理法定商检、对外承付货款、办理进口报关、并在到货后负责送货上门和安装调试等事宜。</w:t>
      </w:r>
    </w:p>
    <w:p w14:paraId="3153C4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4.如本合同货物为进口货物时，所涉及的进口货物外贸代理费由乙方承担，与甲方无涉。</w:t>
      </w:r>
    </w:p>
    <w:p w14:paraId="00D492A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五、知识产权 </w:t>
      </w:r>
    </w:p>
    <w:p w14:paraId="0DFD36C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0375F03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2.涉及产品定做的，甲方交付给乙方的设计图纸、样品、模具等商业秘密和知识产权归属于甲方，许可乙方在合同范围内使用，乙方负有保密责任。</w:t>
      </w:r>
    </w:p>
    <w:p w14:paraId="412C143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3.乙方违反上述条款导致甲方受损的，由此所导致的所有责任以及甲方所支付的所有费用（包括但不限于律师费、诉讼费等）均由乙方承担。</w:t>
      </w:r>
    </w:p>
    <w:p w14:paraId="396CAD5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六、转包或分包</w:t>
      </w:r>
    </w:p>
    <w:p w14:paraId="2B8166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1.本合同范围的货物，应由乙方直接供应，不得转让他人供应。</w:t>
      </w:r>
    </w:p>
    <w:p w14:paraId="528AFD2A">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2.除非得到甲方的书面同意，乙方不得将本合同范围的货物分包给他人供应。</w:t>
      </w:r>
    </w:p>
    <w:p w14:paraId="0BC20179">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3.如有转让或未经甲方同意的分包行为，甲方有权解除合同，没收履约保证金并追究乙方的违约责任。</w:t>
      </w:r>
    </w:p>
    <w:p w14:paraId="0331BB7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七、货物交付</w:t>
      </w:r>
    </w:p>
    <w:p w14:paraId="3621577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1.交货期：自合同签订生效之日起</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t>日</w:t>
      </w:r>
      <w:r>
        <w:rPr>
          <w:rFonts w:hint="eastAsia" w:ascii="宋体" w:hAnsi="宋体" w:eastAsia="宋体" w:cs="宋体"/>
          <w:sz w:val="21"/>
          <w:szCs w:val="21"/>
        </w:rPr>
        <w:t>内。</w:t>
      </w:r>
    </w:p>
    <w:p w14:paraId="10CDDBB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2.交货方式：送货上门。</w:t>
      </w:r>
    </w:p>
    <w:p w14:paraId="60432DB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3.交货地点：甲方指定地点。</w:t>
      </w:r>
    </w:p>
    <w:p w14:paraId="644F6B4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4.联系人及电话：甲方 姓名_________联系电话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；乙方 姓名 __________联系电话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w:t>
      </w:r>
    </w:p>
    <w:p w14:paraId="088E79C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5.乙方应在交货前3日内，以电话或传真向甲方提供交货计划（内容包括合同号、设备名称、型号规格、数量、重量和体积的约数、交货时间、地点、运输安排）。甲方应及时作好准备，办妥一切接货手续。</w:t>
      </w:r>
    </w:p>
    <w:p w14:paraId="4D323F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6.本合同所有物品运抵甲方现场后，乙方应在确保设备外包装完好无损的情况下向甲方交货，出现货物不全，外包装破损等情况，甲方不予接收，由乙方负责更换，其相关费用由乙方负担。</w:t>
      </w:r>
    </w:p>
    <w:p w14:paraId="696A21C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7.乙方负责在约定期内将货物安全运抵指定地点，运输方式由乙方自行决定，相关费用由乙方承担。运输途中产生的交通事故、人身伤害、财产损失等责任均由乙方自行承担，与甲方无涉。</w:t>
      </w:r>
    </w:p>
    <w:p w14:paraId="5C24C77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八、安装与验收</w:t>
      </w:r>
    </w:p>
    <w:p w14:paraId="7128F2E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验收由甲方负责实施，甲乙双方验收人员在安装数量和合同价格清单上签字确认。</w:t>
      </w:r>
    </w:p>
    <w:p w14:paraId="08E2E38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6F7DBB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4CAFAD6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3.最终验收：货物经安装调试完成且符合技术要求后，甲方负责在</w:t>
      </w:r>
      <w:r>
        <w:rPr>
          <w:rFonts w:hint="eastAsia" w:ascii="宋体" w:hAnsi="宋体" w:eastAsia="宋体" w:cs="宋体"/>
          <w:sz w:val="21"/>
          <w:szCs w:val="21"/>
          <w:u w:val="single"/>
        </w:rPr>
        <w:t xml:space="preserve">    </w:t>
      </w:r>
      <w:r>
        <w:rPr>
          <w:rFonts w:hint="eastAsia" w:ascii="宋体" w:hAnsi="宋体" w:eastAsia="宋体" w:cs="宋体"/>
          <w:sz w:val="21"/>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665632B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九、质量保证与售后服务</w:t>
      </w:r>
    </w:p>
    <w:p w14:paraId="0B733B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1.乙方应按采购文件规定的货物性能、技术要求、质量标准向甲方提供</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月后生产的，全新未经使用的，符合国家法律规定和技术规格、质量标准的出厂原装合格产品。</w:t>
      </w:r>
    </w:p>
    <w:p w14:paraId="2B61FDC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2.售后服务</w:t>
      </w:r>
    </w:p>
    <w:p w14:paraId="7FB678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2.1远程技术支持：乙方应具有稳定的技术支持队伍和完善的服务支持网络，提供</w:t>
      </w:r>
      <w:r>
        <w:rPr>
          <w:rFonts w:hint="eastAsia" w:ascii="宋体" w:hAnsi="宋体" w:eastAsia="宋体" w:cs="宋体"/>
          <w:sz w:val="21"/>
          <w:szCs w:val="21"/>
          <w:u w:val="single"/>
        </w:rPr>
        <w:t xml:space="preserve"> 7×24小时 </w:t>
      </w:r>
      <w:r>
        <w:rPr>
          <w:rFonts w:hint="eastAsia" w:ascii="宋体" w:hAnsi="宋体" w:eastAsia="宋体" w:cs="宋体"/>
          <w:sz w:val="21"/>
          <w:szCs w:val="21"/>
        </w:rPr>
        <w:t>技术支持服务，及时响应甲方的技术服务支持需求，提出有效的解决方案，解决甲方在货物使用过程中遇到的实际问题。</w:t>
      </w:r>
    </w:p>
    <w:p w14:paraId="579D64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2.2现场技术支持：对于通过电话、邮件等远程技术支持不能解决的问题，乙方应在</w:t>
      </w:r>
      <w:r>
        <w:rPr>
          <w:rFonts w:hint="eastAsia" w:ascii="宋体" w:hAnsi="宋体" w:eastAsia="宋体" w:cs="宋体"/>
          <w:sz w:val="21"/>
          <w:szCs w:val="21"/>
          <w:u w:val="single"/>
        </w:rPr>
        <w:t xml:space="preserve">      </w:t>
      </w:r>
      <w:r>
        <w:rPr>
          <w:rFonts w:hint="eastAsia" w:ascii="宋体" w:hAnsi="宋体" w:eastAsia="宋体" w:cs="宋体"/>
          <w:sz w:val="21"/>
          <w:szCs w:val="21"/>
        </w:rPr>
        <w:t>小时内派遣相关人员赶赴现场，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小时内维修完毕；发生紧急抢修事故的，乙方应在接到甲方通知后</w:t>
      </w:r>
      <w:r>
        <w:rPr>
          <w:rFonts w:hint="eastAsia" w:ascii="宋体" w:hAnsi="宋体" w:eastAsia="宋体" w:cs="宋体"/>
          <w:sz w:val="21"/>
          <w:szCs w:val="21"/>
          <w:u w:val="single"/>
        </w:rPr>
        <w:t xml:space="preserve">     </w:t>
      </w:r>
      <w:r>
        <w:rPr>
          <w:rFonts w:hint="eastAsia" w:ascii="宋体" w:hAnsi="宋体" w:eastAsia="宋体" w:cs="宋体"/>
          <w:sz w:val="21"/>
          <w:szCs w:val="21"/>
        </w:rPr>
        <w:t>小时内到达现场抢修，并于到达现场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小时之内排除故障。乙方未在约定时间内修复的或同一货物经</w:t>
      </w:r>
      <w:r>
        <w:rPr>
          <w:rFonts w:hint="eastAsia" w:ascii="宋体" w:hAnsi="宋体" w:eastAsia="宋体" w:cs="宋体"/>
          <w:sz w:val="21"/>
          <w:szCs w:val="21"/>
          <w:u w:val="single"/>
        </w:rPr>
        <w:t xml:space="preserve">    </w:t>
      </w:r>
      <w:r>
        <w:rPr>
          <w:rFonts w:hint="eastAsia" w:ascii="宋体" w:hAnsi="宋体" w:eastAsia="宋体" w:cs="宋体"/>
          <w:sz w:val="21"/>
          <w:szCs w:val="21"/>
        </w:rPr>
        <w:t>次维修后仍不能稳定、可靠运行的，甲方有权要求乙方免费更换。</w:t>
      </w:r>
    </w:p>
    <w:p w14:paraId="2795CDF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十、保密条款</w:t>
      </w:r>
    </w:p>
    <w:p w14:paraId="333C43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E098D0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十一、违约责任</w:t>
      </w:r>
    </w:p>
    <w:p w14:paraId="145A67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1.甲方无故逾期验收和办理货款支付手续的，每逾期一日，应按逾期付款总额</w:t>
      </w:r>
      <w:r>
        <w:rPr>
          <w:rFonts w:hint="eastAsia" w:ascii="宋体" w:hAnsi="宋体" w:eastAsia="宋体" w:cs="宋体"/>
          <w:sz w:val="21"/>
          <w:szCs w:val="21"/>
          <w:u w:val="single"/>
        </w:rPr>
        <w:t>千分之一</w:t>
      </w:r>
      <w:r>
        <w:rPr>
          <w:rFonts w:hint="eastAsia" w:ascii="宋体" w:hAnsi="宋体" w:eastAsia="宋体" w:cs="宋体"/>
          <w:sz w:val="21"/>
          <w:szCs w:val="21"/>
        </w:rPr>
        <w:t>向乙方支付违约金。</w:t>
      </w:r>
    </w:p>
    <w:p w14:paraId="07A4A94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2.乙方逾期交货完工的，每逾期一日，应按合同总价</w:t>
      </w:r>
      <w:r>
        <w:rPr>
          <w:rFonts w:hint="eastAsia" w:ascii="宋体" w:hAnsi="宋体" w:eastAsia="宋体" w:cs="宋体"/>
          <w:sz w:val="21"/>
          <w:szCs w:val="21"/>
          <w:u w:val="single"/>
        </w:rPr>
        <w:t>千分之一</w:t>
      </w:r>
      <w:r>
        <w:rPr>
          <w:rFonts w:hint="eastAsia" w:ascii="宋体" w:hAnsi="宋体" w:eastAsia="宋体" w:cs="宋体"/>
          <w:sz w:val="21"/>
          <w:szCs w:val="21"/>
        </w:rPr>
        <w:t>向甲方支付违约金。逾期超过约定日期</w:t>
      </w:r>
      <w:r>
        <w:rPr>
          <w:rFonts w:hint="eastAsia" w:ascii="宋体" w:hAnsi="宋体" w:eastAsia="宋体" w:cs="宋体"/>
          <w:sz w:val="21"/>
          <w:szCs w:val="21"/>
          <w:u w:val="single"/>
        </w:rPr>
        <w:t xml:space="preserve"> 10 </w:t>
      </w:r>
      <w:r>
        <w:rPr>
          <w:rFonts w:hint="eastAsia" w:ascii="宋体" w:hAnsi="宋体" w:eastAsia="宋体" w:cs="宋体"/>
          <w:sz w:val="21"/>
          <w:szCs w:val="21"/>
        </w:rPr>
        <w:t>个工作日不能交货完工的，甲方有权解除本合同，并要求乙方支付合同总价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209D490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511976E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4.乙方未能按约定要求履行保修义务的，每发生一次应向甲方支付</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w:t>
      </w:r>
      <w:r>
        <w:rPr>
          <w:rFonts w:hint="eastAsia" w:ascii="宋体" w:hAnsi="宋体" w:eastAsia="宋体" w:cs="宋体"/>
          <w:sz w:val="21"/>
          <w:szCs w:val="21"/>
        </w:rPr>
        <w:t>元的违约金，同时，甲方有权委托第三方进行保修，所产生的费用由乙方承担。若因货物缺陷或乙方服务质量等问题造成甲方或任何人员人身、财产损害的，乙方应承担有关责任并作出相应赔偿。</w:t>
      </w:r>
    </w:p>
    <w:p w14:paraId="470A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5.因乙方其他违约行为导致甲方解除合同的，乙方应向甲方支付合同总价 </w:t>
      </w:r>
      <w:r>
        <w:rPr>
          <w:rFonts w:hint="eastAsia" w:ascii="宋体" w:hAnsi="宋体" w:eastAsia="宋体" w:cs="宋体"/>
          <w:sz w:val="21"/>
          <w:szCs w:val="21"/>
          <w:u w:val="single"/>
        </w:rPr>
        <w:t>5 %</w:t>
      </w:r>
      <w:r>
        <w:rPr>
          <w:rFonts w:hint="eastAsia" w:ascii="宋体" w:hAnsi="宋体" w:eastAsia="宋体" w:cs="宋体"/>
          <w:sz w:val="21"/>
          <w:szCs w:val="21"/>
        </w:rPr>
        <w:t>的违约金，违约金不足以弥补甲方损失的，乙方还应负责赔偿。</w:t>
      </w:r>
    </w:p>
    <w:p w14:paraId="4F3AE14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十二、不可抗力</w:t>
      </w:r>
    </w:p>
    <w:p w14:paraId="36BFA8B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1.在合同有效期内，任何一方因不可抗力事件导致不能履行合同，则合同履行期可延长，其延长期与不可抗力影响期相同。</w:t>
      </w:r>
    </w:p>
    <w:p w14:paraId="28192A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2.本条所述的“不可抗力”系指双方不可预见、不可避免、不可克服的事件。</w:t>
      </w:r>
    </w:p>
    <w:p w14:paraId="664111E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3.不可抗力事件发生后，受不可抗力事件影响的一方应在事件发生后3日内通知对方，并寄送有关权威机构出具的证明。同时应立即尽一切合理努力采取措施，消除影响，减少损失。</w:t>
      </w:r>
    </w:p>
    <w:p w14:paraId="7A77F29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4.不可抗力事件延续30天以上，双方应通过友好协商，确定是否继续履行合同。</w:t>
      </w:r>
    </w:p>
    <w:p w14:paraId="517FCB7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十三、法律适用与争议解决</w:t>
      </w:r>
    </w:p>
    <w:p w14:paraId="528C75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1.本合同的订立、解释、履行及争议解决，均适用中华人民共和国法律。</w:t>
      </w:r>
    </w:p>
    <w:p w14:paraId="31A0CC5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2.本合同履行过程中发生争议的，甲乙双方应友好协商；协商不成的，任何一方可向甲方所在地人民法院起诉。</w:t>
      </w:r>
    </w:p>
    <w:p w14:paraId="62DE1DE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十四、合同生效及其他</w:t>
      </w:r>
    </w:p>
    <w:p w14:paraId="59F9D36A">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1.本合同经甲、乙双方代表签字并加盖单位公章或合同专用章后生效，甲方的单位公章盖采购中心合同专用章（其他部门公章无效）。</w:t>
      </w:r>
    </w:p>
    <w:p w14:paraId="032E8F9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2CCDE52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11FAB0B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（1）本合同及其补充合同、变更协议；</w:t>
      </w:r>
    </w:p>
    <w:p w14:paraId="42A455F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（2）中标（成交）通知书；</w:t>
      </w:r>
    </w:p>
    <w:p w14:paraId="601B350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（3）投标（响应）文件（含澄清或者说明文件）；</w:t>
      </w:r>
    </w:p>
    <w:p w14:paraId="0584C8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（4）招标（非招标）文件（含澄清或者修改文件）；</w:t>
      </w:r>
    </w:p>
    <w:p w14:paraId="56CABD6C">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（5）其他相关采购文件。</w:t>
      </w:r>
    </w:p>
    <w:p w14:paraId="63CD1C2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4.本合同未尽事宜，遵照《中华人民共和国民法典》有关条文执行。</w:t>
      </w:r>
    </w:p>
    <w:p w14:paraId="43EFAF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5.本合同一式肆份，甲方执叁份，乙方执一份，具有同等法律效力。</w:t>
      </w:r>
    </w:p>
    <w:p w14:paraId="5F4A79E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sz w:val="21"/>
          <w:szCs w:val="21"/>
        </w:rPr>
        <w:t xml:space="preserve"> 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78001FD7">
        <w:tblPrEx>
          <w:tblCellMar>
            <w:top w:w="0" w:type="dxa"/>
            <w:left w:w="108" w:type="dxa"/>
            <w:bottom w:w="0" w:type="dxa"/>
            <w:right w:w="108" w:type="dxa"/>
          </w:tblCellMar>
        </w:tblPrEx>
        <w:trPr>
          <w:trHeight w:val="632" w:hRule="atLeast"/>
          <w:jc w:val="center"/>
        </w:trPr>
        <w:tc>
          <w:tcPr>
            <w:tcW w:w="5073" w:type="dxa"/>
            <w:vAlign w:val="center"/>
          </w:tcPr>
          <w:p w14:paraId="53C4FCC2">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3DD1282">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2D6BF0E">
        <w:tblPrEx>
          <w:tblCellMar>
            <w:top w:w="0" w:type="dxa"/>
            <w:left w:w="108" w:type="dxa"/>
            <w:bottom w:w="0" w:type="dxa"/>
            <w:right w:w="108" w:type="dxa"/>
          </w:tblCellMar>
        </w:tblPrEx>
        <w:trPr>
          <w:trHeight w:val="717" w:hRule="atLeast"/>
          <w:jc w:val="center"/>
        </w:trPr>
        <w:tc>
          <w:tcPr>
            <w:tcW w:w="5073" w:type="dxa"/>
            <w:vAlign w:val="center"/>
          </w:tcPr>
          <w:p w14:paraId="5D890AF0">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701626F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20B5C9FE">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1DB42FE8">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245113F8">
        <w:tblPrEx>
          <w:tblCellMar>
            <w:top w:w="0" w:type="dxa"/>
            <w:left w:w="108" w:type="dxa"/>
            <w:bottom w:w="0" w:type="dxa"/>
            <w:right w:w="108" w:type="dxa"/>
          </w:tblCellMar>
        </w:tblPrEx>
        <w:trPr>
          <w:jc w:val="center"/>
        </w:trPr>
        <w:tc>
          <w:tcPr>
            <w:tcW w:w="5073" w:type="dxa"/>
            <w:vAlign w:val="center"/>
          </w:tcPr>
          <w:p w14:paraId="16D18823">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5F1AEC3F">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320BF23F">
        <w:tblPrEx>
          <w:tblCellMar>
            <w:top w:w="0" w:type="dxa"/>
            <w:left w:w="108" w:type="dxa"/>
            <w:bottom w:w="0" w:type="dxa"/>
            <w:right w:w="108" w:type="dxa"/>
          </w:tblCellMar>
        </w:tblPrEx>
        <w:trPr>
          <w:jc w:val="center"/>
        </w:trPr>
        <w:tc>
          <w:tcPr>
            <w:tcW w:w="5073" w:type="dxa"/>
            <w:vAlign w:val="center"/>
          </w:tcPr>
          <w:p w14:paraId="002947C7">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74FAABCF">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087C8B00">
        <w:tblPrEx>
          <w:tblCellMar>
            <w:top w:w="0" w:type="dxa"/>
            <w:left w:w="108" w:type="dxa"/>
            <w:bottom w:w="0" w:type="dxa"/>
            <w:right w:w="108" w:type="dxa"/>
          </w:tblCellMar>
        </w:tblPrEx>
        <w:trPr>
          <w:jc w:val="center"/>
        </w:trPr>
        <w:tc>
          <w:tcPr>
            <w:tcW w:w="5073" w:type="dxa"/>
            <w:vAlign w:val="center"/>
          </w:tcPr>
          <w:p w14:paraId="53BEB2FF">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39FA7E5D">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50118CAC">
        <w:tblPrEx>
          <w:tblCellMar>
            <w:top w:w="0" w:type="dxa"/>
            <w:left w:w="108" w:type="dxa"/>
            <w:bottom w:w="0" w:type="dxa"/>
            <w:right w:w="108" w:type="dxa"/>
          </w:tblCellMar>
        </w:tblPrEx>
        <w:trPr>
          <w:jc w:val="center"/>
        </w:trPr>
        <w:tc>
          <w:tcPr>
            <w:tcW w:w="5073" w:type="dxa"/>
            <w:vAlign w:val="center"/>
          </w:tcPr>
          <w:p w14:paraId="023B9DD8">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44265BD0">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65317839">
        <w:tblPrEx>
          <w:tblCellMar>
            <w:top w:w="0" w:type="dxa"/>
            <w:left w:w="108" w:type="dxa"/>
            <w:bottom w:w="0" w:type="dxa"/>
            <w:right w:w="108" w:type="dxa"/>
          </w:tblCellMar>
        </w:tblPrEx>
        <w:trPr>
          <w:jc w:val="center"/>
        </w:trPr>
        <w:tc>
          <w:tcPr>
            <w:tcW w:w="5073" w:type="dxa"/>
            <w:vAlign w:val="center"/>
          </w:tcPr>
          <w:p w14:paraId="64D1DD5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2E4FD0CD">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35D89FD7">
        <w:tblPrEx>
          <w:tblCellMar>
            <w:top w:w="0" w:type="dxa"/>
            <w:left w:w="108" w:type="dxa"/>
            <w:bottom w:w="0" w:type="dxa"/>
            <w:right w:w="108" w:type="dxa"/>
          </w:tblCellMar>
        </w:tblPrEx>
        <w:trPr>
          <w:jc w:val="center"/>
        </w:trPr>
        <w:tc>
          <w:tcPr>
            <w:tcW w:w="9249" w:type="dxa"/>
            <w:gridSpan w:val="2"/>
          </w:tcPr>
          <w:p w14:paraId="4620C915">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739BDCC5">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代表人：</w:t>
            </w:r>
          </w:p>
          <w:p w14:paraId="4498F9A3">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2E2387B1">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0E0D6E5B">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7B8E3313">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2DF150BE">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4838A947">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（2）进口设备免税承诺函（如有）</w:t>
      </w:r>
    </w:p>
    <w:p w14:paraId="3AED8897">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（3）中小企业声明函（若属于中小企业）</w:t>
      </w:r>
    </w:p>
    <w:p w14:paraId="72CC5BDE">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（4）属于监狱企业的证明文件（若属于监狱企业）</w:t>
      </w:r>
    </w:p>
    <w:p w14:paraId="52033B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（5）残疾人福利性单位声明函（若属于残疾人福利性单位）</w:t>
      </w:r>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highlight w:val="none"/>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highlight w:val="none"/>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highlight w:val="none"/>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highlight w:val="none"/>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highlight w:val="none"/>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highlight w:val="none"/>
              </w:rPr>
            </w:pPr>
          </w:p>
        </w:tc>
        <w:tc>
          <w:tcPr>
            <w:tcW w:w="882" w:type="dxa"/>
          </w:tcPr>
          <w:p w14:paraId="6FF943A5">
            <w:pPr>
              <w:adjustRightInd w:val="0"/>
              <w:snapToGrid w:val="0"/>
              <w:spacing w:line="288" w:lineRule="auto"/>
              <w:jc w:val="center"/>
              <w:rPr>
                <w:rFonts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杭州电子科技大学快速霍尔测量系统</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QSZBB250326ZHGK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69A3196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杭州电子科技大学快速霍尔测量系统</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QSZBB250326ZHGK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2025年1月（含）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2025年1月（含）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快速霍尔测量系统</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QSZBB250326ZHGK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adjustRightInd w:val="0"/>
              <w:snapToGrid w:val="0"/>
              <w:spacing w:line="288" w:lineRule="auto"/>
              <w:rPr>
                <w:rFonts w:ascii="宋体" w:hAnsi="宋体" w:eastAsia="宋体" w:cs="宋体"/>
                <w:color w:val="auto"/>
                <w:szCs w:val="21"/>
                <w:highlight w:val="none"/>
              </w:rPr>
            </w:pPr>
          </w:p>
        </w:tc>
        <w:tc>
          <w:tcPr>
            <w:tcW w:w="2574" w:type="dxa"/>
            <w:vAlign w:val="center"/>
          </w:tcPr>
          <w:p w14:paraId="702CD0E8">
            <w:pPr>
              <w:adjustRightInd w:val="0"/>
              <w:snapToGrid w:val="0"/>
              <w:spacing w:line="288" w:lineRule="auto"/>
              <w:rPr>
                <w:rFonts w:ascii="宋体" w:hAnsi="宋体" w:eastAsia="宋体" w:cs="宋体"/>
                <w:color w:val="auto"/>
                <w:szCs w:val="21"/>
                <w:highlight w:val="none"/>
              </w:rPr>
            </w:pPr>
          </w:p>
        </w:tc>
        <w:tc>
          <w:tcPr>
            <w:tcW w:w="2124" w:type="dxa"/>
            <w:vAlign w:val="center"/>
          </w:tcPr>
          <w:p w14:paraId="602EFA5A">
            <w:pPr>
              <w:adjustRightInd w:val="0"/>
              <w:snapToGrid w:val="0"/>
              <w:spacing w:line="288" w:lineRule="auto"/>
              <w:rPr>
                <w:rFonts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adjustRightInd w:val="0"/>
              <w:snapToGrid w:val="0"/>
              <w:spacing w:line="288" w:lineRule="auto"/>
              <w:rPr>
                <w:rFonts w:ascii="宋体" w:hAnsi="宋体" w:eastAsia="宋体" w:cs="宋体"/>
                <w:color w:val="auto"/>
                <w:szCs w:val="21"/>
                <w:highlight w:val="none"/>
              </w:rPr>
            </w:pPr>
          </w:p>
        </w:tc>
        <w:tc>
          <w:tcPr>
            <w:tcW w:w="2574" w:type="dxa"/>
            <w:vAlign w:val="center"/>
          </w:tcPr>
          <w:p w14:paraId="3887E5E7">
            <w:pPr>
              <w:adjustRightInd w:val="0"/>
              <w:snapToGrid w:val="0"/>
              <w:spacing w:line="288" w:lineRule="auto"/>
              <w:rPr>
                <w:rFonts w:ascii="宋体" w:hAnsi="宋体" w:eastAsia="宋体" w:cs="宋体"/>
                <w:color w:val="auto"/>
                <w:szCs w:val="21"/>
                <w:highlight w:val="none"/>
              </w:rPr>
            </w:pPr>
          </w:p>
        </w:tc>
        <w:tc>
          <w:tcPr>
            <w:tcW w:w="2124" w:type="dxa"/>
            <w:vAlign w:val="center"/>
          </w:tcPr>
          <w:p w14:paraId="376258A4">
            <w:pPr>
              <w:adjustRightInd w:val="0"/>
              <w:snapToGrid w:val="0"/>
              <w:spacing w:line="288" w:lineRule="auto"/>
              <w:rPr>
                <w:rFonts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adjustRightInd w:val="0"/>
              <w:snapToGrid w:val="0"/>
              <w:spacing w:line="288" w:lineRule="auto"/>
              <w:rPr>
                <w:rFonts w:ascii="宋体" w:hAnsi="宋体" w:eastAsia="宋体" w:cs="宋体"/>
                <w:color w:val="auto"/>
                <w:szCs w:val="21"/>
                <w:highlight w:val="none"/>
              </w:rPr>
            </w:pPr>
          </w:p>
        </w:tc>
        <w:tc>
          <w:tcPr>
            <w:tcW w:w="2574" w:type="dxa"/>
            <w:vAlign w:val="center"/>
          </w:tcPr>
          <w:p w14:paraId="2E789987">
            <w:pPr>
              <w:adjustRightInd w:val="0"/>
              <w:snapToGrid w:val="0"/>
              <w:spacing w:line="288" w:lineRule="auto"/>
              <w:rPr>
                <w:rFonts w:ascii="宋体" w:hAnsi="宋体" w:eastAsia="宋体" w:cs="宋体"/>
                <w:color w:val="auto"/>
                <w:szCs w:val="21"/>
                <w:highlight w:val="none"/>
              </w:rPr>
            </w:pPr>
          </w:p>
        </w:tc>
        <w:tc>
          <w:tcPr>
            <w:tcW w:w="2124" w:type="dxa"/>
            <w:vAlign w:val="center"/>
          </w:tcPr>
          <w:p w14:paraId="2374EA9A">
            <w:pPr>
              <w:adjustRightInd w:val="0"/>
              <w:snapToGrid w:val="0"/>
              <w:spacing w:line="288" w:lineRule="auto"/>
              <w:rPr>
                <w:rFonts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adjustRightInd w:val="0"/>
              <w:snapToGrid w:val="0"/>
              <w:spacing w:line="288" w:lineRule="auto"/>
              <w:rPr>
                <w:rFonts w:ascii="宋体" w:hAnsi="宋体" w:eastAsia="宋体" w:cs="宋体"/>
                <w:color w:val="auto"/>
                <w:szCs w:val="21"/>
                <w:highlight w:val="none"/>
              </w:rPr>
            </w:pPr>
          </w:p>
        </w:tc>
        <w:tc>
          <w:tcPr>
            <w:tcW w:w="2574" w:type="dxa"/>
            <w:vAlign w:val="center"/>
          </w:tcPr>
          <w:p w14:paraId="58B8E02A">
            <w:pPr>
              <w:adjustRightInd w:val="0"/>
              <w:snapToGrid w:val="0"/>
              <w:spacing w:line="288" w:lineRule="auto"/>
              <w:rPr>
                <w:rFonts w:ascii="宋体" w:hAnsi="宋体" w:eastAsia="宋体" w:cs="宋体"/>
                <w:color w:val="auto"/>
                <w:szCs w:val="21"/>
                <w:highlight w:val="none"/>
              </w:rPr>
            </w:pPr>
          </w:p>
        </w:tc>
        <w:tc>
          <w:tcPr>
            <w:tcW w:w="2124" w:type="dxa"/>
            <w:vAlign w:val="center"/>
          </w:tcPr>
          <w:p w14:paraId="4091EEC4">
            <w:pPr>
              <w:adjustRightInd w:val="0"/>
              <w:snapToGrid w:val="0"/>
              <w:spacing w:line="288" w:lineRule="auto"/>
              <w:rPr>
                <w:rFonts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adjustRightInd w:val="0"/>
              <w:snapToGrid w:val="0"/>
              <w:spacing w:line="288" w:lineRule="auto"/>
              <w:rPr>
                <w:rFonts w:ascii="宋体" w:hAnsi="宋体" w:eastAsia="宋体" w:cs="宋体"/>
                <w:color w:val="auto"/>
                <w:szCs w:val="21"/>
                <w:highlight w:val="none"/>
              </w:rPr>
            </w:pPr>
          </w:p>
        </w:tc>
        <w:tc>
          <w:tcPr>
            <w:tcW w:w="2574" w:type="dxa"/>
            <w:vAlign w:val="center"/>
          </w:tcPr>
          <w:p w14:paraId="486C04ED">
            <w:pPr>
              <w:adjustRightInd w:val="0"/>
              <w:snapToGrid w:val="0"/>
              <w:spacing w:line="288" w:lineRule="auto"/>
              <w:rPr>
                <w:rFonts w:ascii="宋体" w:hAnsi="宋体" w:eastAsia="宋体" w:cs="宋体"/>
                <w:color w:val="auto"/>
                <w:szCs w:val="21"/>
                <w:highlight w:val="none"/>
              </w:rPr>
            </w:pPr>
          </w:p>
        </w:tc>
        <w:tc>
          <w:tcPr>
            <w:tcW w:w="2124" w:type="dxa"/>
            <w:vAlign w:val="center"/>
          </w:tcPr>
          <w:p w14:paraId="558791D1">
            <w:pPr>
              <w:adjustRightInd w:val="0"/>
              <w:snapToGrid w:val="0"/>
              <w:spacing w:line="288" w:lineRule="auto"/>
              <w:rPr>
                <w:rFonts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adjustRightInd w:val="0"/>
              <w:snapToGrid w:val="0"/>
              <w:spacing w:line="288" w:lineRule="auto"/>
              <w:rPr>
                <w:rFonts w:ascii="宋体" w:hAnsi="宋体" w:eastAsia="宋体" w:cs="宋体"/>
                <w:color w:val="auto"/>
                <w:szCs w:val="21"/>
                <w:highlight w:val="none"/>
              </w:rPr>
            </w:pPr>
          </w:p>
        </w:tc>
        <w:tc>
          <w:tcPr>
            <w:tcW w:w="2574" w:type="dxa"/>
            <w:vAlign w:val="center"/>
          </w:tcPr>
          <w:p w14:paraId="1C372D07">
            <w:pPr>
              <w:adjustRightInd w:val="0"/>
              <w:snapToGrid w:val="0"/>
              <w:spacing w:line="288" w:lineRule="auto"/>
              <w:rPr>
                <w:rFonts w:ascii="宋体" w:hAnsi="宋体" w:eastAsia="宋体" w:cs="宋体"/>
                <w:color w:val="auto"/>
                <w:szCs w:val="21"/>
                <w:highlight w:val="none"/>
              </w:rPr>
            </w:pPr>
          </w:p>
        </w:tc>
        <w:tc>
          <w:tcPr>
            <w:tcW w:w="2124" w:type="dxa"/>
            <w:vAlign w:val="center"/>
          </w:tcPr>
          <w:p w14:paraId="0680D771">
            <w:pPr>
              <w:adjustRightInd w:val="0"/>
              <w:snapToGrid w:val="0"/>
              <w:spacing w:line="288" w:lineRule="auto"/>
              <w:rPr>
                <w:rFonts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快速霍尔测量系统</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QSZBB250326ZHGK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55" w:name="_Hlk177717733"/>
            <w:r>
              <w:rPr>
                <w:rFonts w:hint="eastAsia" w:ascii="宋体" w:hAnsi="宋体" w:eastAsia="宋体" w:cs="宋体"/>
                <w:b/>
                <w:bCs/>
                <w:color w:val="auto"/>
                <w:sz w:val="21"/>
                <w:szCs w:val="21"/>
                <w:highlight w:val="none"/>
              </w:rPr>
              <w:t>规格型号</w:t>
            </w:r>
          </w:p>
          <w:p w14:paraId="6654D31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55"/>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adjustRightInd w:val="0"/>
              <w:snapToGrid w:val="0"/>
              <w:spacing w:line="288" w:lineRule="auto"/>
              <w:rPr>
                <w:rFonts w:ascii="宋体" w:hAnsi="宋体" w:eastAsia="宋体" w:cs="宋体"/>
                <w:b/>
                <w:bCs/>
                <w:color w:val="auto"/>
                <w:szCs w:val="21"/>
                <w:highlight w:val="none"/>
              </w:rPr>
            </w:pPr>
          </w:p>
          <w:p w14:paraId="0C631DF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adjustRightInd w:val="0"/>
              <w:snapToGrid w:val="0"/>
              <w:spacing w:line="288" w:lineRule="auto"/>
              <w:rPr>
                <w:rFonts w:ascii="宋体" w:hAnsi="宋体" w:eastAsia="宋体" w:cs="宋体"/>
                <w:b/>
                <w:bCs/>
                <w:color w:val="auto"/>
                <w:szCs w:val="21"/>
                <w:highlight w:val="none"/>
              </w:rPr>
            </w:pPr>
          </w:p>
          <w:p w14:paraId="5FEFE13F">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adjustRightInd w:val="0"/>
              <w:snapToGrid w:val="0"/>
              <w:spacing w:line="288" w:lineRule="auto"/>
              <w:rPr>
                <w:rFonts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3974690A">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sz w:val="21"/>
          <w:szCs w:val="21"/>
        </w:rPr>
      </w:pPr>
      <w:r>
        <w:rPr>
          <w:rFonts w:hint="eastAsia" w:ascii="宋体" w:hAnsi="宋体" w:eastAsia="宋体" w:cs="宋体"/>
          <w:b/>
          <w:color w:val="auto"/>
          <w:spacing w:val="-6"/>
          <w:sz w:val="21"/>
          <w:szCs w:val="21"/>
        </w:rPr>
        <w:t>（2）</w:t>
      </w:r>
      <w:r>
        <w:rPr>
          <w:rFonts w:hint="eastAsia" w:ascii="宋体" w:hAnsi="宋体" w:eastAsia="宋体" w:cs="宋体"/>
          <w:b/>
          <w:sz w:val="21"/>
          <w:szCs w:val="21"/>
          <w:lang w:val="en-US" w:eastAsia="zh-CN"/>
        </w:rPr>
        <w:t>进</w:t>
      </w:r>
      <w:r>
        <w:rPr>
          <w:rFonts w:hint="eastAsia" w:ascii="宋体" w:hAnsi="宋体" w:eastAsia="宋体" w:cs="宋体"/>
          <w:b/>
          <w:sz w:val="21"/>
          <w:szCs w:val="21"/>
        </w:rPr>
        <w:t>口设备免税承诺函</w:t>
      </w:r>
    </w:p>
    <w:p w14:paraId="6AF63FA2">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74ED7423">
      <w:pPr>
        <w:keepNext w:val="0"/>
        <w:keepLines w:val="0"/>
        <w:pageBreakBefore w:val="0"/>
        <w:widowControl w:val="0"/>
        <w:kinsoku/>
        <w:wordWrap/>
        <w:overflowPunct/>
        <w:topLinePunct w:val="0"/>
        <w:autoSpaceDE/>
        <w:autoSpaceDN/>
        <w:bidi w:val="0"/>
        <w:adjustRightInd/>
        <w:snapToGrid w:val="0"/>
        <w:spacing w:line="288" w:lineRule="auto"/>
        <w:textAlignment w:val="auto"/>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lang w:val="en-US" w:eastAsia="zh-CN"/>
        </w:rPr>
        <w:t>杭州电子科技大学</w:t>
      </w:r>
      <w:r>
        <w:rPr>
          <w:rFonts w:hint="eastAsia" w:ascii="宋体" w:hAnsi="宋体" w:eastAsia="宋体" w:cs="宋体"/>
          <w:sz w:val="21"/>
          <w:szCs w:val="21"/>
        </w:rPr>
        <w:t>：</w:t>
      </w:r>
    </w:p>
    <w:p w14:paraId="5BD0F85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sz w:val="21"/>
          <w:szCs w:val="21"/>
          <w:lang w:eastAsia="zh-CN"/>
        </w:rPr>
      </w:pPr>
    </w:p>
    <w:p w14:paraId="7711179A">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我公司已认真阅读了招标文件（项目编号：</w:t>
      </w:r>
      <w:r>
        <w:rPr>
          <w:rFonts w:hint="eastAsia" w:ascii="宋体" w:hAnsi="宋体" w:eastAsia="宋体" w:cs="宋体"/>
          <w:sz w:val="21"/>
          <w:szCs w:val="21"/>
          <w:lang w:eastAsia="zh-CN"/>
        </w:rPr>
        <w:t>QSZBB250326ZHGK</w:t>
      </w:r>
      <w:r>
        <w:rPr>
          <w:rFonts w:hint="eastAsia" w:ascii="宋体" w:hAnsi="宋体" w:eastAsia="宋体" w:cs="宋体"/>
          <w:sz w:val="21"/>
          <w:szCs w:val="21"/>
        </w:rPr>
        <w:t>）并在此</w:t>
      </w:r>
      <w:r>
        <w:rPr>
          <w:rFonts w:hint="eastAsia" w:ascii="宋体" w:hAnsi="宋体" w:eastAsia="宋体" w:cs="宋体"/>
          <w:sz w:val="21"/>
          <w:szCs w:val="21"/>
          <w:lang w:val="en-US" w:eastAsia="zh-CN"/>
        </w:rPr>
        <w:t>对进口免税</w:t>
      </w:r>
      <w:r>
        <w:rPr>
          <w:rFonts w:hint="eastAsia" w:ascii="宋体" w:hAnsi="宋体" w:eastAsia="宋体" w:cs="宋体"/>
          <w:sz w:val="21"/>
          <w:szCs w:val="21"/>
        </w:rPr>
        <w:t>承诺：</w:t>
      </w:r>
    </w:p>
    <w:p w14:paraId="0CF65757">
      <w:pPr>
        <w:keepNext w:val="0"/>
        <w:keepLines w:val="0"/>
        <w:pageBreakBefore w:val="0"/>
        <w:widowControl w:val="0"/>
        <w:kinsoku/>
        <w:wordWrap/>
        <w:overflowPunct/>
        <w:topLinePunct w:val="0"/>
        <w:autoSpaceDE/>
        <w:autoSpaceDN/>
        <w:bidi w:val="0"/>
        <w:adjustRightInd/>
        <w:snapToGrid w:val="0"/>
        <w:spacing w:line="288" w:lineRule="auto"/>
        <w:ind w:firstLine="42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国家政策允许免税的进口设备的价格采用免税的人民币报价，但对于不能免税的部分应报含税价，并在投标文件中予以明示，交易方式为CIP杭州电子科技大学。不能享受国家的减免税政策或者加征关税的，其税金均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负责办理免税事宜，采购人予以协助，所需费用由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w:t>
      </w:r>
      <w:r>
        <w:rPr>
          <w:rFonts w:hint="eastAsia" w:ascii="宋体" w:hAnsi="宋体" w:eastAsia="宋体" w:cs="宋体"/>
          <w:b/>
          <w:color w:val="auto"/>
          <w:sz w:val="21"/>
          <w:szCs w:val="21"/>
          <w:u w:val="single"/>
        </w:rPr>
        <w:t>因</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自身原因（如不具备进口免税办理资质等）不能办理免税事宜的，则进口设备所涉及的所有税费均由</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承担</w:t>
      </w:r>
      <w:r>
        <w:rPr>
          <w:rFonts w:hint="eastAsia" w:ascii="宋体" w:hAnsi="宋体" w:eastAsia="宋体" w:cs="宋体"/>
          <w:b/>
          <w:color w:val="auto"/>
          <w:sz w:val="21"/>
          <w:szCs w:val="21"/>
        </w:rPr>
        <w:t>。</w:t>
      </w:r>
    </w:p>
    <w:p w14:paraId="4899B617">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color w:val="auto"/>
          <w:kern w:val="2"/>
          <w:sz w:val="21"/>
          <w:szCs w:val="21"/>
          <w:lang w:val="en-US" w:eastAsia="zh-CN" w:bidi="ar-SA"/>
        </w:rPr>
      </w:pPr>
    </w:p>
    <w:p w14:paraId="45392AB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C04328">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432B8CAC">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EBADC5">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承诺方（投标人）法定名称：</w:t>
      </w:r>
      <w:r>
        <w:rPr>
          <w:rFonts w:hint="eastAsia" w:ascii="宋体" w:hAnsi="宋体" w:eastAsia="宋体" w:cs="宋体"/>
          <w:sz w:val="21"/>
          <w:szCs w:val="21"/>
          <w:u w:val="single"/>
        </w:rPr>
        <w:t>__________（盖章）_________</w:t>
      </w:r>
    </w:p>
    <w:p w14:paraId="4E72E5F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承诺方（投标人）法定地址： </w:t>
      </w:r>
      <w:r>
        <w:rPr>
          <w:rFonts w:hint="eastAsia" w:ascii="宋体" w:hAnsi="宋体" w:eastAsia="宋体" w:cs="宋体"/>
          <w:sz w:val="21"/>
          <w:szCs w:val="21"/>
          <w:u w:val="single"/>
        </w:rPr>
        <w:t xml:space="preserve">         （盖章）         </w:t>
      </w:r>
    </w:p>
    <w:p w14:paraId="1B8FA90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u w:val="single"/>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联系传真：</w:t>
      </w:r>
      <w:r>
        <w:rPr>
          <w:rFonts w:hint="eastAsia" w:ascii="宋体" w:hAnsi="宋体" w:eastAsia="宋体" w:cs="宋体"/>
          <w:sz w:val="21"/>
          <w:szCs w:val="21"/>
          <w:u w:val="single"/>
        </w:rPr>
        <w:t xml:space="preserve">               </w:t>
      </w:r>
    </w:p>
    <w:p w14:paraId="2CF0557A">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承诺日期：_____年___月___日</w:t>
      </w:r>
    </w:p>
    <w:p w14:paraId="42A8EAD4">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3B4AA9B0">
      <w:pPr>
        <w:adjustRightInd w:val="0"/>
        <w:snapToGrid w:val="0"/>
        <w:spacing w:line="288" w:lineRule="auto"/>
        <w:jc w:val="both"/>
        <w:outlineLvl w:val="2"/>
        <w:rPr>
          <w:rFonts w:hint="default" w:ascii="宋体" w:hAnsi="宋体" w:eastAsia="宋体" w:cs="宋体"/>
          <w:b/>
          <w:color w:val="auto"/>
          <w:spacing w:val="-6"/>
          <w:szCs w:val="21"/>
          <w:lang w:val="en-US" w:eastAsia="zh-CN"/>
        </w:rPr>
      </w:pPr>
      <w:r>
        <w:rPr>
          <w:rFonts w:hint="eastAsia" w:ascii="宋体" w:hAnsi="宋体" w:eastAsia="宋体" w:cs="宋体"/>
          <w:b/>
          <w:color w:val="auto"/>
          <w:spacing w:val="-6"/>
          <w:szCs w:val="21"/>
          <w:lang w:val="en-US" w:eastAsia="zh-CN"/>
        </w:rPr>
        <w:t>注：所投产品为进口产品的提供。</w:t>
      </w:r>
    </w:p>
    <w:p w14:paraId="4332C2F6">
      <w:pPr>
        <w:rPr>
          <w:rFonts w:hint="eastAsia" w:ascii="宋体" w:hAnsi="宋体" w:eastAsia="宋体" w:cs="宋体"/>
          <w:b/>
          <w:color w:val="auto"/>
          <w:spacing w:val="-6"/>
          <w:szCs w:val="21"/>
        </w:rPr>
      </w:pPr>
      <w:r>
        <w:rPr>
          <w:rFonts w:hint="eastAsia" w:ascii="宋体" w:hAnsi="宋体" w:eastAsia="宋体" w:cs="宋体"/>
          <w:b/>
          <w:color w:val="auto"/>
          <w:spacing w:val="-6"/>
          <w:szCs w:val="21"/>
        </w:rPr>
        <w:br w:type="page"/>
      </w:r>
    </w:p>
    <w:p w14:paraId="5BFEEE6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3</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highlight w:val="none"/>
        </w:rPr>
      </w:pPr>
    </w:p>
    <w:p w14:paraId="69E4B3B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ascii="宋体" w:hAnsi="宋体" w:eastAsia="宋体" w:cs="Times New Roman"/>
          <w:i/>
          <w:color w:val="auto"/>
          <w:szCs w:val="21"/>
          <w:highlight w:val="none"/>
          <w:u w:val="single"/>
        </w:rPr>
        <w:t>（单位名称）</w:t>
      </w:r>
      <w:r>
        <w:rPr>
          <w:rFonts w:ascii="宋体" w:hAnsi="宋体" w:eastAsia="宋体" w:cs="Times New Roman"/>
          <w:color w:val="auto"/>
          <w:szCs w:val="21"/>
          <w:highlight w:val="none"/>
        </w:rPr>
        <w:t>的</w:t>
      </w:r>
      <w:r>
        <w:rPr>
          <w:rFonts w:ascii="宋体" w:hAnsi="宋体" w:eastAsia="宋体" w:cs="Times New Roman"/>
          <w:i/>
          <w:color w:val="auto"/>
          <w:szCs w:val="21"/>
          <w:highlight w:val="none"/>
          <w:u w:val="single"/>
        </w:rPr>
        <w:t>（</w:t>
      </w:r>
      <w:bookmarkStart w:id="56" w:name="_Hlk118098443"/>
      <w:r>
        <w:rPr>
          <w:rFonts w:ascii="宋体" w:hAnsi="宋体" w:eastAsia="宋体" w:cs="Times New Roman"/>
          <w:i/>
          <w:color w:val="auto"/>
          <w:szCs w:val="21"/>
          <w:highlight w:val="none"/>
          <w:u w:val="single"/>
        </w:rPr>
        <w:t>项目名称</w:t>
      </w:r>
      <w:bookmarkEnd w:id="56"/>
      <w:r>
        <w:rPr>
          <w:rFonts w:ascii="宋体" w:hAnsi="宋体" w:eastAsia="宋体" w:cs="Times New Roman"/>
          <w:i/>
          <w:color w:val="auto"/>
          <w:szCs w:val="21"/>
          <w:highlight w:val="none"/>
          <w:u w:val="single"/>
        </w:rPr>
        <w:t>）</w:t>
      </w:r>
      <w:r>
        <w:rPr>
          <w:rFonts w:ascii="宋体" w:hAnsi="宋体" w:eastAsia="宋体" w:cs="Times New Roman"/>
          <w:color w:val="auto"/>
          <w:szCs w:val="21"/>
          <w:highlight w:val="none"/>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1.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ascii="宋体" w:hAnsi="宋体" w:eastAsia="宋体" w:cs="Times New Roman"/>
          <w:color w:val="auto"/>
          <w:szCs w:val="21"/>
          <w:highlight w:val="none"/>
        </w:rPr>
        <w:t>；</w:t>
      </w:r>
    </w:p>
    <w:p w14:paraId="674F562F">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2.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hint="eastAsia" w:ascii="宋体" w:hAnsi="宋体" w:eastAsia="宋体" w:cs="Times New Roman"/>
          <w:color w:val="auto"/>
          <w:szCs w:val="21"/>
          <w:highlight w:val="none"/>
        </w:rPr>
        <w:t>；</w:t>
      </w:r>
    </w:p>
    <w:p w14:paraId="62EE8991">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w:t>
      </w:r>
    </w:p>
    <w:p w14:paraId="76933DCB">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highlight w:val="none"/>
        </w:rPr>
      </w:pPr>
    </w:p>
    <w:p w14:paraId="0619F3D2">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02BA4F93">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099EDE2D">
      <w:pPr>
        <w:adjustRightInd w:val="0"/>
        <w:snapToGrid w:val="0"/>
        <w:spacing w:line="288" w:lineRule="auto"/>
        <w:ind w:firstLine="495" w:firstLineChars="236"/>
        <w:rPr>
          <w:rFonts w:ascii="宋体" w:hAnsi="宋体" w:eastAsia="宋体" w:cs="Times New Roman"/>
          <w:color w:val="auto"/>
          <w:szCs w:val="21"/>
          <w:highlight w:val="none"/>
        </w:rPr>
      </w:pPr>
    </w:p>
    <w:p w14:paraId="000631E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FF5338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2D715C9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0CA62D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6668044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3231D2C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2D713F21">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4</w:t>
      </w:r>
      <w:r>
        <w:rPr>
          <w:rFonts w:hint="eastAsia" w:ascii="宋体" w:hAnsi="宋体" w:eastAsia="宋体" w:cs="宋体"/>
          <w:b/>
          <w:color w:val="auto"/>
          <w:spacing w:val="-6"/>
          <w:szCs w:val="21"/>
          <w:highlight w:val="none"/>
        </w:rPr>
        <w:t>）属于监狱企业的证明文件（若属于监狱企业）</w:t>
      </w:r>
    </w:p>
    <w:p w14:paraId="338CC1CB">
      <w:pPr>
        <w:adjustRightInd w:val="0"/>
        <w:snapToGrid w:val="0"/>
        <w:spacing w:line="288" w:lineRule="auto"/>
        <w:rPr>
          <w:rFonts w:ascii="宋体" w:hAnsi="宋体" w:eastAsia="宋体" w:cs="宋体"/>
          <w:color w:val="auto"/>
          <w:kern w:val="0"/>
          <w:szCs w:val="21"/>
          <w:highlight w:val="none"/>
        </w:rPr>
      </w:pPr>
    </w:p>
    <w:p w14:paraId="5B8617AF">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highlight w:val="none"/>
        </w:rPr>
      </w:pPr>
    </w:p>
    <w:p w14:paraId="68D881FA">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D5E2D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5</w:t>
      </w:r>
      <w:r>
        <w:rPr>
          <w:rFonts w:hint="eastAsia" w:ascii="宋体" w:hAnsi="宋体" w:eastAsia="宋体" w:cs="宋体"/>
          <w:b/>
          <w:color w:val="auto"/>
          <w:spacing w:val="-6"/>
          <w:szCs w:val="21"/>
          <w:highlight w:val="none"/>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highlight w:val="none"/>
        </w:rPr>
      </w:pPr>
    </w:p>
    <w:p w14:paraId="43A8AA8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342851E1">
      <w:pPr>
        <w:adjustRightInd w:val="0"/>
        <w:snapToGrid w:val="0"/>
        <w:spacing w:line="288" w:lineRule="auto"/>
        <w:rPr>
          <w:rFonts w:ascii="宋体" w:hAnsi="宋体" w:eastAsia="宋体"/>
          <w:color w:val="auto"/>
          <w:szCs w:val="21"/>
          <w:highlight w:val="none"/>
        </w:rPr>
      </w:pPr>
    </w:p>
    <w:p w14:paraId="194EFBD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01BBCD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snapToGrid w:val="0"/>
              <w:spacing w:line="288" w:lineRule="auto"/>
              <w:rPr>
                <w:rFonts w:hint="eastAsia" w:ascii="宋体" w:hAnsi="宋体" w:eastAsia="宋体" w:cs="宋体"/>
                <w:color w:val="auto"/>
                <w:spacing w:val="0"/>
                <w:kern w:val="2"/>
                <w:szCs w:val="21"/>
                <w:highlight w:val="none"/>
                <w:vertAlign w:val="baseline"/>
              </w:rPr>
            </w:pPr>
          </w:p>
        </w:tc>
        <w:tc>
          <w:tcPr>
            <w:tcW w:w="4814" w:type="dxa"/>
          </w:tcPr>
          <w:p w14:paraId="6E2B4F3D">
            <w:pPr>
              <w:snapToGrid w:val="0"/>
              <w:spacing w:line="288" w:lineRule="auto"/>
              <w:rPr>
                <w:rFonts w:hint="eastAsia" w:ascii="宋体" w:hAnsi="宋体" w:eastAsia="宋体" w:cs="宋体"/>
                <w:color w:val="auto"/>
                <w:spacing w:val="0"/>
                <w:kern w:val="2"/>
                <w:szCs w:val="21"/>
                <w:highlight w:val="none"/>
                <w:vertAlign w:val="baseline"/>
              </w:rPr>
            </w:pPr>
          </w:p>
        </w:tc>
      </w:tr>
    </w:tbl>
    <w:p w14:paraId="4F8710BE">
      <w:pPr>
        <w:snapToGrid w:val="0"/>
        <w:spacing w:line="288" w:lineRule="auto"/>
        <w:rPr>
          <w:rFonts w:ascii="宋体" w:hAnsi="宋体" w:eastAsia="宋体" w:cs="宋体"/>
          <w:color w:val="auto"/>
          <w:szCs w:val="21"/>
          <w:highlight w:val="none"/>
        </w:rPr>
      </w:pP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A8F0E99"/>
    <w:rsid w:val="0B4A1776"/>
    <w:rsid w:val="0BD50265"/>
    <w:rsid w:val="0BEC010D"/>
    <w:rsid w:val="0C786503"/>
    <w:rsid w:val="0D1A04C9"/>
    <w:rsid w:val="0DA43FD6"/>
    <w:rsid w:val="0DCB77B4"/>
    <w:rsid w:val="0ED75CD8"/>
    <w:rsid w:val="0FF539C8"/>
    <w:rsid w:val="100A1485"/>
    <w:rsid w:val="10757130"/>
    <w:rsid w:val="112B34AD"/>
    <w:rsid w:val="11F06C23"/>
    <w:rsid w:val="11FF5827"/>
    <w:rsid w:val="128D3854"/>
    <w:rsid w:val="12C80283"/>
    <w:rsid w:val="13BA0706"/>
    <w:rsid w:val="173A3CDD"/>
    <w:rsid w:val="17847813"/>
    <w:rsid w:val="18090C43"/>
    <w:rsid w:val="18FB5F15"/>
    <w:rsid w:val="1A1664DD"/>
    <w:rsid w:val="1B321622"/>
    <w:rsid w:val="1B9960D1"/>
    <w:rsid w:val="1BDC2BFF"/>
    <w:rsid w:val="1E452027"/>
    <w:rsid w:val="1EEB1A56"/>
    <w:rsid w:val="1F9C38D3"/>
    <w:rsid w:val="1FB7696A"/>
    <w:rsid w:val="20767551"/>
    <w:rsid w:val="212705BE"/>
    <w:rsid w:val="21AC2FA2"/>
    <w:rsid w:val="21DB64E2"/>
    <w:rsid w:val="221C4C30"/>
    <w:rsid w:val="22A70B6C"/>
    <w:rsid w:val="22AD65CC"/>
    <w:rsid w:val="23C14303"/>
    <w:rsid w:val="23FF4622"/>
    <w:rsid w:val="24C02E2C"/>
    <w:rsid w:val="24FF7EBF"/>
    <w:rsid w:val="25A217AC"/>
    <w:rsid w:val="26A479CD"/>
    <w:rsid w:val="27432BC1"/>
    <w:rsid w:val="27F0275A"/>
    <w:rsid w:val="28580092"/>
    <w:rsid w:val="28BC23D4"/>
    <w:rsid w:val="2AA10ED5"/>
    <w:rsid w:val="2ADA0518"/>
    <w:rsid w:val="2C921974"/>
    <w:rsid w:val="2DBE14C9"/>
    <w:rsid w:val="2E1A575D"/>
    <w:rsid w:val="2E2B31E3"/>
    <w:rsid w:val="2ED77388"/>
    <w:rsid w:val="2F380CDF"/>
    <w:rsid w:val="2F6A64D8"/>
    <w:rsid w:val="30616EA9"/>
    <w:rsid w:val="31A44D82"/>
    <w:rsid w:val="320C1026"/>
    <w:rsid w:val="32BE120D"/>
    <w:rsid w:val="32E22A0E"/>
    <w:rsid w:val="330C0EF9"/>
    <w:rsid w:val="33506DE6"/>
    <w:rsid w:val="33B73EB0"/>
    <w:rsid w:val="34004E73"/>
    <w:rsid w:val="34973C0D"/>
    <w:rsid w:val="349B054D"/>
    <w:rsid w:val="34DB1B1E"/>
    <w:rsid w:val="35194EAC"/>
    <w:rsid w:val="35A54CED"/>
    <w:rsid w:val="36DD7E2B"/>
    <w:rsid w:val="37534CA7"/>
    <w:rsid w:val="37C157A9"/>
    <w:rsid w:val="37D824F1"/>
    <w:rsid w:val="39B918B5"/>
    <w:rsid w:val="3B0C4DFA"/>
    <w:rsid w:val="3C4D26C6"/>
    <w:rsid w:val="3D044EFC"/>
    <w:rsid w:val="3E6946AD"/>
    <w:rsid w:val="3EB60CB3"/>
    <w:rsid w:val="3EC436F9"/>
    <w:rsid w:val="3F740895"/>
    <w:rsid w:val="3FB93DC6"/>
    <w:rsid w:val="402A691C"/>
    <w:rsid w:val="422E66F3"/>
    <w:rsid w:val="4275164D"/>
    <w:rsid w:val="430A3262"/>
    <w:rsid w:val="44265D88"/>
    <w:rsid w:val="46A824B9"/>
    <w:rsid w:val="46BB170B"/>
    <w:rsid w:val="47510906"/>
    <w:rsid w:val="495D70F7"/>
    <w:rsid w:val="497349FC"/>
    <w:rsid w:val="498C1364"/>
    <w:rsid w:val="4AD13D95"/>
    <w:rsid w:val="4B6974A4"/>
    <w:rsid w:val="4B7D5F80"/>
    <w:rsid w:val="4BF40741"/>
    <w:rsid w:val="4C5E019B"/>
    <w:rsid w:val="4D5D0D6B"/>
    <w:rsid w:val="4F64249F"/>
    <w:rsid w:val="4F6E1200"/>
    <w:rsid w:val="4FEE189E"/>
    <w:rsid w:val="500B7C38"/>
    <w:rsid w:val="52455887"/>
    <w:rsid w:val="5345653C"/>
    <w:rsid w:val="53F038EA"/>
    <w:rsid w:val="549F2962"/>
    <w:rsid w:val="54E01333"/>
    <w:rsid w:val="54EC7E91"/>
    <w:rsid w:val="5668599A"/>
    <w:rsid w:val="56E61993"/>
    <w:rsid w:val="59BA69E3"/>
    <w:rsid w:val="5A661DF4"/>
    <w:rsid w:val="5ACF0178"/>
    <w:rsid w:val="5B9E3DE4"/>
    <w:rsid w:val="5BE42A48"/>
    <w:rsid w:val="5C3E17F9"/>
    <w:rsid w:val="5C483ABC"/>
    <w:rsid w:val="5D052980"/>
    <w:rsid w:val="5D3A6920"/>
    <w:rsid w:val="5D8135CC"/>
    <w:rsid w:val="5DF10A2F"/>
    <w:rsid w:val="5ED57F57"/>
    <w:rsid w:val="5EF534F9"/>
    <w:rsid w:val="600446EC"/>
    <w:rsid w:val="600D2EE6"/>
    <w:rsid w:val="60DD170F"/>
    <w:rsid w:val="61D4087B"/>
    <w:rsid w:val="621760F6"/>
    <w:rsid w:val="62246B60"/>
    <w:rsid w:val="628A2B7E"/>
    <w:rsid w:val="644F1ACD"/>
    <w:rsid w:val="64751744"/>
    <w:rsid w:val="666A35D5"/>
    <w:rsid w:val="668E2F31"/>
    <w:rsid w:val="67060D39"/>
    <w:rsid w:val="67FF1998"/>
    <w:rsid w:val="680D1D99"/>
    <w:rsid w:val="69431270"/>
    <w:rsid w:val="6A147DD2"/>
    <w:rsid w:val="6A7F4F75"/>
    <w:rsid w:val="6ACA16F9"/>
    <w:rsid w:val="6B16774A"/>
    <w:rsid w:val="6C467142"/>
    <w:rsid w:val="6CB03B45"/>
    <w:rsid w:val="6ECE2681"/>
    <w:rsid w:val="6ED12033"/>
    <w:rsid w:val="72340F9C"/>
    <w:rsid w:val="724C564D"/>
    <w:rsid w:val="763243C9"/>
    <w:rsid w:val="774152C9"/>
    <w:rsid w:val="775D6EE2"/>
    <w:rsid w:val="776A3FFF"/>
    <w:rsid w:val="793070F8"/>
    <w:rsid w:val="79D825C1"/>
    <w:rsid w:val="7A922E24"/>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52</Pages>
  <Words>20364</Words>
  <Characters>21669</Characters>
  <Lines>1</Lines>
  <Paragraphs>1</Paragraphs>
  <TotalTime>0</TotalTime>
  <ScaleCrop>false</ScaleCrop>
  <LinksUpToDate>false</LinksUpToDate>
  <CharactersWithSpaces>21777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2025-10-24T07:25:54Z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B19453AA52B64364BDC47FD112AA0CD3_13</vt:lpwstr>
  </property>
  <property fmtid="{D5CDD505-2E9C-101B-9397-08002B2CF9AE}" pid="4" name="KSOTemplateDocerSaveRecord">
    <vt:lpwstr>eyJoZGlkIjoiNDA1NjJhY2YzNGY0NzY5M2ZmM2Y0ZjcwMmY2ODQ2YTYiLCJ1c2VySWQiOiIxNjEzNTQ4OTc4In0=</vt:lpwstr>
  </property>
</Properties>
</file>