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23260D">
      <w:pPr>
        <w:pStyle w:val="13"/>
        <w:jc w:val="center"/>
        <w:rPr>
          <w:rFonts w:hint="eastAsia"/>
        </w:rPr>
      </w:pPr>
      <w:r>
        <w:rPr>
          <w:rFonts w:hint="eastAsia" w:ascii="宋体" w:hAnsi="宋体"/>
          <w:b/>
          <w:sz w:val="48"/>
          <w:szCs w:val="48"/>
        </w:rPr>
        <w:t>杭州电子科技大学“一站式”学生社区设计施工改造工程（一期）</w:t>
      </w:r>
    </w:p>
    <w:p w14:paraId="7702E742">
      <w:pPr>
        <w:jc w:val="center"/>
        <w:rPr>
          <w:rFonts w:hint="eastAsia"/>
          <w:b/>
          <w:kern w:val="0"/>
          <w:sz w:val="32"/>
          <w:szCs w:val="32"/>
          <w:lang w:val="en-US" w:eastAsia="zh-CN"/>
        </w:rPr>
      </w:pPr>
    </w:p>
    <w:p w14:paraId="5A1B001C">
      <w:pPr>
        <w:jc w:val="center"/>
        <w:rPr>
          <w:rFonts w:hint="eastAsia"/>
          <w:b/>
          <w:kern w:val="0"/>
          <w:sz w:val="32"/>
          <w:szCs w:val="32"/>
          <w:lang w:val="en-US" w:eastAsia="zh-CN"/>
        </w:rPr>
      </w:pPr>
      <w:r>
        <w:rPr>
          <w:rFonts w:hint="eastAsia"/>
          <w:b/>
          <w:kern w:val="0"/>
          <w:sz w:val="44"/>
          <w:szCs w:val="44"/>
          <w:lang w:val="en-US" w:eastAsia="zh-CN"/>
        </w:rPr>
        <w:t>招标</w:t>
      </w:r>
      <w:r>
        <w:rPr>
          <w:rFonts w:hint="eastAsia"/>
          <w:b/>
          <w:kern w:val="0"/>
          <w:sz w:val="44"/>
          <w:szCs w:val="44"/>
        </w:rPr>
        <w:t>工程量</w:t>
      </w:r>
      <w:r>
        <w:rPr>
          <w:rFonts w:hint="eastAsia"/>
          <w:b/>
          <w:kern w:val="0"/>
          <w:sz w:val="44"/>
          <w:szCs w:val="44"/>
          <w:lang w:val="en-US" w:eastAsia="zh-CN"/>
        </w:rPr>
        <w:t>清单</w:t>
      </w:r>
      <w:r>
        <w:rPr>
          <w:rFonts w:hint="eastAsia"/>
          <w:b/>
          <w:kern w:val="0"/>
          <w:sz w:val="32"/>
          <w:szCs w:val="32"/>
          <w:lang w:val="en-US" w:eastAsia="zh-CN"/>
        </w:rPr>
        <w:t xml:space="preserve"> </w:t>
      </w:r>
    </w:p>
    <w:p w14:paraId="7103CA35">
      <w:pPr>
        <w:pStyle w:val="13"/>
        <w:rPr>
          <w:rFonts w:hint="eastAsia"/>
          <w:lang w:val="en-US" w:eastAsia="zh-CN"/>
        </w:rPr>
      </w:pPr>
    </w:p>
    <w:p w14:paraId="04329A1D">
      <w:pPr>
        <w:jc w:val="center"/>
        <w:rPr>
          <w:rFonts w:hint="eastAsia"/>
          <w:b/>
          <w:kern w:val="0"/>
          <w:sz w:val="32"/>
          <w:szCs w:val="32"/>
          <w:lang w:val="en-US" w:eastAsia="zh-CN"/>
        </w:rPr>
      </w:pPr>
    </w:p>
    <w:p w14:paraId="7C07EFA2">
      <w:pPr>
        <w:pStyle w:val="13"/>
        <w:rPr>
          <w:rFonts w:hint="eastAsia"/>
          <w:lang w:val="en-US" w:eastAsia="zh-CN"/>
        </w:rPr>
      </w:pPr>
    </w:p>
    <w:p w14:paraId="4EAD3201">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招</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标</w:t>
      </w:r>
      <w:r>
        <w:rPr>
          <w:rFonts w:hint="eastAsia" w:ascii="宋体" w:hAnsi="宋体" w:eastAsia="宋体" w:cs="宋体"/>
          <w:b/>
          <w:bCs/>
          <w:color w:val="auto"/>
          <w:sz w:val="32"/>
          <w:szCs w:val="32"/>
          <w:lang w:val="en-US" w:eastAsia="zh-CN"/>
        </w:rPr>
        <w:t xml:space="preserve"> </w:t>
      </w:r>
      <w:r>
        <w:rPr>
          <w:rFonts w:hint="eastAsia" w:ascii="宋体" w:hAnsi="宋体" w:eastAsia="宋体" w:cs="宋体"/>
          <w:b/>
          <w:bCs/>
          <w:color w:val="auto"/>
          <w:sz w:val="32"/>
          <w:szCs w:val="32"/>
        </w:rPr>
        <w:t>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74BFC8F4">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0DC43B79">
      <w:pPr>
        <w:widowControl/>
        <w:autoSpaceDE w:val="0"/>
        <w:autoSpaceDN w:val="0"/>
        <w:spacing w:before="360" w:after="360" w:line="360" w:lineRule="auto"/>
        <w:jc w:val="left"/>
        <w:textAlignment w:val="bottom"/>
        <w:rPr>
          <w:rFonts w:hint="eastAsia" w:ascii="宋体" w:hAnsi="宋体" w:eastAsia="宋体" w:cs="宋体"/>
          <w:b/>
          <w:bCs/>
          <w:color w:val="auto"/>
          <w:sz w:val="32"/>
          <w:szCs w:val="32"/>
        </w:rPr>
      </w:pPr>
      <w:r>
        <w:rPr>
          <w:rFonts w:hint="eastAsia" w:ascii="宋体" w:hAnsi="宋体" w:eastAsia="宋体" w:cs="宋体"/>
          <w:b/>
          <w:bCs/>
          <w:color w:val="auto"/>
          <w:sz w:val="32"/>
          <w:szCs w:val="32"/>
        </w:rPr>
        <w:t>中介机构：</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（单位盖章）</w:t>
      </w:r>
    </w:p>
    <w:p w14:paraId="138E1C2D">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法定代表人：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（签字或盖章）</w:t>
      </w:r>
    </w:p>
    <w:p w14:paraId="4843B73F">
      <w:pPr>
        <w:widowControl/>
        <w:autoSpaceDE w:val="0"/>
        <w:autoSpaceDN w:val="0"/>
        <w:spacing w:before="360" w:after="360" w:line="360" w:lineRule="auto"/>
        <w:jc w:val="left"/>
        <w:textAlignment w:val="bottom"/>
        <w:rPr>
          <w:rFonts w:hint="eastAsia" w:ascii="宋体" w:hAnsi="宋体" w:eastAsia="宋体" w:cs="宋体"/>
          <w:b/>
          <w:bCs/>
          <w:color w:val="auto"/>
          <w:sz w:val="24"/>
        </w:rPr>
      </w:pPr>
      <w:r>
        <w:rPr>
          <w:rFonts w:hint="eastAsia" w:ascii="宋体" w:hAnsi="宋体" w:eastAsia="宋体" w:cs="宋体"/>
          <w:b/>
          <w:bCs/>
          <w:color w:val="auto"/>
          <w:sz w:val="32"/>
          <w:szCs w:val="32"/>
        </w:rPr>
        <w:t>编制人：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703E4D12">
      <w:pPr>
        <w:widowControl/>
        <w:autoSpaceDE w:val="0"/>
        <w:autoSpaceDN w:val="0"/>
        <w:spacing w:before="360" w:after="360" w:line="360" w:lineRule="auto"/>
        <w:jc w:val="left"/>
        <w:textAlignment w:val="bottom"/>
        <w:rPr>
          <w:rFonts w:hint="eastAsia" w:ascii="宋体" w:hAnsi="宋体" w:eastAsia="宋体" w:cs="宋体"/>
          <w:b/>
          <w:bCs/>
          <w:color w:val="auto"/>
          <w:sz w:val="24"/>
        </w:rPr>
      </w:pPr>
      <w:r>
        <w:rPr>
          <w:rFonts w:hint="eastAsia" w:ascii="宋体" w:hAnsi="宋体" w:eastAsia="宋体" w:cs="宋体"/>
          <w:b/>
          <w:bCs/>
          <w:color w:val="auto"/>
          <w:sz w:val="32"/>
          <w:szCs w:val="32"/>
        </w:rPr>
        <w:t>复核人：</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 xml:space="preserve">                  </w:t>
      </w:r>
      <w:r>
        <w:rPr>
          <w:rFonts w:hint="eastAsia" w:ascii="宋体" w:hAnsi="宋体" w:eastAsia="宋体" w:cs="宋体"/>
          <w:b/>
          <w:bCs/>
          <w:color w:val="auto"/>
          <w:sz w:val="24"/>
        </w:rPr>
        <w:t>（造价工程师签字盖专用章）</w:t>
      </w:r>
    </w:p>
    <w:p w14:paraId="6C860F57">
      <w:pPr>
        <w:pStyle w:val="13"/>
        <w:rPr>
          <w:rFonts w:hint="eastAsia"/>
        </w:rPr>
      </w:pPr>
    </w:p>
    <w:p w14:paraId="117C1420">
      <w:pPr>
        <w:widowControl/>
        <w:autoSpaceDE w:val="0"/>
        <w:autoSpaceDN w:val="0"/>
        <w:spacing w:before="360" w:after="360" w:line="360" w:lineRule="auto"/>
        <w:jc w:val="left"/>
        <w:textAlignment w:val="bottom"/>
        <w:rPr>
          <w:rFonts w:hint="eastAsia" w:ascii="宋体" w:hAnsi="宋体" w:eastAsia="宋体" w:cs="宋体"/>
          <w:b/>
          <w:bCs/>
          <w:color w:val="auto"/>
          <w:sz w:val="32"/>
          <w:szCs w:val="32"/>
          <w:u w:val="single"/>
        </w:rPr>
      </w:pPr>
      <w:r>
        <w:rPr>
          <w:rFonts w:hint="eastAsia" w:ascii="宋体" w:hAnsi="宋体" w:eastAsia="宋体" w:cs="宋体"/>
          <w:b/>
          <w:bCs/>
          <w:color w:val="auto"/>
          <w:sz w:val="32"/>
          <w:szCs w:val="32"/>
        </w:rPr>
        <w:t>编制时间：</w:t>
      </w:r>
      <w:r>
        <w:rPr>
          <w:rFonts w:hint="eastAsia" w:ascii="宋体" w:hAnsi="宋体" w:eastAsia="宋体" w:cs="宋体"/>
          <w:b/>
          <w:bCs/>
          <w:color w:val="auto"/>
          <w:sz w:val="32"/>
          <w:szCs w:val="32"/>
          <w:u w:val="single"/>
        </w:rPr>
        <w:t>202</w:t>
      </w:r>
      <w:r>
        <w:rPr>
          <w:rFonts w:hint="eastAsia" w:ascii="宋体" w:hAnsi="宋体" w:cs="宋体"/>
          <w:b/>
          <w:bCs/>
          <w:color w:val="auto"/>
          <w:sz w:val="32"/>
          <w:szCs w:val="32"/>
          <w:u w:val="single"/>
          <w:lang w:val="en-US" w:eastAsia="zh-CN"/>
        </w:rPr>
        <w:t>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月  日</w:t>
      </w:r>
      <w:r>
        <w:rPr>
          <w:rFonts w:hint="eastAsia" w:ascii="宋体" w:hAnsi="宋体" w:eastAsia="宋体" w:cs="宋体"/>
          <w:b/>
          <w:bCs/>
          <w:color w:val="auto"/>
          <w:sz w:val="32"/>
          <w:szCs w:val="32"/>
        </w:rPr>
        <w:t xml:space="preserve">      复核时间：</w:t>
      </w:r>
      <w:r>
        <w:rPr>
          <w:rFonts w:hint="eastAsia" w:ascii="宋体" w:hAnsi="宋体" w:eastAsia="宋体" w:cs="宋体"/>
          <w:b/>
          <w:bCs/>
          <w:color w:val="auto"/>
          <w:sz w:val="32"/>
          <w:szCs w:val="32"/>
          <w:u w:val="single"/>
        </w:rPr>
        <w:t>202</w:t>
      </w:r>
      <w:r>
        <w:rPr>
          <w:rFonts w:hint="eastAsia" w:ascii="宋体" w:hAnsi="宋体" w:cs="宋体"/>
          <w:b/>
          <w:bCs/>
          <w:color w:val="auto"/>
          <w:sz w:val="32"/>
          <w:szCs w:val="32"/>
          <w:u w:val="single"/>
          <w:lang w:val="en-US" w:eastAsia="zh-CN"/>
        </w:rPr>
        <w:t>6</w:t>
      </w:r>
      <w:r>
        <w:rPr>
          <w:rFonts w:hint="eastAsia" w:ascii="宋体" w:hAnsi="宋体" w:eastAsia="宋体" w:cs="宋体"/>
          <w:b/>
          <w:bCs/>
          <w:color w:val="auto"/>
          <w:sz w:val="32"/>
          <w:szCs w:val="32"/>
          <w:u w:val="single"/>
        </w:rPr>
        <w:t>年</w:t>
      </w:r>
      <w:r>
        <w:rPr>
          <w:rFonts w:hint="eastAsia" w:ascii="宋体" w:hAnsi="宋体" w:eastAsia="宋体" w:cs="宋体"/>
          <w:b/>
          <w:bCs/>
          <w:color w:val="auto"/>
          <w:sz w:val="32"/>
          <w:szCs w:val="32"/>
          <w:u w:val="single"/>
          <w:lang w:val="en-US" w:eastAsia="zh-CN"/>
        </w:rPr>
        <w:t xml:space="preserve"> </w:t>
      </w:r>
      <w:r>
        <w:rPr>
          <w:rFonts w:hint="eastAsia" w:ascii="宋体" w:hAnsi="宋体" w:eastAsia="宋体" w:cs="宋体"/>
          <w:b/>
          <w:bCs/>
          <w:color w:val="auto"/>
          <w:sz w:val="32"/>
          <w:szCs w:val="32"/>
          <w:u w:val="single"/>
        </w:rPr>
        <w:t>月 日</w:t>
      </w:r>
    </w:p>
    <w:p w14:paraId="29830D86">
      <w:pPr>
        <w:widowControl/>
        <w:spacing w:line="284" w:lineRule="atLeast"/>
        <w:jc w:val="left"/>
        <w:rPr>
          <w:rFonts w:ascii="仿宋" w:hAnsi="仿宋" w:eastAsia="仿宋"/>
          <w:sz w:val="28"/>
          <w:szCs w:val="28"/>
        </w:rPr>
      </w:pPr>
    </w:p>
    <w:tbl>
      <w:tblPr>
        <w:tblStyle w:val="14"/>
        <w:tblW w:w="9999" w:type="dxa"/>
        <w:tblInd w:w="-651"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999"/>
      </w:tblGrid>
      <w:tr w14:paraId="65C493FC">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2153" w:hRule="atLeast"/>
        </w:trPr>
        <w:tc>
          <w:tcPr>
            <w:tcW w:w="9999" w:type="dxa"/>
          </w:tcPr>
          <w:p w14:paraId="6FBA6940">
            <w:pPr>
              <w:spacing w:line="360" w:lineRule="auto"/>
              <w:ind w:firstLine="422" w:firstLineChars="200"/>
              <w:rPr>
                <w:rFonts w:ascii="宋体" w:hAnsi="宋体" w:cs="宋体"/>
                <w:b/>
                <w:bCs/>
              </w:rPr>
            </w:pPr>
            <w:r>
              <w:rPr>
                <w:rFonts w:hint="eastAsia" w:ascii="宋体" w:hAnsi="宋体" w:cs="宋体"/>
                <w:b/>
                <w:bCs/>
              </w:rPr>
              <w:t>一、工程概况</w:t>
            </w:r>
          </w:p>
          <w:p w14:paraId="4B7C09C4">
            <w:pPr>
              <w:spacing w:line="360" w:lineRule="auto"/>
              <w:ind w:firstLine="403" w:firstLineChars="192"/>
              <w:rPr>
                <w:rFonts w:hint="default" w:ascii="宋体" w:hAnsi="宋体" w:cs="Times New Roman"/>
                <w:szCs w:val="21"/>
                <w:lang w:val="en-US" w:eastAsia="zh-CN"/>
              </w:rPr>
            </w:pPr>
            <w:r>
              <w:rPr>
                <w:rFonts w:hint="eastAsia" w:ascii="宋体" w:hAnsi="宋体" w:cs="Times New Roman"/>
                <w:szCs w:val="21"/>
                <w:lang w:eastAsia="zh-CN"/>
              </w:rPr>
              <w:t xml:space="preserve"> 杭州电子科技大学“一站式”学生社区设计施工改造工程（一期）</w:t>
            </w:r>
            <w:r>
              <w:rPr>
                <w:rFonts w:hint="eastAsia" w:ascii="宋体" w:hAnsi="宋体" w:cs="Times New Roman"/>
                <w:szCs w:val="21"/>
                <w:lang w:val="en-US" w:eastAsia="zh-CN"/>
              </w:rPr>
              <w:t>，装修面积为640平方。</w:t>
            </w:r>
          </w:p>
          <w:p w14:paraId="2D89CB47">
            <w:pPr>
              <w:spacing w:line="360" w:lineRule="auto"/>
              <w:ind w:firstLine="405" w:firstLineChars="192"/>
              <w:rPr>
                <w:rFonts w:ascii="宋体" w:hAnsi="宋体" w:cs="宋体"/>
                <w:bCs/>
                <w:szCs w:val="21"/>
              </w:rPr>
            </w:pPr>
            <w:r>
              <w:rPr>
                <w:rFonts w:hint="eastAsia" w:ascii="宋体" w:hAnsi="宋体" w:cs="宋体"/>
                <w:b/>
                <w:bCs/>
                <w:szCs w:val="21"/>
              </w:rPr>
              <w:t>二、工程招标范围和内容</w:t>
            </w:r>
          </w:p>
          <w:p w14:paraId="51A3C3E4">
            <w:pPr>
              <w:spacing w:line="360" w:lineRule="auto"/>
              <w:ind w:firstLine="403" w:firstLineChars="192"/>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 xml:space="preserve">  </w:t>
            </w:r>
            <w:r>
              <w:rPr>
                <w:rFonts w:hint="eastAsia" w:ascii="宋体" w:hAnsi="宋体" w:eastAsia="宋体" w:cs="Times New Roman"/>
                <w:szCs w:val="21"/>
                <w:lang w:eastAsia="zh-CN"/>
              </w:rPr>
              <w:t>初步设计方案</w:t>
            </w:r>
            <w:r>
              <w:rPr>
                <w:rFonts w:hint="eastAsia" w:ascii="宋体" w:hAnsi="宋体" w:eastAsia="宋体" w:cs="Times New Roman"/>
                <w:szCs w:val="21"/>
                <w:lang w:val="en-US" w:eastAsia="zh-CN"/>
              </w:rPr>
              <w:t>范围内的装修、安装工程，具体详见图纸</w:t>
            </w:r>
            <w:r>
              <w:rPr>
                <w:rFonts w:hint="eastAsia" w:ascii="宋体" w:hAnsi="宋体" w:cs="Times New Roman"/>
                <w:szCs w:val="21"/>
                <w:lang w:val="en-US" w:eastAsia="zh-CN"/>
              </w:rPr>
              <w:t>及</w:t>
            </w:r>
            <w:r>
              <w:rPr>
                <w:rFonts w:hint="eastAsia" w:ascii="宋体" w:hAnsi="宋体" w:eastAsia="宋体" w:cs="Times New Roman"/>
                <w:szCs w:val="21"/>
                <w:lang w:val="en-US" w:eastAsia="zh-CN"/>
              </w:rPr>
              <w:t>清单。</w:t>
            </w:r>
          </w:p>
          <w:p w14:paraId="6C912493">
            <w:pPr>
              <w:spacing w:line="360" w:lineRule="auto"/>
              <w:rPr>
                <w:rFonts w:ascii="宋体" w:hAnsi="宋体" w:cs="宋体"/>
                <w:b/>
                <w:bCs/>
                <w:szCs w:val="21"/>
                <w:highlight w:val="none"/>
              </w:rPr>
            </w:pPr>
            <w:r>
              <w:rPr>
                <w:rFonts w:hint="eastAsia" w:ascii="宋体" w:hAnsi="宋体" w:cs="宋体"/>
                <w:b/>
                <w:bCs/>
                <w:szCs w:val="21"/>
                <w:highlight w:val="none"/>
              </w:rPr>
              <w:t xml:space="preserve">    三、编制依据</w:t>
            </w:r>
          </w:p>
          <w:p w14:paraId="03DF8059">
            <w:pPr>
              <w:keepNext w:val="0"/>
              <w:keepLines w:val="0"/>
              <w:suppressLineNumbers w:val="0"/>
              <w:spacing w:before="0" w:beforeAutospacing="0" w:after="0" w:afterAutospacing="0" w:line="360" w:lineRule="auto"/>
              <w:ind w:left="0" w:right="0" w:firstLine="495" w:firstLineChars="236"/>
              <w:rPr>
                <w:rFonts w:hint="eastAsia" w:ascii="宋体" w:hAnsi="宋体" w:eastAsia="宋体" w:cs="Times New Roman"/>
                <w:szCs w:val="21"/>
                <w:lang w:eastAsia="zh-CN"/>
              </w:rPr>
            </w:pPr>
            <w:r>
              <w:rPr>
                <w:rFonts w:hint="eastAsia" w:ascii="宋体" w:hAnsi="宋体" w:eastAsia="宋体" w:cs="Times New Roman"/>
                <w:szCs w:val="21"/>
                <w:lang w:val="en-US" w:eastAsia="zh-CN"/>
              </w:rPr>
              <w:t>1</w:t>
            </w:r>
            <w:r>
              <w:rPr>
                <w:rFonts w:hint="eastAsia" w:ascii="宋体" w:hAnsi="宋体" w:eastAsia="宋体" w:cs="Times New Roman"/>
                <w:szCs w:val="21"/>
                <w:lang w:eastAsia="zh-CN"/>
              </w:rPr>
              <w:t>、</w:t>
            </w:r>
            <w:r>
              <w:rPr>
                <w:rFonts w:hint="eastAsia" w:ascii="宋体" w:hAnsi="宋体" w:eastAsia="宋体" w:cs="Times New Roman"/>
                <w:szCs w:val="21"/>
                <w:lang w:val="en-US" w:eastAsia="zh-CN"/>
              </w:rPr>
              <w:t>杭州电子科技大学</w:t>
            </w:r>
            <w:r>
              <w:rPr>
                <w:rFonts w:hint="eastAsia" w:ascii="宋体" w:hAnsi="宋体" w:eastAsia="宋体" w:cs="Times New Roman"/>
                <w:szCs w:val="21"/>
                <w:lang w:eastAsia="zh-CN"/>
              </w:rPr>
              <w:t>提供的“杭州电子科技大学“一站式”学生社区设计施工改造工程（一期）”初步设计方案；</w:t>
            </w:r>
          </w:p>
          <w:p w14:paraId="08EBB784">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2</w:t>
            </w:r>
            <w:r>
              <w:rPr>
                <w:rFonts w:hint="eastAsia" w:ascii="宋体" w:hAnsi="宋体" w:cs="Times New Roman"/>
                <w:szCs w:val="21"/>
                <w:lang w:eastAsia="zh-CN"/>
              </w:rPr>
              <w:t>、《浙江省房屋建筑和市政基础设施项目工程总承包计价规则（2018版）》；</w:t>
            </w:r>
          </w:p>
          <w:p w14:paraId="1C9A0C88">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3</w:t>
            </w:r>
            <w:r>
              <w:rPr>
                <w:rFonts w:hint="eastAsia" w:ascii="宋体" w:hAnsi="宋体" w:cs="Times New Roman"/>
                <w:szCs w:val="21"/>
                <w:lang w:eastAsia="zh-CN"/>
              </w:rPr>
              <w:t>、《杭州市房屋建筑和市政基础设施项目工程总承包计价指引》；</w:t>
            </w:r>
          </w:p>
          <w:p w14:paraId="6F591B64">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4</w:t>
            </w:r>
            <w:r>
              <w:rPr>
                <w:rFonts w:hint="eastAsia" w:ascii="宋体" w:hAnsi="宋体" w:cs="Times New Roman"/>
                <w:szCs w:val="21"/>
                <w:lang w:eastAsia="zh-CN"/>
              </w:rPr>
              <w:t>、《关于印发杭州市房屋建筑和市政基础设施项目工程总承包项目计价指引的通知》（杭建市 发（2022）27 号）；</w:t>
            </w:r>
          </w:p>
          <w:p w14:paraId="70B2A2CB">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5</w:t>
            </w:r>
            <w:r>
              <w:rPr>
                <w:rFonts w:hint="eastAsia" w:ascii="宋体" w:hAnsi="宋体" w:cs="Times New Roman"/>
                <w:szCs w:val="21"/>
                <w:lang w:eastAsia="zh-CN"/>
              </w:rPr>
              <w:t>、《关于明确杭州市建筑施工领域安全生产责任保险费用计取的 通知》（杭建招标造价中心[2021]84 号）；</w:t>
            </w:r>
          </w:p>
          <w:p w14:paraId="1D5FD19E">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6、《关于增值税调整后我省建设工程计价依据增值税税率及有关计价调整的通知》（浙建建发【2019】92号）；</w:t>
            </w:r>
          </w:p>
          <w:p w14:paraId="3D16822F">
            <w:pPr>
              <w:keepNext w:val="0"/>
              <w:keepLines w:val="0"/>
              <w:suppressLineNumbers w:val="0"/>
              <w:spacing w:before="0" w:beforeAutospacing="0" w:after="0" w:afterAutospacing="0" w:line="360" w:lineRule="auto"/>
              <w:ind w:left="0" w:right="0" w:firstLine="495" w:firstLineChars="236"/>
              <w:rPr>
                <w:rFonts w:hint="default" w:ascii="宋体" w:hAnsi="宋体" w:cs="Times New Roman"/>
                <w:szCs w:val="21"/>
                <w:lang w:val="en-US" w:eastAsia="zh-CN"/>
              </w:rPr>
            </w:pPr>
            <w:r>
              <w:rPr>
                <w:rFonts w:hint="eastAsia" w:ascii="宋体" w:hAnsi="宋体" w:cs="Times New Roman"/>
                <w:szCs w:val="21"/>
                <w:lang w:val="en-US" w:eastAsia="zh-CN"/>
              </w:rPr>
              <w:t>7、《省建设厅关于调整我省2018 版建筑安装工程安全文明施工费的通知》（浙建建函〔2025〕320 号）；</w:t>
            </w:r>
          </w:p>
          <w:p w14:paraId="665E8BDC">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8、《杭州市城乡建设委员会关于落实省建设厅调整2018版建筑安装工程安全文明施工费有关事项的通知》（杭建市通知〔2025〕98号）；</w:t>
            </w:r>
          </w:p>
          <w:p w14:paraId="10AFE52F">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9</w:t>
            </w:r>
            <w:r>
              <w:rPr>
                <w:rFonts w:hint="eastAsia" w:ascii="宋体" w:hAnsi="宋体" w:cs="Times New Roman"/>
                <w:szCs w:val="21"/>
                <w:lang w:eastAsia="zh-CN"/>
              </w:rPr>
              <w:t>、《浙江省建设工程计价规则（2018版）》；</w:t>
            </w:r>
          </w:p>
          <w:p w14:paraId="0418A647">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10</w:t>
            </w:r>
            <w:r>
              <w:rPr>
                <w:rFonts w:hint="eastAsia" w:ascii="宋体" w:hAnsi="宋体" w:cs="Times New Roman"/>
                <w:szCs w:val="21"/>
                <w:lang w:eastAsia="zh-CN"/>
              </w:rPr>
              <w:t>、《浙江省建设工程其他费用定额（2018版）》；</w:t>
            </w:r>
          </w:p>
          <w:p w14:paraId="7DFACD63">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11</w:t>
            </w:r>
            <w:r>
              <w:rPr>
                <w:rFonts w:hint="eastAsia" w:ascii="宋体" w:hAnsi="宋体" w:cs="Times New Roman"/>
                <w:szCs w:val="21"/>
                <w:lang w:eastAsia="zh-CN"/>
              </w:rPr>
              <w:t>、《浙江省房屋建筑与装饰工程概算定额》（2018版）、《浙江省通用安装工程概算定额》（2018 版）、《浙江省市政工程概算定额》（2018版）、《浙江省房屋建筑与装饰工程预算定额》（2018版）、《浙江省通用安装工程预算定额》（2018 版）、《浙江省市政工程预算定额》（2018版）、《浙江省园林绿化及仿古建筑工程预算定额》（2018版）；</w:t>
            </w:r>
          </w:p>
          <w:p w14:paraId="2A9E05B1">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12</w:t>
            </w:r>
            <w:r>
              <w:rPr>
                <w:rFonts w:hint="eastAsia" w:ascii="宋体" w:hAnsi="宋体" w:cs="Times New Roman"/>
                <w:szCs w:val="21"/>
                <w:lang w:eastAsia="zh-CN"/>
              </w:rPr>
              <w:t>、与建设项目相关的标准、图集、规范、技术资料、文件、法律法规和综合解释。</w:t>
            </w:r>
          </w:p>
          <w:p w14:paraId="7BDCD7EA">
            <w:pPr>
              <w:spacing w:line="360" w:lineRule="auto"/>
              <w:ind w:firstLine="422" w:firstLineChars="200"/>
              <w:rPr>
                <w:rFonts w:hint="eastAsia" w:ascii="宋体" w:hAnsi="宋体" w:cs="宋体"/>
                <w:b/>
                <w:bCs/>
                <w:szCs w:val="21"/>
              </w:rPr>
            </w:pPr>
            <w:r>
              <w:rPr>
                <w:rFonts w:hint="eastAsia" w:ascii="宋体" w:hAnsi="宋体" w:cs="宋体"/>
                <w:b/>
                <w:bCs/>
                <w:szCs w:val="21"/>
                <w:lang w:eastAsia="zh-CN"/>
              </w:rPr>
              <w:t>四</w:t>
            </w:r>
            <w:r>
              <w:rPr>
                <w:rFonts w:hint="eastAsia" w:ascii="宋体" w:hAnsi="宋体" w:cs="宋体"/>
                <w:b/>
                <w:bCs/>
                <w:szCs w:val="21"/>
              </w:rPr>
              <w:t>、取费说明</w:t>
            </w:r>
          </w:p>
          <w:p w14:paraId="1C6FBF5B">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val="en-US" w:eastAsia="zh-CN"/>
              </w:rPr>
              <w:t>1</w:t>
            </w:r>
            <w:r>
              <w:rPr>
                <w:rFonts w:hint="eastAsia" w:ascii="宋体" w:hAnsi="宋体" w:cs="Times New Roman"/>
                <w:szCs w:val="21"/>
                <w:lang w:eastAsia="zh-CN"/>
              </w:rPr>
              <w:t>、税金按浙建建发【2019】92号文件规定的9%计取。</w:t>
            </w:r>
          </w:p>
          <w:p w14:paraId="29E4E813">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val="en-US" w:eastAsia="zh-CN"/>
              </w:rPr>
            </w:pPr>
            <w:r>
              <w:rPr>
                <w:rFonts w:hint="eastAsia" w:ascii="宋体" w:hAnsi="宋体" w:cs="Times New Roman"/>
                <w:szCs w:val="21"/>
                <w:lang w:val="en-US" w:eastAsia="zh-CN"/>
              </w:rPr>
              <w:t>2、安全文明施工基本费不得低于工程费用的 1.5%计取。</w:t>
            </w:r>
          </w:p>
          <w:p w14:paraId="1BFC4D51">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val="en-US" w:eastAsia="zh-CN"/>
              </w:rPr>
            </w:pPr>
            <w:r>
              <w:rPr>
                <w:rFonts w:hint="eastAsia" w:ascii="宋体" w:hAnsi="宋体" w:cs="Times New Roman"/>
                <w:szCs w:val="21"/>
                <w:lang w:val="en-US" w:eastAsia="zh-CN"/>
              </w:rPr>
              <w:t>3、本工程暂列金：无。</w:t>
            </w:r>
          </w:p>
          <w:p w14:paraId="055936A7">
            <w:pPr>
              <w:spacing w:line="360" w:lineRule="auto"/>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五、其他口径说明：</w:t>
            </w:r>
          </w:p>
          <w:p w14:paraId="5793FDFE">
            <w:pPr>
              <w:spacing w:line="440" w:lineRule="exact"/>
              <w:ind w:firstLine="420" w:firstLineChars="200"/>
              <w:rPr>
                <w:rFonts w:ascii="宋体" w:hAnsi="宋体"/>
                <w:szCs w:val="21"/>
              </w:rPr>
            </w:pPr>
            <w:r>
              <w:rPr>
                <w:rFonts w:hint="eastAsia" w:ascii="宋体" w:hAnsi="宋体"/>
                <w:szCs w:val="21"/>
              </w:rPr>
              <w:t>1、清单建筑面积工程量按扩初图结合建筑工程建筑面积计算规范（GB/T50353-2013）计入。</w:t>
            </w:r>
          </w:p>
          <w:p w14:paraId="70AE4D38">
            <w:pPr>
              <w:spacing w:line="440" w:lineRule="exact"/>
              <w:ind w:firstLine="420" w:firstLineChars="200"/>
              <w:rPr>
                <w:rFonts w:ascii="宋体" w:hAnsi="宋体"/>
                <w:szCs w:val="21"/>
              </w:rPr>
            </w:pPr>
            <w:r>
              <w:rPr>
                <w:rFonts w:hint="eastAsia" w:ascii="宋体" w:hAnsi="宋体"/>
                <w:szCs w:val="21"/>
              </w:rPr>
              <w:t>2、本工程渣土外运按照20km计入，投标人报价请结合实际情况综合考虑。</w:t>
            </w:r>
          </w:p>
          <w:p w14:paraId="0ACF8EC4">
            <w:pPr>
              <w:spacing w:line="440" w:lineRule="exact"/>
              <w:ind w:firstLine="420" w:firstLineChars="200"/>
              <w:rPr>
                <w:rFonts w:ascii="宋体" w:hAnsi="宋体"/>
                <w:szCs w:val="21"/>
              </w:rPr>
            </w:pPr>
            <w:r>
              <w:rPr>
                <w:rFonts w:hint="eastAsia" w:ascii="宋体" w:hAnsi="宋体"/>
                <w:szCs w:val="21"/>
                <w:lang w:val="en-US" w:eastAsia="zh-CN"/>
              </w:rPr>
              <w:t>3</w:t>
            </w:r>
            <w:r>
              <w:rPr>
                <w:rFonts w:hint="eastAsia" w:ascii="宋体" w:hAnsi="宋体"/>
                <w:szCs w:val="21"/>
              </w:rPr>
              <w:t>、投标报价应综合考虑各项技术规范和要求进行报价。</w:t>
            </w:r>
          </w:p>
          <w:p w14:paraId="2B87FE22">
            <w:pPr>
              <w:spacing w:line="440" w:lineRule="exact"/>
              <w:ind w:firstLine="420" w:firstLineChars="200"/>
              <w:rPr>
                <w:rFonts w:ascii="宋体" w:hAnsi="宋体"/>
                <w:szCs w:val="21"/>
              </w:rPr>
            </w:pPr>
            <w:r>
              <w:rPr>
                <w:rFonts w:hint="eastAsia" w:ascii="宋体" w:hAnsi="宋体"/>
                <w:szCs w:val="21"/>
                <w:lang w:val="en-US" w:eastAsia="zh-CN"/>
              </w:rPr>
              <w:t>4</w:t>
            </w:r>
            <w:r>
              <w:rPr>
                <w:rFonts w:hint="eastAsia" w:ascii="宋体" w:hAnsi="宋体"/>
                <w:szCs w:val="21"/>
              </w:rPr>
              <w:t>、投标人应先到工地踏勘以充分了解工地位置、现状、交通运输、空间局限</w:t>
            </w:r>
            <w:r>
              <w:rPr>
                <w:rFonts w:hint="eastAsia" w:ascii="宋体" w:hAnsi="宋体"/>
                <w:szCs w:val="21"/>
                <w:lang w:eastAsia="zh-CN"/>
              </w:rPr>
              <w:t>、</w:t>
            </w:r>
            <w:r>
              <w:rPr>
                <w:rFonts w:hint="eastAsia" w:ascii="宋体" w:hAnsi="宋体"/>
                <w:szCs w:val="21"/>
                <w:lang w:val="en-US" w:eastAsia="zh-CN"/>
              </w:rPr>
              <w:t>装卸限制、施工时间限制</w:t>
            </w:r>
            <w:r>
              <w:rPr>
                <w:rFonts w:hint="eastAsia" w:ascii="宋体" w:hAnsi="宋体"/>
                <w:szCs w:val="21"/>
              </w:rPr>
              <w:t>及任何其它足以影响报价（如</w:t>
            </w:r>
            <w:r>
              <w:rPr>
                <w:rFonts w:hint="eastAsia" w:ascii="宋体" w:hAnsi="宋体"/>
                <w:szCs w:val="21"/>
                <w:lang w:val="en-US" w:eastAsia="zh-CN"/>
              </w:rPr>
              <w:t>当地政府及主管部门要求</w:t>
            </w:r>
            <w:r>
              <w:rPr>
                <w:rFonts w:hint="eastAsia" w:ascii="宋体" w:hAnsi="宋体"/>
                <w:szCs w:val="21"/>
              </w:rPr>
              <w:t>等）的情况，任何因忽视或误解工地情况而导致的索赔或工期延长申请将不获批准。</w:t>
            </w:r>
            <w:bookmarkStart w:id="0" w:name="_GoBack"/>
            <w:bookmarkEnd w:id="0"/>
          </w:p>
          <w:p w14:paraId="11B85166">
            <w:pPr>
              <w:spacing w:line="360" w:lineRule="auto"/>
              <w:ind w:firstLine="422" w:firstLineChars="200"/>
              <w:rPr>
                <w:rFonts w:hint="eastAsia" w:ascii="宋体" w:hAnsi="宋体" w:eastAsia="宋体" w:cs="宋体"/>
                <w:b/>
                <w:bCs/>
                <w:szCs w:val="21"/>
                <w:lang w:val="en-US" w:eastAsia="zh-CN"/>
              </w:rPr>
            </w:pPr>
            <w:r>
              <w:rPr>
                <w:rFonts w:hint="eastAsia" w:ascii="宋体" w:hAnsi="宋体" w:eastAsia="宋体" w:cs="宋体"/>
                <w:b/>
                <w:bCs/>
                <w:szCs w:val="21"/>
                <w:lang w:val="en-US" w:eastAsia="zh-CN"/>
              </w:rPr>
              <w:t>六、特别说明</w:t>
            </w:r>
          </w:p>
          <w:p w14:paraId="4519F072">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eastAsia="zh-CN"/>
              </w:rPr>
            </w:pPr>
            <w:r>
              <w:rPr>
                <w:rFonts w:hint="eastAsia" w:ascii="宋体" w:hAnsi="宋体" w:cs="Times New Roman"/>
                <w:szCs w:val="21"/>
                <w:lang w:eastAsia="zh-CN"/>
              </w:rPr>
              <w:t>招标人提供的项目清单数量和内容，仅作为投标报价参考，投标人可根据工程项目的设计和施 工组织方案，通过单独增列清单项目进行调整，原清单项目报价可以为零。</w:t>
            </w:r>
          </w:p>
          <w:p w14:paraId="143ED25A">
            <w:pPr>
              <w:keepNext w:val="0"/>
              <w:keepLines w:val="0"/>
              <w:suppressLineNumbers w:val="0"/>
              <w:spacing w:before="0" w:beforeAutospacing="0" w:after="0" w:afterAutospacing="0" w:line="360" w:lineRule="auto"/>
              <w:ind w:left="0" w:right="0" w:firstLine="495" w:firstLineChars="236"/>
              <w:rPr>
                <w:rFonts w:hint="default" w:ascii="宋体" w:hAnsi="宋体" w:cs="Times New Roman"/>
                <w:szCs w:val="21"/>
                <w:lang w:val="en-US" w:eastAsia="zh-CN"/>
              </w:rPr>
            </w:pPr>
            <w:r>
              <w:rPr>
                <w:rFonts w:hint="default" w:ascii="宋体" w:hAnsi="宋体" w:cs="Times New Roman"/>
                <w:szCs w:val="21"/>
                <w:lang w:val="en-US" w:eastAsia="zh-CN"/>
              </w:rPr>
              <w:t>投标人报价应按招标文件中《发包人要求》，以及招标人提供的工程总承包项目清单、设计文件等，并结合工程特点、市场因素及企业自身情况进行报价。</w:t>
            </w:r>
          </w:p>
          <w:p w14:paraId="6C53E27E">
            <w:pPr>
              <w:keepNext w:val="0"/>
              <w:keepLines w:val="0"/>
              <w:suppressLineNumbers w:val="0"/>
              <w:spacing w:before="0" w:beforeAutospacing="0" w:after="0" w:afterAutospacing="0" w:line="360" w:lineRule="auto"/>
              <w:ind w:left="0" w:right="0" w:firstLine="495" w:firstLineChars="236"/>
              <w:rPr>
                <w:rFonts w:hint="default" w:ascii="宋体" w:hAnsi="宋体" w:cs="Times New Roman"/>
                <w:szCs w:val="21"/>
                <w:lang w:val="en-US" w:eastAsia="zh-CN"/>
              </w:rPr>
            </w:pPr>
            <w:r>
              <w:rPr>
                <w:rFonts w:hint="default" w:ascii="宋体" w:hAnsi="宋体" w:cs="Times New Roman"/>
                <w:szCs w:val="21"/>
                <w:lang w:val="en-US" w:eastAsia="zh-CN"/>
              </w:rPr>
              <w:t>鉴于本工程为设计、采购、施工EPC总承包工程，投标人应充分阅读和理解招标文件及相关附件，对各清单项工程内容可能存在的偏差或因设计深度不足的情况在投标报价时综合考虑。中标人中标后</w:t>
            </w:r>
            <w:r>
              <w:rPr>
                <w:rFonts w:hint="eastAsia" w:ascii="宋体" w:hAnsi="宋体" w:cs="Times New Roman"/>
                <w:szCs w:val="21"/>
                <w:lang w:val="en-US" w:eastAsia="zh-CN"/>
              </w:rPr>
              <w:t>须</w:t>
            </w:r>
            <w:r>
              <w:rPr>
                <w:rFonts w:hint="default" w:ascii="宋体" w:hAnsi="宋体" w:cs="Times New Roman"/>
                <w:szCs w:val="21"/>
                <w:lang w:val="en-US" w:eastAsia="zh-CN"/>
              </w:rPr>
              <w:t>根据招标要求进行足额设计并满足</w:t>
            </w:r>
            <w:r>
              <w:rPr>
                <w:rFonts w:hint="eastAsia" w:ascii="宋体" w:hAnsi="宋体" w:cs="Times New Roman"/>
                <w:szCs w:val="21"/>
                <w:lang w:val="en-US" w:eastAsia="zh-CN"/>
              </w:rPr>
              <w:t>最新规范和技术标准要求，满足</w:t>
            </w:r>
            <w:r>
              <w:rPr>
                <w:rFonts w:hint="default" w:ascii="宋体" w:hAnsi="宋体" w:cs="Times New Roman"/>
                <w:szCs w:val="21"/>
                <w:lang w:val="en-US" w:eastAsia="zh-CN"/>
              </w:rPr>
              <w:t>发包人要求。</w:t>
            </w:r>
          </w:p>
          <w:p w14:paraId="4F8381C4">
            <w:pPr>
              <w:numPr>
                <w:ilvl w:val="0"/>
                <w:numId w:val="1"/>
              </w:numPr>
              <w:spacing w:line="360" w:lineRule="auto"/>
              <w:ind w:firstLine="422" w:firstLineChars="200"/>
              <w:rPr>
                <w:rFonts w:hint="default" w:ascii="宋体" w:hAnsi="宋体" w:eastAsia="宋体" w:cs="宋体"/>
                <w:b/>
                <w:bCs/>
                <w:szCs w:val="21"/>
                <w:lang w:val="en-US" w:eastAsia="zh-CN"/>
              </w:rPr>
            </w:pPr>
            <w:r>
              <w:rPr>
                <w:rFonts w:hint="default" w:ascii="宋体" w:hAnsi="宋体" w:eastAsia="宋体" w:cs="宋体"/>
                <w:b/>
                <w:bCs/>
                <w:szCs w:val="21"/>
                <w:lang w:val="en-US" w:eastAsia="zh-CN"/>
              </w:rPr>
              <w:t>主要材料（设备）品牌与要求</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2400"/>
              <w:gridCol w:w="5160"/>
              <w:gridCol w:w="746"/>
            </w:tblGrid>
            <w:tr w14:paraId="1ADBE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35D95965">
                  <w:pPr>
                    <w:rPr>
                      <w:rFonts w:hint="eastAsia" w:eastAsia="宋体"/>
                      <w:vertAlign w:val="baseline"/>
                      <w:lang w:val="en-US" w:eastAsia="zh-CN"/>
                    </w:rPr>
                  </w:pPr>
                  <w:r>
                    <w:rPr>
                      <w:rFonts w:hint="eastAsia"/>
                      <w:vertAlign w:val="baseline"/>
                      <w:lang w:val="en-US" w:eastAsia="zh-CN"/>
                    </w:rPr>
                    <w:t>序号</w:t>
                  </w:r>
                </w:p>
              </w:tc>
              <w:tc>
                <w:tcPr>
                  <w:tcW w:w="2400" w:type="dxa"/>
                  <w:noWrap w:val="0"/>
                  <w:vAlign w:val="top"/>
                </w:tcPr>
                <w:p w14:paraId="558B7A18">
                  <w:pPr>
                    <w:rPr>
                      <w:rFonts w:hint="eastAsia" w:eastAsia="宋体"/>
                      <w:vertAlign w:val="baseline"/>
                      <w:lang w:val="en-US" w:eastAsia="zh-CN"/>
                    </w:rPr>
                  </w:pPr>
                  <w:r>
                    <w:rPr>
                      <w:rFonts w:hint="eastAsia"/>
                      <w:vertAlign w:val="baseline"/>
                      <w:lang w:val="en-US" w:eastAsia="zh-CN"/>
                    </w:rPr>
                    <w:t>材料</w:t>
                  </w:r>
                </w:p>
              </w:tc>
              <w:tc>
                <w:tcPr>
                  <w:tcW w:w="5160" w:type="dxa"/>
                  <w:noWrap w:val="0"/>
                  <w:vAlign w:val="top"/>
                </w:tcPr>
                <w:p w14:paraId="3AE7ED5B">
                  <w:pPr>
                    <w:rPr>
                      <w:rFonts w:hint="eastAsia" w:eastAsia="宋体"/>
                      <w:vertAlign w:val="baseline"/>
                      <w:lang w:val="en-US" w:eastAsia="zh-CN"/>
                    </w:rPr>
                  </w:pPr>
                  <w:r>
                    <w:rPr>
                      <w:rFonts w:hint="eastAsia"/>
                      <w:vertAlign w:val="baseline"/>
                      <w:lang w:val="en-US" w:eastAsia="zh-CN"/>
                    </w:rPr>
                    <w:t>品牌</w:t>
                  </w:r>
                </w:p>
              </w:tc>
              <w:tc>
                <w:tcPr>
                  <w:tcW w:w="746" w:type="dxa"/>
                  <w:noWrap w:val="0"/>
                  <w:vAlign w:val="top"/>
                </w:tcPr>
                <w:p w14:paraId="526F49BE">
                  <w:pPr>
                    <w:rPr>
                      <w:rFonts w:hint="eastAsia" w:eastAsia="宋体"/>
                      <w:vertAlign w:val="baseline"/>
                      <w:lang w:val="en-US" w:eastAsia="zh-CN"/>
                    </w:rPr>
                  </w:pPr>
                  <w:r>
                    <w:rPr>
                      <w:rFonts w:hint="eastAsia"/>
                      <w:vertAlign w:val="baseline"/>
                      <w:lang w:val="en-US" w:eastAsia="zh-CN"/>
                    </w:rPr>
                    <w:t>备注</w:t>
                  </w:r>
                </w:p>
              </w:tc>
            </w:tr>
            <w:tr w14:paraId="731C8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679FD504">
                  <w:pPr>
                    <w:numPr>
                      <w:ilvl w:val="0"/>
                      <w:numId w:val="0"/>
                    </w:numPr>
                    <w:spacing w:line="360" w:lineRule="auto"/>
                    <w:ind w:left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p>
              </w:tc>
              <w:tc>
                <w:tcPr>
                  <w:tcW w:w="2400" w:type="dxa"/>
                  <w:noWrap w:val="0"/>
                  <w:vAlign w:val="top"/>
                </w:tcPr>
                <w:p w14:paraId="36CDC24D">
                  <w:pPr>
                    <w:numPr>
                      <w:ilvl w:val="0"/>
                      <w:numId w:val="0"/>
                    </w:numPr>
                    <w:spacing w:line="360" w:lineRule="auto"/>
                    <w:ind w:leftChars="0"/>
                    <w:jc w:val="center"/>
                    <w:rPr>
                      <w:rFonts w:hint="eastAsia" w:ascii="宋体" w:hAnsi="宋体" w:eastAsia="宋体" w:cs="宋体"/>
                      <w:sz w:val="21"/>
                      <w:szCs w:val="21"/>
                      <w:vertAlign w:val="baseline"/>
                      <w:lang w:val="en-US" w:eastAsia="zh-CN"/>
                    </w:rPr>
                  </w:pPr>
                  <w:r>
                    <w:rPr>
                      <w:rFonts w:hint="eastAsia" w:ascii="宋体" w:hAnsi="宋体" w:eastAsia="宋体" w:cs="宋体"/>
                      <w:color w:val="000000"/>
                      <w:kern w:val="0"/>
                      <w:sz w:val="21"/>
                      <w:szCs w:val="21"/>
                      <w:lang w:bidi="ar"/>
                    </w:rPr>
                    <w:t>防水涂料、防水卷材</w:t>
                  </w:r>
                </w:p>
              </w:tc>
              <w:tc>
                <w:tcPr>
                  <w:tcW w:w="5160" w:type="dxa"/>
                  <w:noWrap w:val="0"/>
                  <w:vAlign w:val="top"/>
                </w:tcPr>
                <w:p w14:paraId="30274B3F">
                  <w:pPr>
                    <w:numPr>
                      <w:ilvl w:val="0"/>
                      <w:numId w:val="0"/>
                    </w:numPr>
                    <w:spacing w:line="360" w:lineRule="auto"/>
                    <w:ind w:leftChars="0"/>
                    <w:jc w:val="center"/>
                    <w:rPr>
                      <w:rFonts w:hint="eastAsia" w:ascii="宋体" w:hAnsi="宋体" w:eastAsia="宋体" w:cs="宋体"/>
                      <w:sz w:val="21"/>
                      <w:szCs w:val="21"/>
                      <w:vertAlign w:val="baseline"/>
                    </w:rPr>
                  </w:pPr>
                  <w:r>
                    <w:rPr>
                      <w:rFonts w:hint="eastAsia" w:ascii="宋体" w:hAnsi="宋体" w:eastAsia="宋体" w:cs="宋体"/>
                      <w:color w:val="000000"/>
                      <w:kern w:val="0"/>
                      <w:sz w:val="21"/>
                      <w:szCs w:val="21"/>
                      <w:lang w:bidi="ar"/>
                    </w:rPr>
                    <w:t>月皇</w:t>
                  </w:r>
                  <w:r>
                    <w:rPr>
                      <w:rFonts w:hint="eastAsia" w:ascii="宋体" w:hAnsi="宋体" w:eastAsia="宋体" w:cs="宋体"/>
                      <w:color w:val="000000"/>
                      <w:kern w:val="0"/>
                      <w:sz w:val="21"/>
                      <w:szCs w:val="21"/>
                      <w:lang w:val="en-US" w:eastAsia="zh-CN" w:bidi="ar"/>
                    </w:rPr>
                    <w:t>、</w:t>
                  </w:r>
                  <w:r>
                    <w:rPr>
                      <w:rFonts w:hint="eastAsia" w:ascii="宋体" w:hAnsi="宋体" w:eastAsia="宋体" w:cs="宋体"/>
                      <w:color w:val="000000"/>
                      <w:kern w:val="0"/>
                      <w:sz w:val="21"/>
                      <w:szCs w:val="21"/>
                      <w:lang w:bidi="ar"/>
                    </w:rPr>
                    <w:t>禹王、科顺、东方雨虹或相当于</w:t>
                  </w:r>
                </w:p>
              </w:tc>
              <w:tc>
                <w:tcPr>
                  <w:tcW w:w="746" w:type="dxa"/>
                  <w:noWrap w:val="0"/>
                  <w:vAlign w:val="top"/>
                </w:tcPr>
                <w:p w14:paraId="287CD712">
                  <w:pPr>
                    <w:numPr>
                      <w:ilvl w:val="0"/>
                      <w:numId w:val="0"/>
                    </w:numPr>
                    <w:spacing w:line="360" w:lineRule="auto"/>
                    <w:ind w:leftChars="0"/>
                    <w:jc w:val="center"/>
                    <w:rPr>
                      <w:rFonts w:hint="eastAsia" w:ascii="宋体" w:hAnsi="宋体" w:eastAsia="宋体" w:cs="宋体"/>
                      <w:sz w:val="21"/>
                      <w:szCs w:val="21"/>
                      <w:vertAlign w:val="baseline"/>
                    </w:rPr>
                  </w:pPr>
                </w:p>
              </w:tc>
            </w:tr>
            <w:tr w14:paraId="42DE1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58AB4698">
                  <w:pPr>
                    <w:numPr>
                      <w:ilvl w:val="0"/>
                      <w:numId w:val="0"/>
                    </w:numPr>
                    <w:spacing w:line="360" w:lineRule="auto"/>
                    <w:ind w:left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2</w:t>
                  </w:r>
                </w:p>
              </w:tc>
              <w:tc>
                <w:tcPr>
                  <w:tcW w:w="2400" w:type="dxa"/>
                  <w:noWrap w:val="0"/>
                  <w:vAlign w:val="top"/>
                </w:tcPr>
                <w:p w14:paraId="48F076B4">
                  <w:pPr>
                    <w:numPr>
                      <w:ilvl w:val="0"/>
                      <w:numId w:val="0"/>
                    </w:numPr>
                    <w:spacing w:line="360" w:lineRule="auto"/>
                    <w:ind w:leftChars="0"/>
                    <w:jc w:val="center"/>
                    <w:rPr>
                      <w:rFonts w:hint="eastAsia" w:ascii="宋体" w:hAnsi="宋体" w:eastAsia="宋体" w:cs="宋体"/>
                      <w:sz w:val="21"/>
                      <w:szCs w:val="21"/>
                      <w:vertAlign w:val="baseline"/>
                    </w:rPr>
                  </w:pPr>
                  <w:r>
                    <w:rPr>
                      <w:rFonts w:hint="eastAsia" w:ascii="宋体" w:hAnsi="宋体" w:eastAsia="宋体" w:cs="宋体"/>
                      <w:color w:val="000000"/>
                      <w:kern w:val="0"/>
                      <w:sz w:val="21"/>
                      <w:szCs w:val="21"/>
                      <w:lang w:bidi="ar"/>
                    </w:rPr>
                    <w:t>地砖、墙面瓷砖</w:t>
                  </w:r>
                </w:p>
              </w:tc>
              <w:tc>
                <w:tcPr>
                  <w:tcW w:w="5160" w:type="dxa"/>
                  <w:noWrap w:val="0"/>
                  <w:vAlign w:val="top"/>
                </w:tcPr>
                <w:p w14:paraId="75B09219">
                  <w:pPr>
                    <w:numPr>
                      <w:ilvl w:val="0"/>
                      <w:numId w:val="0"/>
                    </w:numPr>
                    <w:spacing w:line="360" w:lineRule="auto"/>
                    <w:ind w:leftChars="0"/>
                    <w:jc w:val="center"/>
                    <w:rPr>
                      <w:rFonts w:hint="eastAsia" w:ascii="宋体" w:hAnsi="宋体" w:eastAsia="宋体" w:cs="宋体"/>
                      <w:sz w:val="21"/>
                      <w:szCs w:val="21"/>
                      <w:vertAlign w:val="baseline"/>
                    </w:rPr>
                  </w:pPr>
                  <w:r>
                    <w:rPr>
                      <w:rFonts w:hint="eastAsia" w:ascii="宋体" w:hAnsi="宋体" w:eastAsia="宋体" w:cs="宋体"/>
                      <w:sz w:val="21"/>
                      <w:szCs w:val="21"/>
                      <w:lang w:val="en-US" w:eastAsia="zh-CN"/>
                    </w:rPr>
                    <w:t>斯米克、冠军、诺贝尔</w:t>
                  </w:r>
                  <w:r>
                    <w:rPr>
                      <w:rFonts w:hint="eastAsia" w:ascii="宋体" w:hAnsi="宋体" w:eastAsia="宋体" w:cs="宋体"/>
                      <w:color w:val="000000"/>
                      <w:kern w:val="0"/>
                      <w:sz w:val="21"/>
                      <w:szCs w:val="21"/>
                      <w:lang w:bidi="ar"/>
                    </w:rPr>
                    <w:t>或相当于</w:t>
                  </w:r>
                </w:p>
              </w:tc>
              <w:tc>
                <w:tcPr>
                  <w:tcW w:w="746" w:type="dxa"/>
                  <w:noWrap w:val="0"/>
                  <w:vAlign w:val="top"/>
                </w:tcPr>
                <w:p w14:paraId="4499C8BB">
                  <w:pPr>
                    <w:numPr>
                      <w:ilvl w:val="0"/>
                      <w:numId w:val="0"/>
                    </w:numPr>
                    <w:spacing w:line="360" w:lineRule="auto"/>
                    <w:ind w:leftChars="0"/>
                    <w:jc w:val="center"/>
                    <w:rPr>
                      <w:rFonts w:hint="eastAsia" w:ascii="宋体" w:hAnsi="宋体" w:eastAsia="宋体" w:cs="宋体"/>
                      <w:sz w:val="21"/>
                      <w:szCs w:val="21"/>
                      <w:vertAlign w:val="baseline"/>
                    </w:rPr>
                  </w:pPr>
                </w:p>
              </w:tc>
            </w:tr>
            <w:tr w14:paraId="56C92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555FE611">
                  <w:pPr>
                    <w:numPr>
                      <w:ilvl w:val="0"/>
                      <w:numId w:val="0"/>
                    </w:numPr>
                    <w:spacing w:line="360" w:lineRule="auto"/>
                    <w:ind w:left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3</w:t>
                  </w:r>
                </w:p>
              </w:tc>
              <w:tc>
                <w:tcPr>
                  <w:tcW w:w="2400" w:type="dxa"/>
                  <w:noWrap w:val="0"/>
                  <w:vAlign w:val="top"/>
                </w:tcPr>
                <w:p w14:paraId="23543BE8">
                  <w:pPr>
                    <w:numPr>
                      <w:ilvl w:val="0"/>
                      <w:numId w:val="0"/>
                    </w:numPr>
                    <w:spacing w:line="360" w:lineRule="auto"/>
                    <w:ind w:leftChars="0"/>
                    <w:jc w:val="center"/>
                    <w:rPr>
                      <w:rFonts w:hint="eastAsia" w:ascii="宋体" w:hAnsi="宋体" w:eastAsia="宋体" w:cs="宋体"/>
                      <w:sz w:val="21"/>
                      <w:szCs w:val="21"/>
                      <w:vertAlign w:val="baseline"/>
                    </w:rPr>
                  </w:pPr>
                  <w:r>
                    <w:rPr>
                      <w:rFonts w:hint="eastAsia" w:ascii="宋体" w:hAnsi="宋体" w:eastAsia="宋体" w:cs="宋体"/>
                      <w:color w:val="000000"/>
                      <w:kern w:val="0"/>
                      <w:sz w:val="21"/>
                      <w:szCs w:val="21"/>
                      <w:lang w:bidi="ar"/>
                    </w:rPr>
                    <w:t>轻钢龙骨、石膏板</w:t>
                  </w:r>
                </w:p>
              </w:tc>
              <w:tc>
                <w:tcPr>
                  <w:tcW w:w="5160" w:type="dxa"/>
                  <w:noWrap w:val="0"/>
                  <w:vAlign w:val="top"/>
                </w:tcPr>
                <w:p w14:paraId="79B9B1FB">
                  <w:pPr>
                    <w:numPr>
                      <w:ilvl w:val="0"/>
                      <w:numId w:val="0"/>
                    </w:numPr>
                    <w:spacing w:line="360" w:lineRule="auto"/>
                    <w:ind w:leftChars="0"/>
                    <w:jc w:val="center"/>
                    <w:rPr>
                      <w:rFonts w:hint="eastAsia" w:ascii="宋体" w:hAnsi="宋体" w:eastAsia="宋体" w:cs="宋体"/>
                      <w:sz w:val="21"/>
                      <w:szCs w:val="21"/>
                      <w:vertAlign w:val="baseline"/>
                    </w:rPr>
                  </w:pPr>
                  <w:r>
                    <w:rPr>
                      <w:rFonts w:hint="eastAsia" w:ascii="宋体" w:hAnsi="宋体" w:eastAsia="宋体" w:cs="宋体"/>
                      <w:color w:val="000000"/>
                      <w:kern w:val="0"/>
                      <w:sz w:val="21"/>
                      <w:szCs w:val="21"/>
                      <w:lang w:bidi="ar"/>
                    </w:rPr>
                    <w:t>龙牌、</w:t>
                  </w:r>
                  <w:r>
                    <w:rPr>
                      <w:rStyle w:val="32"/>
                      <w:rFonts w:hint="eastAsia" w:ascii="宋体" w:hAnsi="宋体" w:eastAsia="宋体" w:cs="宋体"/>
                      <w:sz w:val="21"/>
                      <w:szCs w:val="21"/>
                      <w:lang w:bidi="ar"/>
                    </w:rPr>
                    <w:t>拉法基、可耐福或相当于</w:t>
                  </w:r>
                </w:p>
              </w:tc>
              <w:tc>
                <w:tcPr>
                  <w:tcW w:w="746" w:type="dxa"/>
                  <w:noWrap w:val="0"/>
                  <w:vAlign w:val="top"/>
                </w:tcPr>
                <w:p w14:paraId="69D4483F">
                  <w:pPr>
                    <w:numPr>
                      <w:ilvl w:val="0"/>
                      <w:numId w:val="0"/>
                    </w:numPr>
                    <w:spacing w:line="360" w:lineRule="auto"/>
                    <w:ind w:leftChars="0"/>
                    <w:jc w:val="center"/>
                    <w:rPr>
                      <w:rFonts w:hint="eastAsia" w:ascii="宋体" w:hAnsi="宋体" w:eastAsia="宋体" w:cs="宋体"/>
                      <w:sz w:val="21"/>
                      <w:szCs w:val="21"/>
                      <w:vertAlign w:val="baseline"/>
                    </w:rPr>
                  </w:pPr>
                </w:p>
              </w:tc>
            </w:tr>
            <w:tr w14:paraId="73E90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52B79CB9">
                  <w:pPr>
                    <w:numPr>
                      <w:ilvl w:val="0"/>
                      <w:numId w:val="0"/>
                    </w:numPr>
                    <w:spacing w:line="360" w:lineRule="auto"/>
                    <w:ind w:left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4</w:t>
                  </w:r>
                </w:p>
              </w:tc>
              <w:tc>
                <w:tcPr>
                  <w:tcW w:w="2400" w:type="dxa"/>
                  <w:noWrap w:val="0"/>
                  <w:vAlign w:val="top"/>
                </w:tcPr>
                <w:p w14:paraId="441EDEB8">
                  <w:pPr>
                    <w:numPr>
                      <w:ilvl w:val="0"/>
                      <w:numId w:val="0"/>
                    </w:numPr>
                    <w:spacing w:line="360" w:lineRule="auto"/>
                    <w:ind w:leftChars="0"/>
                    <w:jc w:val="center"/>
                    <w:rPr>
                      <w:rFonts w:hint="eastAsia" w:ascii="宋体" w:hAnsi="宋体" w:eastAsia="宋体" w:cs="宋体"/>
                      <w:sz w:val="21"/>
                      <w:szCs w:val="21"/>
                      <w:vertAlign w:val="baseline"/>
                    </w:rPr>
                  </w:pPr>
                  <w:r>
                    <w:rPr>
                      <w:rFonts w:hint="eastAsia" w:ascii="宋体" w:hAnsi="宋体" w:eastAsia="宋体" w:cs="宋体"/>
                      <w:color w:val="000000"/>
                      <w:kern w:val="0"/>
                      <w:sz w:val="21"/>
                      <w:szCs w:val="21"/>
                      <w:lang w:bidi="ar"/>
                    </w:rPr>
                    <w:t>五金门锁配件</w:t>
                  </w:r>
                </w:p>
              </w:tc>
              <w:tc>
                <w:tcPr>
                  <w:tcW w:w="5160" w:type="dxa"/>
                  <w:noWrap w:val="0"/>
                  <w:vAlign w:val="top"/>
                </w:tcPr>
                <w:p w14:paraId="4780FC62">
                  <w:pPr>
                    <w:numPr>
                      <w:ilvl w:val="0"/>
                      <w:numId w:val="0"/>
                    </w:numPr>
                    <w:spacing w:line="360" w:lineRule="auto"/>
                    <w:ind w:leftChars="0"/>
                    <w:jc w:val="center"/>
                    <w:rPr>
                      <w:rFonts w:hint="eastAsia" w:ascii="宋体" w:hAnsi="宋体" w:eastAsia="宋体" w:cs="宋体"/>
                      <w:sz w:val="21"/>
                      <w:szCs w:val="21"/>
                      <w:vertAlign w:val="baseline"/>
                    </w:rPr>
                  </w:pPr>
                  <w:r>
                    <w:rPr>
                      <w:rFonts w:hint="eastAsia" w:ascii="宋体" w:hAnsi="宋体" w:eastAsia="宋体" w:cs="宋体"/>
                      <w:i w:val="0"/>
                      <w:iCs w:val="0"/>
                      <w:color w:val="000000"/>
                      <w:kern w:val="0"/>
                      <w:sz w:val="21"/>
                      <w:szCs w:val="21"/>
                      <w:u w:val="none"/>
                      <w:lang w:val="en-US" w:eastAsia="zh-CN" w:bidi="ar"/>
                    </w:rPr>
                    <w:t>坚朗</w:t>
                  </w:r>
                  <w:r>
                    <w:rPr>
                      <w:rFonts w:hint="eastAsia" w:ascii="宋体" w:hAnsi="宋体" w:eastAsia="宋体" w:cs="宋体"/>
                      <w:color w:val="000000"/>
                      <w:kern w:val="0"/>
                      <w:sz w:val="21"/>
                      <w:szCs w:val="21"/>
                      <w:lang w:bidi="ar"/>
                    </w:rPr>
                    <w:t>、汇泰龙、</w:t>
                  </w:r>
                  <w:r>
                    <w:rPr>
                      <w:rFonts w:hint="eastAsia" w:ascii="宋体" w:hAnsi="宋体" w:eastAsia="宋体" w:cs="宋体"/>
                      <w:i w:val="0"/>
                      <w:iCs w:val="0"/>
                      <w:color w:val="000000"/>
                      <w:kern w:val="0"/>
                      <w:sz w:val="21"/>
                      <w:szCs w:val="21"/>
                      <w:u w:val="none"/>
                      <w:lang w:val="en-US" w:eastAsia="zh-CN" w:bidi="ar"/>
                    </w:rPr>
                    <w:t>顶固</w:t>
                  </w:r>
                  <w:r>
                    <w:rPr>
                      <w:rFonts w:hint="eastAsia" w:ascii="宋体" w:hAnsi="宋体" w:eastAsia="宋体" w:cs="宋体"/>
                      <w:color w:val="000000"/>
                      <w:kern w:val="0"/>
                      <w:sz w:val="21"/>
                      <w:szCs w:val="21"/>
                      <w:lang w:bidi="ar"/>
                    </w:rPr>
                    <w:t>、</w:t>
                  </w:r>
                  <w:r>
                    <w:rPr>
                      <w:rFonts w:hint="eastAsia" w:ascii="宋体" w:hAnsi="宋体" w:eastAsia="宋体" w:cs="宋体"/>
                      <w:i w:val="0"/>
                      <w:iCs w:val="0"/>
                      <w:color w:val="000000"/>
                      <w:kern w:val="0"/>
                      <w:sz w:val="21"/>
                      <w:szCs w:val="21"/>
                      <w:u w:val="none"/>
                      <w:lang w:val="en-US" w:eastAsia="zh-CN" w:bidi="ar"/>
                    </w:rPr>
                    <w:t>杨氏立兴</w:t>
                  </w:r>
                  <w:r>
                    <w:rPr>
                      <w:rFonts w:hint="eastAsia" w:ascii="宋体" w:hAnsi="宋体" w:eastAsia="宋体" w:cs="宋体"/>
                      <w:color w:val="000000"/>
                      <w:kern w:val="0"/>
                      <w:sz w:val="21"/>
                      <w:szCs w:val="21"/>
                      <w:lang w:bidi="ar"/>
                    </w:rPr>
                    <w:t>或相当于</w:t>
                  </w:r>
                </w:p>
              </w:tc>
              <w:tc>
                <w:tcPr>
                  <w:tcW w:w="746" w:type="dxa"/>
                  <w:noWrap w:val="0"/>
                  <w:vAlign w:val="top"/>
                </w:tcPr>
                <w:p w14:paraId="0A5CA502">
                  <w:pPr>
                    <w:numPr>
                      <w:ilvl w:val="0"/>
                      <w:numId w:val="0"/>
                    </w:numPr>
                    <w:spacing w:line="360" w:lineRule="auto"/>
                    <w:ind w:leftChars="0"/>
                    <w:jc w:val="center"/>
                    <w:rPr>
                      <w:rFonts w:hint="eastAsia" w:ascii="宋体" w:hAnsi="宋体" w:eastAsia="宋体" w:cs="宋体"/>
                      <w:sz w:val="21"/>
                      <w:szCs w:val="21"/>
                      <w:vertAlign w:val="baseline"/>
                    </w:rPr>
                  </w:pPr>
                </w:p>
              </w:tc>
            </w:tr>
            <w:tr w14:paraId="577FF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4F8910C2">
                  <w:pPr>
                    <w:numPr>
                      <w:ilvl w:val="0"/>
                      <w:numId w:val="0"/>
                    </w:numPr>
                    <w:spacing w:line="360" w:lineRule="auto"/>
                    <w:ind w:left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5</w:t>
                  </w:r>
                </w:p>
              </w:tc>
              <w:tc>
                <w:tcPr>
                  <w:tcW w:w="2400" w:type="dxa"/>
                  <w:noWrap w:val="0"/>
                  <w:vAlign w:val="top"/>
                </w:tcPr>
                <w:p w14:paraId="572D9B3C">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无机涂料</w:t>
                  </w:r>
                  <w:r>
                    <w:rPr>
                      <w:rFonts w:hint="eastAsia" w:ascii="宋体" w:hAnsi="宋体" w:cs="宋体"/>
                      <w:sz w:val="21"/>
                      <w:szCs w:val="21"/>
                      <w:vertAlign w:val="baseline"/>
                      <w:lang w:val="en-US" w:eastAsia="zh-CN"/>
                    </w:rPr>
                    <w:t>、乳胶漆</w:t>
                  </w:r>
                </w:p>
              </w:tc>
              <w:tc>
                <w:tcPr>
                  <w:tcW w:w="5160" w:type="dxa"/>
                  <w:noWrap w:val="0"/>
                  <w:vAlign w:val="top"/>
                </w:tcPr>
                <w:p w14:paraId="6574E932">
                  <w:pPr>
                    <w:numPr>
                      <w:ilvl w:val="0"/>
                      <w:numId w:val="0"/>
                    </w:numPr>
                    <w:spacing w:line="360" w:lineRule="auto"/>
                    <w:ind w:leftChars="0"/>
                    <w:jc w:val="center"/>
                    <w:rPr>
                      <w:rFonts w:hint="eastAsia" w:ascii="宋体" w:hAnsi="宋体" w:eastAsia="宋体" w:cs="宋体"/>
                      <w:sz w:val="21"/>
                      <w:szCs w:val="21"/>
                      <w:vertAlign w:val="baseline"/>
                    </w:rPr>
                  </w:pPr>
                  <w:r>
                    <w:rPr>
                      <w:rFonts w:hint="eastAsia" w:ascii="宋体" w:hAnsi="宋体" w:eastAsia="宋体" w:cs="宋体"/>
                      <w:color w:val="000000"/>
                      <w:kern w:val="0"/>
                      <w:sz w:val="21"/>
                      <w:szCs w:val="21"/>
                      <w:highlight w:val="none"/>
                      <w:lang w:val="en-US" w:eastAsia="zh-CN"/>
                    </w:rPr>
                    <w:t>多乐士</w:t>
                  </w:r>
                  <w:r>
                    <w:rPr>
                      <w:rFonts w:hint="eastAsia" w:ascii="宋体" w:hAnsi="宋体" w:eastAsia="宋体" w:cs="宋体"/>
                      <w:color w:val="000000"/>
                      <w:kern w:val="0"/>
                      <w:sz w:val="21"/>
                      <w:szCs w:val="21"/>
                      <w:highlight w:val="none"/>
                      <w:lang w:bidi="ar"/>
                    </w:rPr>
                    <w:t>、立邦、</w:t>
                  </w:r>
                  <w:r>
                    <w:rPr>
                      <w:rFonts w:hint="eastAsia" w:ascii="宋体" w:hAnsi="宋体" w:eastAsia="宋体" w:cs="宋体"/>
                      <w:color w:val="000000"/>
                      <w:kern w:val="0"/>
                      <w:sz w:val="21"/>
                      <w:szCs w:val="21"/>
                      <w:highlight w:val="none"/>
                      <w:lang w:val="en-US" w:eastAsia="zh-CN" w:bidi="ar"/>
                    </w:rPr>
                    <w:t>三棵树</w:t>
                  </w:r>
                  <w:r>
                    <w:rPr>
                      <w:rFonts w:hint="eastAsia" w:ascii="宋体" w:hAnsi="宋体" w:eastAsia="宋体" w:cs="宋体"/>
                      <w:color w:val="000000"/>
                      <w:kern w:val="0"/>
                      <w:sz w:val="21"/>
                      <w:szCs w:val="21"/>
                      <w:highlight w:val="none"/>
                      <w:lang w:bidi="ar"/>
                    </w:rPr>
                    <w:t>或相当于</w:t>
                  </w:r>
                </w:p>
              </w:tc>
              <w:tc>
                <w:tcPr>
                  <w:tcW w:w="746" w:type="dxa"/>
                  <w:noWrap w:val="0"/>
                  <w:vAlign w:val="top"/>
                </w:tcPr>
                <w:p w14:paraId="386A2B7D">
                  <w:pPr>
                    <w:numPr>
                      <w:ilvl w:val="0"/>
                      <w:numId w:val="0"/>
                    </w:numPr>
                    <w:spacing w:line="360" w:lineRule="auto"/>
                    <w:ind w:leftChars="0"/>
                    <w:jc w:val="center"/>
                    <w:rPr>
                      <w:rFonts w:hint="eastAsia" w:ascii="宋体" w:hAnsi="宋体" w:eastAsia="宋体" w:cs="宋体"/>
                      <w:sz w:val="21"/>
                      <w:szCs w:val="21"/>
                      <w:vertAlign w:val="baseline"/>
                    </w:rPr>
                  </w:pPr>
                </w:p>
              </w:tc>
            </w:tr>
            <w:tr w14:paraId="2126A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926" w:type="dxa"/>
                  <w:noWrap w:val="0"/>
                  <w:vAlign w:val="top"/>
                </w:tcPr>
                <w:p w14:paraId="2CAC0951">
                  <w:pPr>
                    <w:numPr>
                      <w:ilvl w:val="0"/>
                      <w:numId w:val="0"/>
                    </w:numPr>
                    <w:spacing w:line="360" w:lineRule="auto"/>
                    <w:ind w:leftChars="0"/>
                    <w:jc w:val="center"/>
                    <w:rPr>
                      <w:rFonts w:hint="eastAsia"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6</w:t>
                  </w:r>
                </w:p>
              </w:tc>
              <w:tc>
                <w:tcPr>
                  <w:tcW w:w="2400" w:type="dxa"/>
                  <w:noWrap w:val="0"/>
                  <w:vAlign w:val="top"/>
                </w:tcPr>
                <w:p w14:paraId="59326841">
                  <w:pPr>
                    <w:numPr>
                      <w:ilvl w:val="0"/>
                      <w:numId w:val="0"/>
                    </w:numPr>
                    <w:spacing w:line="360" w:lineRule="auto"/>
                    <w:ind w:leftChars="0"/>
                    <w:jc w:val="center"/>
                    <w:rPr>
                      <w:rFonts w:hint="eastAsia" w:ascii="宋体" w:hAnsi="宋体" w:eastAsia="宋体" w:cs="宋体"/>
                      <w:sz w:val="21"/>
                      <w:szCs w:val="21"/>
                      <w:vertAlign w:val="baseline"/>
                    </w:rPr>
                  </w:pPr>
                  <w:r>
                    <w:rPr>
                      <w:rFonts w:hint="eastAsia" w:ascii="宋体" w:hAnsi="宋体" w:eastAsia="宋体" w:cs="宋体"/>
                      <w:color w:val="000000"/>
                      <w:kern w:val="0"/>
                      <w:sz w:val="21"/>
                      <w:szCs w:val="21"/>
                      <w:lang w:bidi="ar"/>
                    </w:rPr>
                    <w:t>木工板、基层板</w:t>
                  </w:r>
                </w:p>
              </w:tc>
              <w:tc>
                <w:tcPr>
                  <w:tcW w:w="5160" w:type="dxa"/>
                  <w:noWrap w:val="0"/>
                  <w:vAlign w:val="top"/>
                </w:tcPr>
                <w:p w14:paraId="29246EEB">
                  <w:pPr>
                    <w:widowControl/>
                    <w:numPr>
                      <w:ilvl w:val="0"/>
                      <w:numId w:val="0"/>
                    </w:numPr>
                    <w:spacing w:line="360" w:lineRule="auto"/>
                    <w:ind w:leftChars="0"/>
                    <w:jc w:val="center"/>
                    <w:textAlignment w:val="center"/>
                    <w:rPr>
                      <w:rFonts w:hint="eastAsia" w:ascii="宋体" w:hAnsi="宋体" w:eastAsia="宋体" w:cs="宋体"/>
                      <w:sz w:val="21"/>
                      <w:szCs w:val="21"/>
                      <w:vertAlign w:val="baseline"/>
                    </w:rPr>
                  </w:pPr>
                  <w:r>
                    <w:rPr>
                      <w:rFonts w:hint="eastAsia" w:ascii="宋体" w:hAnsi="宋体" w:eastAsia="宋体" w:cs="宋体"/>
                      <w:color w:val="000000"/>
                      <w:kern w:val="0"/>
                      <w:sz w:val="21"/>
                      <w:szCs w:val="21"/>
                      <w:lang w:bidi="ar"/>
                    </w:rPr>
                    <w:t>千年舟、兔宝宝、莫干山或相当于</w:t>
                  </w:r>
                </w:p>
              </w:tc>
              <w:tc>
                <w:tcPr>
                  <w:tcW w:w="746" w:type="dxa"/>
                  <w:noWrap w:val="0"/>
                  <w:vAlign w:val="top"/>
                </w:tcPr>
                <w:p w14:paraId="7D75BB7C">
                  <w:pPr>
                    <w:numPr>
                      <w:ilvl w:val="0"/>
                      <w:numId w:val="0"/>
                    </w:numPr>
                    <w:spacing w:line="360" w:lineRule="auto"/>
                    <w:ind w:leftChars="0"/>
                    <w:jc w:val="center"/>
                    <w:rPr>
                      <w:rFonts w:hint="eastAsia" w:ascii="宋体" w:hAnsi="宋体" w:eastAsia="宋体" w:cs="宋体"/>
                      <w:sz w:val="21"/>
                      <w:szCs w:val="21"/>
                      <w:vertAlign w:val="baseline"/>
                    </w:rPr>
                  </w:pPr>
                </w:p>
              </w:tc>
            </w:tr>
            <w:tr w14:paraId="4BC69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6A92E45A">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7</w:t>
                  </w:r>
                </w:p>
              </w:tc>
              <w:tc>
                <w:tcPr>
                  <w:tcW w:w="2400" w:type="dxa"/>
                  <w:noWrap w:val="0"/>
                  <w:vAlign w:val="top"/>
                </w:tcPr>
                <w:p w14:paraId="570F3BA8">
                  <w:pPr>
                    <w:widowControl/>
                    <w:numPr>
                      <w:ilvl w:val="0"/>
                      <w:numId w:val="0"/>
                    </w:numPr>
                    <w:spacing w:line="360" w:lineRule="auto"/>
                    <w:ind w:leftChars="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防火门</w:t>
                  </w:r>
                </w:p>
              </w:tc>
              <w:tc>
                <w:tcPr>
                  <w:tcW w:w="5160" w:type="dxa"/>
                  <w:noWrap w:val="0"/>
                  <w:vAlign w:val="top"/>
                </w:tcPr>
                <w:p w14:paraId="1899F5DD">
                  <w:pPr>
                    <w:widowControl/>
                    <w:numPr>
                      <w:ilvl w:val="0"/>
                      <w:numId w:val="0"/>
                    </w:numPr>
                    <w:spacing w:line="360" w:lineRule="auto"/>
                    <w:ind w:leftChars="0"/>
                    <w:jc w:val="center"/>
                    <w:textAlignment w:val="center"/>
                    <w:rPr>
                      <w:rFonts w:hint="eastAsia" w:ascii="宋体" w:hAnsi="宋体" w:eastAsia="宋体" w:cs="宋体"/>
                      <w:color w:val="000000"/>
                      <w:kern w:val="0"/>
                      <w:sz w:val="21"/>
                      <w:szCs w:val="21"/>
                      <w:lang w:bidi="ar"/>
                    </w:rPr>
                  </w:pPr>
                  <w:r>
                    <w:rPr>
                      <w:rFonts w:hint="eastAsia" w:ascii="宋体" w:hAnsi="宋体" w:eastAsia="宋体" w:cs="宋体"/>
                      <w:color w:val="000000"/>
                      <w:kern w:val="0"/>
                      <w:sz w:val="21"/>
                      <w:szCs w:val="21"/>
                      <w:lang w:val="en-US" w:eastAsia="zh-CN" w:bidi="ar"/>
                    </w:rPr>
                    <w:t>步阳、星月门业、王力或相当于</w:t>
                  </w:r>
                </w:p>
              </w:tc>
              <w:tc>
                <w:tcPr>
                  <w:tcW w:w="746" w:type="dxa"/>
                  <w:noWrap w:val="0"/>
                  <w:vAlign w:val="top"/>
                </w:tcPr>
                <w:p w14:paraId="4B06A90C">
                  <w:pPr>
                    <w:numPr>
                      <w:ilvl w:val="0"/>
                      <w:numId w:val="0"/>
                    </w:numPr>
                    <w:spacing w:line="360" w:lineRule="auto"/>
                    <w:ind w:leftChars="0"/>
                    <w:jc w:val="center"/>
                    <w:rPr>
                      <w:rFonts w:hint="eastAsia" w:ascii="宋体" w:hAnsi="宋体" w:eastAsia="宋体" w:cs="宋体"/>
                      <w:sz w:val="21"/>
                      <w:szCs w:val="21"/>
                      <w:vertAlign w:val="baseline"/>
                    </w:rPr>
                  </w:pPr>
                </w:p>
              </w:tc>
            </w:tr>
            <w:tr w14:paraId="0DEA4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67665A8E">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8</w:t>
                  </w:r>
                </w:p>
              </w:tc>
              <w:tc>
                <w:tcPr>
                  <w:tcW w:w="2400" w:type="dxa"/>
                  <w:noWrap w:val="0"/>
                  <w:vAlign w:val="top"/>
                </w:tcPr>
                <w:p w14:paraId="6457FB7F">
                  <w:pPr>
                    <w:widowControl/>
                    <w:numPr>
                      <w:ilvl w:val="0"/>
                      <w:numId w:val="0"/>
                    </w:numPr>
                    <w:spacing w:line="360" w:lineRule="auto"/>
                    <w:ind w:leftChars="0"/>
                    <w:jc w:val="center"/>
                    <w:textAlignment w:val="center"/>
                    <w:rPr>
                      <w:rFonts w:hint="eastAsia" w:ascii="宋体" w:hAnsi="宋体" w:eastAsia="宋体" w:cs="宋体"/>
                      <w:color w:val="000000"/>
                      <w:kern w:val="0"/>
                      <w:sz w:val="21"/>
                      <w:szCs w:val="21"/>
                      <w:lang w:val="en-US" w:eastAsia="zh-CN" w:bidi="ar"/>
                    </w:rPr>
                  </w:pPr>
                  <w:r>
                    <w:rPr>
                      <w:rFonts w:ascii="宋体" w:hAnsi="宋体" w:eastAsia="宋体" w:cs="宋体"/>
                      <w:color w:val="auto"/>
                      <w:sz w:val="20"/>
                      <w:szCs w:val="20"/>
                      <w:highlight w:val="none"/>
                    </w:rPr>
                    <w:t>成品木质装饰门</w:t>
                  </w:r>
                </w:p>
              </w:tc>
              <w:tc>
                <w:tcPr>
                  <w:tcW w:w="5160" w:type="dxa"/>
                  <w:noWrap w:val="0"/>
                  <w:vAlign w:val="top"/>
                </w:tcPr>
                <w:p w14:paraId="7D638F4B">
                  <w:pPr>
                    <w:widowControl/>
                    <w:numPr>
                      <w:ilvl w:val="0"/>
                      <w:numId w:val="0"/>
                    </w:numPr>
                    <w:spacing w:line="360" w:lineRule="auto"/>
                    <w:ind w:leftChars="0"/>
                    <w:jc w:val="center"/>
                    <w:textAlignment w:val="center"/>
                    <w:rPr>
                      <w:rFonts w:hint="eastAsia" w:ascii="宋体" w:hAnsi="宋体" w:eastAsia="宋体" w:cs="宋体"/>
                      <w:color w:val="000000"/>
                      <w:kern w:val="0"/>
                      <w:sz w:val="21"/>
                      <w:szCs w:val="21"/>
                      <w:lang w:val="en-US" w:eastAsia="zh-CN" w:bidi="ar"/>
                    </w:rPr>
                  </w:pPr>
                  <w:r>
                    <w:rPr>
                      <w:rFonts w:ascii="宋体" w:hAnsi="宋体" w:eastAsia="宋体" w:cs="宋体"/>
                      <w:color w:val="auto"/>
                      <w:sz w:val="20"/>
                      <w:szCs w:val="20"/>
                      <w:highlight w:val="none"/>
                    </w:rPr>
                    <w:t>美心</w:t>
                  </w:r>
                  <w:r>
                    <w:rPr>
                      <w:rFonts w:hint="eastAsia" w:ascii="宋体" w:hAnsi="宋体" w:cs="宋体"/>
                      <w:color w:val="auto"/>
                      <w:sz w:val="20"/>
                      <w:szCs w:val="20"/>
                      <w:highlight w:val="none"/>
                      <w:lang w:eastAsia="zh-CN"/>
                    </w:rPr>
                    <w:t>、</w:t>
                  </w:r>
                  <w:r>
                    <w:rPr>
                      <w:rFonts w:ascii="宋体" w:hAnsi="宋体" w:eastAsia="宋体" w:cs="宋体"/>
                      <w:color w:val="auto"/>
                      <w:sz w:val="20"/>
                      <w:szCs w:val="20"/>
                      <w:highlight w:val="none"/>
                    </w:rPr>
                    <w:t>TATA</w:t>
                  </w:r>
                  <w:r>
                    <w:rPr>
                      <w:rFonts w:hint="eastAsia" w:ascii="宋体" w:hAnsi="宋体" w:cs="宋体"/>
                      <w:color w:val="auto"/>
                      <w:sz w:val="20"/>
                      <w:szCs w:val="20"/>
                      <w:highlight w:val="none"/>
                      <w:lang w:eastAsia="zh-CN"/>
                    </w:rPr>
                    <w:t>、</w:t>
                  </w:r>
                  <w:r>
                    <w:rPr>
                      <w:rFonts w:ascii="宋体" w:hAnsi="宋体" w:eastAsia="宋体" w:cs="宋体"/>
                      <w:color w:val="auto"/>
                      <w:sz w:val="20"/>
                      <w:szCs w:val="20"/>
                      <w:highlight w:val="none"/>
                    </w:rPr>
                    <w:t>梦天木作</w:t>
                  </w:r>
                  <w:r>
                    <w:rPr>
                      <w:rFonts w:hint="eastAsia" w:ascii="宋体" w:hAnsi="宋体" w:eastAsia="宋体" w:cs="宋体"/>
                      <w:color w:val="000000"/>
                      <w:kern w:val="0"/>
                      <w:sz w:val="21"/>
                      <w:szCs w:val="21"/>
                      <w:lang w:val="en-US" w:eastAsia="zh-CN" w:bidi="ar"/>
                    </w:rPr>
                    <w:t>或相当于</w:t>
                  </w:r>
                </w:p>
              </w:tc>
              <w:tc>
                <w:tcPr>
                  <w:tcW w:w="746" w:type="dxa"/>
                  <w:noWrap w:val="0"/>
                  <w:vAlign w:val="top"/>
                </w:tcPr>
                <w:p w14:paraId="65DD3C8B">
                  <w:pPr>
                    <w:numPr>
                      <w:ilvl w:val="0"/>
                      <w:numId w:val="0"/>
                    </w:numPr>
                    <w:spacing w:line="360" w:lineRule="auto"/>
                    <w:ind w:leftChars="0"/>
                    <w:jc w:val="center"/>
                    <w:rPr>
                      <w:rFonts w:hint="eastAsia" w:ascii="宋体" w:hAnsi="宋体" w:eastAsia="宋体" w:cs="宋体"/>
                      <w:sz w:val="21"/>
                      <w:szCs w:val="21"/>
                      <w:vertAlign w:val="baseline"/>
                    </w:rPr>
                  </w:pPr>
                </w:p>
              </w:tc>
            </w:tr>
            <w:tr w14:paraId="62729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130CB3DC">
                  <w:pPr>
                    <w:numPr>
                      <w:ilvl w:val="0"/>
                      <w:numId w:val="0"/>
                    </w:numPr>
                    <w:spacing w:line="360" w:lineRule="auto"/>
                    <w:ind w:leftChars="0"/>
                    <w:jc w:val="center"/>
                    <w:rPr>
                      <w:rFonts w:hint="eastAsia"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9</w:t>
                  </w:r>
                </w:p>
              </w:tc>
              <w:tc>
                <w:tcPr>
                  <w:tcW w:w="2400" w:type="dxa"/>
                  <w:noWrap w:val="0"/>
                  <w:vAlign w:val="top"/>
                </w:tcPr>
                <w:p w14:paraId="76DD17DD">
                  <w:pPr>
                    <w:numPr>
                      <w:ilvl w:val="0"/>
                      <w:numId w:val="0"/>
                    </w:numPr>
                    <w:spacing w:line="360" w:lineRule="auto"/>
                    <w:ind w:lef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地胶板</w:t>
                  </w:r>
                </w:p>
              </w:tc>
              <w:tc>
                <w:tcPr>
                  <w:tcW w:w="5160" w:type="dxa"/>
                  <w:noWrap w:val="0"/>
                  <w:vAlign w:val="top"/>
                </w:tcPr>
                <w:p w14:paraId="4FEB161D">
                  <w:pPr>
                    <w:numPr>
                      <w:ilvl w:val="0"/>
                      <w:numId w:val="0"/>
                    </w:numPr>
                    <w:spacing w:line="360" w:lineRule="auto"/>
                    <w:ind w:leftChars="0"/>
                    <w:jc w:val="center"/>
                    <w:rPr>
                      <w:rFonts w:hint="eastAsia" w:ascii="宋体" w:hAnsi="宋体" w:eastAsia="宋体" w:cs="宋体"/>
                      <w:color w:val="000000"/>
                      <w:kern w:val="0"/>
                      <w:sz w:val="21"/>
                      <w:szCs w:val="21"/>
                      <w:lang w:val="en-US" w:eastAsia="zh-CN" w:bidi="ar"/>
                    </w:rPr>
                  </w:pPr>
                  <w:r>
                    <w:rPr>
                      <w:rFonts w:hint="eastAsia" w:ascii="宋体" w:hAnsi="宋体" w:eastAsia="宋体" w:cs="宋体"/>
                      <w:i w:val="0"/>
                      <w:iCs w:val="0"/>
                      <w:color w:val="000000"/>
                      <w:kern w:val="0"/>
                      <w:sz w:val="21"/>
                      <w:szCs w:val="21"/>
                      <w:u w:val="none"/>
                      <w:lang w:val="en-US" w:eastAsia="zh-CN" w:bidi="ar"/>
                    </w:rPr>
                    <w:t>阿姆斯壮、洁弗乐、保丽、得嘉</w:t>
                  </w:r>
                  <w:r>
                    <w:rPr>
                      <w:rFonts w:hint="eastAsia" w:ascii="宋体" w:hAnsi="宋体" w:eastAsia="宋体" w:cs="宋体"/>
                      <w:color w:val="000000"/>
                      <w:kern w:val="0"/>
                      <w:sz w:val="21"/>
                      <w:szCs w:val="21"/>
                      <w:lang w:bidi="ar"/>
                    </w:rPr>
                    <w:t>或相当于</w:t>
                  </w:r>
                </w:p>
              </w:tc>
              <w:tc>
                <w:tcPr>
                  <w:tcW w:w="746" w:type="dxa"/>
                  <w:noWrap w:val="0"/>
                  <w:vAlign w:val="top"/>
                </w:tcPr>
                <w:p w14:paraId="042F7126">
                  <w:pPr>
                    <w:numPr>
                      <w:ilvl w:val="0"/>
                      <w:numId w:val="0"/>
                    </w:numPr>
                    <w:spacing w:line="360" w:lineRule="auto"/>
                    <w:ind w:leftChars="0"/>
                    <w:jc w:val="center"/>
                    <w:rPr>
                      <w:rFonts w:hint="eastAsia" w:ascii="宋体" w:hAnsi="宋体" w:eastAsia="宋体" w:cs="宋体"/>
                      <w:sz w:val="21"/>
                      <w:szCs w:val="21"/>
                      <w:vertAlign w:val="baseline"/>
                    </w:rPr>
                  </w:pPr>
                </w:p>
              </w:tc>
            </w:tr>
            <w:tr w14:paraId="412A3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08B4D5C8">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10</w:t>
                  </w:r>
                </w:p>
              </w:tc>
              <w:tc>
                <w:tcPr>
                  <w:tcW w:w="2400" w:type="dxa"/>
                  <w:noWrap w:val="0"/>
                  <w:vAlign w:val="top"/>
                </w:tcPr>
                <w:p w14:paraId="3116FA84">
                  <w:pPr>
                    <w:numPr>
                      <w:ilvl w:val="0"/>
                      <w:numId w:val="0"/>
                    </w:numPr>
                    <w:spacing w:line="360" w:lineRule="auto"/>
                    <w:ind w:lef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成套配电箱及</w:t>
                  </w:r>
                  <w:r>
                    <w:rPr>
                      <w:rFonts w:hint="eastAsia" w:ascii="宋体" w:hAnsi="宋体" w:eastAsia="宋体" w:cs="宋体"/>
                      <w:color w:val="auto"/>
                      <w:sz w:val="21"/>
                      <w:szCs w:val="21"/>
                      <w:highlight w:val="none"/>
                    </w:rPr>
                    <w:t>元器件</w:t>
                  </w:r>
                </w:p>
              </w:tc>
              <w:tc>
                <w:tcPr>
                  <w:tcW w:w="5160" w:type="dxa"/>
                  <w:noWrap w:val="0"/>
                  <w:vAlign w:val="top"/>
                </w:tcPr>
                <w:p w14:paraId="7A086234">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highlight w:val="none"/>
                    </w:rPr>
                    <w:t>西门子</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ABB</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施耐德</w:t>
                  </w:r>
                  <w:r>
                    <w:rPr>
                      <w:rFonts w:hint="eastAsia" w:ascii="宋体" w:hAnsi="宋体" w:eastAsia="宋体" w:cs="宋体"/>
                      <w:color w:val="000000"/>
                      <w:kern w:val="0"/>
                      <w:sz w:val="21"/>
                      <w:szCs w:val="21"/>
                      <w:lang w:bidi="ar"/>
                    </w:rPr>
                    <w:t>或相当于</w:t>
                  </w:r>
                </w:p>
              </w:tc>
              <w:tc>
                <w:tcPr>
                  <w:tcW w:w="746" w:type="dxa"/>
                  <w:noWrap w:val="0"/>
                  <w:vAlign w:val="top"/>
                </w:tcPr>
                <w:p w14:paraId="0815EAD9">
                  <w:pPr>
                    <w:numPr>
                      <w:ilvl w:val="0"/>
                      <w:numId w:val="0"/>
                    </w:numPr>
                    <w:spacing w:line="360" w:lineRule="auto"/>
                    <w:ind w:leftChars="0"/>
                    <w:jc w:val="center"/>
                    <w:rPr>
                      <w:rFonts w:hint="eastAsia" w:ascii="宋体" w:hAnsi="宋体" w:eastAsia="宋体" w:cs="宋体"/>
                      <w:sz w:val="21"/>
                      <w:szCs w:val="21"/>
                      <w:vertAlign w:val="baseline"/>
                    </w:rPr>
                  </w:pPr>
                </w:p>
              </w:tc>
            </w:tr>
            <w:tr w14:paraId="47598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3AEB6ECB">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11</w:t>
                  </w:r>
                </w:p>
              </w:tc>
              <w:tc>
                <w:tcPr>
                  <w:tcW w:w="2400" w:type="dxa"/>
                  <w:noWrap w:val="0"/>
                  <w:vAlign w:val="top"/>
                </w:tcPr>
                <w:p w14:paraId="62E597AF">
                  <w:pPr>
                    <w:numPr>
                      <w:ilvl w:val="0"/>
                      <w:numId w:val="0"/>
                    </w:numPr>
                    <w:spacing w:line="360" w:lineRule="auto"/>
                    <w:ind w:lef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电线电缆</w:t>
                  </w:r>
                </w:p>
              </w:tc>
              <w:tc>
                <w:tcPr>
                  <w:tcW w:w="5160" w:type="dxa"/>
                  <w:noWrap w:val="0"/>
                  <w:vAlign w:val="top"/>
                </w:tcPr>
                <w:p w14:paraId="6B67A622">
                  <w:pPr>
                    <w:numPr>
                      <w:ilvl w:val="0"/>
                      <w:numId w:val="0"/>
                    </w:numPr>
                    <w:spacing w:line="360" w:lineRule="auto"/>
                    <w:ind w:leftChars="0"/>
                    <w:jc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highlight w:val="none"/>
                    </w:rPr>
                    <w:t>杭州电缆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浙江元通</w:t>
                  </w:r>
                  <w:r>
                    <w:rPr>
                      <w:rFonts w:hint="eastAsia" w:ascii="宋体" w:hAnsi="宋体" w:eastAsia="宋体" w:cs="宋体"/>
                      <w:color w:val="auto"/>
                      <w:sz w:val="21"/>
                      <w:szCs w:val="21"/>
                      <w:highlight w:val="none"/>
                      <w:lang w:eastAsia="zh-CN"/>
                    </w:rPr>
                    <w:t>、</w:t>
                  </w:r>
                  <w:r>
                    <w:rPr>
                      <w:rFonts w:hint="eastAsia" w:ascii="宋体" w:hAnsi="宋体" w:eastAsia="宋体" w:cs="宋体"/>
                      <w:i w:val="0"/>
                      <w:iCs w:val="0"/>
                      <w:color w:val="000000"/>
                      <w:kern w:val="0"/>
                      <w:sz w:val="21"/>
                      <w:szCs w:val="21"/>
                      <w:u w:val="none"/>
                      <w:lang w:val="en-US" w:eastAsia="zh-CN" w:bidi="ar"/>
                    </w:rPr>
                    <w:t>浙江万马</w:t>
                  </w:r>
                  <w:r>
                    <w:rPr>
                      <w:rFonts w:hint="eastAsia" w:ascii="宋体" w:hAnsi="宋体" w:cs="宋体"/>
                      <w:i w:val="0"/>
                      <w:iCs w:val="0"/>
                      <w:color w:val="000000"/>
                      <w:kern w:val="0"/>
                      <w:sz w:val="21"/>
                      <w:szCs w:val="21"/>
                      <w:u w:val="none"/>
                      <w:lang w:val="en-US" w:eastAsia="zh-CN" w:bidi="ar"/>
                    </w:rPr>
                    <w:t>、中策</w:t>
                  </w:r>
                  <w:r>
                    <w:rPr>
                      <w:rFonts w:hint="eastAsia" w:ascii="宋体" w:hAnsi="宋体" w:eastAsia="宋体" w:cs="宋体"/>
                      <w:color w:val="000000"/>
                      <w:kern w:val="0"/>
                      <w:sz w:val="21"/>
                      <w:szCs w:val="21"/>
                      <w:lang w:bidi="ar"/>
                    </w:rPr>
                    <w:t>或相当于</w:t>
                  </w:r>
                </w:p>
              </w:tc>
              <w:tc>
                <w:tcPr>
                  <w:tcW w:w="746" w:type="dxa"/>
                  <w:noWrap w:val="0"/>
                  <w:vAlign w:val="top"/>
                </w:tcPr>
                <w:p w14:paraId="0450C551">
                  <w:pPr>
                    <w:numPr>
                      <w:ilvl w:val="0"/>
                      <w:numId w:val="0"/>
                    </w:numPr>
                    <w:spacing w:line="360" w:lineRule="auto"/>
                    <w:ind w:leftChars="0"/>
                    <w:jc w:val="center"/>
                    <w:rPr>
                      <w:rFonts w:hint="eastAsia" w:ascii="宋体" w:hAnsi="宋体" w:eastAsia="宋体" w:cs="宋体"/>
                      <w:sz w:val="21"/>
                      <w:szCs w:val="21"/>
                      <w:vertAlign w:val="baseline"/>
                    </w:rPr>
                  </w:pPr>
                </w:p>
              </w:tc>
            </w:tr>
            <w:tr w14:paraId="261B1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3C4D0903">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ascii="宋体" w:hAnsi="宋体" w:cs="宋体"/>
                      <w:sz w:val="21"/>
                      <w:szCs w:val="21"/>
                      <w:vertAlign w:val="baseline"/>
                      <w:lang w:val="en-US" w:eastAsia="zh-CN"/>
                    </w:rPr>
                    <w:t>2</w:t>
                  </w:r>
                </w:p>
              </w:tc>
              <w:tc>
                <w:tcPr>
                  <w:tcW w:w="2400" w:type="dxa"/>
                  <w:noWrap w:val="0"/>
                  <w:vAlign w:val="top"/>
                </w:tcPr>
                <w:p w14:paraId="661C137C">
                  <w:pPr>
                    <w:numPr>
                      <w:ilvl w:val="0"/>
                      <w:numId w:val="0"/>
                    </w:numPr>
                    <w:spacing w:line="360" w:lineRule="auto"/>
                    <w:ind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灯具</w:t>
                  </w:r>
                </w:p>
              </w:tc>
              <w:tc>
                <w:tcPr>
                  <w:tcW w:w="5160" w:type="dxa"/>
                  <w:noWrap w:val="0"/>
                  <w:vAlign w:val="top"/>
                </w:tcPr>
                <w:p w14:paraId="70EE0624">
                  <w:pPr>
                    <w:numPr>
                      <w:ilvl w:val="0"/>
                      <w:numId w:val="0"/>
                    </w:numPr>
                    <w:spacing w:line="360" w:lineRule="auto"/>
                    <w:ind w:leftChars="0"/>
                    <w:jc w:val="center"/>
                    <w:rPr>
                      <w:rFonts w:hint="eastAsia" w:ascii="宋体" w:hAnsi="宋体" w:eastAsia="宋体" w:cs="宋体"/>
                      <w:color w:val="auto"/>
                      <w:sz w:val="21"/>
                      <w:szCs w:val="21"/>
                      <w:highlight w:val="none"/>
                    </w:rPr>
                  </w:pPr>
                  <w:r>
                    <w:rPr>
                      <w:rFonts w:hint="eastAsia" w:ascii="宋体" w:hAnsi="宋体" w:eastAsia="宋体" w:cs="宋体"/>
                      <w:i w:val="0"/>
                      <w:iCs w:val="0"/>
                      <w:color w:val="000000"/>
                      <w:kern w:val="0"/>
                      <w:sz w:val="21"/>
                      <w:szCs w:val="21"/>
                      <w:u w:val="none"/>
                      <w:lang w:val="en-US" w:eastAsia="zh-CN" w:bidi="ar"/>
                    </w:rPr>
                    <w:t>雷士、三雄极光、欧普或相当于</w:t>
                  </w:r>
                </w:p>
              </w:tc>
              <w:tc>
                <w:tcPr>
                  <w:tcW w:w="746" w:type="dxa"/>
                  <w:noWrap w:val="0"/>
                  <w:vAlign w:val="top"/>
                </w:tcPr>
                <w:p w14:paraId="0BDF58F3">
                  <w:pPr>
                    <w:numPr>
                      <w:ilvl w:val="0"/>
                      <w:numId w:val="0"/>
                    </w:numPr>
                    <w:spacing w:line="360" w:lineRule="auto"/>
                    <w:ind w:leftChars="0"/>
                    <w:jc w:val="center"/>
                    <w:rPr>
                      <w:rFonts w:hint="eastAsia" w:ascii="宋体" w:hAnsi="宋体" w:eastAsia="宋体" w:cs="宋体"/>
                      <w:sz w:val="21"/>
                      <w:szCs w:val="21"/>
                      <w:vertAlign w:val="baseline"/>
                    </w:rPr>
                  </w:pPr>
                </w:p>
              </w:tc>
            </w:tr>
            <w:tr w14:paraId="4D65A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1E0EDFC1">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ascii="宋体" w:hAnsi="宋体" w:cs="宋体"/>
                      <w:sz w:val="21"/>
                      <w:szCs w:val="21"/>
                      <w:vertAlign w:val="baseline"/>
                      <w:lang w:val="en-US" w:eastAsia="zh-CN"/>
                    </w:rPr>
                    <w:t>3</w:t>
                  </w:r>
                </w:p>
              </w:tc>
              <w:tc>
                <w:tcPr>
                  <w:tcW w:w="2400" w:type="dxa"/>
                  <w:noWrap w:val="0"/>
                  <w:vAlign w:val="top"/>
                </w:tcPr>
                <w:p w14:paraId="389AEFD4">
                  <w:pPr>
                    <w:numPr>
                      <w:ilvl w:val="0"/>
                      <w:numId w:val="0"/>
                    </w:numPr>
                    <w:spacing w:line="360" w:lineRule="auto"/>
                    <w:ind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olor w:val="000000"/>
                      <w:kern w:val="0"/>
                      <w:sz w:val="21"/>
                      <w:szCs w:val="21"/>
                      <w:u w:val="none"/>
                      <w:lang w:val="en-US" w:eastAsia="zh-CN" w:bidi="ar"/>
                    </w:rPr>
                    <w:t>开关、插座</w:t>
                  </w:r>
                </w:p>
              </w:tc>
              <w:tc>
                <w:tcPr>
                  <w:tcW w:w="5160" w:type="dxa"/>
                  <w:noWrap w:val="0"/>
                  <w:vAlign w:val="top"/>
                </w:tcPr>
                <w:p w14:paraId="64346581">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鸿雁、正泰、德力西或相当于</w:t>
                  </w:r>
                </w:p>
              </w:tc>
              <w:tc>
                <w:tcPr>
                  <w:tcW w:w="746" w:type="dxa"/>
                  <w:noWrap w:val="0"/>
                  <w:vAlign w:val="top"/>
                </w:tcPr>
                <w:p w14:paraId="61E2D7DA">
                  <w:pPr>
                    <w:numPr>
                      <w:ilvl w:val="0"/>
                      <w:numId w:val="0"/>
                    </w:numPr>
                    <w:spacing w:line="360" w:lineRule="auto"/>
                    <w:ind w:leftChars="0"/>
                    <w:jc w:val="center"/>
                    <w:rPr>
                      <w:rFonts w:hint="eastAsia" w:ascii="宋体" w:hAnsi="宋体" w:eastAsia="宋体" w:cs="宋体"/>
                      <w:sz w:val="21"/>
                      <w:szCs w:val="21"/>
                      <w:vertAlign w:val="baseline"/>
                    </w:rPr>
                  </w:pPr>
                </w:p>
              </w:tc>
            </w:tr>
            <w:tr w14:paraId="024B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1E8DC940">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ascii="宋体" w:hAnsi="宋体" w:cs="宋体"/>
                      <w:sz w:val="21"/>
                      <w:szCs w:val="21"/>
                      <w:vertAlign w:val="baseline"/>
                      <w:lang w:val="en-US" w:eastAsia="zh-CN"/>
                    </w:rPr>
                    <w:t>4</w:t>
                  </w:r>
                </w:p>
              </w:tc>
              <w:tc>
                <w:tcPr>
                  <w:tcW w:w="2400" w:type="dxa"/>
                  <w:noWrap w:val="0"/>
                  <w:vAlign w:val="top"/>
                </w:tcPr>
                <w:p w14:paraId="4D601A31">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桥架</w:t>
                  </w:r>
                </w:p>
              </w:tc>
              <w:tc>
                <w:tcPr>
                  <w:tcW w:w="5160" w:type="dxa"/>
                  <w:noWrap w:val="0"/>
                  <w:vAlign w:val="top"/>
                </w:tcPr>
                <w:p w14:paraId="369F813F">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远大、杭开、浩瀚或相当于</w:t>
                  </w:r>
                </w:p>
              </w:tc>
              <w:tc>
                <w:tcPr>
                  <w:tcW w:w="746" w:type="dxa"/>
                  <w:noWrap w:val="0"/>
                  <w:vAlign w:val="top"/>
                </w:tcPr>
                <w:p w14:paraId="292C1B5A">
                  <w:pPr>
                    <w:numPr>
                      <w:ilvl w:val="0"/>
                      <w:numId w:val="0"/>
                    </w:numPr>
                    <w:spacing w:line="360" w:lineRule="auto"/>
                    <w:ind w:leftChars="0"/>
                    <w:jc w:val="center"/>
                    <w:rPr>
                      <w:rFonts w:hint="eastAsia" w:ascii="宋体" w:hAnsi="宋体" w:eastAsia="宋体" w:cs="宋体"/>
                      <w:sz w:val="21"/>
                      <w:szCs w:val="21"/>
                      <w:vertAlign w:val="baseline"/>
                    </w:rPr>
                  </w:pPr>
                </w:p>
              </w:tc>
            </w:tr>
            <w:tr w14:paraId="1B46F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3D2E3D8D">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ascii="宋体" w:hAnsi="宋体" w:cs="宋体"/>
                      <w:sz w:val="21"/>
                      <w:szCs w:val="21"/>
                      <w:vertAlign w:val="baseline"/>
                      <w:lang w:val="en-US" w:eastAsia="zh-CN"/>
                    </w:rPr>
                    <w:t>5</w:t>
                  </w:r>
                </w:p>
              </w:tc>
              <w:tc>
                <w:tcPr>
                  <w:tcW w:w="2400" w:type="dxa"/>
                  <w:noWrap w:val="0"/>
                  <w:vAlign w:val="top"/>
                </w:tcPr>
                <w:p w14:paraId="2DD80AEE">
                  <w:pPr>
                    <w:numPr>
                      <w:ilvl w:val="0"/>
                      <w:numId w:val="0"/>
                    </w:numPr>
                    <w:spacing w:line="360" w:lineRule="auto"/>
                    <w:ind w:lef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iCs w:val="0"/>
                      <w:color w:val="000000"/>
                      <w:kern w:val="0"/>
                      <w:sz w:val="21"/>
                      <w:szCs w:val="21"/>
                      <w:u w:val="none"/>
                      <w:lang w:val="en-US" w:eastAsia="zh-CN" w:bidi="ar"/>
                    </w:rPr>
                    <w:t>电线管（JDG等）</w:t>
                  </w:r>
                </w:p>
              </w:tc>
              <w:tc>
                <w:tcPr>
                  <w:tcW w:w="5160" w:type="dxa"/>
                  <w:noWrap w:val="0"/>
                  <w:vAlign w:val="top"/>
                </w:tcPr>
                <w:p w14:paraId="11FED31A">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湖南常德武陵源、天津萧通、杭州天一或相当于</w:t>
                  </w:r>
                </w:p>
              </w:tc>
              <w:tc>
                <w:tcPr>
                  <w:tcW w:w="746" w:type="dxa"/>
                  <w:noWrap w:val="0"/>
                  <w:vAlign w:val="top"/>
                </w:tcPr>
                <w:p w14:paraId="6E1F5C28">
                  <w:pPr>
                    <w:numPr>
                      <w:ilvl w:val="0"/>
                      <w:numId w:val="0"/>
                    </w:numPr>
                    <w:spacing w:line="360" w:lineRule="auto"/>
                    <w:ind w:leftChars="0"/>
                    <w:jc w:val="center"/>
                    <w:rPr>
                      <w:rFonts w:hint="eastAsia" w:ascii="宋体" w:hAnsi="宋体" w:eastAsia="宋体" w:cs="宋体"/>
                      <w:sz w:val="21"/>
                      <w:szCs w:val="21"/>
                      <w:vertAlign w:val="baseline"/>
                    </w:rPr>
                  </w:pPr>
                </w:p>
              </w:tc>
            </w:tr>
            <w:tr w14:paraId="597A2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7DC021E1">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ascii="宋体" w:hAnsi="宋体" w:cs="宋体"/>
                      <w:sz w:val="21"/>
                      <w:szCs w:val="21"/>
                      <w:vertAlign w:val="baseline"/>
                      <w:lang w:val="en-US" w:eastAsia="zh-CN"/>
                    </w:rPr>
                    <w:t>6</w:t>
                  </w:r>
                </w:p>
              </w:tc>
              <w:tc>
                <w:tcPr>
                  <w:tcW w:w="2400" w:type="dxa"/>
                  <w:noWrap w:val="0"/>
                  <w:vAlign w:val="top"/>
                </w:tcPr>
                <w:p w14:paraId="56B77163">
                  <w:pPr>
                    <w:numPr>
                      <w:ilvl w:val="0"/>
                      <w:numId w:val="0"/>
                    </w:numPr>
                    <w:spacing w:line="360" w:lineRule="auto"/>
                    <w:ind w:leftChars="0"/>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i w:val="0"/>
                      <w:iCs w:val="0"/>
                      <w:color w:val="000000"/>
                      <w:kern w:val="0"/>
                      <w:sz w:val="21"/>
                      <w:szCs w:val="21"/>
                      <w:u w:val="none"/>
                      <w:lang w:val="en-US" w:eastAsia="zh-CN" w:bidi="ar"/>
                    </w:rPr>
                    <w:t>镀锌、焊接钢管</w:t>
                  </w:r>
                </w:p>
              </w:tc>
              <w:tc>
                <w:tcPr>
                  <w:tcW w:w="5160" w:type="dxa"/>
                  <w:noWrap w:val="0"/>
                  <w:vAlign w:val="top"/>
                </w:tcPr>
                <w:p w14:paraId="49B2E403">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金洲、天津利达、上海劳动或相当于</w:t>
                  </w:r>
                </w:p>
              </w:tc>
              <w:tc>
                <w:tcPr>
                  <w:tcW w:w="746" w:type="dxa"/>
                  <w:noWrap w:val="0"/>
                  <w:vAlign w:val="top"/>
                </w:tcPr>
                <w:p w14:paraId="22B15ACB">
                  <w:pPr>
                    <w:numPr>
                      <w:ilvl w:val="0"/>
                      <w:numId w:val="0"/>
                    </w:numPr>
                    <w:spacing w:line="360" w:lineRule="auto"/>
                    <w:ind w:leftChars="0"/>
                    <w:jc w:val="center"/>
                    <w:rPr>
                      <w:rFonts w:hint="eastAsia" w:ascii="宋体" w:hAnsi="宋体" w:eastAsia="宋体" w:cs="宋体"/>
                      <w:sz w:val="21"/>
                      <w:szCs w:val="21"/>
                      <w:vertAlign w:val="baseline"/>
                    </w:rPr>
                  </w:pPr>
                </w:p>
              </w:tc>
            </w:tr>
            <w:tr w14:paraId="316B0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6742A8D4">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ascii="宋体" w:hAnsi="宋体" w:cs="宋体"/>
                      <w:sz w:val="21"/>
                      <w:szCs w:val="21"/>
                      <w:vertAlign w:val="baseline"/>
                      <w:lang w:val="en-US" w:eastAsia="zh-CN"/>
                    </w:rPr>
                    <w:t>7</w:t>
                  </w:r>
                </w:p>
              </w:tc>
              <w:tc>
                <w:tcPr>
                  <w:tcW w:w="2400" w:type="dxa"/>
                  <w:noWrap w:val="0"/>
                  <w:vAlign w:val="top"/>
                </w:tcPr>
                <w:p w14:paraId="06EA3218">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塑料管</w:t>
                  </w:r>
                </w:p>
              </w:tc>
              <w:tc>
                <w:tcPr>
                  <w:tcW w:w="5160" w:type="dxa"/>
                  <w:noWrap w:val="0"/>
                  <w:vAlign w:val="top"/>
                </w:tcPr>
                <w:p w14:paraId="61FB64ED">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伟星、中财、公元或相当于</w:t>
                  </w:r>
                </w:p>
              </w:tc>
              <w:tc>
                <w:tcPr>
                  <w:tcW w:w="746" w:type="dxa"/>
                  <w:noWrap w:val="0"/>
                  <w:vAlign w:val="top"/>
                </w:tcPr>
                <w:p w14:paraId="28861B0B">
                  <w:pPr>
                    <w:numPr>
                      <w:ilvl w:val="0"/>
                      <w:numId w:val="0"/>
                    </w:numPr>
                    <w:spacing w:line="360" w:lineRule="auto"/>
                    <w:ind w:leftChars="0"/>
                    <w:jc w:val="center"/>
                    <w:rPr>
                      <w:rFonts w:hint="eastAsia" w:ascii="宋体" w:hAnsi="宋体" w:eastAsia="宋体" w:cs="宋体"/>
                      <w:sz w:val="21"/>
                      <w:szCs w:val="21"/>
                      <w:vertAlign w:val="baseline"/>
                    </w:rPr>
                  </w:pPr>
                </w:p>
              </w:tc>
            </w:tr>
            <w:tr w14:paraId="57A34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0088D4CD">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ascii="宋体" w:hAnsi="宋体" w:cs="宋体"/>
                      <w:sz w:val="21"/>
                      <w:szCs w:val="21"/>
                      <w:vertAlign w:val="baseline"/>
                      <w:lang w:val="en-US" w:eastAsia="zh-CN"/>
                    </w:rPr>
                    <w:t>8</w:t>
                  </w:r>
                </w:p>
              </w:tc>
              <w:tc>
                <w:tcPr>
                  <w:tcW w:w="2400" w:type="dxa"/>
                  <w:noWrap w:val="0"/>
                  <w:vAlign w:val="top"/>
                </w:tcPr>
                <w:p w14:paraId="14CAB4A4">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卫生洁具、龙头及五金</w:t>
                  </w:r>
                </w:p>
              </w:tc>
              <w:tc>
                <w:tcPr>
                  <w:tcW w:w="5160" w:type="dxa"/>
                  <w:noWrap w:val="0"/>
                  <w:vAlign w:val="top"/>
                </w:tcPr>
                <w:p w14:paraId="67FF6075">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九牧、安华、箭牌或相当于</w:t>
                  </w:r>
                </w:p>
              </w:tc>
              <w:tc>
                <w:tcPr>
                  <w:tcW w:w="746" w:type="dxa"/>
                  <w:noWrap w:val="0"/>
                  <w:vAlign w:val="top"/>
                </w:tcPr>
                <w:p w14:paraId="7FABB316">
                  <w:pPr>
                    <w:numPr>
                      <w:ilvl w:val="0"/>
                      <w:numId w:val="0"/>
                    </w:numPr>
                    <w:spacing w:line="360" w:lineRule="auto"/>
                    <w:ind w:leftChars="0"/>
                    <w:jc w:val="center"/>
                    <w:rPr>
                      <w:rFonts w:hint="eastAsia" w:ascii="宋体" w:hAnsi="宋体" w:eastAsia="宋体" w:cs="宋体"/>
                      <w:sz w:val="21"/>
                      <w:szCs w:val="21"/>
                      <w:vertAlign w:val="baseline"/>
                    </w:rPr>
                  </w:pPr>
                </w:p>
              </w:tc>
            </w:tr>
            <w:tr w14:paraId="5B8AD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2037640B">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w:t>
                  </w:r>
                  <w:r>
                    <w:rPr>
                      <w:rFonts w:hint="eastAsia" w:ascii="宋体" w:hAnsi="宋体" w:cs="宋体"/>
                      <w:sz w:val="21"/>
                      <w:szCs w:val="21"/>
                      <w:vertAlign w:val="baseline"/>
                      <w:lang w:val="en-US" w:eastAsia="zh-CN"/>
                    </w:rPr>
                    <w:t>9</w:t>
                  </w:r>
                </w:p>
              </w:tc>
              <w:tc>
                <w:tcPr>
                  <w:tcW w:w="2400" w:type="dxa"/>
                  <w:noWrap w:val="0"/>
                  <w:vAlign w:val="top"/>
                </w:tcPr>
                <w:p w14:paraId="5B8DAFD8">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highlight w:val="none"/>
                    </w:rPr>
                    <w:t>弱电综合布线</w:t>
                  </w:r>
                </w:p>
              </w:tc>
              <w:tc>
                <w:tcPr>
                  <w:tcW w:w="5160" w:type="dxa"/>
                  <w:noWrap w:val="0"/>
                  <w:vAlign w:val="top"/>
                </w:tcPr>
                <w:p w14:paraId="07CB2488">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highlight w:val="none"/>
                    </w:rPr>
                    <w:t>普天天纪</w:t>
                  </w:r>
                  <w:r>
                    <w:rPr>
                      <w:rFonts w:hint="eastAsia" w:ascii="宋体" w:hAnsi="宋体" w:eastAsia="宋体" w:cs="宋体"/>
                      <w:color w:val="auto"/>
                      <w:sz w:val="21"/>
                      <w:szCs w:val="21"/>
                      <w:highlight w:val="none"/>
                      <w:lang w:eastAsia="zh-CN"/>
                    </w:rPr>
                    <w:t>、</w:t>
                  </w:r>
                  <w:r>
                    <w:rPr>
                      <w:rFonts w:hint="eastAsia" w:ascii="宋体" w:hAnsi="宋体" w:eastAsia="宋体" w:cs="宋体"/>
                      <w:b w:val="0"/>
                      <w:bCs w:val="0"/>
                      <w:color w:val="auto"/>
                      <w:sz w:val="21"/>
                      <w:szCs w:val="21"/>
                      <w:highlight w:val="none"/>
                      <w:vertAlign w:val="baseline"/>
                      <w:lang w:eastAsia="zh-CN"/>
                    </w:rPr>
                    <w:t>一舟(SHIP)、</w:t>
                  </w:r>
                  <w:r>
                    <w:rPr>
                      <w:rFonts w:hint="eastAsia" w:ascii="宋体" w:hAnsi="宋体" w:eastAsia="宋体" w:cs="宋体"/>
                      <w:color w:val="auto"/>
                      <w:sz w:val="21"/>
                      <w:szCs w:val="21"/>
                      <w:highlight w:val="none"/>
                    </w:rPr>
                    <w:t>罗格朗</w:t>
                  </w:r>
                  <w:r>
                    <w:rPr>
                      <w:rFonts w:hint="eastAsia" w:ascii="宋体" w:hAnsi="宋体" w:eastAsia="宋体" w:cs="宋体"/>
                      <w:i w:val="0"/>
                      <w:iCs w:val="0"/>
                      <w:color w:val="000000"/>
                      <w:kern w:val="0"/>
                      <w:sz w:val="21"/>
                      <w:szCs w:val="21"/>
                      <w:u w:val="none"/>
                      <w:lang w:val="en-US" w:eastAsia="zh-CN" w:bidi="ar"/>
                    </w:rPr>
                    <w:t>或相当于</w:t>
                  </w:r>
                </w:p>
              </w:tc>
              <w:tc>
                <w:tcPr>
                  <w:tcW w:w="746" w:type="dxa"/>
                  <w:noWrap w:val="0"/>
                  <w:vAlign w:val="top"/>
                </w:tcPr>
                <w:p w14:paraId="6ED459BB">
                  <w:pPr>
                    <w:numPr>
                      <w:ilvl w:val="0"/>
                      <w:numId w:val="0"/>
                    </w:numPr>
                    <w:spacing w:line="360" w:lineRule="auto"/>
                    <w:ind w:leftChars="0"/>
                    <w:jc w:val="center"/>
                    <w:rPr>
                      <w:rFonts w:hint="eastAsia" w:ascii="宋体" w:hAnsi="宋体" w:eastAsia="宋体" w:cs="宋体"/>
                      <w:sz w:val="21"/>
                      <w:szCs w:val="21"/>
                      <w:vertAlign w:val="baseline"/>
                    </w:rPr>
                  </w:pPr>
                </w:p>
              </w:tc>
            </w:tr>
            <w:tr w14:paraId="44466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1939DC13">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cs="宋体"/>
                      <w:sz w:val="21"/>
                      <w:szCs w:val="21"/>
                      <w:vertAlign w:val="baseline"/>
                      <w:lang w:val="en-US" w:eastAsia="zh-CN"/>
                    </w:rPr>
                    <w:t>20</w:t>
                  </w:r>
                </w:p>
              </w:tc>
              <w:tc>
                <w:tcPr>
                  <w:tcW w:w="2400" w:type="dxa"/>
                  <w:noWrap w:val="0"/>
                  <w:vAlign w:val="top"/>
                </w:tcPr>
                <w:p w14:paraId="465175DA">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highlight w:val="none"/>
                    </w:rPr>
                    <w:t>视频监控安防系统</w:t>
                  </w:r>
                </w:p>
              </w:tc>
              <w:tc>
                <w:tcPr>
                  <w:tcW w:w="5160" w:type="dxa"/>
                  <w:noWrap w:val="0"/>
                  <w:vAlign w:val="top"/>
                </w:tcPr>
                <w:p w14:paraId="69DF9293">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highlight w:val="none"/>
                    </w:rPr>
                    <w:t>海康威视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浙江大华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宇视科技</w:t>
                  </w:r>
                  <w:r>
                    <w:rPr>
                      <w:rFonts w:hint="eastAsia" w:ascii="宋体" w:hAnsi="宋体" w:eastAsia="宋体" w:cs="宋体"/>
                      <w:i w:val="0"/>
                      <w:iCs w:val="0"/>
                      <w:color w:val="000000"/>
                      <w:kern w:val="0"/>
                      <w:sz w:val="21"/>
                      <w:szCs w:val="21"/>
                      <w:u w:val="none"/>
                      <w:lang w:val="en-US" w:eastAsia="zh-CN" w:bidi="ar"/>
                    </w:rPr>
                    <w:t>或相当于</w:t>
                  </w:r>
                </w:p>
              </w:tc>
              <w:tc>
                <w:tcPr>
                  <w:tcW w:w="746" w:type="dxa"/>
                  <w:noWrap w:val="0"/>
                  <w:vAlign w:val="top"/>
                </w:tcPr>
                <w:p w14:paraId="2B207461">
                  <w:pPr>
                    <w:numPr>
                      <w:ilvl w:val="0"/>
                      <w:numId w:val="0"/>
                    </w:numPr>
                    <w:spacing w:line="360" w:lineRule="auto"/>
                    <w:ind w:leftChars="0"/>
                    <w:jc w:val="center"/>
                    <w:rPr>
                      <w:rFonts w:hint="eastAsia" w:ascii="宋体" w:hAnsi="宋体" w:eastAsia="宋体" w:cs="宋体"/>
                      <w:sz w:val="21"/>
                      <w:szCs w:val="21"/>
                      <w:vertAlign w:val="baseline"/>
                    </w:rPr>
                  </w:pPr>
                </w:p>
              </w:tc>
            </w:tr>
            <w:tr w14:paraId="64CDC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6" w:type="dxa"/>
                  <w:noWrap w:val="0"/>
                  <w:vAlign w:val="top"/>
                </w:tcPr>
                <w:p w14:paraId="08DBF9A0">
                  <w:pPr>
                    <w:numPr>
                      <w:ilvl w:val="0"/>
                      <w:numId w:val="0"/>
                    </w:numPr>
                    <w:spacing w:line="360" w:lineRule="auto"/>
                    <w:ind w:leftChars="0"/>
                    <w:jc w:val="center"/>
                    <w:rPr>
                      <w:rFonts w:hint="default" w:ascii="宋体" w:hAnsi="宋体" w:eastAsia="宋体" w:cs="宋体"/>
                      <w:sz w:val="21"/>
                      <w:szCs w:val="21"/>
                      <w:vertAlign w:val="baseline"/>
                      <w:lang w:val="en-US" w:eastAsia="zh-CN"/>
                    </w:rPr>
                  </w:pPr>
                  <w:r>
                    <w:rPr>
                      <w:rFonts w:hint="eastAsia" w:ascii="宋体" w:hAnsi="宋体" w:eastAsia="宋体" w:cs="宋体"/>
                      <w:sz w:val="21"/>
                      <w:szCs w:val="21"/>
                      <w:vertAlign w:val="baseline"/>
                      <w:lang w:val="en-US" w:eastAsia="zh-CN"/>
                    </w:rPr>
                    <w:t>19</w:t>
                  </w:r>
                </w:p>
              </w:tc>
              <w:tc>
                <w:tcPr>
                  <w:tcW w:w="2400" w:type="dxa"/>
                  <w:noWrap w:val="0"/>
                  <w:vAlign w:val="top"/>
                </w:tcPr>
                <w:p w14:paraId="47EFE052">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highlight w:val="none"/>
                    </w:rPr>
                    <w:t>门禁系统</w:t>
                  </w:r>
                </w:p>
              </w:tc>
              <w:tc>
                <w:tcPr>
                  <w:tcW w:w="5160" w:type="dxa"/>
                  <w:noWrap w:val="0"/>
                  <w:vAlign w:val="top"/>
                </w:tcPr>
                <w:p w14:paraId="4EA97B1E">
                  <w:pPr>
                    <w:numPr>
                      <w:ilvl w:val="0"/>
                      <w:numId w:val="0"/>
                    </w:numPr>
                    <w:spacing w:line="360" w:lineRule="auto"/>
                    <w:ind w:leftChars="0"/>
                    <w:jc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color w:val="auto"/>
                      <w:sz w:val="21"/>
                      <w:szCs w:val="21"/>
                      <w:highlight w:val="none"/>
                    </w:rPr>
                    <w:t>海康威视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浙江大华</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正元智慧</w:t>
                  </w:r>
                  <w:r>
                    <w:rPr>
                      <w:rFonts w:hint="eastAsia" w:ascii="宋体" w:hAnsi="宋体" w:eastAsia="宋体" w:cs="宋体"/>
                      <w:i w:val="0"/>
                      <w:iCs w:val="0"/>
                      <w:color w:val="000000"/>
                      <w:kern w:val="0"/>
                      <w:sz w:val="21"/>
                      <w:szCs w:val="21"/>
                      <w:u w:val="none"/>
                      <w:lang w:val="en-US" w:eastAsia="zh-CN" w:bidi="ar"/>
                    </w:rPr>
                    <w:t>或相当于</w:t>
                  </w:r>
                </w:p>
              </w:tc>
              <w:tc>
                <w:tcPr>
                  <w:tcW w:w="746" w:type="dxa"/>
                  <w:noWrap w:val="0"/>
                  <w:vAlign w:val="top"/>
                </w:tcPr>
                <w:p w14:paraId="26CFB12E">
                  <w:pPr>
                    <w:numPr>
                      <w:ilvl w:val="0"/>
                      <w:numId w:val="0"/>
                    </w:numPr>
                    <w:spacing w:line="360" w:lineRule="auto"/>
                    <w:ind w:leftChars="0"/>
                    <w:jc w:val="center"/>
                    <w:rPr>
                      <w:rFonts w:hint="eastAsia" w:ascii="宋体" w:hAnsi="宋体" w:eastAsia="宋体" w:cs="宋体"/>
                      <w:sz w:val="21"/>
                      <w:szCs w:val="21"/>
                      <w:vertAlign w:val="baseline"/>
                    </w:rPr>
                  </w:pPr>
                </w:p>
              </w:tc>
            </w:tr>
          </w:tbl>
          <w:p w14:paraId="2FF2B344">
            <w:pPr>
              <w:numPr>
                <w:ilvl w:val="0"/>
                <w:numId w:val="0"/>
              </w:numPr>
              <w:spacing w:line="360" w:lineRule="auto"/>
              <w:rPr>
                <w:rFonts w:hint="default" w:ascii="宋体" w:hAnsi="宋体" w:eastAsia="宋体" w:cs="宋体"/>
                <w:b/>
                <w:bCs/>
                <w:szCs w:val="21"/>
                <w:lang w:val="en-US" w:eastAsia="zh-CN"/>
              </w:rPr>
            </w:pPr>
          </w:p>
          <w:p w14:paraId="1E6336F1">
            <w:pPr>
              <w:keepNext w:val="0"/>
              <w:keepLines w:val="0"/>
              <w:suppressLineNumbers w:val="0"/>
              <w:spacing w:before="0" w:beforeAutospacing="0" w:after="0" w:afterAutospacing="0" w:line="360" w:lineRule="auto"/>
              <w:ind w:left="0" w:right="0" w:firstLine="495" w:firstLineChars="236"/>
              <w:rPr>
                <w:rFonts w:hint="eastAsia" w:ascii="宋体" w:hAnsi="宋体" w:cs="Times New Roman"/>
                <w:szCs w:val="21"/>
                <w:lang w:val="en-US" w:eastAsia="zh-CN"/>
              </w:rPr>
            </w:pPr>
          </w:p>
          <w:p w14:paraId="71E87143">
            <w:pPr>
              <w:spacing w:line="360" w:lineRule="auto"/>
              <w:rPr>
                <w:rFonts w:hint="default" w:ascii="宋体" w:hAnsi="宋体" w:cs="宋体"/>
                <w:lang w:val="en-US" w:eastAsia="zh-CN"/>
              </w:rPr>
            </w:pPr>
          </w:p>
        </w:tc>
      </w:tr>
    </w:tbl>
    <w:p w14:paraId="5A83003A">
      <w:pPr>
        <w:tabs>
          <w:tab w:val="left" w:pos="1699"/>
        </w:tabs>
        <w:jc w:val="left"/>
      </w:pPr>
    </w:p>
    <w:sectPr>
      <w:headerReference r:id="rId3" w:type="default"/>
      <w:headerReference r:id="rId4" w:type="even"/>
      <w:footerReference r:id="rId5"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CC7578">
    <w:pPr>
      <w:pStyle w:val="9"/>
      <w:framePr w:wrap="around" w:vAnchor="text" w:hAnchor="margin" w:xAlign="center" w:y="1"/>
      <w:rPr>
        <w:rStyle w:val="17"/>
      </w:rPr>
    </w:pPr>
    <w:r>
      <w:fldChar w:fldCharType="begin"/>
    </w:r>
    <w:r>
      <w:rPr>
        <w:rStyle w:val="17"/>
      </w:rPr>
      <w:instrText xml:space="preserve">PAGE  </w:instrText>
    </w:r>
    <w:r>
      <w:fldChar w:fldCharType="end"/>
    </w:r>
  </w:p>
  <w:p w14:paraId="78518567">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85A8C">
    <w:pPr>
      <w:spacing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62163CB1">
    <w:pPr>
      <w:pStyle w:val="9"/>
      <w:rPr>
        <w:rStyle w:val="17"/>
        <w:rFonts w:ascii="宋体" w:hAnsi="宋体"/>
        <w:sz w:val="18"/>
        <w:szCs w:val="18"/>
      </w:rPr>
    </w:pPr>
    <w:r>
      <w:rPr>
        <w:rFonts w:hint="eastAsia" w:ascii="宋体" w:hAnsi="宋体"/>
        <w:szCs w:val="21"/>
      </w:rPr>
      <w:t>工程名称：</w:t>
    </w:r>
    <w:r>
      <w:rPr>
        <w:rFonts w:hint="eastAsia" w:ascii="宋体" w:hAnsi="宋体"/>
        <w:bCs/>
        <w:color w:val="000000"/>
        <w:szCs w:val="21"/>
        <w:shd w:val="clear" w:color="auto" w:fill="FFFFFF"/>
        <w:lang w:eastAsia="zh-CN"/>
      </w:rPr>
      <w:t>杭州电子科技大学“一站式”学生社区设计施工改造工程（一期）</w:t>
    </w:r>
    <w:r>
      <w:rPr>
        <w:rFonts w:hint="eastAsia" w:ascii="宋体" w:hAnsi="宋体"/>
        <w:bCs/>
        <w:color w:val="000000"/>
        <w:szCs w:val="21"/>
        <w:shd w:val="clear" w:color="auto" w:fill="FFFFFF"/>
        <w:lang w:val="en-US" w:eastAsia="zh-CN"/>
      </w:rPr>
      <w:t xml:space="preserve">    </w:t>
    </w:r>
    <w:r>
      <w:rPr>
        <w:rFonts w:hint="eastAsia" w:ascii="宋体" w:hAnsi="宋体"/>
        <w:bCs/>
        <w:color w:val="000000"/>
        <w:sz w:val="21"/>
        <w:szCs w:val="21"/>
        <w:shd w:val="clear" w:color="auto" w:fill="FFFFFF"/>
        <w:lang w:val="en-US" w:eastAsia="zh-CN"/>
      </w:rPr>
      <w:t xml:space="preserve"> </w:t>
    </w:r>
    <w:r>
      <w:rPr>
        <w:rStyle w:val="17"/>
        <w:rFonts w:hint="eastAsia" w:ascii="宋体" w:hAnsi="宋体"/>
        <w:sz w:val="18"/>
        <w:szCs w:val="18"/>
      </w:rPr>
      <w:t>第</w:t>
    </w:r>
    <w:r>
      <w:rPr>
        <w:rStyle w:val="17"/>
        <w:rFonts w:hint="eastAsia" w:ascii="宋体" w:hAnsi="宋体"/>
        <w:sz w:val="18"/>
        <w:szCs w:val="18"/>
        <w:lang w:val="en-US" w:eastAsia="zh-CN"/>
      </w:rPr>
      <w:t xml:space="preserve"> </w:t>
    </w:r>
    <w:r>
      <w:rPr>
        <w:rFonts w:ascii="宋体" w:hAnsi="宋体"/>
        <w:sz w:val="18"/>
        <w:szCs w:val="18"/>
      </w:rPr>
      <w:fldChar w:fldCharType="begin"/>
    </w:r>
    <w:r>
      <w:rPr>
        <w:rStyle w:val="17"/>
        <w:rFonts w:ascii="宋体" w:hAnsi="宋体"/>
        <w:sz w:val="18"/>
        <w:szCs w:val="18"/>
      </w:rPr>
      <w:instrText xml:space="preserve"> PAGE </w:instrText>
    </w:r>
    <w:r>
      <w:rPr>
        <w:rFonts w:ascii="宋体" w:hAnsi="宋体"/>
        <w:sz w:val="18"/>
        <w:szCs w:val="18"/>
      </w:rPr>
      <w:fldChar w:fldCharType="separate"/>
    </w:r>
    <w:r>
      <w:rPr>
        <w:rStyle w:val="17"/>
        <w:rFonts w:ascii="宋体" w:hAnsi="宋体"/>
        <w:sz w:val="18"/>
        <w:szCs w:val="18"/>
      </w:rPr>
      <w:t>3</w:t>
    </w:r>
    <w:r>
      <w:rPr>
        <w:rFonts w:ascii="宋体" w:hAnsi="宋体"/>
        <w:sz w:val="18"/>
        <w:szCs w:val="18"/>
      </w:rPr>
      <w:fldChar w:fldCharType="end"/>
    </w:r>
    <w:r>
      <w:rPr>
        <w:rFonts w:hint="eastAsia" w:ascii="宋体" w:hAnsi="宋体"/>
        <w:sz w:val="18"/>
        <w:szCs w:val="18"/>
        <w:lang w:val="en-US" w:eastAsia="zh-CN"/>
      </w:rPr>
      <w:t xml:space="preserve"> </w:t>
    </w:r>
    <w:r>
      <w:rPr>
        <w:rStyle w:val="17"/>
        <w:rFonts w:hint="eastAsia" w:ascii="宋体" w:hAnsi="宋体"/>
        <w:sz w:val="18"/>
        <w:szCs w:val="18"/>
      </w:rPr>
      <w:t>页  共</w:t>
    </w:r>
    <w:r>
      <w:rPr>
        <w:rStyle w:val="17"/>
        <w:rFonts w:hint="eastAsia" w:ascii="宋体" w:hAnsi="宋体"/>
        <w:sz w:val="18"/>
        <w:szCs w:val="18"/>
        <w:lang w:val="en-US" w:eastAsia="zh-CN"/>
      </w:rPr>
      <w:t>3</w:t>
    </w:r>
    <w:r>
      <w:rPr>
        <w:rStyle w:val="17"/>
        <w:rFonts w:hint="eastAsia" w:ascii="宋体" w:hAnsi="宋体"/>
        <w:sz w:val="18"/>
        <w:szCs w:val="18"/>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E3707">
    <w:pPr>
      <w:pStyle w:val="10"/>
      <w:framePr w:wrap="around" w:vAnchor="text" w:hAnchor="margin" w:xAlign="right" w:y="1"/>
      <w:rPr>
        <w:rStyle w:val="17"/>
      </w:rPr>
    </w:pPr>
    <w:r>
      <w:fldChar w:fldCharType="begin"/>
    </w:r>
    <w:r>
      <w:rPr>
        <w:rStyle w:val="17"/>
      </w:rPr>
      <w:instrText xml:space="preserve">PAGE  </w:instrText>
    </w:r>
    <w:r>
      <w:fldChar w:fldCharType="end"/>
    </w:r>
  </w:p>
  <w:p w14:paraId="7CE01549">
    <w:pPr>
      <w:pStyle w:val="10"/>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D81686"/>
    <w:multiLevelType w:val="singleLevel"/>
    <w:tmpl w:val="BED81686"/>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NTc0NTA2ZWI3ZDkxZmRkNTczNWFmYTRkNDc4MTYifQ=="/>
  </w:docVars>
  <w:rsids>
    <w:rsidRoot w:val="4C082566"/>
    <w:rsid w:val="00010A13"/>
    <w:rsid w:val="00013ED1"/>
    <w:rsid w:val="00033E36"/>
    <w:rsid w:val="000352F5"/>
    <w:rsid w:val="00035A0A"/>
    <w:rsid w:val="000360DE"/>
    <w:rsid w:val="0004239C"/>
    <w:rsid w:val="0004707D"/>
    <w:rsid w:val="00047F5A"/>
    <w:rsid w:val="000555BE"/>
    <w:rsid w:val="00063335"/>
    <w:rsid w:val="00064AB8"/>
    <w:rsid w:val="000820EB"/>
    <w:rsid w:val="000843F3"/>
    <w:rsid w:val="00086F97"/>
    <w:rsid w:val="000B5936"/>
    <w:rsid w:val="000B79A8"/>
    <w:rsid w:val="000C2821"/>
    <w:rsid w:val="000C47BA"/>
    <w:rsid w:val="000C728B"/>
    <w:rsid w:val="000D781B"/>
    <w:rsid w:val="000E137E"/>
    <w:rsid w:val="000F6D5B"/>
    <w:rsid w:val="00101A85"/>
    <w:rsid w:val="00107BB6"/>
    <w:rsid w:val="00112EB2"/>
    <w:rsid w:val="001358F9"/>
    <w:rsid w:val="00141543"/>
    <w:rsid w:val="00151941"/>
    <w:rsid w:val="00152FF8"/>
    <w:rsid w:val="00190E5B"/>
    <w:rsid w:val="001D2048"/>
    <w:rsid w:val="00205870"/>
    <w:rsid w:val="00211792"/>
    <w:rsid w:val="00217447"/>
    <w:rsid w:val="00237D61"/>
    <w:rsid w:val="00240DD2"/>
    <w:rsid w:val="00242A02"/>
    <w:rsid w:val="002460F5"/>
    <w:rsid w:val="00246443"/>
    <w:rsid w:val="0025496A"/>
    <w:rsid w:val="00263920"/>
    <w:rsid w:val="002742DA"/>
    <w:rsid w:val="00277E64"/>
    <w:rsid w:val="00280923"/>
    <w:rsid w:val="002931A5"/>
    <w:rsid w:val="002A0979"/>
    <w:rsid w:val="002A2291"/>
    <w:rsid w:val="002B38A1"/>
    <w:rsid w:val="002C4A1B"/>
    <w:rsid w:val="002D1C87"/>
    <w:rsid w:val="002F7771"/>
    <w:rsid w:val="00302D18"/>
    <w:rsid w:val="003125D8"/>
    <w:rsid w:val="00312C32"/>
    <w:rsid w:val="00317BC6"/>
    <w:rsid w:val="00321E2F"/>
    <w:rsid w:val="00323F83"/>
    <w:rsid w:val="00335AF5"/>
    <w:rsid w:val="0035071A"/>
    <w:rsid w:val="00364EDE"/>
    <w:rsid w:val="00381F84"/>
    <w:rsid w:val="00396F6B"/>
    <w:rsid w:val="003A4F59"/>
    <w:rsid w:val="003B305B"/>
    <w:rsid w:val="003C26FE"/>
    <w:rsid w:val="003E46A1"/>
    <w:rsid w:val="003F193A"/>
    <w:rsid w:val="003F1E43"/>
    <w:rsid w:val="0041008D"/>
    <w:rsid w:val="004175FE"/>
    <w:rsid w:val="0043117B"/>
    <w:rsid w:val="004363B9"/>
    <w:rsid w:val="00441329"/>
    <w:rsid w:val="00442803"/>
    <w:rsid w:val="004539A5"/>
    <w:rsid w:val="0048300A"/>
    <w:rsid w:val="004862F5"/>
    <w:rsid w:val="00497FBB"/>
    <w:rsid w:val="004A2B81"/>
    <w:rsid w:val="004B0F7B"/>
    <w:rsid w:val="004B0FD2"/>
    <w:rsid w:val="004D0E23"/>
    <w:rsid w:val="004D34FE"/>
    <w:rsid w:val="004D6107"/>
    <w:rsid w:val="004D71ED"/>
    <w:rsid w:val="004E27B2"/>
    <w:rsid w:val="004E76E1"/>
    <w:rsid w:val="004F12BB"/>
    <w:rsid w:val="004F53CA"/>
    <w:rsid w:val="004F6954"/>
    <w:rsid w:val="005037BE"/>
    <w:rsid w:val="00503C42"/>
    <w:rsid w:val="00531AF0"/>
    <w:rsid w:val="00533BC9"/>
    <w:rsid w:val="00534863"/>
    <w:rsid w:val="00547AF5"/>
    <w:rsid w:val="00550031"/>
    <w:rsid w:val="00553AAF"/>
    <w:rsid w:val="00557922"/>
    <w:rsid w:val="00570C43"/>
    <w:rsid w:val="00571D86"/>
    <w:rsid w:val="00572615"/>
    <w:rsid w:val="00575055"/>
    <w:rsid w:val="00576422"/>
    <w:rsid w:val="00593357"/>
    <w:rsid w:val="005A19F5"/>
    <w:rsid w:val="005C2F19"/>
    <w:rsid w:val="005D53EC"/>
    <w:rsid w:val="005D7739"/>
    <w:rsid w:val="005F05B5"/>
    <w:rsid w:val="005F53BD"/>
    <w:rsid w:val="0060109F"/>
    <w:rsid w:val="00610658"/>
    <w:rsid w:val="0061582F"/>
    <w:rsid w:val="006215BA"/>
    <w:rsid w:val="00622F86"/>
    <w:rsid w:val="0063072B"/>
    <w:rsid w:val="00646BC6"/>
    <w:rsid w:val="0065429B"/>
    <w:rsid w:val="00672562"/>
    <w:rsid w:val="00673F95"/>
    <w:rsid w:val="00676228"/>
    <w:rsid w:val="00676F30"/>
    <w:rsid w:val="00690D2E"/>
    <w:rsid w:val="0069169D"/>
    <w:rsid w:val="00692906"/>
    <w:rsid w:val="006A2ED0"/>
    <w:rsid w:val="006C327F"/>
    <w:rsid w:val="006C392D"/>
    <w:rsid w:val="006D1E34"/>
    <w:rsid w:val="006E12F6"/>
    <w:rsid w:val="006E3F25"/>
    <w:rsid w:val="006F3609"/>
    <w:rsid w:val="006F7337"/>
    <w:rsid w:val="0070074D"/>
    <w:rsid w:val="00701D41"/>
    <w:rsid w:val="007129A8"/>
    <w:rsid w:val="007141BA"/>
    <w:rsid w:val="0071755B"/>
    <w:rsid w:val="00730FF8"/>
    <w:rsid w:val="00736463"/>
    <w:rsid w:val="00750877"/>
    <w:rsid w:val="00751B22"/>
    <w:rsid w:val="0075249B"/>
    <w:rsid w:val="00757F6C"/>
    <w:rsid w:val="00763F64"/>
    <w:rsid w:val="00764860"/>
    <w:rsid w:val="00777DEE"/>
    <w:rsid w:val="007A3CEC"/>
    <w:rsid w:val="007C4097"/>
    <w:rsid w:val="007D341C"/>
    <w:rsid w:val="007E059F"/>
    <w:rsid w:val="007E4914"/>
    <w:rsid w:val="00801F17"/>
    <w:rsid w:val="00803903"/>
    <w:rsid w:val="008073EB"/>
    <w:rsid w:val="00807EB3"/>
    <w:rsid w:val="008121EC"/>
    <w:rsid w:val="0082370A"/>
    <w:rsid w:val="008256D4"/>
    <w:rsid w:val="0085433D"/>
    <w:rsid w:val="00866AA3"/>
    <w:rsid w:val="008674FA"/>
    <w:rsid w:val="008704F6"/>
    <w:rsid w:val="00871A92"/>
    <w:rsid w:val="00895D9B"/>
    <w:rsid w:val="008A28E9"/>
    <w:rsid w:val="008B24DD"/>
    <w:rsid w:val="008C1DFE"/>
    <w:rsid w:val="008D664A"/>
    <w:rsid w:val="008E132A"/>
    <w:rsid w:val="008E22A5"/>
    <w:rsid w:val="00901FB1"/>
    <w:rsid w:val="00912793"/>
    <w:rsid w:val="009370DF"/>
    <w:rsid w:val="0094287B"/>
    <w:rsid w:val="00950C77"/>
    <w:rsid w:val="0095797B"/>
    <w:rsid w:val="00964E57"/>
    <w:rsid w:val="00965E9C"/>
    <w:rsid w:val="009761DF"/>
    <w:rsid w:val="009A6773"/>
    <w:rsid w:val="009D7C15"/>
    <w:rsid w:val="009E7774"/>
    <w:rsid w:val="009E7DF8"/>
    <w:rsid w:val="009F79CC"/>
    <w:rsid w:val="00A032CD"/>
    <w:rsid w:val="00A31942"/>
    <w:rsid w:val="00A3785B"/>
    <w:rsid w:val="00A45350"/>
    <w:rsid w:val="00A60385"/>
    <w:rsid w:val="00A635D9"/>
    <w:rsid w:val="00A66F45"/>
    <w:rsid w:val="00A8633F"/>
    <w:rsid w:val="00A870BE"/>
    <w:rsid w:val="00A9001E"/>
    <w:rsid w:val="00AA31BE"/>
    <w:rsid w:val="00AB468E"/>
    <w:rsid w:val="00AC677F"/>
    <w:rsid w:val="00AE0314"/>
    <w:rsid w:val="00AE15F6"/>
    <w:rsid w:val="00AF7BD6"/>
    <w:rsid w:val="00B024B9"/>
    <w:rsid w:val="00B02A92"/>
    <w:rsid w:val="00B0712F"/>
    <w:rsid w:val="00B17351"/>
    <w:rsid w:val="00B22B5A"/>
    <w:rsid w:val="00B3002D"/>
    <w:rsid w:val="00B3212F"/>
    <w:rsid w:val="00B378DD"/>
    <w:rsid w:val="00B434F5"/>
    <w:rsid w:val="00B51E3F"/>
    <w:rsid w:val="00B65100"/>
    <w:rsid w:val="00B654C9"/>
    <w:rsid w:val="00B67A06"/>
    <w:rsid w:val="00B7070A"/>
    <w:rsid w:val="00B7076D"/>
    <w:rsid w:val="00B73210"/>
    <w:rsid w:val="00B76D79"/>
    <w:rsid w:val="00B95608"/>
    <w:rsid w:val="00BB25AA"/>
    <w:rsid w:val="00BB38C4"/>
    <w:rsid w:val="00BB731B"/>
    <w:rsid w:val="00BC02FD"/>
    <w:rsid w:val="00BD1D57"/>
    <w:rsid w:val="00BD24EB"/>
    <w:rsid w:val="00BD4E62"/>
    <w:rsid w:val="00BD6CBF"/>
    <w:rsid w:val="00C06D55"/>
    <w:rsid w:val="00C105DB"/>
    <w:rsid w:val="00C10B62"/>
    <w:rsid w:val="00C10C0E"/>
    <w:rsid w:val="00C24852"/>
    <w:rsid w:val="00C5021D"/>
    <w:rsid w:val="00C56CCF"/>
    <w:rsid w:val="00C65721"/>
    <w:rsid w:val="00C72F7A"/>
    <w:rsid w:val="00C80AFB"/>
    <w:rsid w:val="00C81924"/>
    <w:rsid w:val="00CB33FF"/>
    <w:rsid w:val="00CC48FF"/>
    <w:rsid w:val="00CD401A"/>
    <w:rsid w:val="00CE243C"/>
    <w:rsid w:val="00CE4028"/>
    <w:rsid w:val="00CE6084"/>
    <w:rsid w:val="00CF2DCC"/>
    <w:rsid w:val="00CF43BF"/>
    <w:rsid w:val="00CF50BB"/>
    <w:rsid w:val="00D0033C"/>
    <w:rsid w:val="00D06B2D"/>
    <w:rsid w:val="00D11092"/>
    <w:rsid w:val="00D11242"/>
    <w:rsid w:val="00D134E0"/>
    <w:rsid w:val="00D31374"/>
    <w:rsid w:val="00D3655C"/>
    <w:rsid w:val="00D73316"/>
    <w:rsid w:val="00D8762D"/>
    <w:rsid w:val="00DB254C"/>
    <w:rsid w:val="00DB5692"/>
    <w:rsid w:val="00DC560A"/>
    <w:rsid w:val="00DC7930"/>
    <w:rsid w:val="00DF2E73"/>
    <w:rsid w:val="00DF720B"/>
    <w:rsid w:val="00E02C0F"/>
    <w:rsid w:val="00E06D4C"/>
    <w:rsid w:val="00E13826"/>
    <w:rsid w:val="00E177AA"/>
    <w:rsid w:val="00E21D2C"/>
    <w:rsid w:val="00E44A87"/>
    <w:rsid w:val="00E73067"/>
    <w:rsid w:val="00E8224F"/>
    <w:rsid w:val="00E904CB"/>
    <w:rsid w:val="00E90AC4"/>
    <w:rsid w:val="00E96C29"/>
    <w:rsid w:val="00EC6563"/>
    <w:rsid w:val="00ED35AD"/>
    <w:rsid w:val="00ED4B20"/>
    <w:rsid w:val="00EF3555"/>
    <w:rsid w:val="00EF7D61"/>
    <w:rsid w:val="00F00168"/>
    <w:rsid w:val="00F01D50"/>
    <w:rsid w:val="00F06BFA"/>
    <w:rsid w:val="00F120B2"/>
    <w:rsid w:val="00F14B91"/>
    <w:rsid w:val="00F4208A"/>
    <w:rsid w:val="00F447B3"/>
    <w:rsid w:val="00F479AB"/>
    <w:rsid w:val="00F7050E"/>
    <w:rsid w:val="00F858CC"/>
    <w:rsid w:val="00F92EF0"/>
    <w:rsid w:val="00F94339"/>
    <w:rsid w:val="00FA6327"/>
    <w:rsid w:val="00FB07A0"/>
    <w:rsid w:val="00FB454B"/>
    <w:rsid w:val="00FC02AC"/>
    <w:rsid w:val="00FD0E12"/>
    <w:rsid w:val="00FE7253"/>
    <w:rsid w:val="00FF6A05"/>
    <w:rsid w:val="016F1D59"/>
    <w:rsid w:val="018140A2"/>
    <w:rsid w:val="01F178BE"/>
    <w:rsid w:val="022E73C5"/>
    <w:rsid w:val="02357F14"/>
    <w:rsid w:val="02691984"/>
    <w:rsid w:val="033D795F"/>
    <w:rsid w:val="067F115F"/>
    <w:rsid w:val="06FC0BC0"/>
    <w:rsid w:val="086C1E32"/>
    <w:rsid w:val="0903661F"/>
    <w:rsid w:val="0B6251C3"/>
    <w:rsid w:val="0B835724"/>
    <w:rsid w:val="0BEE6D79"/>
    <w:rsid w:val="0C557FBC"/>
    <w:rsid w:val="0D995FC9"/>
    <w:rsid w:val="0F601A19"/>
    <w:rsid w:val="110349AF"/>
    <w:rsid w:val="121A2E99"/>
    <w:rsid w:val="12203E3E"/>
    <w:rsid w:val="122F6E7F"/>
    <w:rsid w:val="12B33BA8"/>
    <w:rsid w:val="130265BC"/>
    <w:rsid w:val="134275A5"/>
    <w:rsid w:val="153E71A9"/>
    <w:rsid w:val="157E4179"/>
    <w:rsid w:val="1664140F"/>
    <w:rsid w:val="166B13D0"/>
    <w:rsid w:val="1891748F"/>
    <w:rsid w:val="18DB5F9C"/>
    <w:rsid w:val="1A804AF5"/>
    <w:rsid w:val="1AA90ECC"/>
    <w:rsid w:val="1BCF3AA0"/>
    <w:rsid w:val="1C4247F3"/>
    <w:rsid w:val="1D9F356C"/>
    <w:rsid w:val="1EF8115B"/>
    <w:rsid w:val="1F5A349A"/>
    <w:rsid w:val="1FCC5EE2"/>
    <w:rsid w:val="203565E4"/>
    <w:rsid w:val="21004E58"/>
    <w:rsid w:val="221513A2"/>
    <w:rsid w:val="23483CF2"/>
    <w:rsid w:val="23C25CB5"/>
    <w:rsid w:val="258B55EA"/>
    <w:rsid w:val="25BA7EDB"/>
    <w:rsid w:val="273043F4"/>
    <w:rsid w:val="27884C7A"/>
    <w:rsid w:val="283C2026"/>
    <w:rsid w:val="28AD4154"/>
    <w:rsid w:val="2A8D2A75"/>
    <w:rsid w:val="2D7A4D28"/>
    <w:rsid w:val="2E2465DC"/>
    <w:rsid w:val="2E3031D3"/>
    <w:rsid w:val="2E3D716E"/>
    <w:rsid w:val="2EFE30B8"/>
    <w:rsid w:val="2F436812"/>
    <w:rsid w:val="2FE211B0"/>
    <w:rsid w:val="336B2538"/>
    <w:rsid w:val="33CE72AF"/>
    <w:rsid w:val="349E7780"/>
    <w:rsid w:val="34A05CCE"/>
    <w:rsid w:val="35A15988"/>
    <w:rsid w:val="37BD7ECE"/>
    <w:rsid w:val="37FF2A9B"/>
    <w:rsid w:val="381A4397"/>
    <w:rsid w:val="389127CA"/>
    <w:rsid w:val="38A75A46"/>
    <w:rsid w:val="3A302BC7"/>
    <w:rsid w:val="3B323D87"/>
    <w:rsid w:val="3BEC3969"/>
    <w:rsid w:val="3C300842"/>
    <w:rsid w:val="3DA60DBB"/>
    <w:rsid w:val="3DC079A3"/>
    <w:rsid w:val="3E99018A"/>
    <w:rsid w:val="40505291"/>
    <w:rsid w:val="41150E61"/>
    <w:rsid w:val="45B55754"/>
    <w:rsid w:val="469F1F27"/>
    <w:rsid w:val="470644FA"/>
    <w:rsid w:val="49FD1472"/>
    <w:rsid w:val="4A4756D4"/>
    <w:rsid w:val="4A937300"/>
    <w:rsid w:val="4B5005D9"/>
    <w:rsid w:val="4C082566"/>
    <w:rsid w:val="4D0D6D01"/>
    <w:rsid w:val="4D113173"/>
    <w:rsid w:val="4F710408"/>
    <w:rsid w:val="51422C7D"/>
    <w:rsid w:val="529B7DC2"/>
    <w:rsid w:val="53046EBA"/>
    <w:rsid w:val="537E7606"/>
    <w:rsid w:val="55957979"/>
    <w:rsid w:val="56C47D5A"/>
    <w:rsid w:val="56E86198"/>
    <w:rsid w:val="5848773D"/>
    <w:rsid w:val="5875165E"/>
    <w:rsid w:val="58BC0244"/>
    <w:rsid w:val="58D740C7"/>
    <w:rsid w:val="5A13112F"/>
    <w:rsid w:val="5B977B3E"/>
    <w:rsid w:val="5BB63E9C"/>
    <w:rsid w:val="5BE366A7"/>
    <w:rsid w:val="5C790659"/>
    <w:rsid w:val="5DF95BED"/>
    <w:rsid w:val="5F0344F5"/>
    <w:rsid w:val="603159AA"/>
    <w:rsid w:val="607E3ECB"/>
    <w:rsid w:val="611C0C73"/>
    <w:rsid w:val="62D765E1"/>
    <w:rsid w:val="653271B5"/>
    <w:rsid w:val="657F58CB"/>
    <w:rsid w:val="660A319E"/>
    <w:rsid w:val="66627B51"/>
    <w:rsid w:val="67763F89"/>
    <w:rsid w:val="67C96476"/>
    <w:rsid w:val="67CC0B6F"/>
    <w:rsid w:val="692E38EB"/>
    <w:rsid w:val="69FA7025"/>
    <w:rsid w:val="6C0E3C93"/>
    <w:rsid w:val="6D37776E"/>
    <w:rsid w:val="6EF32E85"/>
    <w:rsid w:val="716B5794"/>
    <w:rsid w:val="717619C3"/>
    <w:rsid w:val="71AA0F82"/>
    <w:rsid w:val="726544BB"/>
    <w:rsid w:val="72B26CC1"/>
    <w:rsid w:val="730A0959"/>
    <w:rsid w:val="73135F23"/>
    <w:rsid w:val="73427BD6"/>
    <w:rsid w:val="74512EE4"/>
    <w:rsid w:val="750462F3"/>
    <w:rsid w:val="7507422B"/>
    <w:rsid w:val="75422974"/>
    <w:rsid w:val="75F166E7"/>
    <w:rsid w:val="763042EE"/>
    <w:rsid w:val="76961A6A"/>
    <w:rsid w:val="781D3B94"/>
    <w:rsid w:val="7956017B"/>
    <w:rsid w:val="799811D2"/>
    <w:rsid w:val="79A42017"/>
    <w:rsid w:val="79F842AA"/>
    <w:rsid w:val="7A482BB0"/>
    <w:rsid w:val="7A877901"/>
    <w:rsid w:val="7AAB3047"/>
    <w:rsid w:val="7AEF081F"/>
    <w:rsid w:val="7D66199A"/>
    <w:rsid w:val="7DE967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widowControl/>
      <w:jc w:val="left"/>
      <w:outlineLvl w:val="1"/>
    </w:pPr>
    <w:rPr>
      <w:rFonts w:ascii="宋体" w:hAnsi="宋体" w:cs="宋体"/>
      <w:b/>
      <w:bCs/>
      <w:color w:val="BB0000"/>
      <w:kern w:val="0"/>
      <w:szCs w:val="21"/>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Body Text"/>
    <w:basedOn w:val="1"/>
    <w:next w:val="1"/>
    <w:qFormat/>
    <w:uiPriority w:val="0"/>
    <w:pPr>
      <w:spacing w:after="120"/>
    </w:pPr>
  </w:style>
  <w:style w:type="paragraph" w:styleId="6">
    <w:name w:val="Body Text Indent"/>
    <w:basedOn w:val="1"/>
    <w:autoRedefine/>
    <w:qFormat/>
    <w:uiPriority w:val="0"/>
    <w:pPr>
      <w:ind w:firstLine="570"/>
    </w:pPr>
    <w:rPr>
      <w:rFonts w:ascii="宋体" w:hAnsi="宋体"/>
      <w:sz w:val="28"/>
    </w:rPr>
  </w:style>
  <w:style w:type="paragraph" w:styleId="7">
    <w:name w:val="Plain Text"/>
    <w:basedOn w:val="1"/>
    <w:link w:val="22"/>
    <w:autoRedefine/>
    <w:qFormat/>
    <w:uiPriority w:val="0"/>
    <w:rPr>
      <w:rFonts w:ascii="宋体" w:hAnsi="Courier New" w:cs="Courier New"/>
      <w:szCs w:val="21"/>
    </w:rPr>
  </w:style>
  <w:style w:type="paragraph" w:styleId="8">
    <w:name w:val="Date"/>
    <w:basedOn w:val="1"/>
    <w:next w:val="1"/>
    <w:autoRedefine/>
    <w:qFormat/>
    <w:uiPriority w:val="0"/>
    <w:pPr>
      <w:ind w:left="100" w:leftChars="25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toc 6"/>
    <w:basedOn w:val="1"/>
    <w:next w:val="1"/>
    <w:qFormat/>
    <w:uiPriority w:val="0"/>
    <w:pPr>
      <w:ind w:left="2100" w:leftChars="1000"/>
    </w:pPr>
    <w:rPr>
      <w:szCs w:val="22"/>
    </w:rPr>
  </w:style>
  <w:style w:type="paragraph" w:styleId="12">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3">
    <w:name w:val="Body Text First Indent"/>
    <w:basedOn w:val="5"/>
    <w:next w:val="11"/>
    <w:qFormat/>
    <w:uiPriority w:val="0"/>
    <w:pPr>
      <w:ind w:firstLine="420"/>
    </w:p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autoRedefine/>
    <w:qFormat/>
    <w:uiPriority w:val="0"/>
  </w:style>
  <w:style w:type="character" w:customStyle="1" w:styleId="18">
    <w:name w:val="style11"/>
    <w:basedOn w:val="16"/>
    <w:autoRedefine/>
    <w:qFormat/>
    <w:uiPriority w:val="0"/>
    <w:rPr>
      <w:b/>
      <w:bCs/>
      <w:color w:val="D54F2B"/>
      <w:sz w:val="21"/>
      <w:szCs w:val="21"/>
    </w:rPr>
  </w:style>
  <w:style w:type="character" w:customStyle="1" w:styleId="19">
    <w:name w:val="dz1"/>
    <w:basedOn w:val="16"/>
    <w:autoRedefine/>
    <w:qFormat/>
    <w:uiPriority w:val="0"/>
  </w:style>
  <w:style w:type="character" w:customStyle="1" w:styleId="20">
    <w:name w:val="内文 Char"/>
    <w:basedOn w:val="16"/>
    <w:link w:val="21"/>
    <w:autoRedefine/>
    <w:qFormat/>
    <w:uiPriority w:val="0"/>
    <w:rPr>
      <w:rFonts w:ascii="Arial" w:hAnsi="Arial"/>
      <w:kern w:val="2"/>
      <w:sz w:val="21"/>
      <w:lang w:val="en-US" w:eastAsia="zh-CN" w:bidi="ar-SA"/>
    </w:rPr>
  </w:style>
  <w:style w:type="paragraph" w:customStyle="1" w:styleId="21">
    <w:name w:val="内文"/>
    <w:link w:val="20"/>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22">
    <w:name w:val="纯文本 Char"/>
    <w:basedOn w:val="16"/>
    <w:link w:val="7"/>
    <w:autoRedefine/>
    <w:qFormat/>
    <w:uiPriority w:val="0"/>
    <w:rPr>
      <w:rFonts w:ascii="宋体" w:hAnsi="Courier New" w:eastAsia="宋体" w:cs="Courier New"/>
      <w:kern w:val="2"/>
      <w:sz w:val="21"/>
      <w:szCs w:val="21"/>
      <w:lang w:val="en-US" w:eastAsia="zh-CN" w:bidi="ar-SA"/>
    </w:rPr>
  </w:style>
  <w:style w:type="character" w:customStyle="1" w:styleId="23">
    <w:name w:val="textcontents"/>
    <w:basedOn w:val="16"/>
    <w:autoRedefine/>
    <w:qFormat/>
    <w:uiPriority w:val="0"/>
  </w:style>
  <w:style w:type="paragraph" w:customStyle="1" w:styleId="24">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25">
    <w:name w:val="样式3"/>
    <w:basedOn w:val="1"/>
    <w:autoRedefine/>
    <w:qFormat/>
    <w:uiPriority w:val="0"/>
    <w:pPr>
      <w:spacing w:line="440" w:lineRule="exact"/>
      <w:ind w:firstLine="416" w:firstLineChars="198"/>
    </w:pPr>
    <w:rPr>
      <w:rFonts w:ascii="宋体" w:hAnsi="宋体"/>
      <w:bCs/>
      <w:szCs w:val="21"/>
    </w:rPr>
  </w:style>
  <w:style w:type="paragraph" w:customStyle="1" w:styleId="26">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27">
    <w:name w:val="Char"/>
    <w:basedOn w:val="1"/>
    <w:autoRedefine/>
    <w:qFormat/>
    <w:uiPriority w:val="0"/>
    <w:rPr>
      <w:szCs w:val="20"/>
    </w:rPr>
  </w:style>
  <w:style w:type="paragraph" w:customStyle="1" w:styleId="28">
    <w:name w:val="Char2"/>
    <w:basedOn w:val="1"/>
    <w:autoRedefine/>
    <w:qFormat/>
    <w:uiPriority w:val="0"/>
    <w:rPr>
      <w:szCs w:val="20"/>
    </w:rPr>
  </w:style>
  <w:style w:type="paragraph" w:customStyle="1" w:styleId="29">
    <w:name w:val="Char Char Char Char1 Char"/>
    <w:basedOn w:val="1"/>
    <w:qFormat/>
    <w:uiPriority w:val="0"/>
    <w:rPr>
      <w:rFonts w:ascii="仿宋_GB2312" w:eastAsia="仿宋_GB2312"/>
      <w:b/>
      <w:sz w:val="32"/>
      <w:szCs w:val="32"/>
    </w:rPr>
  </w:style>
  <w:style w:type="paragraph" w:customStyle="1" w:styleId="30">
    <w:name w:val="5df20f36e5dba6673969a0d241aa04bc"/>
    <w:next w:val="1"/>
    <w:qFormat/>
    <w:uiPriority w:val="0"/>
    <w:pPr>
      <w:spacing w:before="0" w:after="0" w:line="360" w:lineRule="auto"/>
      <w:ind w:left="0" w:firstLine="480"/>
      <w:jc w:val="left"/>
    </w:pPr>
    <w:rPr>
      <w:rFonts w:ascii="宋体" w:hAnsi="宋体" w:eastAsia="宋体" w:cs="宋体"/>
      <w:sz w:val="24"/>
      <w:u w:val="none"/>
      <w:lang w:val="en-US" w:eastAsia="en-US" w:bidi="ar-SA"/>
    </w:rPr>
  </w:style>
  <w:style w:type="paragraph" w:styleId="31">
    <w:name w:val="List Paragraph"/>
    <w:basedOn w:val="1"/>
    <w:qFormat/>
    <w:uiPriority w:val="0"/>
    <w:pPr>
      <w:widowControl w:val="0"/>
      <w:autoSpaceDE w:val="0"/>
      <w:autoSpaceDN w:val="0"/>
      <w:adjustRightInd w:val="0"/>
      <w:ind w:firstLine="0"/>
    </w:pPr>
    <w:rPr>
      <w:rFonts w:ascii="Calibri" w:hAnsi="Calibri" w:eastAsia="宋体"/>
      <w:sz w:val="24"/>
      <w:lang w:eastAsia="zh-CN"/>
    </w:rPr>
  </w:style>
  <w:style w:type="character" w:customStyle="1" w:styleId="32">
    <w:name w:val="font111"/>
    <w:qFormat/>
    <w:uiPriority w:val="0"/>
    <w:rPr>
      <w:rFonts w:ascii="Calibri" w:hAnsi="Calibri" w:cs="Calibri"/>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32534;&#21046;&#35828;&#26126;&#27169;&#26495;\&#25307;&#26631;&#24037;&#31243;&#37327;&#28165;&#21333;&#32534;&#21046;&#35828;&#26126;&#65288;&#26477;&#24030;&#65289;4.28&#2046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招标工程量清单编制说明（杭州）4.28修</Template>
  <Pages>4</Pages>
  <Words>1904</Words>
  <Characters>2025</Characters>
  <Lines>20</Lines>
  <Paragraphs>5</Paragraphs>
  <TotalTime>1</TotalTime>
  <ScaleCrop>false</ScaleCrop>
  <LinksUpToDate>false</LinksUpToDate>
  <CharactersWithSpaces>2238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2021-06-11T06:42:00Z</dcterms:created>
  <dc:creator>我是小笼包呀</dc:creator>
  <cp:lastModifiedBy>why。</cp:lastModifiedBy>
  <dcterms:modified xsi:type="dcterms:W3CDTF">2026-08-14T09:53:42Z</dcterms:modified>
  <dc:title>杭州东部创智天地工程招标工程量清单编制说明</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5BD54CD3C03D4EF68B1C9B26DE8E0B87_13</vt:lpwstr>
  </property>
  <property fmtid="{D5CDD505-2E9C-101B-9397-08002B2CF9AE}" pid="4" name="KSOTemplateDocerSaveRecord">
    <vt:lpwstr>eyJoZGlkIjoiMTVhMDk2MmIzODQ0Y2Y0YTI5YWYzOTQxNzlhMjJlMzQiLCJ1c2VySWQiOiIyODMzNDA2NzgifQ==</vt:lpwstr>
  </property>
</Properties>
</file>