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14:paraId="1E2C7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52FEDD3A">
            <w:pPr>
              <w:pStyle w:val="4"/>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w:t>
            </w:r>
            <w:r>
              <w:rPr>
                <w:rFonts w:hint="eastAsia" w:asciiTheme="majorEastAsia" w:hAnsiTheme="majorEastAsia" w:eastAsiaTheme="majorEastAsia"/>
              </w:rPr>
              <w:t>工程概况：</w:t>
            </w:r>
            <w:r>
              <w:rPr>
                <w:rFonts w:hint="eastAsia" w:asciiTheme="majorEastAsia" w:hAnsiTheme="majorEastAsia" w:eastAsiaTheme="majorEastAsia"/>
                <w:lang w:val="en-US" w:eastAsia="zh-CN"/>
              </w:rPr>
              <w:t>杭州电子科技大学下沙校区匹克球专用场地改造工程</w:t>
            </w:r>
            <w:r>
              <w:rPr>
                <w:rFonts w:hint="eastAsia" w:hAnsi="宋体" w:cs="宋体"/>
                <w:lang w:eastAsia="zh-CN"/>
              </w:rPr>
              <w:t>，</w:t>
            </w:r>
            <w:r>
              <w:rPr>
                <w:rFonts w:hint="eastAsia" w:hAnsi="宋体" w:cs="宋体"/>
                <w:lang w:val="en-US" w:eastAsia="zh-CN"/>
              </w:rPr>
              <w:t>工程范围为</w:t>
            </w:r>
            <w:r>
              <w:rPr>
                <w:rFonts w:hint="eastAsia" w:hAnsi="宋体" w:cs="宋体"/>
              </w:rPr>
              <w:t>杭州电子科技大学下沙校区匹克球专用场地改造工程</w:t>
            </w:r>
            <w:r>
              <w:rPr>
                <w:rFonts w:hint="eastAsia" w:hAnsi="宋体" w:cs="宋体"/>
                <w:lang w:val="en-US" w:eastAsia="zh-CN"/>
              </w:rPr>
              <w:t>工程量清单内所有内容，改造面积约2445平方米。</w:t>
            </w:r>
            <w:r>
              <w:rPr>
                <w:rFonts w:hint="eastAsia" w:cs="宋体" w:asciiTheme="majorEastAsia" w:hAnsiTheme="majorEastAsia" w:eastAsiaTheme="majorEastAsia"/>
                <w:color w:val="000000"/>
              </w:rPr>
              <w:t>具体内容和工程做法详见施工图及设计说明。</w:t>
            </w:r>
          </w:p>
          <w:p w14:paraId="692ABF1D">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14:paraId="7A46138B">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14:paraId="763996A5">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175673A3">
            <w:pPr>
              <w:autoSpaceDE w:val="0"/>
              <w:autoSpaceDN w:val="0"/>
              <w:adjustRightInd w:val="0"/>
              <w:spacing w:line="360" w:lineRule="auto"/>
              <w:ind w:firstLine="420"/>
              <w:rPr>
                <w:rFonts w:hint="eastAsia"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4596F875">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市政</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—2013）；</w:t>
            </w:r>
          </w:p>
          <w:p w14:paraId="40E35BDD">
            <w:pPr>
              <w:autoSpaceDE w:val="0"/>
              <w:autoSpaceDN w:val="0"/>
              <w:adjustRightInd w:val="0"/>
              <w:spacing w:line="360" w:lineRule="auto"/>
              <w:ind w:firstLine="420"/>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园林绿化</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—2013）；</w:t>
            </w:r>
          </w:p>
          <w:p w14:paraId="5A919D75">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0B93C9C7">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．《关于印发建设工程工程量计算规范（2013）浙江省补充规定的通知》（浙建站计﹝2013﹞63号）；</w:t>
            </w:r>
          </w:p>
          <w:p w14:paraId="35E61CC2">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4F08FCCC">
            <w:pPr>
              <w:autoSpaceDE w:val="0"/>
              <w:autoSpaceDN w:val="0"/>
              <w:adjustRightInd w:val="0"/>
              <w:spacing w:line="360" w:lineRule="auto"/>
              <w:ind w:firstLine="420"/>
              <w:rPr>
                <w:rFonts w:hint="eastAsia" w:cs="宋体" w:asciiTheme="majorEastAsia" w:hAnsiTheme="majorEastAsia" w:eastAsiaTheme="majorEastAsia"/>
                <w:color w:val="000000"/>
                <w:szCs w:val="21"/>
              </w:rPr>
            </w:pP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．《浙江省建设工程计价规则》（2018版）；</w:t>
            </w:r>
          </w:p>
          <w:p w14:paraId="17F811EF">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lang w:val="en-US" w:eastAsia="zh-CN"/>
              </w:rPr>
              <w:t>9</w:t>
            </w:r>
            <w:r>
              <w:rPr>
                <w:rFonts w:hint="eastAsia" w:cs="宋体" w:asciiTheme="majorEastAsia" w:hAnsiTheme="majorEastAsia" w:eastAsiaTheme="majorEastAsia"/>
                <w:color w:val="000000"/>
                <w:szCs w:val="21"/>
                <w:highlight w:val="none"/>
              </w:rPr>
              <w:t>.《关于增值税调整后我省建设工程计价依据增值税税率及有关计价调整的通知》（浙建建发[2019]92号 ）；</w:t>
            </w:r>
          </w:p>
          <w:p w14:paraId="0484469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default" w:cs="宋体" w:asciiTheme="majorEastAsia" w:hAnsiTheme="majorEastAsia" w:eastAsiaTheme="majorEastAsia"/>
                <w:color w:val="000000"/>
                <w:szCs w:val="21"/>
                <w:lang w:val="en-US" w:eastAsia="zh-CN"/>
              </w:rPr>
            </w:pPr>
            <w:r>
              <w:rPr>
                <w:rFonts w:hint="eastAsia" w:cs="宋体" w:asciiTheme="majorEastAsia" w:hAnsiTheme="majorEastAsia" w:eastAsiaTheme="majorEastAsia"/>
                <w:color w:val="000000"/>
                <w:szCs w:val="21"/>
                <w:lang w:val="en-US" w:eastAsia="zh-CN"/>
              </w:rPr>
              <w:t>10.《省建设厅关于调整我省2018版建筑安装工程安全文明施工费的通知》（浙建建函[2025]320号）；</w:t>
            </w:r>
          </w:p>
          <w:p w14:paraId="5D85846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pPr>
            <w:r>
              <w:rPr>
                <w:rFonts w:hint="eastAsia" w:cs="宋体" w:asciiTheme="majorEastAsia" w:hAnsiTheme="majorEastAsia" w:eastAsiaTheme="majorEastAsia"/>
                <w:color w:val="000000"/>
                <w:szCs w:val="21"/>
                <w:lang w:val="en-US" w:eastAsia="zh-CN"/>
              </w:rPr>
              <w:t>11.《杭州市城乡建设委员会关于落实省建设厅调整2018版建筑安装工程安全文明施工费有关事项的通知》（杭建市通知[2025]98号）；</w:t>
            </w:r>
          </w:p>
          <w:p w14:paraId="0C5AA2E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12</w:t>
            </w:r>
            <w:r>
              <w:rPr>
                <w:rFonts w:hint="eastAsia" w:ascii="宋体" w:hAnsi="宋体" w:cs="宋体"/>
                <w:color w:val="000000"/>
                <w:szCs w:val="21"/>
                <w:highlight w:val="none"/>
              </w:rPr>
              <w:t>．省、市建设行政主管部门以及工程造价管理机构颁发的相关计价办法和计价规定；</w:t>
            </w:r>
          </w:p>
          <w:p w14:paraId="026B6B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w:t>
            </w: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．其他与工程项目有关的规范、标准和技术资料；</w:t>
            </w:r>
          </w:p>
          <w:p w14:paraId="5F7D3F7F">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rPr>
              <w:t>1</w:t>
            </w: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．施工现场实际情况、工程特点、常规施工方案；</w:t>
            </w:r>
          </w:p>
          <w:p w14:paraId="6CE8C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w:t>
            </w: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．业主提供的设计图纸。</w:t>
            </w:r>
          </w:p>
          <w:p w14:paraId="09172A2F">
            <w:pPr>
              <w:pStyle w:val="4"/>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14:paraId="279CA9F9">
            <w:pPr>
              <w:pStyle w:val="4"/>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14:paraId="7734B7C4">
            <w:pPr>
              <w:pStyle w:val="4"/>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149BA2B3">
            <w:pPr>
              <w:pStyle w:val="4"/>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08682F2A">
            <w:pPr>
              <w:pStyle w:val="4"/>
              <w:tabs>
                <w:tab w:val="left" w:pos="3330"/>
              </w:tabs>
              <w:spacing w:line="360" w:lineRule="auto"/>
              <w:ind w:firstLine="420" w:firstLineChars="200"/>
              <w:rPr>
                <w:rFonts w:hint="eastAsia"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w:t>
            </w:r>
            <w:r>
              <w:rPr>
                <w:rFonts w:hint="eastAsia" w:cs="宋体" w:asciiTheme="majorEastAsia" w:hAnsiTheme="majorEastAsia" w:eastAsiaTheme="majorEastAsia"/>
                <w:color w:val="000000"/>
                <w:szCs w:val="21"/>
              </w:rPr>
              <w:t>浙建建</w:t>
            </w:r>
            <w:r>
              <w:rPr>
                <w:rFonts w:hint="eastAsia" w:cs="宋体" w:asciiTheme="majorEastAsia" w:hAnsiTheme="majorEastAsia" w:eastAsiaTheme="majorEastAsia"/>
                <w:color w:val="000000"/>
                <w:szCs w:val="21"/>
                <w:lang w:val="en-US" w:eastAsia="zh-CN"/>
              </w:rPr>
              <w:t>函</w:t>
            </w:r>
            <w:r>
              <w:rPr>
                <w:rFonts w:hint="eastAsia" w:cs="宋体" w:asciiTheme="majorEastAsia" w:hAnsiTheme="majorEastAsia" w:eastAsiaTheme="majorEastAsia"/>
                <w:color w:val="000000"/>
                <w:szCs w:val="21"/>
              </w:rPr>
              <w:t>[202</w:t>
            </w:r>
            <w:r>
              <w:rPr>
                <w:rFonts w:hint="eastAsia" w:cs="宋体" w:asciiTheme="majorEastAsia" w:hAnsiTheme="majorEastAsia" w:eastAsiaTheme="majorEastAsia"/>
                <w:color w:val="000000"/>
                <w:szCs w:val="21"/>
                <w:lang w:val="en-US" w:eastAsia="zh-CN"/>
              </w:rPr>
              <w:t>5</w:t>
            </w:r>
            <w:r>
              <w:rPr>
                <w:rFonts w:hint="eastAsia" w:cs="宋体" w:asciiTheme="majorEastAsia" w:hAnsiTheme="majorEastAsia" w:eastAsiaTheme="majorEastAsia"/>
                <w:color w:val="000000"/>
                <w:szCs w:val="21"/>
              </w:rPr>
              <w:t>]</w:t>
            </w:r>
            <w:r>
              <w:rPr>
                <w:rFonts w:hint="eastAsia" w:cs="宋体" w:asciiTheme="majorEastAsia" w:hAnsiTheme="majorEastAsia" w:eastAsiaTheme="majorEastAsia"/>
                <w:color w:val="000000"/>
                <w:szCs w:val="21"/>
                <w:lang w:val="en-US" w:eastAsia="zh-CN"/>
              </w:rPr>
              <w:t>320</w:t>
            </w:r>
            <w:r>
              <w:rPr>
                <w:rFonts w:hint="eastAsia" w:cs="宋体" w:asciiTheme="majorEastAsia" w:hAnsiTheme="majorEastAsia" w:eastAsiaTheme="majorEastAsia"/>
                <w:color w:val="000000"/>
                <w:szCs w:val="21"/>
              </w:rPr>
              <w:t>号</w:t>
            </w:r>
            <w:r>
              <w:rPr>
                <w:rFonts w:hint="eastAsia" w:hAnsi="宋体" w:cs="宋体"/>
                <w:color w:val="000000"/>
                <w:highlight w:val="none"/>
              </w:rPr>
              <w:t>文件规定的下限，按市区工程计取，具体如下：</w:t>
            </w:r>
          </w:p>
          <w:p w14:paraId="3E7A4E9A">
            <w:pPr>
              <w:pStyle w:val="4"/>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lang w:val="en-US" w:eastAsia="zh-CN"/>
              </w:rPr>
              <w:t>市政</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9.35</w:t>
            </w:r>
            <w:r>
              <w:rPr>
                <w:rFonts w:hint="eastAsia" w:hAnsi="宋体" w:cs="宋体"/>
                <w:color w:val="000000"/>
                <w:highlight w:val="none"/>
              </w:rPr>
              <w:t>%；</w:t>
            </w:r>
          </w:p>
          <w:p w14:paraId="72F15236">
            <w:pPr>
              <w:pStyle w:val="4"/>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14:paraId="30B48742">
            <w:pPr>
              <w:pStyle w:val="4"/>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lang w:val="en-US" w:eastAsia="zh-CN"/>
              </w:rPr>
              <w:t>市政</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5.625</w:t>
            </w:r>
            <w:r>
              <w:rPr>
                <w:rFonts w:hint="eastAsia" w:hAnsi="宋体" w:cs="宋体"/>
                <w:color w:val="000000"/>
                <w:highlight w:val="none"/>
              </w:rPr>
              <w:t>%；</w:t>
            </w:r>
          </w:p>
          <w:p w14:paraId="7DE92CFD">
            <w:pPr>
              <w:pStyle w:val="4"/>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同时，投标人必须对企业管理费中所包含的现场临时宿舍空调设施等费用，在相应的清单明细表中(表2-5)进行单独费用报价分析。具体如下：</w:t>
            </w:r>
          </w:p>
          <w:p w14:paraId="7556BEFC">
            <w:pPr>
              <w:pStyle w:val="4"/>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lang w:val="en-US" w:eastAsia="zh-CN"/>
              </w:rPr>
              <w:t>市政</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2.556</w:t>
            </w:r>
            <w:r>
              <w:rPr>
                <w:rFonts w:hint="eastAsia" w:hAnsi="宋体" w:cs="宋体"/>
                <w:color w:val="000000"/>
                <w:highlight w:val="none"/>
              </w:rPr>
              <w:t>%；</w:t>
            </w:r>
          </w:p>
          <w:p w14:paraId="60AE8021">
            <w:pPr>
              <w:pStyle w:val="4"/>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14:paraId="704D1017">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14:paraId="2DCFD74C">
            <w:pPr>
              <w:pStyle w:val="4"/>
              <w:spacing w:line="360" w:lineRule="auto"/>
              <w:rPr>
                <w:rFonts w:hAnsi="宋体" w:cs="宋体"/>
                <w:color w:val="000000"/>
                <w:highlight w:val="none"/>
              </w:rPr>
            </w:pPr>
            <w:r>
              <w:rPr>
                <w:rFonts w:hint="eastAsia" w:hAnsi="宋体" w:cs="宋体"/>
                <w:color w:val="000000"/>
                <w:highlight w:val="none"/>
                <w:lang w:val="en-US" w:eastAsia="zh-CN"/>
              </w:rPr>
              <w:t>六</w:t>
            </w:r>
            <w:r>
              <w:rPr>
                <w:rFonts w:hint="eastAsia" w:hAnsi="宋体" w:cs="宋体"/>
                <w:color w:val="000000"/>
                <w:highlight w:val="none"/>
              </w:rPr>
              <w:t>、材料：</w:t>
            </w:r>
          </w:p>
          <w:p w14:paraId="7B37A108">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59A59272">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14:paraId="4F3EA272">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14:paraId="2C10F120">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14:paraId="7455F87A">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14:paraId="59782B16">
            <w:pPr>
              <w:pStyle w:val="4"/>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、其他说明：</w:t>
            </w:r>
          </w:p>
          <w:p w14:paraId="03908809">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10ABED1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14:paraId="798294F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14:paraId="73B1527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60A9B4D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14:paraId="43A835F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450DF18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14:paraId="749C57B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14:paraId="443B7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14:paraId="60DE43A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14:paraId="720DE25D">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14:paraId="482E8E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14:paraId="221D921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14:paraId="46D0CBC5">
            <w:pPr>
              <w:autoSpaceDE w:val="0"/>
              <w:autoSpaceDN w:val="0"/>
              <w:adjustRightInd w:val="0"/>
              <w:spacing w:line="360" w:lineRule="auto"/>
              <w:ind w:firstLine="42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r>
              <w:rPr>
                <w:rFonts w:hint="eastAsia" w:ascii="宋体" w:hAnsi="宋体" w:cs="宋体"/>
                <w:color w:val="000000"/>
                <w:szCs w:val="21"/>
                <w:highlight w:val="none"/>
                <w:lang w:eastAsia="zh-CN"/>
              </w:rPr>
              <w:t>。</w:t>
            </w:r>
          </w:p>
          <w:p w14:paraId="38D39F61">
            <w:pPr>
              <w:pStyle w:val="4"/>
              <w:spacing w:line="360" w:lineRule="auto"/>
              <w:rPr>
                <w:rFonts w:hint="default" w:ascii="Times New Roman" w:hAnsi="Times New Roman" w:eastAsia="宋体" w:cs="Times New Roman"/>
                <w:b/>
                <w:kern w:val="1"/>
                <w:sz w:val="21"/>
                <w:szCs w:val="21"/>
              </w:rPr>
            </w:pPr>
            <w:r>
              <w:rPr>
                <w:rFonts w:hint="eastAsia" w:hAnsi="宋体" w:cs="宋体"/>
                <w:color w:val="000000"/>
                <w:highlight w:val="none"/>
                <w:lang w:val="en-US" w:eastAsia="zh-CN"/>
              </w:rPr>
              <w:t>八</w:t>
            </w:r>
            <w:r>
              <w:rPr>
                <w:rFonts w:hint="eastAsia" w:hAnsi="宋体" w:cs="宋体"/>
                <w:color w:val="000000"/>
                <w:highlight w:val="none"/>
                <w:lang w:val="zh-CN"/>
              </w:rPr>
              <w:t>、其他不详之处，详见国家及地方标准。</w:t>
            </w:r>
          </w:p>
          <w:p w14:paraId="06572AAC">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14:paraId="3F64F334">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fixed"/>
              <w:tblCellMar>
                <w:top w:w="0" w:type="dxa"/>
                <w:left w:w="108" w:type="dxa"/>
                <w:bottom w:w="0" w:type="dxa"/>
                <w:right w:w="108" w:type="dxa"/>
              </w:tblCellMar>
            </w:tblPr>
            <w:tblGrid>
              <w:gridCol w:w="678"/>
              <w:gridCol w:w="2268"/>
              <w:gridCol w:w="2637"/>
              <w:gridCol w:w="1470"/>
              <w:gridCol w:w="1200"/>
            </w:tblGrid>
            <w:tr w14:paraId="65FBAB5F">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center"/>
                </w:tcPr>
                <w:p w14:paraId="2C441E97">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4A69BF5">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3FF0592">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6057494A">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DABAA26">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14:paraId="4D5BDF55">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AF713C">
                  <w:pPr>
                    <w:jc w:val="center"/>
                    <w:rPr>
                      <w:rFonts w:hint="eastAsia" w:ascii="宋体" w:hAnsi="宋体" w:eastAsia="宋体" w:cs="宋体"/>
                      <w:sz w:val="21"/>
                      <w:szCs w:val="21"/>
                    </w:rPr>
                  </w:pPr>
                  <w:r>
                    <w:rPr>
                      <w:rFonts w:hint="eastAsia" w:ascii="宋体" w:hAnsi="宋体" w:eastAsia="宋体" w:cs="宋体"/>
                      <w:sz w:val="21"/>
                      <w:szCs w:val="21"/>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57F4958">
                  <w:pPr>
                    <w:jc w:val="center"/>
                    <w:rPr>
                      <w:rFonts w:hint="eastAsia" w:ascii="宋体" w:hAnsi="宋体" w:cs="宋体"/>
                      <w:sz w:val="21"/>
                      <w:szCs w:val="21"/>
                      <w:lang w:val="en-US" w:eastAsia="zh-CN"/>
                    </w:rPr>
                  </w:pPr>
                  <w:r>
                    <w:rPr>
                      <w:rFonts w:hint="eastAsia" w:ascii="宋体" w:hAnsi="宋体" w:cs="宋体"/>
                      <w:sz w:val="21"/>
                      <w:szCs w:val="21"/>
                      <w:lang w:val="en-US" w:eastAsia="zh-CN"/>
                    </w:rPr>
                    <w:t>匹克球场地面</w:t>
                  </w:r>
                </w:p>
                <w:p w14:paraId="35089F13">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（丙烯酸地面）</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F110A6F">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德克瑞、帕特勒、展能、Plexipave</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09F20BC">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9437694">
                  <w:pPr>
                    <w:jc w:val="center"/>
                    <w:rPr>
                      <w:rFonts w:hint="eastAsia" w:ascii="宋体" w:hAnsi="宋体" w:eastAsia="宋体" w:cs="宋体"/>
                      <w:sz w:val="21"/>
                      <w:szCs w:val="21"/>
                    </w:rPr>
                  </w:pPr>
                  <w:r>
                    <w:rPr>
                      <w:rFonts w:hint="eastAsia" w:ascii="宋体" w:hAnsi="宋体" w:eastAsia="宋体" w:cs="宋体"/>
                      <w:sz w:val="21"/>
                      <w:szCs w:val="21"/>
                    </w:rPr>
                    <w:t>或相当于</w:t>
                  </w:r>
                </w:p>
              </w:tc>
            </w:tr>
          </w:tbl>
          <w:p w14:paraId="658CBB49">
            <w:pPr>
              <w:pStyle w:val="4"/>
              <w:spacing w:line="360" w:lineRule="auto"/>
              <w:rPr>
                <w:rFonts w:hint="eastAsia" w:hAnsi="宋体" w:cs="宋体"/>
                <w:color w:val="000000"/>
                <w:highlight w:val="none"/>
                <w:lang w:val="zh-CN"/>
              </w:rPr>
            </w:pPr>
            <w:r>
              <w:rPr>
                <w:rFonts w:hint="default" w:ascii="Times New Roman" w:hAnsi="Times New Roman" w:eastAsia="宋体" w:cs="Times New Roman"/>
                <w:kern w:val="1"/>
                <w:sz w:val="21"/>
                <w:szCs w:val="21"/>
              </w:rPr>
              <w:t>注意：涂料、油漆要达到环</w:t>
            </w:r>
            <w:bookmarkStart w:id="0" w:name="_GoBack"/>
            <w:bookmarkEnd w:id="0"/>
            <w:r>
              <w:rPr>
                <w:rFonts w:hint="default" w:ascii="Times New Roman" w:hAnsi="Times New Roman" w:eastAsia="宋体" w:cs="Times New Roman"/>
                <w:kern w:val="1"/>
                <w:sz w:val="21"/>
                <w:szCs w:val="21"/>
              </w:rPr>
              <w:t>保E</w:t>
            </w:r>
            <w:r>
              <w:rPr>
                <w:rFonts w:hint="eastAsia" w:ascii="Times New Roman" w:hAnsi="Times New Roman" w:cs="Times New Roman"/>
                <w:kern w:val="1"/>
                <w:sz w:val="21"/>
                <w:szCs w:val="21"/>
                <w:lang w:val="en-US" w:eastAsia="zh-CN"/>
              </w:rPr>
              <w:t>0</w:t>
            </w:r>
            <w:r>
              <w:rPr>
                <w:rFonts w:hint="default" w:ascii="Times New Roman" w:hAnsi="Times New Roman" w:eastAsia="宋体" w:cs="Times New Roman"/>
                <w:kern w:val="1"/>
                <w:sz w:val="21"/>
                <w:szCs w:val="21"/>
              </w:rPr>
              <w:t>级标准。</w:t>
            </w:r>
            <w:r>
              <w:rPr>
                <w:rFonts w:ascii="宋体" w:hAnsi="宋体" w:cs="宋体"/>
                <w:kern w:val="0"/>
                <w:szCs w:val="21"/>
                <w:highlight w:val="none"/>
                <w:lang w:val="zh-CN"/>
              </w:rPr>
              <w:t xml:space="preserve"> </w:t>
            </w:r>
          </w:p>
        </w:tc>
      </w:tr>
    </w:tbl>
    <w:p w14:paraId="2AB86B1C">
      <w:pPr>
        <w:pStyle w:val="4"/>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54FA8">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CD547AA">
                          <w:pPr>
                            <w:pStyle w:val="4"/>
                            <w:tabs>
                              <w:tab w:val="left" w:pos="0"/>
                            </w:tabs>
                            <w:jc w:val="center"/>
                            <w:rPr>
                              <w:b/>
                              <w:sz w:val="48"/>
                              <w:szCs w:val="48"/>
                            </w:rPr>
                          </w:pPr>
                          <w:r>
                            <w:rPr>
                              <w:rFonts w:hint="eastAsia"/>
                              <w:b/>
                              <w:sz w:val="48"/>
                              <w:szCs w:val="48"/>
                            </w:rPr>
                            <w:t>工程量清单编制总说明</w:t>
                          </w:r>
                        </w:p>
                        <w:p w14:paraId="40450DA2">
                          <w:pPr>
                            <w:rPr>
                              <w:rFonts w:hint="eastAsia" w:ascii="宋体" w:hAnsi="宋体" w:eastAsia="宋体" w:cs="宋体"/>
                              <w:sz w:val="21"/>
                              <w:szCs w:val="21"/>
                            </w:rPr>
                          </w:pPr>
                          <w:r>
                            <w:rPr>
                              <w:rFonts w:hint="eastAsia" w:ascii="宋体" w:hAnsi="宋体" w:eastAsia="宋体" w:cs="宋体"/>
                              <w:sz w:val="20"/>
                              <w:szCs w:val="20"/>
                            </w:rPr>
                            <w:t>工程名称:</w:t>
                          </w:r>
                          <w:r>
                            <w:rPr>
                              <w:rFonts w:hint="eastAsia" w:asciiTheme="majorEastAsia" w:hAnsiTheme="majorEastAsia" w:eastAsiaTheme="majorEastAsia"/>
                              <w:lang w:val="en-US" w:eastAsia="zh-CN"/>
                            </w:rPr>
                            <w:t xml:space="preserve">杭州电子科技大学下沙校区匹克球专用场地改造工程          </w:t>
                          </w:r>
                          <w:r>
                            <w:rPr>
                              <w:rFonts w:hint="eastAsia" w:asciiTheme="majorEastAsia" w:hAnsiTheme="majorEastAsia" w:eastAsiaTheme="majorEastAsia"/>
                              <w:sz w:val="20"/>
                              <w:szCs w:val="22"/>
                              <w:lang w:val="en-US" w:eastAsia="zh-CN"/>
                            </w:rPr>
                            <w:t xml:space="preserve">  </w:t>
                          </w:r>
                          <w:r>
                            <w:rPr>
                              <w:rFonts w:hint="eastAsia" w:ascii="宋体" w:hAnsi="宋体" w:eastAsia="宋体" w:cs="宋体"/>
                              <w:sz w:val="20"/>
                              <w:szCs w:val="20"/>
                            </w:rPr>
                            <w:t>第</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PAGE  \* Arabic  \* MERGEFORMAT</w:instrText>
                          </w:r>
                          <w:r>
                            <w:rPr>
                              <w:rFonts w:hint="eastAsia" w:ascii="宋体" w:hAnsi="宋体" w:eastAsia="宋体" w:cs="宋体"/>
                              <w:sz w:val="20"/>
                              <w:szCs w:val="20"/>
                            </w:rPr>
                            <w:fldChar w:fldCharType="separate"/>
                          </w:r>
                          <w:r>
                            <w:rPr>
                              <w:rFonts w:hint="eastAsia" w:ascii="宋体" w:hAnsi="宋体" w:eastAsia="宋体" w:cs="宋体"/>
                              <w:sz w:val="20"/>
                              <w:szCs w:val="20"/>
                            </w:rPr>
                            <w:t>1</w:t>
                          </w:r>
                          <w:r>
                            <w:rPr>
                              <w:rFonts w:hint="eastAsia" w:ascii="宋体" w:hAnsi="宋体" w:eastAsia="宋体" w:cs="宋体"/>
                              <w:sz w:val="20"/>
                              <w:szCs w:val="20"/>
                            </w:rPr>
                            <w:fldChar w:fldCharType="end"/>
                          </w:r>
                          <w:r>
                            <w:rPr>
                              <w:rFonts w:hint="eastAsia" w:ascii="宋体" w:hAnsi="宋体" w:eastAsia="宋体" w:cs="宋体"/>
                              <w:sz w:val="20"/>
                              <w:szCs w:val="20"/>
                            </w:rPr>
                            <w:t>页，共</w:t>
                          </w:r>
                          <w:r>
                            <w:rPr>
                              <w:rFonts w:hint="eastAsia" w:ascii="宋体" w:hAnsi="宋体" w:cs="宋体"/>
                              <w:sz w:val="20"/>
                              <w:szCs w:val="20"/>
                              <w:lang w:val="en-US" w:eastAsia="zh-CN"/>
                            </w:rPr>
                            <w:t>4</w:t>
                          </w:r>
                          <w:r>
                            <w:rPr>
                              <w:rFonts w:hint="eastAsia" w:ascii="宋体" w:hAnsi="宋体" w:eastAsia="宋体" w:cs="宋体"/>
                              <w:sz w:val="20"/>
                              <w:szCs w:val="20"/>
                            </w:rPr>
                            <w:t>页</w:t>
                          </w:r>
                        </w:p>
                        <w:p w14:paraId="421259F5">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7CD547AA">
                    <w:pPr>
                      <w:pStyle w:val="4"/>
                      <w:tabs>
                        <w:tab w:val="left" w:pos="0"/>
                      </w:tabs>
                      <w:jc w:val="center"/>
                      <w:rPr>
                        <w:b/>
                        <w:sz w:val="48"/>
                        <w:szCs w:val="48"/>
                      </w:rPr>
                    </w:pPr>
                    <w:r>
                      <w:rPr>
                        <w:rFonts w:hint="eastAsia"/>
                        <w:b/>
                        <w:sz w:val="48"/>
                        <w:szCs w:val="48"/>
                      </w:rPr>
                      <w:t>工程量清单编制总说明</w:t>
                    </w:r>
                  </w:p>
                  <w:p w14:paraId="40450DA2">
                    <w:pPr>
                      <w:rPr>
                        <w:rFonts w:hint="eastAsia" w:ascii="宋体" w:hAnsi="宋体" w:eastAsia="宋体" w:cs="宋体"/>
                        <w:sz w:val="21"/>
                        <w:szCs w:val="21"/>
                      </w:rPr>
                    </w:pPr>
                    <w:r>
                      <w:rPr>
                        <w:rFonts w:hint="eastAsia" w:ascii="宋体" w:hAnsi="宋体" w:eastAsia="宋体" w:cs="宋体"/>
                        <w:sz w:val="20"/>
                        <w:szCs w:val="20"/>
                      </w:rPr>
                      <w:t>工程名称:</w:t>
                    </w:r>
                    <w:r>
                      <w:rPr>
                        <w:rFonts w:hint="eastAsia" w:asciiTheme="majorEastAsia" w:hAnsiTheme="majorEastAsia" w:eastAsiaTheme="majorEastAsia"/>
                        <w:lang w:val="en-US" w:eastAsia="zh-CN"/>
                      </w:rPr>
                      <w:t xml:space="preserve">杭州电子科技大学下沙校区匹克球专用场地改造工程          </w:t>
                    </w:r>
                    <w:r>
                      <w:rPr>
                        <w:rFonts w:hint="eastAsia" w:asciiTheme="majorEastAsia" w:hAnsiTheme="majorEastAsia" w:eastAsiaTheme="majorEastAsia"/>
                        <w:sz w:val="20"/>
                        <w:szCs w:val="22"/>
                        <w:lang w:val="en-US" w:eastAsia="zh-CN"/>
                      </w:rPr>
                      <w:t xml:space="preserve">  </w:t>
                    </w:r>
                    <w:r>
                      <w:rPr>
                        <w:rFonts w:hint="eastAsia" w:ascii="宋体" w:hAnsi="宋体" w:eastAsia="宋体" w:cs="宋体"/>
                        <w:sz w:val="20"/>
                        <w:szCs w:val="20"/>
                      </w:rPr>
                      <w:t>第</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PAGE  \* Arabic  \* MERGEFORMAT</w:instrText>
                    </w:r>
                    <w:r>
                      <w:rPr>
                        <w:rFonts w:hint="eastAsia" w:ascii="宋体" w:hAnsi="宋体" w:eastAsia="宋体" w:cs="宋体"/>
                        <w:sz w:val="20"/>
                        <w:szCs w:val="20"/>
                      </w:rPr>
                      <w:fldChar w:fldCharType="separate"/>
                    </w:r>
                    <w:r>
                      <w:rPr>
                        <w:rFonts w:hint="eastAsia" w:ascii="宋体" w:hAnsi="宋体" w:eastAsia="宋体" w:cs="宋体"/>
                        <w:sz w:val="20"/>
                        <w:szCs w:val="20"/>
                      </w:rPr>
                      <w:t>1</w:t>
                    </w:r>
                    <w:r>
                      <w:rPr>
                        <w:rFonts w:hint="eastAsia" w:ascii="宋体" w:hAnsi="宋体" w:eastAsia="宋体" w:cs="宋体"/>
                        <w:sz w:val="20"/>
                        <w:szCs w:val="20"/>
                      </w:rPr>
                      <w:fldChar w:fldCharType="end"/>
                    </w:r>
                    <w:r>
                      <w:rPr>
                        <w:rFonts w:hint="eastAsia" w:ascii="宋体" w:hAnsi="宋体" w:eastAsia="宋体" w:cs="宋体"/>
                        <w:sz w:val="20"/>
                        <w:szCs w:val="20"/>
                      </w:rPr>
                      <w:t>页，共</w:t>
                    </w:r>
                    <w:r>
                      <w:rPr>
                        <w:rFonts w:hint="eastAsia" w:ascii="宋体" w:hAnsi="宋体" w:cs="宋体"/>
                        <w:sz w:val="20"/>
                        <w:szCs w:val="20"/>
                        <w:lang w:val="en-US" w:eastAsia="zh-CN"/>
                      </w:rPr>
                      <w:t>4</w:t>
                    </w:r>
                    <w:r>
                      <w:rPr>
                        <w:rFonts w:hint="eastAsia" w:ascii="宋体" w:hAnsi="宋体" w:eastAsia="宋体" w:cs="宋体"/>
                        <w:sz w:val="20"/>
                        <w:szCs w:val="20"/>
                      </w:rPr>
                      <w:t>页</w:t>
                    </w:r>
                  </w:p>
                  <w:p w14:paraId="421259F5">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1E48"/>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3392FBC"/>
    <w:rsid w:val="0419557E"/>
    <w:rsid w:val="08275A30"/>
    <w:rsid w:val="0B7F1CA7"/>
    <w:rsid w:val="0C396B4C"/>
    <w:rsid w:val="0D731E06"/>
    <w:rsid w:val="0E613268"/>
    <w:rsid w:val="0F090DE9"/>
    <w:rsid w:val="12BF28AB"/>
    <w:rsid w:val="13347445"/>
    <w:rsid w:val="150A6237"/>
    <w:rsid w:val="158F443B"/>
    <w:rsid w:val="15BF196E"/>
    <w:rsid w:val="17A4103D"/>
    <w:rsid w:val="17B943BD"/>
    <w:rsid w:val="18BA19F3"/>
    <w:rsid w:val="18E13BCB"/>
    <w:rsid w:val="1A003988"/>
    <w:rsid w:val="1AEE7B63"/>
    <w:rsid w:val="1B617245"/>
    <w:rsid w:val="1B6E25C4"/>
    <w:rsid w:val="1CA97C35"/>
    <w:rsid w:val="1D641E26"/>
    <w:rsid w:val="1E320A25"/>
    <w:rsid w:val="1FB44D03"/>
    <w:rsid w:val="1FD04999"/>
    <w:rsid w:val="227B58D9"/>
    <w:rsid w:val="22A359B1"/>
    <w:rsid w:val="246C2EE2"/>
    <w:rsid w:val="24AB704C"/>
    <w:rsid w:val="25537BFE"/>
    <w:rsid w:val="2583364F"/>
    <w:rsid w:val="26181E3F"/>
    <w:rsid w:val="27160108"/>
    <w:rsid w:val="2801460D"/>
    <w:rsid w:val="28136AE6"/>
    <w:rsid w:val="28940A5E"/>
    <w:rsid w:val="2AFC6642"/>
    <w:rsid w:val="2B7D5822"/>
    <w:rsid w:val="2B8D57C9"/>
    <w:rsid w:val="2BF82C59"/>
    <w:rsid w:val="2C183950"/>
    <w:rsid w:val="2E6115DE"/>
    <w:rsid w:val="2EE638B2"/>
    <w:rsid w:val="31340E26"/>
    <w:rsid w:val="315546E1"/>
    <w:rsid w:val="32421F05"/>
    <w:rsid w:val="3251196A"/>
    <w:rsid w:val="32D541E9"/>
    <w:rsid w:val="344572AC"/>
    <w:rsid w:val="35596F99"/>
    <w:rsid w:val="365232D0"/>
    <w:rsid w:val="36EC5087"/>
    <w:rsid w:val="376C67F2"/>
    <w:rsid w:val="38631C99"/>
    <w:rsid w:val="38741687"/>
    <w:rsid w:val="3B464036"/>
    <w:rsid w:val="3C601127"/>
    <w:rsid w:val="3CD46665"/>
    <w:rsid w:val="4033368A"/>
    <w:rsid w:val="40CB28E7"/>
    <w:rsid w:val="41A1696E"/>
    <w:rsid w:val="438C4271"/>
    <w:rsid w:val="43C024AB"/>
    <w:rsid w:val="453B44DF"/>
    <w:rsid w:val="46827595"/>
    <w:rsid w:val="4698326B"/>
    <w:rsid w:val="497242D2"/>
    <w:rsid w:val="49951CE4"/>
    <w:rsid w:val="49A41BDF"/>
    <w:rsid w:val="49FB3FC0"/>
    <w:rsid w:val="4A3F4DA2"/>
    <w:rsid w:val="4A62606A"/>
    <w:rsid w:val="4A652AEB"/>
    <w:rsid w:val="4B90280D"/>
    <w:rsid w:val="4C1C277B"/>
    <w:rsid w:val="4CD13B0A"/>
    <w:rsid w:val="4D515E48"/>
    <w:rsid w:val="4E110852"/>
    <w:rsid w:val="4F6339A5"/>
    <w:rsid w:val="50456116"/>
    <w:rsid w:val="50B60EBE"/>
    <w:rsid w:val="526B2003"/>
    <w:rsid w:val="53014E26"/>
    <w:rsid w:val="53524ECA"/>
    <w:rsid w:val="53973ACB"/>
    <w:rsid w:val="54016821"/>
    <w:rsid w:val="54951AC4"/>
    <w:rsid w:val="55FA2C72"/>
    <w:rsid w:val="56C63E25"/>
    <w:rsid w:val="57255D0E"/>
    <w:rsid w:val="578564E2"/>
    <w:rsid w:val="585821BA"/>
    <w:rsid w:val="587766E0"/>
    <w:rsid w:val="588C69A8"/>
    <w:rsid w:val="591F3539"/>
    <w:rsid w:val="5C2C488F"/>
    <w:rsid w:val="5C5F065B"/>
    <w:rsid w:val="5CE9261B"/>
    <w:rsid w:val="5F681F1D"/>
    <w:rsid w:val="5FDE3F8D"/>
    <w:rsid w:val="644A7BC0"/>
    <w:rsid w:val="64572A05"/>
    <w:rsid w:val="65614110"/>
    <w:rsid w:val="6563635E"/>
    <w:rsid w:val="65E460E9"/>
    <w:rsid w:val="667B2F54"/>
    <w:rsid w:val="68352A03"/>
    <w:rsid w:val="6B1D0764"/>
    <w:rsid w:val="6B7F3836"/>
    <w:rsid w:val="6C264CF2"/>
    <w:rsid w:val="6D07065E"/>
    <w:rsid w:val="6F07626B"/>
    <w:rsid w:val="711E46EB"/>
    <w:rsid w:val="7179439D"/>
    <w:rsid w:val="717F3467"/>
    <w:rsid w:val="72035D78"/>
    <w:rsid w:val="722577FA"/>
    <w:rsid w:val="72435ED2"/>
    <w:rsid w:val="730C00E3"/>
    <w:rsid w:val="73621405"/>
    <w:rsid w:val="74890514"/>
    <w:rsid w:val="74B2104F"/>
    <w:rsid w:val="756248C1"/>
    <w:rsid w:val="76740D50"/>
    <w:rsid w:val="77122EE5"/>
    <w:rsid w:val="773744A0"/>
    <w:rsid w:val="78402520"/>
    <w:rsid w:val="790A2B97"/>
    <w:rsid w:val="794A4EA4"/>
    <w:rsid w:val="7A4D1EF3"/>
    <w:rsid w:val="7BE44282"/>
    <w:rsid w:val="7CCD2F68"/>
    <w:rsid w:val="7D8B76B8"/>
    <w:rsid w:val="7E435130"/>
    <w:rsid w:val="7E7B6186"/>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toc 1"/>
    <w:basedOn w:val="1"/>
    <w:next w:val="1"/>
    <w:autoRedefine/>
    <w:qFormat/>
    <w:uiPriority w:val="39"/>
    <w:pPr>
      <w:spacing w:before="120" w:after="120"/>
      <w:jc w:val="left"/>
    </w:pPr>
    <w:rPr>
      <w:rFonts w:ascii="Calibri" w:hAnsi="Calibri"/>
      <w:b/>
      <w:bCs/>
      <w:caps/>
      <w:sz w:val="20"/>
    </w:rPr>
  </w:style>
  <w:style w:type="paragraph" w:styleId="3">
    <w:name w:val="Body Text"/>
    <w:next w:val="1"/>
    <w:autoRedefine/>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4">
    <w:name w:val="Plain Text"/>
    <w:basedOn w:val="1"/>
    <w:link w:val="16"/>
    <w:autoRedefine/>
    <w:qFormat/>
    <w:uiPriority w:val="0"/>
    <w:rPr>
      <w:rFonts w:ascii="宋体" w:hAnsi="Courier New" w:cs="Courier New"/>
      <w:szCs w:val="21"/>
    </w:rPr>
  </w:style>
  <w:style w:type="paragraph" w:styleId="5">
    <w:name w:val="Balloon Text"/>
    <w:basedOn w:val="1"/>
    <w:autoRedefine/>
    <w:semiHidden/>
    <w:qFormat/>
    <w:uiPriority w:val="0"/>
    <w:rPr>
      <w:sz w:val="18"/>
      <w:szCs w:val="18"/>
    </w:rPr>
  </w:style>
  <w:style w:type="paragraph" w:styleId="6">
    <w:name w:val="footer"/>
    <w:basedOn w:val="1"/>
    <w:link w:val="15"/>
    <w:autoRedefine/>
    <w:qFormat/>
    <w:uiPriority w:val="0"/>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Char"/>
    <w:basedOn w:val="1"/>
    <w:autoRedefine/>
    <w:qFormat/>
    <w:uiPriority w:val="0"/>
    <w:rPr>
      <w:rFonts w:ascii="仿宋_GB2312" w:eastAsia="仿宋_GB2312"/>
      <w:b/>
      <w:sz w:val="32"/>
      <w:szCs w:val="32"/>
    </w:rPr>
  </w:style>
  <w:style w:type="paragraph" w:customStyle="1" w:styleId="13">
    <w:name w:val="_Style 10"/>
    <w:basedOn w:val="1"/>
    <w:autoRedefine/>
    <w:qFormat/>
    <w:uiPriority w:val="0"/>
    <w:pPr>
      <w:ind w:firstLine="480"/>
    </w:pPr>
  </w:style>
  <w:style w:type="character" w:customStyle="1" w:styleId="14">
    <w:name w:val="页眉 字符"/>
    <w:basedOn w:val="10"/>
    <w:link w:val="7"/>
    <w:qFormat/>
    <w:uiPriority w:val="0"/>
    <w:rPr>
      <w:kern w:val="2"/>
      <w:sz w:val="18"/>
      <w:szCs w:val="18"/>
    </w:rPr>
  </w:style>
  <w:style w:type="character" w:customStyle="1" w:styleId="15">
    <w:name w:val="页脚 字符"/>
    <w:basedOn w:val="10"/>
    <w:link w:val="6"/>
    <w:qFormat/>
    <w:uiPriority w:val="0"/>
    <w:rPr>
      <w:kern w:val="2"/>
      <w:sz w:val="18"/>
      <w:szCs w:val="18"/>
    </w:rPr>
  </w:style>
  <w:style w:type="character" w:customStyle="1" w:styleId="16">
    <w:name w:val="纯文本 字符"/>
    <w:basedOn w:val="10"/>
    <w:link w:val="4"/>
    <w:autoRedefine/>
    <w:qFormat/>
    <w:uiPriority w:val="0"/>
    <w:rPr>
      <w:rFonts w:ascii="宋体" w:hAnsi="Courier New" w:cs="Courier New"/>
      <w:kern w:val="2"/>
      <w:sz w:val="21"/>
      <w:szCs w:val="21"/>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4</Pages>
  <Words>3182</Words>
  <Characters>3363</Characters>
  <Lines>37</Lines>
  <Paragraphs>10</Paragraphs>
  <TotalTime>4</TotalTime>
  <ScaleCrop>false</ScaleCrop>
  <LinksUpToDate>false</LinksUpToDate>
  <CharactersWithSpaces>3373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比你酷一点儿</cp:lastModifiedBy>
  <cp:lastPrinted>2022-07-05T06:43:00Z</cp:lastPrinted>
  <dcterms:modified xsi:type="dcterms:W3CDTF">2026-06-03T09:13:31Z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CC07AE87BEEE4EF0BA3A4B2C2397955B</vt:lpwstr>
  </property>
  <property fmtid="{D5CDD505-2E9C-101B-9397-08002B2CF9AE}" pid="4" name="KSOTemplateDocerSaveRecord">
    <vt:lpwstr>eyJoZGlkIjoiNDhmMzcwOTczMTU1NjAyMmFlNDY0NzUzZWY4NTdlNjgiLCJ1c2VySWQiOiI0Mzc5ODY0MTkifQ==</vt:lpwstr>
  </property>
</Properties>
</file>