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2C6DBBE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02E09196">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杭州电子科技大学教育发展基金会</w:t>
      </w:r>
    </w:p>
    <w:p w14:paraId="7382CA65">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“现代信息资源管理丛书”出版服务</w:t>
      </w:r>
    </w:p>
    <w:p w14:paraId="16835C8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0F875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1E5F0BF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9C7E7D2">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招标文件</w:t>
      </w:r>
    </w:p>
    <w:p w14:paraId="2AC3D8C9">
      <w:pPr>
        <w:keepNext w:val="0"/>
        <w:keepLines w:val="0"/>
        <w:widowControl/>
        <w:suppressLineNumbers w:val="0"/>
        <w:spacing w:line="288" w:lineRule="auto"/>
        <w:ind w:left="0" w:right="-2" w:firstLine="0"/>
        <w:jc w:val="center"/>
        <w:rPr>
          <w:rFonts w:hint="eastAsia" w:ascii="宋体" w:hAnsi="宋体" w:eastAsia="宋体" w:cs="宋体"/>
          <w:color w:val="auto"/>
          <w:sz w:val="21"/>
          <w:szCs w:val="21"/>
          <w:highlight w:val="none"/>
        </w:rPr>
      </w:pPr>
    </w:p>
    <w:p w14:paraId="4EA69C8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79AC6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3981F8">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7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“现代信息资源管理丛书”出版服务</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QSZBB260271FFGKLL</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bookmarkStart w:id="0" w:name="OLE_LINK1"/>
            <w:r>
              <w:rPr>
                <w:rFonts w:hint="eastAsia" w:ascii="宋体" w:hAnsi="宋体" w:cs="宋体"/>
                <w:i w:val="0"/>
                <w:iCs w:val="0"/>
                <w:color w:val="auto"/>
                <w:spacing w:val="0"/>
                <w:kern w:val="0"/>
                <w:sz w:val="21"/>
                <w:szCs w:val="21"/>
                <w:highlight w:val="none"/>
                <w:lang w:val="en-US" w:eastAsia="zh-CN" w:bidi="ar"/>
              </w:rPr>
              <w:t>杭州电子科技大学教育发展基金会</w:t>
            </w:r>
            <w:bookmarkEnd w:id="0"/>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bl>
    <w:p w14:paraId="2735CA9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57014C77">
      <w:pPr>
        <w:keepNext w:val="0"/>
        <w:keepLines w:val="0"/>
        <w:widowControl/>
        <w:suppressLineNumbers w:val="0"/>
        <w:spacing w:line="288" w:lineRule="auto"/>
        <w:ind w:left="0" w:firstLine="0"/>
        <w:jc w:val="left"/>
        <w:rPr>
          <w:rFonts w:hint="eastAsia" w:ascii="宋体" w:hAnsi="宋体" w:eastAsia="宋体" w:cs="宋体"/>
          <w:b/>
          <w:bCs/>
          <w:color w:val="auto"/>
          <w:spacing w:val="0"/>
          <w:kern w:val="0"/>
          <w:sz w:val="30"/>
          <w:szCs w:val="30"/>
          <w:highlight w:val="none"/>
          <w:lang w:val="en-US" w:eastAsia="zh-CN" w:bidi="ar"/>
        </w:rPr>
      </w:pPr>
    </w:p>
    <w:p w14:paraId="7494760D">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投标邀请</w:t>
      </w:r>
    </w:p>
    <w:p w14:paraId="04987F77">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0481AA8B">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投标人须知</w:t>
      </w:r>
    </w:p>
    <w:p w14:paraId="038A8E8E">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评标方法和评标标准</w:t>
      </w:r>
    </w:p>
    <w:p w14:paraId="1C6D3191">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22AAD532">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第六章  投标文件格式</w:t>
      </w:r>
    </w:p>
    <w:p w14:paraId="226563A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投标邀请</w:t>
      </w:r>
    </w:p>
    <w:p w14:paraId="2983EF95">
      <w:pPr>
        <w:keepNext w:val="0"/>
        <w:keepLines w:val="0"/>
        <w:widowControl/>
        <w:suppressLineNumbers w:val="0"/>
        <w:autoSpaceDE w:val="0"/>
        <w:autoSpaceDN/>
        <w:spacing w:line="288" w:lineRule="auto"/>
        <w:jc w:val="center"/>
        <w:rPr>
          <w:rFonts w:hint="eastAsia" w:ascii="宋体" w:hAnsi="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（非政府采购）</w:t>
      </w:r>
    </w:p>
    <w:p w14:paraId="7625897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57B96D6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项目编号：</w:t>
      </w:r>
      <w:r>
        <w:rPr>
          <w:rFonts w:hint="eastAsia" w:ascii="宋体" w:hAnsi="宋体" w:cs="宋体"/>
          <w:i w:val="0"/>
          <w:iCs w:val="0"/>
          <w:color w:val="auto"/>
          <w:kern w:val="0"/>
          <w:sz w:val="21"/>
          <w:szCs w:val="21"/>
          <w:highlight w:val="none"/>
          <w:lang w:val="en-US" w:eastAsia="zh-CN" w:bidi="ar"/>
        </w:rPr>
        <w:t>QSZBB260271FFGKLL</w:t>
      </w:r>
    </w:p>
    <w:p w14:paraId="4ACE30B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项目名称：</w:t>
      </w:r>
      <w:r>
        <w:rPr>
          <w:rFonts w:hint="eastAsia" w:ascii="宋体" w:hAnsi="宋体" w:cs="宋体"/>
          <w:i w:val="0"/>
          <w:iCs w:val="0"/>
          <w:color w:val="auto"/>
          <w:kern w:val="0"/>
          <w:sz w:val="21"/>
          <w:szCs w:val="21"/>
          <w:highlight w:val="none"/>
          <w:lang w:val="en-US" w:eastAsia="zh-CN" w:bidi="ar"/>
        </w:rPr>
        <w:t>“现代信息资源管理丛书”出版服务</w:t>
      </w:r>
    </w:p>
    <w:p w14:paraId="229A0E2B">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预算金额（元）：</w:t>
      </w:r>
      <w:r>
        <w:rPr>
          <w:rFonts w:hint="eastAsia" w:ascii="宋体" w:hAnsi="宋体" w:cs="宋体"/>
          <w:color w:val="auto"/>
          <w:kern w:val="0"/>
          <w:sz w:val="21"/>
          <w:szCs w:val="21"/>
          <w:highlight w:val="none"/>
          <w:lang w:val="en-US" w:eastAsia="zh-CN" w:bidi="ar"/>
        </w:rPr>
        <w:t>1300000</w:t>
      </w:r>
    </w:p>
    <w:p w14:paraId="4DB1A4E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最高限价（元）：1300000</w:t>
      </w:r>
    </w:p>
    <w:p w14:paraId="104CEC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本项目是否接受联合体投标：</w:t>
      </w:r>
      <w:r>
        <w:rPr>
          <w:rFonts w:hint="eastAsia" w:ascii="宋体" w:hAnsi="宋体" w:cs="宋体"/>
          <w:color w:val="auto"/>
          <w:kern w:val="0"/>
          <w:sz w:val="21"/>
          <w:szCs w:val="21"/>
          <w:highlight w:val="none"/>
          <w:lang w:val="en-US" w:eastAsia="zh-CN" w:bidi="ar"/>
        </w:rPr>
        <w:t>否</w:t>
      </w:r>
    </w:p>
    <w:p w14:paraId="64A87BF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合同履行期限：自合同签订之日起至2026年1</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月3</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日前交付。</w:t>
      </w:r>
    </w:p>
    <w:p w14:paraId="7F17D1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采购需求：</w:t>
      </w:r>
    </w:p>
    <w:tbl>
      <w:tblPr>
        <w:tblStyle w:val="7"/>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autofit"/>
        <w:tblCellMar>
          <w:top w:w="15" w:type="dxa"/>
          <w:left w:w="15" w:type="dxa"/>
          <w:bottom w:w="15" w:type="dxa"/>
          <w:right w:w="15" w:type="dxa"/>
        </w:tblCellMar>
      </w:tblPr>
      <w:tblGrid>
        <w:gridCol w:w="990"/>
        <w:gridCol w:w="1978"/>
        <w:gridCol w:w="1483"/>
        <w:gridCol w:w="1483"/>
        <w:gridCol w:w="2971"/>
        <w:gridCol w:w="991"/>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“现代信息资源管理丛书”出版服务</w:t>
            </w:r>
          </w:p>
        </w:tc>
        <w:tc>
          <w:tcPr>
            <w:tcW w:w="749" w:type="pct"/>
            <w:tcBorders>
              <w:tl2br w:val="nil"/>
              <w:tr2bl w:val="nil"/>
            </w:tcBorders>
            <w:shd w:val="clear" w:color="auto" w:fill="auto"/>
            <w:tcMar>
              <w:top w:w="0" w:type="dxa"/>
              <w:left w:w="75" w:type="dxa"/>
              <w:bottom w:w="0" w:type="dxa"/>
              <w:right w:w="75" w:type="dxa"/>
            </w:tcMar>
            <w:vAlign w:val="center"/>
          </w:tcPr>
          <w:p w14:paraId="7256FA0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1500" w:type="pct"/>
            <w:tcBorders>
              <w:tl2br w:val="nil"/>
              <w:tr2bl w:val="nil"/>
            </w:tcBorders>
            <w:shd w:val="clear" w:color="auto" w:fill="auto"/>
            <w:tcMar>
              <w:top w:w="0" w:type="dxa"/>
              <w:left w:w="75" w:type="dxa"/>
              <w:bottom w:w="0" w:type="dxa"/>
              <w:right w:w="75" w:type="dxa"/>
            </w:tcMar>
            <w:vAlign w:val="center"/>
          </w:tcPr>
          <w:p w14:paraId="098650B6">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详见第二章 采购需求</w:t>
            </w:r>
          </w:p>
        </w:tc>
        <w:tc>
          <w:tcPr>
            <w:tcW w:w="500" w:type="pct"/>
            <w:tcBorders>
              <w:tl2br w:val="nil"/>
              <w:tr2bl w:val="nil"/>
            </w:tcBorders>
            <w:shd w:val="clear" w:color="auto" w:fill="auto"/>
            <w:tcMar>
              <w:top w:w="0" w:type="dxa"/>
              <w:left w:w="75" w:type="dxa"/>
              <w:bottom w:w="0" w:type="dxa"/>
              <w:right w:w="75" w:type="dxa"/>
            </w:tcMar>
            <w:vAlign w:val="center"/>
          </w:tcPr>
          <w:p w14:paraId="538B373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w:t>
            </w:r>
          </w:p>
        </w:tc>
      </w:tr>
    </w:tbl>
    <w:p w14:paraId="402105CB">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247BC7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val="en-US" w:eastAsia="zh-CN" w:bidi="ar"/>
        </w:rPr>
        <w:t>符合</w:t>
      </w:r>
      <w:r>
        <w:rPr>
          <w:rFonts w:hint="eastAsia" w:ascii="宋体" w:hAnsi="宋体" w:eastAsia="宋体" w:cs="宋体"/>
          <w:color w:val="auto"/>
          <w:kern w:val="0"/>
          <w:sz w:val="21"/>
          <w:szCs w:val="21"/>
          <w:highlight w:val="none"/>
          <w:lang w:val="en-US" w:eastAsia="zh-CN" w:bidi="ar"/>
        </w:rPr>
        <w:t>以下要求：</w:t>
      </w:r>
    </w:p>
    <w:p w14:paraId="5A7BC9F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）具有独立承担民事责任的能力；</w:t>
      </w:r>
    </w:p>
    <w:p w14:paraId="3AFEA36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）具有良好的商业信誉和健全的财务会计制度；</w:t>
      </w:r>
    </w:p>
    <w:p w14:paraId="0CE74D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）具有履行合同所必需的设备和专业技术能力；</w:t>
      </w:r>
    </w:p>
    <w:p w14:paraId="6BFA4B8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）有依法缴纳税收和社会保障资金的良好记录；</w:t>
      </w:r>
    </w:p>
    <w:p w14:paraId="13D69B6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）参加本项目采购活动前三年内，在经营活动中没有重大违法记录（重大违法记录是指投标人因违法经营受到刑事处罚或者责令停产停业、吊销许可证或者执照、较大数额罚款等行政处罚）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color w:val="auto"/>
          <w:kern w:val="0"/>
          <w:sz w:val="21"/>
          <w:szCs w:val="21"/>
          <w:highlight w:val="none"/>
          <w:lang w:val="en-US" w:eastAsia="zh-CN" w:bidi="ar"/>
        </w:rPr>
        <w:t>；</w:t>
      </w:r>
    </w:p>
    <w:p w14:paraId="15CD24D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）法律、行政法规规定的其他条件</w:t>
      </w:r>
      <w:r>
        <w:rPr>
          <w:rFonts w:hint="eastAsia" w:ascii="宋体" w:hAnsi="宋体" w:cs="宋体"/>
          <w:color w:val="auto"/>
          <w:kern w:val="0"/>
          <w:sz w:val="21"/>
          <w:szCs w:val="21"/>
          <w:highlight w:val="none"/>
          <w:lang w:val="en-US" w:eastAsia="zh-CN" w:bidi="ar"/>
        </w:rPr>
        <w:t>；</w:t>
      </w:r>
    </w:p>
    <w:p w14:paraId="4D3519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未被信用中国（www.creditchina.gov.cn)、中国政府采购网（www.ccgp.gov.cn）列入失信被执行人、重大税收违法案件当事人名单、政府采购严重违法失信行为记录名单。</w:t>
      </w:r>
    </w:p>
    <w:p w14:paraId="7BC6BB4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2.本项目的特定资格要求：具备新闻出版行政主管部门颁发的出版资质。</w:t>
      </w:r>
    </w:p>
    <w:p w14:paraId="2FF182A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.其他：</w:t>
      </w:r>
    </w:p>
    <w:p w14:paraId="1C945E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（1）单位负责人为同一人或者存在直接控股、管理关系的不同供应商，不得参加同一合同项下的采购活动。</w:t>
      </w:r>
    </w:p>
    <w:p w14:paraId="0903533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51F86C3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三、获取（下载）采购文件</w:t>
      </w:r>
    </w:p>
    <w:p w14:paraId="7ACE705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w:t>
      </w:r>
      <w:r>
        <w:rPr>
          <w:rFonts w:hint="eastAsia" w:ascii="宋体" w:hAnsi="宋体" w:cs="宋体"/>
          <w:color w:val="auto"/>
          <w:kern w:val="0"/>
          <w:sz w:val="21"/>
          <w:szCs w:val="21"/>
          <w:highlight w:val="none"/>
          <w:lang w:val="en-US" w:eastAsia="zh-CN" w:bidi="ar"/>
        </w:rPr>
        <w:t>2026年10月8日</w:t>
      </w:r>
      <w:r>
        <w:rPr>
          <w:rFonts w:hint="eastAsia" w:ascii="宋体" w:hAnsi="宋体" w:eastAsia="宋体" w:cs="宋体"/>
          <w:color w:val="auto"/>
          <w:kern w:val="0"/>
          <w:sz w:val="21"/>
          <w:szCs w:val="21"/>
          <w:highlight w:val="none"/>
          <w:lang w:val="en-US" w:eastAsia="zh-CN" w:bidi="ar"/>
        </w:rPr>
        <w:t>至</w:t>
      </w:r>
      <w:r>
        <w:rPr>
          <w:rFonts w:hint="eastAsia" w:ascii="宋体" w:hAnsi="宋体" w:cs="宋体"/>
          <w:color w:val="auto"/>
          <w:kern w:val="0"/>
          <w:sz w:val="21"/>
          <w:szCs w:val="21"/>
          <w:highlight w:val="none"/>
          <w:lang w:val="en-US" w:eastAsia="zh-CN" w:bidi="ar"/>
        </w:rPr>
        <w:t>2026年10月29日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3429C9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平台线上获取</w:t>
      </w:r>
    </w:p>
    <w:p w14:paraId="542134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在线申请获取采</w:t>
      </w:r>
      <w:bookmarkStart w:id="6" w:name="_GoBack"/>
      <w:bookmarkEnd w:id="6"/>
      <w:r>
        <w:rPr>
          <w:rFonts w:hint="eastAsia" w:ascii="宋体" w:hAnsi="宋体" w:eastAsia="宋体" w:cs="宋体"/>
          <w:color w:val="auto"/>
          <w:kern w:val="0"/>
          <w:sz w:val="21"/>
          <w:szCs w:val="21"/>
          <w:highlight w:val="none"/>
          <w:lang w:val="en-US" w:eastAsia="zh-CN" w:bidi="ar"/>
        </w:rPr>
        <w:t>购文件（进入“项目采购”应用，在获取采购文件菜单中选择项目，申请获取采购文件）</w:t>
      </w:r>
    </w:p>
    <w:p w14:paraId="77F749E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售价：500元整，售后不退。</w:t>
      </w:r>
    </w:p>
    <w:p w14:paraId="4FB854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收款单位（户名）：浙江求是招标代理有限公司</w:t>
      </w:r>
    </w:p>
    <w:p w14:paraId="594ACF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开户银行：工行浙大支行</w:t>
      </w:r>
    </w:p>
    <w:p w14:paraId="783C8D2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银行账号：1202024609900033043</w:t>
      </w:r>
    </w:p>
    <w:p w14:paraId="553D99E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财务联系方式：0571-87666113</w:t>
      </w:r>
    </w:p>
    <w:p w14:paraId="51596CF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开票信息请发送邮件至：caiwu@qszb.net，提供：项目名称或编号、开票资料、收件信息并注明专普票。</w:t>
      </w:r>
    </w:p>
    <w:p w14:paraId="4F5E9C7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w:t>
      </w:r>
      <w:r>
        <w:rPr>
          <w:rFonts w:hint="eastAsia" w:ascii="宋体" w:hAnsi="宋体" w:cs="宋体"/>
          <w:b/>
          <w:bCs/>
          <w:color w:val="auto"/>
          <w:kern w:val="0"/>
          <w:sz w:val="21"/>
          <w:szCs w:val="21"/>
          <w:highlight w:val="none"/>
          <w:lang w:val="en-US" w:eastAsia="zh-CN" w:bidi="ar"/>
        </w:rPr>
        <w:t>投标文件</w:t>
      </w:r>
      <w:r>
        <w:rPr>
          <w:rFonts w:hint="eastAsia" w:ascii="宋体" w:hAnsi="宋体" w:eastAsia="宋体" w:cs="宋体"/>
          <w:b/>
          <w:bCs/>
          <w:color w:val="auto"/>
          <w:kern w:val="0"/>
          <w:sz w:val="21"/>
          <w:szCs w:val="21"/>
          <w:highlight w:val="none"/>
          <w:lang w:val="en-US" w:eastAsia="zh-CN" w:bidi="ar"/>
        </w:rPr>
        <w:t>提交</w:t>
      </w:r>
      <w:r>
        <w:rPr>
          <w:rFonts w:hint="eastAsia" w:ascii="宋体" w:hAnsi="宋体" w:cs="宋体"/>
          <w:b/>
          <w:bCs/>
          <w:color w:val="auto"/>
          <w:kern w:val="0"/>
          <w:sz w:val="21"/>
          <w:szCs w:val="21"/>
          <w:highlight w:val="none"/>
          <w:lang w:val="en-US" w:eastAsia="zh-CN" w:bidi="ar"/>
        </w:rPr>
        <w:t>（上传）</w:t>
      </w:r>
    </w:p>
    <w:p w14:paraId="1D9742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截止时间：</w:t>
      </w:r>
      <w:r>
        <w:rPr>
          <w:rFonts w:hint="eastAsia" w:ascii="宋体" w:hAnsi="宋体" w:cs="宋体"/>
          <w:color w:val="auto"/>
          <w:kern w:val="0"/>
          <w:sz w:val="21"/>
          <w:szCs w:val="21"/>
          <w:highlight w:val="none"/>
          <w:lang w:val="en-US" w:eastAsia="zh-CN" w:bidi="ar"/>
        </w:rPr>
        <w:t>2026年10月29日13:30:00</w:t>
      </w:r>
      <w:r>
        <w:rPr>
          <w:rFonts w:hint="eastAsia" w:ascii="宋体" w:hAnsi="宋体" w:eastAsia="宋体" w:cs="宋体"/>
          <w:color w:val="auto"/>
          <w:kern w:val="0"/>
          <w:sz w:val="21"/>
          <w:szCs w:val="21"/>
          <w:highlight w:val="none"/>
          <w:lang w:val="en-US" w:eastAsia="zh-CN" w:bidi="ar"/>
        </w:rPr>
        <w:t>（北京时间）</w:t>
      </w:r>
    </w:p>
    <w:p w14:paraId="7127E31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p>
    <w:p w14:paraId="70049ABD">
      <w:pPr>
        <w:keepNext w:val="0"/>
        <w:keepLines w:val="0"/>
        <w:widowControl/>
        <w:suppressLineNumbers w:val="0"/>
        <w:autoSpaceDE w:val="0"/>
        <w:autoSpaceDN/>
        <w:spacing w:line="288" w:lineRule="auto"/>
        <w:ind w:left="0" w:firstLine="420"/>
        <w:jc w:val="left"/>
        <w:rPr>
          <w:rFonts w:hint="default" w:ascii="宋体" w:hAnsi="宋体" w:eastAsia="宋体" w:cs="宋体"/>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五、投标文件开启（开标）</w:t>
      </w:r>
    </w:p>
    <w:p w14:paraId="27EBEE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w:t>
      </w:r>
      <w:r>
        <w:rPr>
          <w:rFonts w:hint="eastAsia" w:ascii="宋体" w:hAnsi="宋体" w:cs="宋体"/>
          <w:color w:val="auto"/>
          <w:kern w:val="0"/>
          <w:sz w:val="21"/>
          <w:szCs w:val="21"/>
          <w:highlight w:val="none"/>
          <w:lang w:val="en-US" w:eastAsia="zh-CN" w:bidi="ar"/>
        </w:rPr>
        <w:t>2026年10月29日13:30:00</w:t>
      </w:r>
      <w:r>
        <w:rPr>
          <w:rFonts w:hint="eastAsia" w:ascii="宋体" w:hAnsi="宋体" w:eastAsia="宋体" w:cs="宋体"/>
          <w:color w:val="auto"/>
          <w:kern w:val="0"/>
          <w:sz w:val="21"/>
          <w:szCs w:val="21"/>
          <w:highlight w:val="none"/>
          <w:lang w:val="en-US" w:eastAsia="zh-CN" w:bidi="ar"/>
        </w:rPr>
        <w:t>（北京时间）</w:t>
      </w:r>
    </w:p>
    <w:p w14:paraId="7BDEE1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杭州市西湖区玉古路173号中田大厦21楼（求是招标会议室4）</w:t>
      </w:r>
    </w:p>
    <w:p w14:paraId="1AEAC65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六</w:t>
      </w:r>
      <w:r>
        <w:rPr>
          <w:rFonts w:hint="eastAsia" w:ascii="宋体" w:hAnsi="宋体" w:eastAsia="宋体" w:cs="宋体"/>
          <w:b/>
          <w:bCs/>
          <w:color w:val="auto"/>
          <w:kern w:val="0"/>
          <w:sz w:val="21"/>
          <w:szCs w:val="21"/>
          <w:highlight w:val="none"/>
          <w:lang w:val="en-US" w:eastAsia="zh-CN" w:bidi="ar"/>
        </w:rPr>
        <w:t>、公告期限</w:t>
      </w:r>
    </w:p>
    <w:p w14:paraId="223E04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自本公告发布之日起5个工作日。</w:t>
      </w:r>
    </w:p>
    <w:p w14:paraId="44F117FD">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七</w:t>
      </w:r>
      <w:r>
        <w:rPr>
          <w:rFonts w:hint="eastAsia" w:ascii="宋体" w:hAnsi="宋体" w:eastAsia="宋体" w:cs="宋体"/>
          <w:b/>
          <w:bCs/>
          <w:color w:val="auto"/>
          <w:kern w:val="0"/>
          <w:sz w:val="21"/>
          <w:szCs w:val="21"/>
          <w:highlight w:val="none"/>
          <w:lang w:val="en-US" w:eastAsia="zh-CN" w:bidi="ar"/>
        </w:rPr>
        <w:t>、其他补充事宜</w:t>
      </w:r>
    </w:p>
    <w:p w14:paraId="57BCC19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w:t>
      </w:r>
    </w:p>
    <w:p w14:paraId="68D6715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八</w:t>
      </w:r>
      <w:r>
        <w:rPr>
          <w:rFonts w:hint="eastAsia" w:ascii="宋体" w:hAnsi="宋体" w:eastAsia="宋体" w:cs="宋体"/>
          <w:b/>
          <w:bCs/>
          <w:color w:val="auto"/>
          <w:kern w:val="0"/>
          <w:sz w:val="21"/>
          <w:szCs w:val="21"/>
          <w:highlight w:val="none"/>
          <w:lang w:val="en-US" w:eastAsia="zh-CN" w:bidi="ar"/>
        </w:rPr>
        <w:t>、</w:t>
      </w:r>
      <w:r>
        <w:rPr>
          <w:rFonts w:hint="eastAsia" w:ascii="宋体" w:hAnsi="宋体" w:cs="宋体"/>
          <w:b/>
          <w:bCs/>
          <w:color w:val="auto"/>
          <w:kern w:val="0"/>
          <w:sz w:val="21"/>
          <w:szCs w:val="21"/>
          <w:highlight w:val="none"/>
          <w:lang w:val="en-US" w:eastAsia="zh-CN" w:bidi="ar"/>
        </w:rPr>
        <w:t>凡</w:t>
      </w:r>
      <w:r>
        <w:rPr>
          <w:rFonts w:hint="eastAsia" w:ascii="宋体" w:hAnsi="宋体" w:eastAsia="宋体" w:cs="宋体"/>
          <w:b/>
          <w:bCs/>
          <w:color w:val="auto"/>
          <w:kern w:val="0"/>
          <w:sz w:val="21"/>
          <w:szCs w:val="21"/>
          <w:highlight w:val="none"/>
          <w:lang w:val="en-US" w:eastAsia="zh-CN" w:bidi="ar"/>
        </w:rPr>
        <w:t>对本次采购提出询问、质疑请按以下方式联系</w:t>
      </w:r>
    </w:p>
    <w:p w14:paraId="61FA405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7A9815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名称：杭州电子科技大学教育发展基金会</w:t>
      </w:r>
    </w:p>
    <w:p w14:paraId="429FC46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63404A2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项目联系人（询问）：刘老师</w:t>
      </w:r>
    </w:p>
    <w:p w14:paraId="2366CB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项目联系方式（询问）：15669095669</w:t>
      </w:r>
    </w:p>
    <w:p w14:paraId="1CCE39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C60FEE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2A5DFB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171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5AE78C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6C51150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44B9B079">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w:t>
      </w:r>
      <w:r>
        <w:rPr>
          <w:rFonts w:hint="eastAsia" w:ascii="宋体" w:hAnsi="宋体" w:cs="宋体"/>
          <w:i w:val="0"/>
          <w:iCs w:val="0"/>
          <w:color w:val="auto"/>
          <w:kern w:val="0"/>
          <w:sz w:val="21"/>
          <w:szCs w:val="21"/>
          <w:highlight w:val="none"/>
          <w:lang w:val="en-US" w:eastAsia="zh-CN" w:bidi="ar"/>
        </w:rPr>
        <w:t>、朱建飞</w:t>
      </w:r>
    </w:p>
    <w:p w14:paraId="4EB43BF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3116FBE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464EDF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31B81D8A">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6CDDB76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6EAF42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，点击右侧咨询小采，获取采小蜜智能服务管家帮助，或拨打服务热线95763获取热线服务帮助。</w:t>
      </w:r>
    </w:p>
    <w:p w14:paraId="607FB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1369D7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1A50DE2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34C5B34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：服务</w:t>
      </w:r>
    </w:p>
    <w:p w14:paraId="6CB2E80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1355FD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7"/>
        <w:tblW w:w="4998"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91"/>
        <w:gridCol w:w="5504"/>
        <w:gridCol w:w="3297"/>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“现代信息资源管理丛书”出版服务</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1300000</w:t>
            </w:r>
          </w:p>
        </w:tc>
      </w:tr>
    </w:tbl>
    <w:p w14:paraId="180D6751">
      <w:pPr>
        <w:keepNext w:val="0"/>
        <w:keepLines w:val="0"/>
        <w:widowControl/>
        <w:suppressLineNumbers w:val="0"/>
        <w:spacing w:line="288" w:lineRule="auto"/>
        <w:jc w:val="left"/>
        <w:rPr>
          <w:rFonts w:hint="eastAsia" w:ascii="宋体" w:hAnsi="宋体" w:eastAsia="宋体" w:cs="宋体"/>
          <w:b/>
          <w:bCs/>
          <w:i w:val="0"/>
          <w:iCs w:val="0"/>
          <w:color w:val="auto"/>
          <w:kern w:val="0"/>
          <w:sz w:val="21"/>
          <w:szCs w:val="21"/>
          <w:highlight w:val="none"/>
          <w:lang w:val="en-US" w:eastAsia="zh-CN" w:bidi="ar"/>
        </w:rPr>
      </w:pPr>
    </w:p>
    <w:p w14:paraId="425DA60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二</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eastAsia="宋体" w:cs="宋体"/>
          <w:b/>
          <w:bCs/>
          <w:color w:val="auto"/>
          <w:kern w:val="0"/>
          <w:sz w:val="21"/>
          <w:szCs w:val="21"/>
          <w:highlight w:val="none"/>
          <w:lang w:val="en-US" w:eastAsia="zh-CN" w:bidi="ar"/>
        </w:rPr>
        <w:t>商务要求</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4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交付</w:t>
            </w:r>
            <w:r>
              <w:rPr>
                <w:rFonts w:hint="eastAsia" w:ascii="宋体" w:hAnsi="宋体" w:eastAsia="宋体" w:cs="宋体"/>
                <w:i w:val="0"/>
                <w:iCs w:val="0"/>
                <w:color w:val="auto"/>
                <w:kern w:val="0"/>
                <w:sz w:val="21"/>
                <w:szCs w:val="21"/>
                <w:highlight w:val="none"/>
                <w:lang w:val="en-US" w:eastAsia="zh-CN" w:bidi="ar"/>
              </w:rPr>
              <w:t>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自合同签订之日起至2026年12月31日前交付。</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28"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C6664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312F1B97">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0FBB23A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5BEFD893">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w:t>
            </w:r>
            <w:r>
              <w:rPr>
                <w:rFonts w:hint="eastAsia" w:ascii="宋体" w:hAnsi="宋体" w:cs="宋体"/>
                <w:color w:val="auto"/>
                <w:spacing w:val="-6"/>
                <w:kern w:val="0"/>
                <w:sz w:val="21"/>
                <w:szCs w:val="21"/>
                <w:highlight w:val="none"/>
                <w:lang w:val="en-US" w:eastAsia="zh-CN" w:bidi="ar"/>
              </w:rPr>
              <w:t>杭州电子科技大学教育发展基金会</w:t>
            </w:r>
          </w:p>
          <w:p w14:paraId="36CB9BEB">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开户银行：浙商银行杭州文新支行</w:t>
            </w:r>
          </w:p>
          <w:p w14:paraId="139AF278">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银行账号：3310011210120100027655</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C7E1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1.合同生效以及具备实施条件且供应商已向采购人提交银行、保险公司等金融机构出具的预付款保函后，7个工作日内，采购人向供应商支付合同总价的30%；服务完成，经采购人验收合格并收到发票后7个工作日内，向供应商支付合同总价的70%。</w:t>
            </w:r>
          </w:p>
          <w:p w14:paraId="12CA2B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2.在签订合同时，供应商明确表示无需预付款或者主动要求降低预付款比例的，可降低预付款比例（预付款保函同步调整）。</w:t>
            </w:r>
          </w:p>
          <w:p w14:paraId="5A7EB9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3.若供应商收取预付款，要求预付款保函有效期覆盖项目履约时间；提供了预付款保函则供应商无需再缴纳履约保证金。</w:t>
            </w:r>
          </w:p>
          <w:p w14:paraId="756B29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4.签订合同时供应商明确表示无需预付款的，可以采用以下付款方式：</w:t>
            </w:r>
          </w:p>
          <w:p w14:paraId="51E0D9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①一次性付款：服务完成，采购人验收合格并收到发票后10个工作日内，采购人向供应商支付全部合同价款。</w:t>
            </w:r>
          </w:p>
          <w:p w14:paraId="0BB38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②按期结算：每（月\季度\半年\年）末，合同生效、具备使用条件并经采购人验收合格并收到发票后10个工作日内，采购人向供应商支付本期款项。</w:t>
            </w:r>
          </w:p>
          <w:p w14:paraId="0023E74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rPr>
              <w:t>③按进度付款：</w:t>
            </w:r>
            <w:r>
              <w:rPr>
                <w:rFonts w:hint="eastAsia" w:ascii="宋体" w:hAnsi="宋体" w:eastAsia="宋体" w:cs="宋体"/>
                <w:i w:val="0"/>
                <w:iCs w:val="0"/>
                <w:color w:val="auto"/>
                <w:spacing w:val="-6"/>
                <w:kern w:val="0"/>
                <w:sz w:val="21"/>
                <w:szCs w:val="21"/>
                <w:highlight w:val="none"/>
                <w:lang w:val="en-US" w:eastAsia="zh-CN" w:bidi="ar"/>
              </w:rPr>
              <w:t>每个进度节点，</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验收合格并收到发票后10个工作日内，采购人向供应商支付对应款项，具体结点及付款额度</w:t>
            </w:r>
            <w:r>
              <w:rPr>
                <w:rFonts w:hint="eastAsia" w:ascii="宋体" w:hAnsi="宋体" w:cs="宋体"/>
                <w:i w:val="0"/>
                <w:iCs w:val="0"/>
                <w:color w:val="auto"/>
                <w:spacing w:val="-6"/>
                <w:kern w:val="0"/>
                <w:sz w:val="21"/>
                <w:szCs w:val="21"/>
                <w:highlight w:val="none"/>
                <w:lang w:val="en-US" w:eastAsia="zh-CN" w:bidi="ar"/>
              </w:rPr>
              <w:t>成交后由采购人和供应商另行商定</w:t>
            </w:r>
            <w:r>
              <w:rPr>
                <w:rFonts w:hint="eastAsia" w:ascii="宋体" w:hAnsi="宋体" w:eastAsia="宋体" w:cs="宋体"/>
                <w:i w:val="0"/>
                <w:iCs w:val="0"/>
                <w:color w:val="auto"/>
                <w:spacing w:val="-6"/>
                <w:kern w:val="0"/>
                <w:sz w:val="21"/>
                <w:szCs w:val="21"/>
                <w:highlight w:val="none"/>
                <w:lang w:val="en-US" w:eastAsia="zh-CN" w:bidi="ar"/>
              </w:rPr>
              <w:t>。</w:t>
            </w:r>
          </w:p>
          <w:p w14:paraId="25284A9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④其它支付形式</w:t>
            </w:r>
            <w:r>
              <w:rPr>
                <w:rFonts w:hint="eastAsia" w:ascii="宋体" w:hAnsi="宋体" w:cs="宋体"/>
                <w:i w:val="0"/>
                <w:iCs w:val="0"/>
                <w:color w:val="auto"/>
                <w:spacing w:val="-6"/>
                <w:kern w:val="0"/>
                <w:sz w:val="21"/>
                <w:szCs w:val="21"/>
                <w:highlight w:val="none"/>
                <w:lang w:val="en-US" w:eastAsia="zh-CN" w:bidi="ar"/>
              </w:rPr>
              <w:t>：服务期满1个月，采购人收到增值税发票后7个工作日内，向供应商支付合同总价的50%；服务完成，经采购人验收合格并收到增值税发票后7个工作日内，向供应商支付合同总价的50%</w:t>
            </w:r>
            <w:r>
              <w:rPr>
                <w:rFonts w:hint="eastAsia" w:ascii="宋体" w:hAnsi="宋体" w:eastAsia="宋体" w:cs="宋体"/>
                <w:i w:val="0"/>
                <w:iCs w:val="0"/>
                <w:color w:val="auto"/>
                <w:spacing w:val="-6"/>
                <w:kern w:val="0"/>
                <w:sz w:val="21"/>
                <w:szCs w:val="21"/>
                <w:highlight w:val="none"/>
                <w:lang w:val="en-US" w:eastAsia="zh-CN" w:bidi="ar"/>
              </w:rPr>
              <w:t>。</w:t>
            </w:r>
          </w:p>
          <w:p w14:paraId="47B5F44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注：付款前，</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须交纳合同约定的履约保证金（如有）并提供采购人财务处开具的履约保证金收据，供应商向采购人开具等额有效的合格发票。采购人开票信息如下：</w:t>
            </w:r>
          </w:p>
          <w:p w14:paraId="6BC7D53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单位名称：</w:t>
            </w:r>
            <w:r>
              <w:rPr>
                <w:rFonts w:hint="eastAsia" w:ascii="宋体" w:hAnsi="宋体" w:cs="宋体"/>
                <w:i w:val="0"/>
                <w:iCs w:val="0"/>
                <w:color w:val="auto"/>
                <w:spacing w:val="-6"/>
                <w:kern w:val="0"/>
                <w:sz w:val="21"/>
                <w:szCs w:val="21"/>
                <w:highlight w:val="none"/>
                <w:lang w:val="en-US" w:eastAsia="zh-CN" w:bidi="ar"/>
              </w:rPr>
              <w:t>杭州电子科技大学教育发展基金会</w:t>
            </w:r>
            <w:r>
              <w:rPr>
                <w:rFonts w:hint="eastAsia" w:ascii="宋体" w:hAnsi="宋体" w:eastAsia="宋体" w:cs="宋体"/>
                <w:i w:val="0"/>
                <w:iCs w:val="0"/>
                <w:color w:val="auto"/>
                <w:spacing w:val="-6"/>
                <w:kern w:val="0"/>
                <w:sz w:val="21"/>
                <w:szCs w:val="21"/>
                <w:highlight w:val="none"/>
                <w:lang w:val="en-US" w:eastAsia="zh-CN" w:bidi="ar"/>
              </w:rPr>
              <w:t>。税号：53330000A9337664X2</w:t>
            </w:r>
          </w:p>
          <w:p w14:paraId="6E56C6C7">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w:t>
            </w:r>
            <w:r>
              <w:rPr>
                <w:rFonts w:hint="eastAsia" w:ascii="宋体" w:hAnsi="宋体" w:cs="宋体"/>
                <w:i w:val="0"/>
                <w:iCs w:val="0"/>
                <w:color w:val="auto"/>
                <w:spacing w:val="-6"/>
                <w:kern w:val="0"/>
                <w:sz w:val="21"/>
                <w:szCs w:val="21"/>
                <w:highlight w:val="none"/>
                <w:lang w:val="en-US" w:eastAsia="zh-CN" w:bidi="ar"/>
              </w:rPr>
              <w:t>浙商银行杭州文新支行</w:t>
            </w:r>
            <w:r>
              <w:rPr>
                <w:rFonts w:hint="eastAsia" w:ascii="宋体" w:hAnsi="宋体" w:eastAsia="宋体" w:cs="宋体"/>
                <w:i w:val="0"/>
                <w:iCs w:val="0"/>
                <w:color w:val="auto"/>
                <w:spacing w:val="-6"/>
                <w:kern w:val="0"/>
                <w:sz w:val="21"/>
                <w:szCs w:val="21"/>
                <w:highlight w:val="none"/>
                <w:lang w:val="en-US" w:eastAsia="zh-CN" w:bidi="ar"/>
              </w:rPr>
              <w:t>。账号：3310011210120100027655</w:t>
            </w:r>
          </w:p>
        </w:tc>
      </w:tr>
    </w:tbl>
    <w:p w14:paraId="555D32B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C634F8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三</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cs="宋体"/>
          <w:b/>
          <w:bCs/>
          <w:i w:val="0"/>
          <w:iCs w:val="0"/>
          <w:color w:val="auto"/>
          <w:kern w:val="0"/>
          <w:sz w:val="21"/>
          <w:szCs w:val="21"/>
          <w:highlight w:val="none"/>
          <w:lang w:val="en-US" w:eastAsia="zh-CN" w:bidi="ar"/>
        </w:rPr>
        <w:t>服务</w:t>
      </w:r>
      <w:r>
        <w:rPr>
          <w:rFonts w:hint="eastAsia" w:ascii="宋体" w:hAnsi="宋体" w:eastAsia="宋体" w:cs="宋体"/>
          <w:b/>
          <w:bCs/>
          <w:i w:val="0"/>
          <w:iCs w:val="0"/>
          <w:color w:val="auto"/>
          <w:kern w:val="0"/>
          <w:sz w:val="21"/>
          <w:szCs w:val="21"/>
          <w:highlight w:val="none"/>
          <w:lang w:val="en-US" w:eastAsia="zh-CN" w:bidi="ar"/>
        </w:rPr>
        <w:t>要求</w:t>
      </w:r>
    </w:p>
    <w:p w14:paraId="53F436C7">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1.项目概况：</w:t>
      </w:r>
    </w:p>
    <w:p w14:paraId="6891D37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出版项目旨在系统整理与更新“现代信息资源管理丛书”，打造一套高质量的信息资源管理学科教材体系。通过13本教材的出版与修订，全面反映信息资源管理领域的最新发展与教学需求，助力学科建设与人才培养，按照《普通高等学校教材管理办法》（教材〔2019〕3号）的相关要求进行总体规划和实施。具体书目名单如下：</w:t>
      </w:r>
    </w:p>
    <w:p w14:paraId="50A0323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（1）《信息资源管理学（第二版）》</w:t>
      </w:r>
    </w:p>
    <w:p w14:paraId="5D0423B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（2）《信息分析（第三版）》</w:t>
      </w:r>
    </w:p>
    <w:p w14:paraId="47413C0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（3）《政府信息资源管理（第二版）》</w:t>
      </w:r>
    </w:p>
    <w:p w14:paraId="23F9261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（4）《网络信息资源开发与利用（第二版）》</w:t>
      </w:r>
    </w:p>
    <w:p w14:paraId="69B929B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（5）《电子商务信息管理（第二版）》</w:t>
      </w:r>
    </w:p>
    <w:p w14:paraId="544B054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（6）《信息资源管理政策与法规（第二版）》</w:t>
      </w:r>
    </w:p>
    <w:p w14:paraId="5000D68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（7）《信息咨询与智能决策（第二版）》</w:t>
      </w:r>
    </w:p>
    <w:p w14:paraId="4B1AD33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（8）《竞争情报学（第二版）》</w:t>
      </w:r>
    </w:p>
    <w:p w14:paraId="789E62D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（9）《知识获取与用户研究》</w:t>
      </w:r>
    </w:p>
    <w:p w14:paraId="3D9B57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（10）《信息管理技术与信息系统》</w:t>
      </w:r>
    </w:p>
    <w:p w14:paraId="778B322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（11）《国外信息资源管理》</w:t>
      </w:r>
    </w:p>
    <w:p w14:paraId="5C3C1D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（12）《网络信息安全与保密管理》</w:t>
      </w:r>
    </w:p>
    <w:p w14:paraId="005C96A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（13）《数据科学与大数据分析》</w:t>
      </w:r>
    </w:p>
    <w:p w14:paraId="1A0F8DB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2.规格要求：</w:t>
      </w:r>
    </w:p>
    <w:p w14:paraId="55BF089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内容编辑须严格遵循学术规范，确保无知识性、逻辑性错误。16开，正文，70克胶版纸，两面单色印刷；封面，250克铜版纸，四色印刷，成品无瑕疵。每册书出版30本平装本，作为备品库存，备品书与发行版本质量完全一致。供应商需有丰富的各类图书排版、封面设计经验，对封面和正文版式进行设计、审核，要求风格简洁大气，图表效果清晰，文字叙述优美，简体排版，字体不小于五号字，处理好标题、页码、正文、注文、图表相互之间的关系，使版式设计灵活，版面美观、易读性好。</w:t>
      </w:r>
    </w:p>
    <w:p w14:paraId="423BD00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应配备专业的设计人员，设计人员的资历及选定必须得到采购人的认可。供应商需提供封面设计方案，为项目提供封面设计样本和版式设计样本。方案内容需满足本系列图书高标准要求，经采购人审核同意方可出版。</w:t>
      </w:r>
    </w:p>
    <w:p w14:paraId="66A9BED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3.服务要求：</w:t>
      </w:r>
    </w:p>
    <w:p w14:paraId="351566B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需对书稿进行专业整理和编辑加工，根据书稿实际情况，出版前需要有相关专家审稿，并对科学性、知识性和政治敏感问题、民族宗教问题进行把关，按照要求进行审查，以保证语言流畅、内容准确。要求对接编辑服务态度好，响应速度快，出版时间（2026年12月）须确保不延误。库存书需妥善包装、按时寄达指定地址，并提供后续咨询与补寄服务支持。</w:t>
      </w:r>
    </w:p>
    <w:p w14:paraId="695335E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4.图书质量要求：</w:t>
      </w:r>
    </w:p>
    <w:p w14:paraId="4B84848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4.1 印刷字迹清晰，黑色均匀适度，书页无黑点，无缺字，无指印。</w:t>
      </w:r>
    </w:p>
    <w:p w14:paraId="57356A7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4.2 页码装订无错漏、颠倒，无倒页、漏页，裁剪符合国家标准。</w:t>
      </w:r>
    </w:p>
    <w:p w14:paraId="10DF9C3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4.3 纸质色泽一致，平整光洁。</w:t>
      </w:r>
    </w:p>
    <w:p w14:paraId="6BF76C8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4.4 装订符合标准，封面与书芯粘结牢固,书背平直，无皱折、变色、破损等。</w:t>
      </w:r>
    </w:p>
    <w:p w14:paraId="1E44EAC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 成品装箱，整本无破损。</w:t>
      </w:r>
    </w:p>
    <w:p w14:paraId="19A7982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4.6 书稿内容准确无误，文字表达通俗易懂，编校质量符合国家标准，装帧设计美观大方，印制工艺先进、套色准确、墨色均匀，图书整体质量达到优秀水平。</w:t>
      </w:r>
    </w:p>
    <w:p w14:paraId="07AB3BC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4.7 供应商所选择的印刷厂商必须得到采购人的认可。</w:t>
      </w:r>
    </w:p>
    <w:p w14:paraId="6126140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5.运输包装要求：</w:t>
      </w:r>
    </w:p>
    <w:p w14:paraId="21315E0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5.1 依照合同规定时间，供应商须将所有产品运抵采购人指定地点；所需一切搬运工具、运输设备均由投标人自备，并在运输前一周提供详细清单；在交货前由采购人对进场货物进行质量检查。</w:t>
      </w:r>
    </w:p>
    <w:p w14:paraId="66BAD8E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5.2 包装箱应能保护产品免遭外界的损坏并作好防潮和防水包装；包装箱上应清楚注明产品名称、产品规格、发货单位、接收单位、交货地址、毛重、体积、运输条件等。</w:t>
      </w:r>
    </w:p>
    <w:p w14:paraId="027577D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5.3 由于运输和包装不当导致的产品损坏由供应商负责。</w:t>
      </w:r>
    </w:p>
    <w:p w14:paraId="608A98C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6.人员要求：</w:t>
      </w:r>
    </w:p>
    <w:p w14:paraId="479E207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6.1 编辑团队。有图书出版经验和专业背景的编辑团队执行本项目。项目负责人具备中级职称；所有编辑要求有中级及以上编辑资格证和责任编辑证书。</w:t>
      </w:r>
    </w:p>
    <w:p w14:paraId="68D0A26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 设计团队，有</w:t>
      </w:r>
      <w:r>
        <w:rPr>
          <w:rFonts w:hint="eastAsia" w:ascii="宋体" w:hAnsi="宋体" w:eastAsia="宋体" w:cs="宋体"/>
          <w:b w:val="0"/>
          <w:bCs w:val="0"/>
          <w:color w:val="auto"/>
          <w:kern w:val="2"/>
          <w:sz w:val="21"/>
          <w:szCs w:val="21"/>
          <w:highlight w:val="none"/>
          <w:lang w:val="en-US" w:eastAsia="zh-Hans" w:bidi="ar-SA"/>
        </w:rPr>
        <w:t>各类</w:t>
      </w:r>
      <w:r>
        <w:rPr>
          <w:rFonts w:hint="eastAsia" w:ascii="宋体" w:hAnsi="宋体" w:eastAsia="宋体" w:cs="宋体"/>
          <w:b w:val="0"/>
          <w:bCs w:val="0"/>
          <w:color w:val="auto"/>
          <w:kern w:val="2"/>
          <w:sz w:val="21"/>
          <w:szCs w:val="21"/>
          <w:highlight w:val="none"/>
          <w:lang w:val="en-US" w:eastAsia="zh-CN" w:bidi="ar-SA"/>
        </w:rPr>
        <w:t>图书封面及版式设计经验的美编执行本项目。</w:t>
      </w:r>
    </w:p>
    <w:p w14:paraId="21090B9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6.3 出版、印刷团队。有图书出版经验和承印此类图书的印刷厂执行本项目。</w:t>
      </w:r>
    </w:p>
    <w:p w14:paraId="62C452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2" w:firstLineChars="20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投标人须知</w:t>
      </w:r>
    </w:p>
    <w:p w14:paraId="4E1E358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A594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rPr>
              <w:t>人民币</w:t>
            </w:r>
            <w:r>
              <w:rPr>
                <w:rFonts w:hint="eastAsia" w:ascii="宋体" w:hAnsi="宋体" w:cs="宋体"/>
                <w:color w:val="auto"/>
                <w:sz w:val="21"/>
                <w:szCs w:val="21"/>
                <w:highlight w:val="none"/>
                <w:lang w:val="en-US" w:eastAsia="zh-CN"/>
              </w:rPr>
              <w:t>12</w:t>
            </w:r>
            <w:r>
              <w:rPr>
                <w:rFonts w:hint="default" w:ascii="宋体" w:hAnsi="宋体" w:eastAsia="宋体" w:cs="宋体"/>
                <w:color w:val="auto"/>
                <w:sz w:val="21"/>
                <w:szCs w:val="21"/>
                <w:highlight w:val="none"/>
                <w:lang w:val="en-US"/>
              </w:rPr>
              <w:t>000元整。</w:t>
            </w:r>
          </w:p>
          <w:p w14:paraId="34D06C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w:t>
            </w: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rPr>
              <w:t>供应商应于投标文件提交（上传）</w:t>
            </w:r>
            <w:r>
              <w:rPr>
                <w:rFonts w:hint="eastAsia" w:ascii="宋体" w:hAnsi="宋体" w:cs="宋体"/>
                <w:color w:val="auto"/>
                <w:sz w:val="21"/>
                <w:szCs w:val="21"/>
                <w:highlight w:val="none"/>
                <w:lang w:val="en-US" w:eastAsia="zh-CN"/>
              </w:rPr>
              <w:t>截止时间</w:t>
            </w:r>
            <w:r>
              <w:rPr>
                <w:rFonts w:hint="default" w:ascii="宋体" w:hAnsi="宋体" w:eastAsia="宋体" w:cs="宋体"/>
                <w:color w:val="auto"/>
                <w:sz w:val="21"/>
                <w:szCs w:val="21"/>
                <w:highlight w:val="none"/>
                <w:lang w:val="en-US"/>
              </w:rPr>
              <w:t>前交纳并到帐（双休日及法定节假日除外）。未按要求提交投标保证金的，投标无效。</w:t>
            </w:r>
          </w:p>
          <w:p w14:paraId="2BB48A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交付方式：转账、银行汇款等非现金方式</w:t>
            </w:r>
          </w:p>
          <w:p w14:paraId="5D54F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收款单位（户名）</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rPr>
              <w:t>浙江求是招标代理有限公司</w:t>
            </w:r>
          </w:p>
          <w:p w14:paraId="54B1B3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开户银行：工行浙大支行</w:t>
            </w:r>
          </w:p>
          <w:p w14:paraId="2F8EB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银行帐号：1202024609900033043</w:t>
            </w:r>
          </w:p>
          <w:p w14:paraId="0DEC0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财务联系方式：0571-87666113</w:t>
            </w:r>
          </w:p>
          <w:p w14:paraId="4DD90A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3</w:t>
            </w:r>
            <w:r>
              <w:rPr>
                <w:rFonts w:hint="default" w:ascii="宋体" w:hAnsi="宋体" w:eastAsia="宋体" w:cs="宋体"/>
                <w:color w:val="auto"/>
                <w:sz w:val="21"/>
                <w:szCs w:val="21"/>
                <w:highlight w:val="none"/>
                <w:lang w:val="en-US"/>
              </w:rPr>
              <w:t>.投标保证金退还：</w:t>
            </w:r>
          </w:p>
          <w:p w14:paraId="575C09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未中标人的投标保证金，自中标通知书发出之日起五个工作日内退还（因投标人自身原因导致无法及时退还的除外）。</w:t>
            </w:r>
          </w:p>
          <w:p w14:paraId="382FBE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中标人的投标保证金，自采购合同签订之日起五个工作日内退还（因中标人自身原因导致无法及时退还的除外）。</w:t>
            </w:r>
          </w:p>
          <w:p w14:paraId="79FCAE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投标保证金退还方式：凭保证金收据自行退还。</w:t>
            </w:r>
          </w:p>
          <w:p w14:paraId="48F30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rPr>
              <w:t>.下列情况，投标保证金将不予退还：</w:t>
            </w:r>
          </w:p>
          <w:p w14:paraId="7C9A55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（1）投标人在投标有效期内撤销投标文件的；</w:t>
            </w:r>
          </w:p>
          <w:p w14:paraId="47817F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（2）投标人未按规定签订合同或转让中标的；</w:t>
            </w:r>
          </w:p>
          <w:p w14:paraId="27B9D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（3）投标人在投标期间存在提供虚假材料、相互串通投标等违法违规行为的。</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1.中标人在中标通知书发出之日起七个工作日内，向采购代理机构交纳代理服务费；</w:t>
            </w:r>
          </w:p>
          <w:p w14:paraId="0468B1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▲1.投标人代表是法定代表人（单位负责人、自然人本人）的，须提供本人身份证明。</w:t>
            </w:r>
          </w:p>
          <w:p w14:paraId="5E9D8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BE4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本项目是否接受联合体投标：</w:t>
            </w:r>
            <w:r>
              <w:rPr>
                <w:rFonts w:hint="eastAsia" w:ascii="宋体" w:hAnsi="宋体" w:cs="宋体"/>
                <w:color w:val="auto"/>
                <w:spacing w:val="0"/>
                <w:kern w:val="0"/>
                <w:sz w:val="21"/>
                <w:szCs w:val="21"/>
                <w:highlight w:val="none"/>
                <w:lang w:val="en-US" w:eastAsia="zh-CN" w:bidi="ar"/>
              </w:rPr>
              <w:t>否。</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79C6E3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2.本项目不允许分包。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电子备份投标文件等资料邮寄信息：</w:t>
            </w:r>
          </w:p>
          <w:p w14:paraId="4B2B0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资料内容、项目名称、项目编号、标项、投标人名称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29282E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1FB363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1.报价应按招标文件要求的格式编制、填写报价内容（可自行增行），未按招标文件要求编制、填写的投标文件可能被拒绝；</w:t>
            </w:r>
          </w:p>
          <w:p w14:paraId="310648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2.本次招标采用人民币报价；</w:t>
            </w:r>
          </w:p>
          <w:p w14:paraId="5DC190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4.投标文件只允许有一个报价，有选择的报价将不予接受。</w:t>
            </w:r>
          </w:p>
          <w:p w14:paraId="0FD5D8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根据要求，采购代理机构会对投标人信用记录进行查询并甄别。信用信息查询的截止时点：投标截止时间。</w:t>
            </w:r>
          </w:p>
          <w:p w14:paraId="647715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0D5D95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32C68A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（3）信用信息的使用规则：投标人被列入失信被执行人、重大税收违法案件当事人名单、政府采购严重违法失信行为记录名单的，拒绝其参与采购活动。</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投标人的书面澄清、说明、补正应当在规定时间内（不少30分钟）通过指定的方式提交。</w:t>
            </w:r>
            <w:r>
              <w:rPr>
                <w:rFonts w:hint="eastAsia" w:ascii="宋体" w:hAnsi="宋体" w:eastAsia="宋体" w:cs="宋体"/>
                <w:color w:val="auto"/>
                <w:spacing w:val="0"/>
                <w:kern w:val="0"/>
                <w:sz w:val="21"/>
                <w:szCs w:val="21"/>
                <w:highlight w:val="none"/>
                <w:lang w:val="en-US" w:eastAsia="zh-CN" w:bidi="ar"/>
              </w:rPr>
              <w:t>投标人超过规定时间未提交澄清、说明</w:t>
            </w:r>
            <w:r>
              <w:rPr>
                <w:rFonts w:hint="eastAsia" w:ascii="宋体" w:hAnsi="宋体" w:eastAsia="宋体" w:cs="宋体"/>
                <w:color w:val="auto"/>
                <w:kern w:val="0"/>
                <w:sz w:val="21"/>
                <w:szCs w:val="21"/>
                <w:highlight w:val="none"/>
                <w:lang w:val="en-US" w:eastAsia="zh-CN" w:bidi="ar"/>
              </w:rPr>
              <w:t>、补正</w:t>
            </w:r>
            <w:r>
              <w:rPr>
                <w:rFonts w:hint="eastAsia" w:ascii="宋体" w:hAnsi="宋体" w:eastAsia="宋体" w:cs="宋体"/>
                <w:color w:val="auto"/>
                <w:spacing w:val="0"/>
                <w:kern w:val="0"/>
                <w:sz w:val="21"/>
                <w:szCs w:val="21"/>
                <w:highlight w:val="none"/>
                <w:lang w:val="en-US" w:eastAsia="zh-CN" w:bidi="ar"/>
              </w:rPr>
              <w:t>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评审结果公示媒体：浙江企业采购信息服务网（https://b.zhengcaiyun.cn）。</w:t>
            </w:r>
          </w:p>
        </w:tc>
      </w:tr>
    </w:tbl>
    <w:p w14:paraId="657CBC0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投标人须知</w:t>
      </w:r>
    </w:p>
    <w:p w14:paraId="32A875C6">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color w:val="auto"/>
          <w:spacing w:val="0"/>
          <w:kern w:val="0"/>
          <w:sz w:val="21"/>
          <w:szCs w:val="21"/>
          <w:highlight w:val="none"/>
          <w:lang w:val="en-US" w:eastAsia="zh-CN" w:bidi="ar"/>
        </w:rPr>
      </w:pPr>
    </w:p>
    <w:p w14:paraId="422C86EB">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  则</w:t>
      </w:r>
    </w:p>
    <w:p w14:paraId="399E1EEE">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left"/>
        <w:textAlignment w:val="auto"/>
        <w:rPr>
          <w:rFonts w:hint="eastAsia" w:ascii="宋体" w:hAnsi="宋体" w:eastAsia="宋体" w:cs="宋体"/>
          <w:color w:val="auto"/>
          <w:sz w:val="21"/>
          <w:szCs w:val="21"/>
          <w:highlight w:val="none"/>
        </w:rPr>
      </w:pPr>
    </w:p>
    <w:p w14:paraId="771DC7F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投标人应仔细阅读招标文件的所有内容，按照招标文件的要求提交投标文件，并对所提供的全部资料的真实性承担法律责任。</w:t>
      </w:r>
    </w:p>
    <w:p w14:paraId="04DF9A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2A359E4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本招标文件适用于本项目的招标、评标、定标、验收、合同履约、付款等（法律、法规另有规定的，从其规定）。</w:t>
      </w:r>
    </w:p>
    <w:p w14:paraId="30C7B4D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525A903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1.“采购人”系指招标公告中载明的本项目的采购人；</w:t>
      </w:r>
    </w:p>
    <w:p w14:paraId="33171CA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2.“采购代理机构”系指组织本次招标的浙江求是招标代理有限公司；</w:t>
      </w:r>
    </w:p>
    <w:p w14:paraId="6D2AF9E7">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3.“投标人”系指响应招标、参加投标竞争的法人、其他组织或者自然人；</w:t>
      </w:r>
    </w:p>
    <w:p w14:paraId="41E29BE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4.“▲”系指实质性要求条款，投标人应当做出实质性响应。</w:t>
      </w:r>
    </w:p>
    <w:p w14:paraId="5738C47E">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5.书面形式，是指合同书、信件、电报、电传、传真等可以有形地表现所载内容的形式。以电子数据交换、电子邮件等方式能够有形地表现所载内容，并可以随时调取查用的数据电文，视为书面形式。</w:t>
      </w:r>
    </w:p>
    <w:p w14:paraId="3019C8C3">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6.公章，是指单位法定名称章。因特殊原因需要使用冠以法定名称的业务专用章的，投标时须提供《业务专用章使用说明函》。</w:t>
      </w:r>
    </w:p>
    <w:p w14:paraId="7FFB5029">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7.电子交易活动，是指以数据电文形式，依托电子交易平台进行的采购交易活动。</w:t>
      </w:r>
    </w:p>
    <w:p w14:paraId="7E051A7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8.电子签名，是指数据电文中以电子形式所含、所附用于识别签名人身份并表明签名人认可其中内容的数据。数据电文，是指以电子、光学、磁或者类似手段生成、发送、接收或者储存的信息。</w:t>
      </w:r>
    </w:p>
    <w:p w14:paraId="6FD4876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招标文件对投标文件签署、盖章的要求适用于电子签名。</w:t>
      </w:r>
    </w:p>
    <w:p w14:paraId="685AE8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9.本招标文件所称的“以上”、“以下”、“以内”、“届满”，包括本数；所称的“不满”、“超过”、“以外”，不包括本数。</w:t>
      </w:r>
    </w:p>
    <w:p w14:paraId="24553A5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3B73D0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投标人须知  前附表】。</w:t>
      </w:r>
    </w:p>
    <w:p w14:paraId="32F952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交易方式：详见【第三章  投标人须知  前附表】。</w:t>
      </w:r>
    </w:p>
    <w:p w14:paraId="268AEF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交易平台：详见【第三章  投标人须知  前附表】。</w:t>
      </w:r>
    </w:p>
    <w:p w14:paraId="7F01DDE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（四）投标费用</w:t>
      </w:r>
    </w:p>
    <w:p w14:paraId="28769EF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投标保证金：详见【第三章  投标人须知  前附表】。</w:t>
      </w:r>
    </w:p>
    <w:p w14:paraId="3C0CB1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投标人须知  前附表】。</w:t>
      </w:r>
    </w:p>
    <w:p w14:paraId="657ECF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（五）投标委托</w:t>
      </w:r>
    </w:p>
    <w:p w14:paraId="110DFC8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7A7C45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（六）联合体投标</w:t>
      </w:r>
    </w:p>
    <w:p w14:paraId="40C6B1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投标人须知  前附表】。</w:t>
      </w:r>
    </w:p>
    <w:p w14:paraId="1728258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039D6A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14592A9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w:t>
      </w:r>
    </w:p>
    <w:p w14:paraId="343286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5809CE5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2.投标人提出质疑应当提交质疑函和必要的证明材料，质疑函范本</w:t>
      </w:r>
      <w:r>
        <w:rPr>
          <w:rFonts w:hint="eastAsia" w:ascii="宋体" w:hAnsi="宋体" w:cs="宋体"/>
          <w:b/>
          <w:bCs/>
          <w:color w:val="auto"/>
          <w:spacing w:val="0"/>
          <w:kern w:val="0"/>
          <w:sz w:val="21"/>
          <w:szCs w:val="21"/>
          <w:highlight w:val="none"/>
          <w:lang w:val="en-US" w:eastAsia="zh-CN" w:bidi="ar"/>
        </w:rPr>
        <w:t>详见附件2</w:t>
      </w:r>
      <w:r>
        <w:rPr>
          <w:rFonts w:hint="eastAsia" w:ascii="宋体" w:hAnsi="宋体" w:eastAsia="宋体" w:cs="宋体"/>
          <w:b/>
          <w:bCs/>
          <w:color w:val="auto"/>
          <w:spacing w:val="0"/>
          <w:kern w:val="0"/>
          <w:sz w:val="21"/>
          <w:szCs w:val="21"/>
          <w:highlight w:val="none"/>
          <w:lang w:val="en-US" w:eastAsia="zh-CN" w:bidi="ar"/>
        </w:rPr>
        <w:t>。质疑函应当包括下列内容：</w:t>
      </w:r>
    </w:p>
    <w:p w14:paraId="4BA30D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08CF084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601A51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344BF6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60FEB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27CB8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6654C2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投标人为自然人的，应当由本人签名；投标人为法人或者其他组织的，应当由法定代表人、主要负责人，或者其授权代表签名或者盖章，并加盖公章。</w:t>
      </w:r>
    </w:p>
    <w:p w14:paraId="2ECB4D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3.提出质疑的供应商应当是参与本项目招标活动的投标人。</w:t>
      </w:r>
      <w:r>
        <w:rPr>
          <w:rFonts w:hint="eastAsia" w:ascii="宋体" w:hAnsi="宋体" w:eastAsia="宋体" w:cs="宋体"/>
          <w:b/>
          <w:bCs/>
          <w:color w:val="auto"/>
          <w:spacing w:val="0"/>
          <w:kern w:val="0"/>
          <w:sz w:val="21"/>
          <w:szCs w:val="21"/>
          <w:highlight w:val="none"/>
          <w:lang w:val="en-US" w:eastAsia="zh-CN" w:bidi="ar"/>
        </w:rPr>
        <w:t>投标人在法定质疑期内应一次性提出针对同一采购程序环节的质疑。</w:t>
      </w:r>
    </w:p>
    <w:p w14:paraId="6FA3553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4.采购人、采购代理机构认为供应商质疑不成立，或者成立但未对中标结果构成影响的，继续开展采购活动；认为供应商质疑成立且影响或者可能影响中标结果的，按照下列情况处理：</w:t>
      </w:r>
    </w:p>
    <w:p w14:paraId="3230D36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（1）对采购文件提出的质疑，通过澄清或者修改可以继续开展采购活动的，澄清或者修改采购文件后继续开展采购活动；否则应当修改采购文件后重新开展采购活动。</w:t>
      </w:r>
    </w:p>
    <w:p w14:paraId="314671D0">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z w:val="21"/>
          <w:szCs w:val="21"/>
          <w:highlight w:val="none"/>
        </w:rPr>
        <w:t>（2）对采购过程、中标结果提出的质疑，合格供应商符合法定数量时，可以从合格的中标候选人中另行确定中标供应商的，可以另行确定中标供应商或重新开展采购活动。</w:t>
      </w:r>
    </w:p>
    <w:p w14:paraId="546EE51A">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p>
    <w:p w14:paraId="2E2DB74D">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5E6357D4">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cs="宋体"/>
          <w:b/>
          <w:bCs/>
          <w:color w:val="auto"/>
          <w:spacing w:val="0"/>
          <w:kern w:val="0"/>
          <w:sz w:val="21"/>
          <w:szCs w:val="21"/>
          <w:highlight w:val="none"/>
          <w:lang w:val="en-US" w:eastAsia="zh-CN" w:bidi="ar"/>
        </w:rPr>
        <w:t>（一）</w:t>
      </w:r>
      <w:r>
        <w:rPr>
          <w:rFonts w:hint="eastAsia" w:ascii="宋体" w:hAnsi="宋体" w:eastAsia="宋体" w:cs="宋体"/>
          <w:b/>
          <w:bCs/>
          <w:color w:val="auto"/>
          <w:spacing w:val="0"/>
          <w:kern w:val="0"/>
          <w:sz w:val="21"/>
          <w:szCs w:val="21"/>
          <w:highlight w:val="none"/>
          <w:lang w:val="en-US" w:eastAsia="zh-CN" w:bidi="ar"/>
        </w:rPr>
        <w:t>投标邀请</w:t>
      </w:r>
    </w:p>
    <w:p w14:paraId="237065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本项目采用发布公告方式邀请供应商，同时上传招标文件至电子交易平台，供社会公众查阅和潜在供应商获取。</w:t>
      </w:r>
    </w:p>
    <w:p w14:paraId="04E156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7569E39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供应商投标</w:t>
      </w:r>
    </w:p>
    <w:p w14:paraId="6FD63A2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潜在供应商获取招标文件前应当在电子交易平台上注册账号并登录。注册及客户端操作详见电子交易平台相关介绍。</w:t>
      </w:r>
    </w:p>
    <w:p w14:paraId="124F2BF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供应商进行电子投标应安装客户端软件，并按照招标文件和电子交易平台的要求编制并加密投标文件。供应商未按规定加密的投标文件，电子交易平台将拒收并提示。</w:t>
      </w:r>
    </w:p>
    <w:p w14:paraId="5BC74D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电子交易平台收到投标文件，向供应商发出确认回执通知。在投标截止时间前，除供应商补充、修改或者撤回投标文件外，任何单位和个人不得解密或提取投标文件。</w:t>
      </w:r>
    </w:p>
    <w:p w14:paraId="52AEEE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供应商在电子交易平台传输递交投标文件后，还可以在投标截止时间前提交以介质存储的数据电文形式的备份投标文件，采购组织机构不强制要求供应商提交备份投标文件。</w:t>
      </w:r>
    </w:p>
    <w:p w14:paraId="63844E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提交备份投标文件应按电子交易平台设定制作、下载。</w:t>
      </w:r>
    </w:p>
    <w:p w14:paraId="0B8F35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▲供应商仅提交备份投标文件但未按要求在电子交易平台传输递交投标文件的，投标将被拒绝。</w:t>
      </w:r>
    </w:p>
    <w:p w14:paraId="6F31CA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21533A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特别提示：投标文件未按时解密，供应商提供了备份投标文件的，以备份投标文件作为依据，否则视为投标文件撤回。投标文件已按时解密的，备份投标文件自动失效。</w:t>
      </w:r>
    </w:p>
    <w:p w14:paraId="3ED877B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3B258BB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51FABE2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45BE7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采购人通过电子交易平台确认中标候选供应商。</w:t>
      </w:r>
    </w:p>
    <w:p w14:paraId="6E87D84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4736B01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10585B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3F4A6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7EF755B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498F4F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58B4D43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0DFE22F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6D5B28D5">
      <w:pPr>
        <w:keepNext w:val="0"/>
        <w:keepLines w:val="0"/>
        <w:widowControl/>
        <w:suppressLineNumbers w:val="0"/>
        <w:spacing w:line="288" w:lineRule="auto"/>
        <w:ind w:left="0" w:firstLine="422"/>
        <w:jc w:val="center"/>
        <w:rPr>
          <w:rFonts w:hint="eastAsia" w:ascii="宋体" w:hAnsi="宋体" w:eastAsia="宋体" w:cs="宋体"/>
          <w:b/>
          <w:bCs/>
          <w:color w:val="auto"/>
          <w:spacing w:val="0"/>
          <w:kern w:val="0"/>
          <w:sz w:val="21"/>
          <w:szCs w:val="21"/>
          <w:highlight w:val="none"/>
          <w:lang w:val="en-US" w:eastAsia="zh-CN" w:bidi="ar"/>
        </w:rPr>
      </w:pPr>
    </w:p>
    <w:p w14:paraId="001B268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三、招标文件</w:t>
      </w:r>
    </w:p>
    <w:p w14:paraId="7588E4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（一）招标文件的构成</w:t>
      </w:r>
    </w:p>
    <w:p w14:paraId="467F43E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本招标文件由以下部分组成：</w:t>
      </w:r>
    </w:p>
    <w:p w14:paraId="3636F0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1.投标邀请</w:t>
      </w:r>
    </w:p>
    <w:p w14:paraId="0FE781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4CCF46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3.投标人须知</w:t>
      </w:r>
    </w:p>
    <w:p w14:paraId="607EB1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4.评标方法和评标标准</w:t>
      </w:r>
    </w:p>
    <w:p w14:paraId="4FCF3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226F98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6.投标文件格式</w:t>
      </w:r>
    </w:p>
    <w:p w14:paraId="3579D1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7.本项目招标文件的澄清、答复、修改、补充的内容</w:t>
      </w:r>
    </w:p>
    <w:p w14:paraId="501CAB3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（二）招标文件的澄清与修改</w:t>
      </w:r>
    </w:p>
    <w:p w14:paraId="19E233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1.采购人或者采购代理机构可以对已发出的招标文件进行必要的澄清或者修改，澄清或者修改会在原公告发布媒体上发布澄清公告，澄清或者修改的内容为招标文件的组成部分。</w:t>
      </w:r>
    </w:p>
    <w:p w14:paraId="1AE85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keepNext w:val="0"/>
        <w:keepLines w:val="0"/>
        <w:widowControl/>
        <w:suppressLineNumbers w:val="0"/>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四、投标文件编制</w:t>
      </w:r>
    </w:p>
    <w:p w14:paraId="06853ED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（一）投标文件的组成</w:t>
      </w:r>
    </w:p>
    <w:p w14:paraId="71439ED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投标文件组成：详见【第六章  投标文件格式】。</w:t>
      </w:r>
    </w:p>
    <w:p w14:paraId="74485A9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（二）投标文件的编制</w:t>
      </w:r>
    </w:p>
    <w:p w14:paraId="040BE310">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w:t>
      </w:r>
      <w:r>
        <w:rPr>
          <w:rFonts w:hint="eastAsia" w:ascii="宋体" w:hAnsi="宋体" w:eastAsia="宋体" w:cs="宋体"/>
          <w:b w:val="0"/>
          <w:bCs w:val="0"/>
          <w:color w:val="auto"/>
          <w:spacing w:val="0"/>
          <w:kern w:val="0"/>
          <w:sz w:val="21"/>
          <w:szCs w:val="21"/>
          <w:highlight w:val="none"/>
          <w:lang w:val="en-US" w:eastAsia="zh-CN" w:bidi="ar"/>
        </w:rPr>
        <w:t>其中资格文件、商务技术文件中不得出现投标报价，如因投标人原因提前泄露投标报价，是投标人的责任。</w:t>
      </w:r>
    </w:p>
    <w:p w14:paraId="287CFA73">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2.投标文件须由投标人在规定位置加盖公章，投标人应写全称。</w:t>
      </w:r>
    </w:p>
    <w:p w14:paraId="069DE3B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3.投标文件不得涂改，若有修改错漏处，须由投标人加盖公章，或者由投标人代表签名。投标文件因字迹潦草或表达不清所引起的后果由投标人承担。</w:t>
      </w:r>
    </w:p>
    <w:p w14:paraId="508FC8A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（三）投标文件提交</w:t>
      </w:r>
    </w:p>
    <w:p w14:paraId="63F48B5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1.投标人应当在招标文件要求在投标文件提交截止时间前，将“电子加密投标文件”各部分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114AAA55">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备份投标文件：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供应商可自行决定是否提交备份投标文件。提交备份投标文件的，应在投标文件提交截止时间前，密封提交给本项目采购组织机构。存储方式：移动存储介质（如：U盘等）。密封包装应标明：</w:t>
      </w:r>
      <w:r>
        <w:rPr>
          <w:rFonts w:hint="eastAsia" w:ascii="宋体" w:hAnsi="宋体" w:eastAsia="宋体" w:cs="宋体"/>
          <w:color w:val="auto"/>
          <w:spacing w:val="0"/>
          <w:kern w:val="0"/>
          <w:sz w:val="21"/>
          <w:szCs w:val="21"/>
          <w:highlight w:val="none"/>
          <w:lang w:val="en-US" w:eastAsia="zh-CN" w:bidi="ar"/>
        </w:rPr>
        <w:t>项目名称、项目编号、标项、供应商名称并加盖公章。</w:t>
      </w:r>
    </w:p>
    <w:p w14:paraId="07FB470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投标人</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通过邮寄的方式提交备份投标文件</w:t>
      </w:r>
      <w:r>
        <w:rPr>
          <w:rFonts w:hint="eastAsia" w:ascii="宋体" w:hAnsi="宋体" w:eastAsia="宋体" w:cs="宋体"/>
          <w:color w:val="auto"/>
          <w:spacing w:val="0"/>
          <w:kern w:val="0"/>
          <w:sz w:val="21"/>
          <w:szCs w:val="21"/>
          <w:highlight w:val="none"/>
          <w:lang w:val="en-US" w:eastAsia="zh-CN"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3.备份投标文件邮寄信息：详见【第三章  投标人须知  前附表】。</w:t>
      </w:r>
    </w:p>
    <w:p w14:paraId="6F46021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4.备份投标文件未按要求密封或标记导致被误投或提前泄露，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投标人自行承担相关责任。</w:t>
      </w:r>
    </w:p>
    <w:p w14:paraId="525B329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（四）投标文件的修改和撤回</w:t>
      </w:r>
    </w:p>
    <w:p w14:paraId="04DF9F2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投标文件的修改和撤回详见</w:t>
      </w:r>
      <w:r>
        <w:rPr>
          <w:rFonts w:hint="eastAsia" w:ascii="宋体" w:hAnsi="宋体" w:eastAsia="宋体" w:cs="宋体"/>
          <w:color w:val="auto"/>
          <w:spacing w:val="0"/>
          <w:kern w:val="0"/>
          <w:sz w:val="21"/>
          <w:szCs w:val="21"/>
          <w:highlight w:val="none"/>
          <w:lang w:val="en-US" w:eastAsia="zh-CN" w:bidi="ar"/>
        </w:rPr>
        <w:t xml:space="preserve">【第三章  投标人须知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08A6AC3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（五）投标文件的语言及计量</w:t>
      </w:r>
    </w:p>
    <w:p w14:paraId="38431A8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（六）投标报价</w:t>
      </w:r>
    </w:p>
    <w:p w14:paraId="31E0BAC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6B82225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（七）投标有效期</w:t>
      </w:r>
    </w:p>
    <w:p w14:paraId="6EB0234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2F03DED9">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五、投标无效的情形</w:t>
      </w:r>
    </w:p>
    <w:p w14:paraId="7652CC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供应商存在下列情况之一的，投标无效：</w:t>
      </w:r>
    </w:p>
    <w:p w14:paraId="1B5438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（一）未按照招标文件的规定提交投标保证金的；</w:t>
      </w:r>
    </w:p>
    <w:p w14:paraId="07717E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（二）投标文件未按招标文件要求签署、盖章的；</w:t>
      </w:r>
    </w:p>
    <w:p w14:paraId="4304AE9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（三）不具备招标文件中规定的资格要求的；</w:t>
      </w:r>
    </w:p>
    <w:p w14:paraId="513B7B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（四）报价超过招标文件中规定的预算金额或者最高限价的；</w:t>
      </w:r>
    </w:p>
    <w:p w14:paraId="5D73B3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（五）投标文件含有采购人不能接受的附加条件的；</w:t>
      </w:r>
    </w:p>
    <w:p w14:paraId="3EACE1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（六）招标文件规定的其他无效情形：</w:t>
      </w:r>
      <w:r>
        <w:rPr>
          <w:rFonts w:hint="eastAsia" w:ascii="宋体" w:hAnsi="宋体" w:eastAsia="宋体" w:cs="宋体"/>
          <w:color w:val="auto"/>
          <w:spacing w:val="0"/>
          <w:kern w:val="0"/>
          <w:sz w:val="21"/>
          <w:szCs w:val="21"/>
          <w:highlight w:val="none"/>
          <w:u w:val="single"/>
          <w:lang w:val="en-US" w:eastAsia="zh-CN" w:bidi="ar"/>
        </w:rPr>
        <w:t>详见【第四章  评标方法和评标标准】。</w:t>
      </w:r>
    </w:p>
    <w:p w14:paraId="651D47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（七）法律、法规规定的其他无效情形；</w:t>
      </w:r>
    </w:p>
    <w:p w14:paraId="1B0D768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六、开  标</w:t>
      </w:r>
    </w:p>
    <w:p w14:paraId="0F6C4206">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（一）开标</w:t>
      </w:r>
    </w:p>
    <w:p w14:paraId="0FBBF3EF">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采购代理机构按照招标文件规定的时间通过电子交易平台组织开标，所有投标人均应当准时在线参加。投标人不足3家的，不得开标。</w:t>
      </w:r>
    </w:p>
    <w:p w14:paraId="6EBBC77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投标文件未按时解密，投标人提供了备份投标文件的，以备份投标文件作为依据，否则视为投标文件撤回。投标文件已按时解密的，备份投标文件自动失效。</w:t>
      </w:r>
    </w:p>
    <w:p w14:paraId="7C7B72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（二）资格审查</w:t>
      </w:r>
    </w:p>
    <w:p w14:paraId="02890F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开标后，采购人或采购代理机构依据法律法规和招标文件的规定，对投标人的资格条件进行审查。</w:t>
      </w:r>
    </w:p>
    <w:p w14:paraId="3A33F2CA">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对未通过资格审查的投标人，采购人或采购代理机构告知其未通过的原因。</w:t>
      </w:r>
    </w:p>
    <w:p w14:paraId="7DC39F1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通过资格审查的投标人不足3家的，不再评标。</w:t>
      </w:r>
    </w:p>
    <w:p w14:paraId="573DC4AA">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（三）信用信息查询</w:t>
      </w:r>
    </w:p>
    <w:p w14:paraId="25FCE850">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02F82FC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9D508F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特别说明：如遇电子交易平台电子化开标或评审程序调整的，按调整后程序执行。</w:t>
      </w:r>
    </w:p>
    <w:p w14:paraId="1B140CB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七、评  标</w:t>
      </w:r>
    </w:p>
    <w:p w14:paraId="3463F9A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评标中因评标委员会成员缺席、回避或者健康等特殊原因导致评标委员会组成不符合规定的，依法补足后继续评标。被更换的评标委员会成员所作出的评标意见无效。</w:t>
      </w:r>
    </w:p>
    <w:p w14:paraId="3628C7F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（一）符合性审查</w:t>
      </w:r>
    </w:p>
    <w:p w14:paraId="40275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评标委员会对符合资格的投标人的投标文件进行符合性审查，以确定其是否满足招标文件的实质性要求。不满足招标文件的实质性要求的，投标无效。</w:t>
      </w:r>
    </w:p>
    <w:p w14:paraId="20C57C6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（二）比较与评价</w:t>
      </w:r>
    </w:p>
    <w:p w14:paraId="04E27E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评标委员会按照招标文件中规定的评标方法和标准，对符合性审查合格的投标文件进行商务和技术评估，综合比较与评价。</w:t>
      </w:r>
    </w:p>
    <w:p w14:paraId="0C920F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（三）汇总商务技术得分</w:t>
      </w:r>
    </w:p>
    <w:p w14:paraId="191C3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评标委员会各成员独立对每个投标人的商务和技术文件进行评价，并汇总商务技术得分情况。</w:t>
      </w:r>
    </w:p>
    <w:p w14:paraId="16A836F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（四）报价评审</w:t>
      </w:r>
    </w:p>
    <w:p w14:paraId="62BDF47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电子交易平台上传的电子投标文件报价与电子交易平台录入报价不一致的，以上传的电子投标文件报价为准。</w:t>
      </w:r>
    </w:p>
    <w:p w14:paraId="5AD482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投标文件报价出现前后不一致的，按照下列规定修正：</w:t>
      </w:r>
    </w:p>
    <w:p w14:paraId="01B2C2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（1）投标文件中开标一览表(报价表)内容与投标文件中相应内容不一致的，以开标一览表(报价表)为准；</w:t>
      </w:r>
    </w:p>
    <w:p w14:paraId="694FA3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285EAF2">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（3）单价金额小数点或者百分比有明显错位的，以开标一览表的总价为准，并修改单价；</w:t>
      </w:r>
    </w:p>
    <w:p w14:paraId="49A1F56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1B45E89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按照“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投标人收到修正确认文件后，在规定时间内未做出回复的，视为不确认。</w:t>
      </w:r>
    </w:p>
    <w:p w14:paraId="3D2C2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评审中出现下列情形之一的，评标委员会应当启动异常低价投标审查程序：</w:t>
      </w:r>
    </w:p>
    <w:p w14:paraId="346C6A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（1）投标报价低于全部通过符合性审查供应商投标报价平均值50%的，即投标报价&lt;全部通过符合性审查供应商投标报价平均值×50%；</w:t>
      </w:r>
    </w:p>
    <w:p w14:paraId="5EBD54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（2）投标报价低于通过符合性审查的次低报价供应商投标报价50%的，即投标报价&lt;通过符合性审查的次低报价供应商投标报价×50%；</w:t>
      </w:r>
    </w:p>
    <w:p w14:paraId="3D2A4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（3）投标报价低于采购项目最高限价45%的，即投标报价&lt;采购项目最高限价×45%；</w:t>
      </w:r>
    </w:p>
    <w:p w14:paraId="37E45E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（4）评标委员会基于专业判断，认为供应商报价过低，有可能影响产品质量或者不能诚信履约的其他情形。</w:t>
      </w:r>
    </w:p>
    <w:p w14:paraId="0BD4BF6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异常低价投标审查的启动原因、审查意见和审查结果应当在评审报告中记录，并随供应商提供的相关书面说明及证明材料，以及评标委员会有关互联网浏览、查询历史一并归档。</w:t>
      </w:r>
    </w:p>
    <w:p w14:paraId="51AA8F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（五）投标人澄清、说明或者补正</w:t>
      </w:r>
    </w:p>
    <w:p w14:paraId="0433CAE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澄清说明：详见【第三章  投标人须知  前附表】。</w:t>
      </w:r>
    </w:p>
    <w:p w14:paraId="51A95DB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（六）排序与推荐</w:t>
      </w:r>
    </w:p>
    <w:p w14:paraId="2A1D742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评标方法：本项目评标方法是综合评分法。</w:t>
      </w:r>
    </w:p>
    <w:p w14:paraId="1BB751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7B5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（七）编写评标报告</w:t>
      </w:r>
    </w:p>
    <w:p w14:paraId="46CF11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八、中标与合同</w:t>
      </w:r>
    </w:p>
    <w:p w14:paraId="2D55CF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（一）中标</w:t>
      </w:r>
    </w:p>
    <w:p w14:paraId="6632AD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2.采购代理机构自中标人确定之日起2个工作日内，公告中标结果，并发出中标通知书。</w:t>
      </w:r>
    </w:p>
    <w:p w14:paraId="2D8BB8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3.评标结果公示媒体：详见【第三章  投标人须知  前附表】。</w:t>
      </w:r>
    </w:p>
    <w:p w14:paraId="18131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w:t>
      </w:r>
    </w:p>
    <w:p w14:paraId="340C375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2.中标后无正当理由拒不与采购人签订合同，将被取消中标资格。</w:t>
      </w:r>
    </w:p>
    <w:p w14:paraId="5B90EA1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69F36E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2684B7B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采购人组织对供应商履约的验收。大型或者复杂的采购项目，</w:t>
      </w:r>
      <w:r>
        <w:rPr>
          <w:rFonts w:hint="eastAsia" w:ascii="宋体" w:hAnsi="宋体" w:cs="宋体"/>
          <w:color w:val="auto"/>
          <w:spacing w:val="0"/>
          <w:kern w:val="0"/>
          <w:sz w:val="21"/>
          <w:szCs w:val="21"/>
          <w:highlight w:val="none"/>
          <w:lang w:val="en-US" w:eastAsia="zh-CN" w:bidi="ar"/>
        </w:rPr>
        <w:t>可以</w:t>
      </w:r>
      <w:r>
        <w:rPr>
          <w:rFonts w:hint="eastAsia" w:ascii="宋体" w:hAnsi="宋体" w:eastAsia="宋体" w:cs="宋体"/>
          <w:color w:val="auto"/>
          <w:spacing w:val="0"/>
          <w:kern w:val="0"/>
          <w:sz w:val="21"/>
          <w:szCs w:val="21"/>
          <w:highlight w:val="none"/>
          <w:lang w:val="en-US" w:eastAsia="zh-CN" w:bidi="ar"/>
        </w:rPr>
        <w:t>邀请国家认可的质量检测机构参加验收工作。验收方成员应当在验收书上签名，并承担相应的法律责任。如果发现与合同中要求不符，供应商须承担由此发生的一切损失和费用，并接受相应的处理。</w:t>
      </w:r>
    </w:p>
    <w:p w14:paraId="75D48D55">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采购人可以邀请参加本项目的其他投标人或者第三方机构参与验收。参与验收的投标人或者第三方机构的意见作为验收书的参考资料一并存档。</w:t>
      </w:r>
    </w:p>
    <w:p w14:paraId="524162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p>
    <w:p w14:paraId="5CF3D97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评标方法和评标标准</w:t>
      </w:r>
    </w:p>
    <w:p w14:paraId="0E54467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一、评标方法</w:t>
      </w:r>
    </w:p>
    <w:p w14:paraId="62AFA8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本次评标采用综合评分法，总分为100分。评分过程中采用四舍五入法，并保留小数2位。</w:t>
      </w:r>
    </w:p>
    <w:p w14:paraId="63141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投标人评标综合得分=商务分+技术分+价格分</w:t>
      </w:r>
    </w:p>
    <w:p w14:paraId="60B30E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商务和技术分按照评标委员会成员的独立评分结果的算术平均分计算，计算公式为：商务分、技术分=评标委员会所有成员评分合计数/评标委员会组成人员数</w:t>
      </w:r>
    </w:p>
    <w:p w14:paraId="1549458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本项目推荐【</w:t>
      </w:r>
      <w:r>
        <w:rPr>
          <w:rFonts w:hint="eastAsia" w:ascii="宋体" w:hAnsi="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lang w:val="en-US" w:eastAsia="zh-CN" w:bidi="ar"/>
        </w:rPr>
        <w:t>】名中标候选人。</w:t>
      </w:r>
    </w:p>
    <w:p w14:paraId="4C82897C">
      <w:pPr>
        <w:keepNext w:val="0"/>
        <w:keepLines w:val="0"/>
        <w:widowControl/>
        <w:suppressLineNumbers w:val="0"/>
        <w:spacing w:line="288" w:lineRule="auto"/>
        <w:ind w:left="0" w:firstLine="0"/>
        <w:jc w:val="left"/>
        <w:rPr>
          <w:rFonts w:hint="eastAsia" w:ascii="宋体" w:hAnsi="宋体" w:eastAsia="宋体" w:cs="宋体"/>
          <w:color w:val="auto"/>
          <w:spacing w:val="0"/>
          <w:sz w:val="21"/>
          <w:szCs w:val="21"/>
          <w:highlight w:val="none"/>
        </w:rPr>
      </w:pPr>
    </w:p>
    <w:p w14:paraId="2D79DFA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二、评标标准</w:t>
      </w:r>
    </w:p>
    <w:tbl>
      <w:tblPr>
        <w:tblStyle w:val="8"/>
        <w:tblW w:w="4992"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18"/>
        <w:gridCol w:w="704"/>
        <w:gridCol w:w="7424"/>
      </w:tblGrid>
      <w:tr w14:paraId="57C10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1A04D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评审因素</w:t>
            </w:r>
          </w:p>
        </w:tc>
        <w:tc>
          <w:tcPr>
            <w:tcW w:w="354" w:type="pct"/>
            <w:tcBorders>
              <w:tl2br w:val="nil"/>
              <w:tr2bl w:val="nil"/>
            </w:tcBorders>
            <w:vAlign w:val="center"/>
          </w:tcPr>
          <w:p w14:paraId="3ABC465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分值</w:t>
            </w:r>
          </w:p>
        </w:tc>
        <w:tc>
          <w:tcPr>
            <w:tcW w:w="3730" w:type="pct"/>
            <w:tcBorders>
              <w:tl2br w:val="nil"/>
              <w:tr2bl w:val="nil"/>
            </w:tcBorders>
            <w:vAlign w:val="center"/>
          </w:tcPr>
          <w:p w14:paraId="359215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评分标准</w:t>
            </w:r>
          </w:p>
        </w:tc>
      </w:tr>
      <w:tr w14:paraId="2AB7E4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4AFA6B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价格分（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r>
      <w:tr w14:paraId="010FB0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20E0A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投标</w:t>
            </w:r>
            <w:r>
              <w:rPr>
                <w:rFonts w:hint="eastAsia" w:ascii="宋体" w:hAnsi="宋体" w:eastAsia="宋体" w:cs="宋体"/>
                <w:b/>
                <w:bCs/>
                <w:color w:val="auto"/>
                <w:kern w:val="0"/>
                <w:sz w:val="21"/>
                <w:szCs w:val="21"/>
                <w:highlight w:val="none"/>
                <w:lang w:val="en-US" w:eastAsia="zh-CN" w:bidi="ar-SA"/>
              </w:rPr>
              <w:t>报价</w:t>
            </w:r>
          </w:p>
        </w:tc>
        <w:tc>
          <w:tcPr>
            <w:tcW w:w="354" w:type="pct"/>
            <w:tcBorders>
              <w:tl2br w:val="nil"/>
              <w:tr2bl w:val="nil"/>
            </w:tcBorders>
            <w:vAlign w:val="center"/>
          </w:tcPr>
          <w:p w14:paraId="453841E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c>
          <w:tcPr>
            <w:tcW w:w="3730" w:type="pct"/>
            <w:tcBorders>
              <w:tl2br w:val="nil"/>
              <w:tr2bl w:val="nil"/>
            </w:tcBorders>
            <w:vAlign w:val="center"/>
          </w:tcPr>
          <w:p w14:paraId="34FDF93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价格分采用低价优先法计算，即满足招标文件要求且投标价格最低的投标报价为评标基准价，其他投标人的价格分按照下列公式计算：</w:t>
            </w:r>
          </w:p>
          <w:p w14:paraId="536C5FA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价格分=（评标基准价/投标报价）×</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0%×100</w:t>
            </w:r>
          </w:p>
        </w:tc>
      </w:tr>
      <w:tr w14:paraId="73D16E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18D3942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商务分（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w:t>
            </w:r>
          </w:p>
        </w:tc>
      </w:tr>
      <w:tr w14:paraId="0D97CB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CCED98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业绩</w:t>
            </w:r>
          </w:p>
        </w:tc>
        <w:tc>
          <w:tcPr>
            <w:tcW w:w="354" w:type="pct"/>
            <w:tcBorders>
              <w:tl2br w:val="nil"/>
              <w:tr2bl w:val="nil"/>
            </w:tcBorders>
            <w:vAlign w:val="center"/>
          </w:tcPr>
          <w:p w14:paraId="3E1534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p>
        </w:tc>
        <w:tc>
          <w:tcPr>
            <w:tcW w:w="3730" w:type="pct"/>
            <w:tcBorders>
              <w:tl2br w:val="nil"/>
              <w:tr2bl w:val="nil"/>
            </w:tcBorders>
            <w:vAlign w:val="center"/>
          </w:tcPr>
          <w:p w14:paraId="4598AB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71AEEEC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供应商自20</w:t>
            </w:r>
            <w:r>
              <w:rPr>
                <w:rFonts w:hint="eastAsia" w:ascii="宋体" w:hAnsi="宋体" w:cs="宋体"/>
                <w:color w:val="auto"/>
                <w:kern w:val="0"/>
                <w:sz w:val="21"/>
                <w:szCs w:val="21"/>
                <w:highlight w:val="none"/>
                <w:lang w:val="en-US" w:eastAsia="zh-CN" w:bidi="ar-SA"/>
              </w:rPr>
              <w:t>23</w:t>
            </w:r>
            <w:r>
              <w:rPr>
                <w:rFonts w:hint="eastAsia" w:ascii="宋体" w:hAnsi="宋体" w:eastAsia="宋体" w:cs="宋体"/>
                <w:color w:val="auto"/>
                <w:kern w:val="0"/>
                <w:sz w:val="21"/>
                <w:szCs w:val="21"/>
                <w:highlight w:val="none"/>
                <w:lang w:val="en-US" w:eastAsia="zh-CN" w:bidi="ar-SA"/>
              </w:rPr>
              <w:t>年1月1日以来（以合同签订时间为准）同类合同业绩（以提供的合同扫描件为准）：每提供1份合同业绩得</w:t>
            </w:r>
            <w:r>
              <w:rPr>
                <w:rFonts w:hint="eastAsia" w:ascii="宋体" w:hAnsi="宋体" w:cs="宋体"/>
                <w:color w:val="auto"/>
                <w:kern w:val="0"/>
                <w:sz w:val="21"/>
                <w:szCs w:val="21"/>
                <w:highlight w:val="none"/>
                <w:lang w:val="en-US" w:eastAsia="zh-CN" w:bidi="ar-SA"/>
              </w:rPr>
              <w:t>0.5</w:t>
            </w:r>
            <w:r>
              <w:rPr>
                <w:rFonts w:hint="eastAsia" w:ascii="宋体" w:hAnsi="宋体" w:eastAsia="宋体" w:cs="宋体"/>
                <w:color w:val="auto"/>
                <w:kern w:val="0"/>
                <w:sz w:val="21"/>
                <w:szCs w:val="21"/>
                <w:highlight w:val="none"/>
                <w:lang w:val="en-US" w:eastAsia="zh-CN" w:bidi="ar-SA"/>
              </w:rPr>
              <w:t>分，最高得</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分。</w:t>
            </w:r>
          </w:p>
        </w:tc>
      </w:tr>
      <w:tr w14:paraId="36F58C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6DE791D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技术分（</w:t>
            </w:r>
            <w:r>
              <w:rPr>
                <w:rFonts w:hint="eastAsia" w:ascii="宋体" w:hAnsi="宋体" w:cs="宋体"/>
                <w:b/>
                <w:bCs/>
                <w:color w:val="auto"/>
                <w:kern w:val="0"/>
                <w:sz w:val="21"/>
                <w:szCs w:val="21"/>
                <w:highlight w:val="none"/>
                <w:lang w:val="en-US" w:eastAsia="zh-CN" w:bidi="ar-SA"/>
              </w:rPr>
              <w:t>89</w:t>
            </w:r>
            <w:r>
              <w:rPr>
                <w:rFonts w:hint="eastAsia" w:ascii="宋体" w:hAnsi="宋体" w:eastAsia="宋体" w:cs="宋体"/>
                <w:b/>
                <w:bCs/>
                <w:color w:val="auto"/>
                <w:kern w:val="0"/>
                <w:sz w:val="21"/>
                <w:szCs w:val="21"/>
                <w:highlight w:val="none"/>
                <w:lang w:val="en-US" w:eastAsia="zh-CN" w:bidi="ar-SA"/>
              </w:rPr>
              <w:t>）</w:t>
            </w:r>
          </w:p>
        </w:tc>
      </w:tr>
      <w:tr w14:paraId="39C492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8E7A12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响应程度</w:t>
            </w:r>
          </w:p>
        </w:tc>
        <w:tc>
          <w:tcPr>
            <w:tcW w:w="354" w:type="pct"/>
            <w:tcBorders>
              <w:tl2br w:val="nil"/>
              <w:tr2bl w:val="nil"/>
            </w:tcBorders>
            <w:vAlign w:val="center"/>
          </w:tcPr>
          <w:p w14:paraId="7872F64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3</w:t>
            </w:r>
            <w:r>
              <w:rPr>
                <w:rFonts w:hint="default" w:ascii="宋体" w:hAnsi="宋体" w:eastAsia="宋体" w:cs="宋体"/>
                <w:b/>
                <w:bCs/>
                <w:color w:val="auto"/>
                <w:kern w:val="0"/>
                <w:sz w:val="21"/>
                <w:szCs w:val="21"/>
                <w:highlight w:val="none"/>
                <w:lang w:val="en-US" w:eastAsia="zh-CN" w:bidi="ar-SA"/>
              </w:rPr>
              <w:t>9</w:t>
            </w:r>
          </w:p>
        </w:tc>
        <w:tc>
          <w:tcPr>
            <w:tcW w:w="3730" w:type="pct"/>
            <w:tcBorders>
              <w:tl2br w:val="nil"/>
              <w:tr2bl w:val="nil"/>
            </w:tcBorders>
            <w:vAlign w:val="center"/>
          </w:tcPr>
          <w:p w14:paraId="506C486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03A930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不符合（负偏离）技术要求中标注“▲”条款（不可偏离）的投标无效；</w:t>
            </w:r>
          </w:p>
          <w:p w14:paraId="5E7D98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满足招标文件明确的全部技术条款要求的该项得满分；</w:t>
            </w:r>
          </w:p>
          <w:p w14:paraId="5F019C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技术条款低于技术要求（负偏离）的每项扣3分；</w:t>
            </w:r>
          </w:p>
          <w:p w14:paraId="519A7DC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负偏离13项及以上的，视为采购人不能接受的附加条件。</w:t>
            </w:r>
          </w:p>
        </w:tc>
      </w:tr>
      <w:tr w14:paraId="7967C3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4F1966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实施能力</w:t>
            </w:r>
          </w:p>
        </w:tc>
        <w:tc>
          <w:tcPr>
            <w:tcW w:w="354" w:type="pct"/>
            <w:tcBorders>
              <w:tl2br w:val="nil"/>
              <w:tr2bl w:val="nil"/>
            </w:tcBorders>
            <w:vAlign w:val="center"/>
          </w:tcPr>
          <w:p w14:paraId="25D52B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7103423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【主观分】</w:t>
            </w:r>
            <w:r>
              <w:rPr>
                <w:rFonts w:hint="eastAsia" w:ascii="宋体" w:hAnsi="宋体" w:cs="宋体"/>
                <w:color w:val="auto"/>
                <w:kern w:val="0"/>
                <w:sz w:val="21"/>
                <w:szCs w:val="21"/>
                <w:highlight w:val="none"/>
                <w:lang w:val="en-US" w:eastAsia="zh-CN" w:bidi="ar-SA"/>
              </w:rPr>
              <w:t>供应商</w:t>
            </w:r>
            <w:r>
              <w:rPr>
                <w:rFonts w:hint="default" w:ascii="宋体" w:hAnsi="宋体" w:eastAsia="宋体" w:cs="宋体"/>
                <w:color w:val="auto"/>
                <w:kern w:val="0"/>
                <w:sz w:val="21"/>
                <w:szCs w:val="21"/>
                <w:highlight w:val="none"/>
                <w:lang w:val="en-US" w:eastAsia="zh-CN" w:bidi="ar-SA"/>
              </w:rPr>
              <w:t>针对本项目具备的项目实施能力及技术支持</w:t>
            </w:r>
            <w:r>
              <w:rPr>
                <w:rFonts w:hint="eastAsia" w:ascii="宋体" w:hAnsi="宋体" w:cs="宋体"/>
                <w:color w:val="auto"/>
                <w:kern w:val="0"/>
                <w:sz w:val="21"/>
                <w:szCs w:val="21"/>
                <w:highlight w:val="none"/>
                <w:lang w:val="en-US" w:eastAsia="zh-CN" w:bidi="ar-SA"/>
              </w:rPr>
              <w:t>情况</w:t>
            </w:r>
            <w:r>
              <w:rPr>
                <w:rFonts w:hint="default" w:ascii="宋体" w:hAnsi="宋体" w:eastAsia="宋体" w:cs="宋体"/>
                <w:color w:val="auto"/>
                <w:kern w:val="0"/>
                <w:sz w:val="21"/>
                <w:szCs w:val="21"/>
                <w:highlight w:val="none"/>
                <w:lang w:val="en-US" w:eastAsia="zh-CN" w:bidi="ar-SA"/>
              </w:rPr>
              <w:t>（评分范围：5,4,3,2,1,0）。</w:t>
            </w:r>
          </w:p>
        </w:tc>
      </w:tr>
      <w:tr w14:paraId="4EF99D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18F9E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拟投入人员</w:t>
            </w:r>
          </w:p>
        </w:tc>
        <w:tc>
          <w:tcPr>
            <w:tcW w:w="354" w:type="pct"/>
            <w:tcBorders>
              <w:tl2br w:val="nil"/>
              <w:tr2bl w:val="nil"/>
            </w:tcBorders>
            <w:vAlign w:val="center"/>
          </w:tcPr>
          <w:p w14:paraId="0369ADD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1DC25CD1">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【主观分】拟投入人员的资质、能力、同类项目经验情况（评分范围：5,4,3,2,1,0）。</w:t>
            </w:r>
          </w:p>
        </w:tc>
      </w:tr>
      <w:tr w14:paraId="0435F1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restart"/>
            <w:tcBorders>
              <w:tl2br w:val="nil"/>
              <w:tr2bl w:val="nil"/>
            </w:tcBorders>
            <w:vAlign w:val="center"/>
          </w:tcPr>
          <w:p w14:paraId="748860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项目实施方案</w:t>
            </w:r>
          </w:p>
        </w:tc>
        <w:tc>
          <w:tcPr>
            <w:tcW w:w="354" w:type="pct"/>
            <w:tcBorders>
              <w:tl2br w:val="nil"/>
              <w:tr2bl w:val="nil"/>
            </w:tcBorders>
            <w:vAlign w:val="center"/>
          </w:tcPr>
          <w:p w14:paraId="4C07F0B2">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5D165F9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【主观分】项目实施的总体设计、排版设计的方案。包括设计与书目匹配情况、排版美观情况，要求方案完整详细，合理性、可行性高，专业性、针对性强（评分范围：5,4,3,2,1,0）。</w:t>
            </w:r>
          </w:p>
        </w:tc>
      </w:tr>
      <w:tr w14:paraId="28559F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C9FD93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43079BD1">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72BC45C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【主观分】项目实施的编辑、校对、审稿的方案。包括常规文字审查、</w:t>
            </w:r>
            <w:r>
              <w:rPr>
                <w:rFonts w:hint="eastAsia" w:ascii="宋体" w:hAnsi="宋体" w:eastAsia="宋体" w:cs="宋体"/>
                <w:bCs/>
                <w:color w:val="auto"/>
                <w:kern w:val="2"/>
                <w:sz w:val="21"/>
                <w:szCs w:val="21"/>
                <w:highlight w:val="none"/>
                <w:lang w:val="en-US" w:eastAsia="zh-CN" w:bidi="ar"/>
              </w:rPr>
              <w:t>对科学性、知识性问题和政治敏感问题、民族宗教问题进行把关，</w:t>
            </w:r>
            <w:r>
              <w:rPr>
                <w:rFonts w:hint="eastAsia" w:ascii="宋体" w:hAnsi="宋体" w:eastAsia="宋体" w:cs="宋体"/>
                <w:color w:val="auto"/>
                <w:kern w:val="2"/>
                <w:sz w:val="21"/>
                <w:szCs w:val="21"/>
                <w:highlight w:val="none"/>
                <w:lang w:val="en-US" w:eastAsia="zh-CN" w:bidi="ar"/>
              </w:rPr>
              <w:t>要求方案完整详细，合理性、可行性高，专业性、针对性强（评分范围：5,4,3,2,1,0）。</w:t>
            </w:r>
          </w:p>
        </w:tc>
      </w:tr>
      <w:tr w14:paraId="2AED41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16D4A21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7E8AAD34">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165F483D">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【主观分】项目实施的印刷、装订、出版方案。包括整体质量、成品效果等，要求方案完整详细，合理性、可行性高，专业性、针对性强（评分范围：5,4,3,2,1,0）。</w:t>
            </w:r>
          </w:p>
        </w:tc>
      </w:tr>
      <w:tr w14:paraId="2E9A0C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0CA3F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0AE5619C">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18D384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【主观分】项目实施方案成品运输的方案。要求方案完整详细，合理性、可行性高，专业性、针对性强（评分范围：5,4,3,2,1,0）。</w:t>
            </w:r>
          </w:p>
        </w:tc>
      </w:tr>
      <w:tr w14:paraId="664502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573412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1A7E8C1A">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4C4791A">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针对本项目的进度计划，要求进度计划具备合理性、可实施性，描述具体、针对性强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72FB06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68AB430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212161A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415F0601">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eastAsia="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针对本项目的突发应急预案，要求突发应急预案具备合理性，可行性，内容完整、描述具体、针对性强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207AEE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76A9FD1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3A49FE1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634CBD5">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【主观分】供应商对本项目实施过程中可能存在的问题提出的合理化建议和改进措施，要求具备合理性，可行性，有利于项目实施（评分范围：5,4,3,2,1,0）。</w:t>
            </w:r>
          </w:p>
        </w:tc>
      </w:tr>
      <w:tr w14:paraId="04D3C5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14452ED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default" w:ascii="宋体" w:hAnsi="宋体" w:eastAsia="宋体" w:cs="宋体"/>
                <w:b/>
                <w:bCs/>
                <w:color w:val="auto"/>
                <w:kern w:val="0"/>
                <w:sz w:val="21"/>
                <w:szCs w:val="21"/>
                <w:highlight w:val="none"/>
                <w:lang w:val="en-US" w:eastAsia="zh-CN" w:bidi="ar-SA"/>
              </w:rPr>
              <w:t>售后服务方案</w:t>
            </w:r>
          </w:p>
        </w:tc>
        <w:tc>
          <w:tcPr>
            <w:tcW w:w="354" w:type="pct"/>
            <w:tcBorders>
              <w:tl2br w:val="nil"/>
              <w:tr2bl w:val="nil"/>
            </w:tcBorders>
            <w:vAlign w:val="center"/>
          </w:tcPr>
          <w:p w14:paraId="5F450069">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51BB67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【主观分】根据售后服务方案的有完整性、合理性、针对性，专业服务力量和服务保障方案的详细程度（评分范围：5,4,3,2,1,0）。</w:t>
            </w:r>
          </w:p>
        </w:tc>
      </w:tr>
    </w:tbl>
    <w:p w14:paraId="53EF9B89">
      <w:pPr>
        <w:keepNext w:val="0"/>
        <w:keepLines w:val="0"/>
        <w:widowControl/>
        <w:suppressLineNumbers w:val="0"/>
        <w:spacing w:line="288" w:lineRule="auto"/>
        <w:jc w:val="left"/>
        <w:rPr>
          <w:rFonts w:hint="eastAsia" w:ascii="宋体" w:hAnsi="宋体" w:eastAsia="宋体" w:cs="宋体"/>
          <w:b/>
          <w:bCs/>
          <w:color w:val="auto"/>
          <w:spacing w:val="0"/>
          <w:kern w:val="0"/>
          <w:sz w:val="21"/>
          <w:szCs w:val="21"/>
          <w:highlight w:val="none"/>
          <w:lang w:val="en-US" w:eastAsia="zh-CN" w:bidi="ar"/>
        </w:rPr>
      </w:pPr>
    </w:p>
    <w:p w14:paraId="3A7210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三、投标无效的情形</w:t>
      </w:r>
    </w:p>
    <w:p w14:paraId="5AE0AA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未响应招标文件“▲”标记条款要求的，投标无效。</w:t>
      </w:r>
    </w:p>
    <w:p w14:paraId="7A35CB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1.在资格审查时，有下列情形之一的，资格审查不通过，投标无效：</w:t>
      </w:r>
    </w:p>
    <w:p w14:paraId="79F188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（1）资格证明材料不全的，或者不符合招标文件要求；</w:t>
      </w:r>
    </w:p>
    <w:p w14:paraId="602BEAA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（2）投标人不具备招标文件中规定的资格要求；</w:t>
      </w:r>
    </w:p>
    <w:p w14:paraId="5A48B5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647EC5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2.在符合性审查、商务和技术评审时，有下列情形之一的，投标无效：</w:t>
      </w:r>
    </w:p>
    <w:p w14:paraId="0268D1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F3AED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（2）未提供或未按要求提供投标函、授权委托书；</w:t>
      </w:r>
    </w:p>
    <w:p w14:paraId="69C39C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（3）委托授权代表参加投标但未提供符合要求的授权代表社保缴纳证明；</w:t>
      </w:r>
    </w:p>
    <w:p w14:paraId="47B347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（4）未提供或未如实提供投标偏离表；</w:t>
      </w:r>
    </w:p>
    <w:p w14:paraId="3C06F9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（5）明显不符合招标文件要求，或负偏离达到规定数目的，视为采购人不能接受的附加条件；</w:t>
      </w:r>
    </w:p>
    <w:p w14:paraId="5805AA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（6）投标技术方案不明确，存在一个或一个以上备选（替代）投标方案</w:t>
      </w:r>
      <w:r>
        <w:rPr>
          <w:rFonts w:hint="eastAsia" w:ascii="宋体" w:hAnsi="宋体" w:eastAsia="宋体" w:cs="宋体"/>
          <w:color w:val="auto"/>
          <w:spacing w:val="-6"/>
          <w:kern w:val="0"/>
          <w:sz w:val="21"/>
          <w:szCs w:val="21"/>
          <w:highlight w:val="none"/>
          <w:lang w:val="en-US" w:eastAsia="zh-CN" w:bidi="ar"/>
        </w:rPr>
        <w:t>，但招标文件要求提交备选的除外；</w:t>
      </w:r>
    </w:p>
    <w:p w14:paraId="2660D23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（7）投标文件含有采购人不能接受的附加条件；</w:t>
      </w:r>
    </w:p>
    <w:p w14:paraId="119E0B2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（8）法律、法规和招标文件规定的其他无效情形。</w:t>
      </w:r>
    </w:p>
    <w:p w14:paraId="060A24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3.在报价评审时，有下列情形之一的，投标无效：</w:t>
      </w:r>
    </w:p>
    <w:p w14:paraId="4CA9E2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（1）报价文件未按要求签署、盖章；</w:t>
      </w:r>
    </w:p>
    <w:p w14:paraId="05DDD6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（2）未按照招标文件标明的币种报价；</w:t>
      </w:r>
    </w:p>
    <w:p w14:paraId="6119A6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（3）报价内容有缺漏项，或者与招标文件要求不一致；</w:t>
      </w:r>
    </w:p>
    <w:p w14:paraId="3A05CC3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（4）报价超过招标文件中规定的预算金额或者最高限价；</w:t>
      </w:r>
    </w:p>
    <w:p w14:paraId="6B8F34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（5）报价具有选择性；</w:t>
      </w:r>
    </w:p>
    <w:p w14:paraId="4C0330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4.有下列情形之一的，视为投标人串通投标，其投标无效：</w:t>
      </w:r>
    </w:p>
    <w:p w14:paraId="36C648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（1）不同投标人的投标文件由同一单位或者个人编制；</w:t>
      </w:r>
    </w:p>
    <w:p w14:paraId="756786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（2）不同投标人委托同一单位或者个人办理投标事宜；</w:t>
      </w:r>
    </w:p>
    <w:p w14:paraId="07CBD2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（3）不同投标人的投标文件载明的项目管理成员或者联系人员为同一人；</w:t>
      </w:r>
    </w:p>
    <w:p w14:paraId="568852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（4）不同投标人的投标文件异常一致或者投标报价呈规律性差异；</w:t>
      </w:r>
    </w:p>
    <w:p w14:paraId="7373B4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（5）不同投标人的投标文件相互混装。</w:t>
      </w:r>
    </w:p>
    <w:p w14:paraId="5D8B5A1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5.参与同一个采购包（标项）的供应商存在下列情形之一且无法合理解释的，其投标文件无效：</w:t>
      </w:r>
    </w:p>
    <w:p w14:paraId="54F684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（1）不同供应商的电子投标文件上传计算机的网卡MAC地址或硬盘序列号等硬件信息相同的；</w:t>
      </w:r>
    </w:p>
    <w:p w14:paraId="653441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（2）上传的电子投标文件若出现使用本项目其他投标供应商的数字证书加密的，或者加盖本项目其他投标供应商的电子印章的；</w:t>
      </w:r>
    </w:p>
    <w:p w14:paraId="20094889">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（3）不同供应商的投标文件的内容存在3处（含）以上错误一致的；</w:t>
      </w:r>
    </w:p>
    <w:p w14:paraId="3C01E5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6B9FEA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68000658">
      <w:pPr>
        <w:pageBreakBefore w:val="0"/>
        <w:widowControl w:val="0"/>
        <w:kinsoku/>
        <w:wordWrap/>
        <w:overflowPunct/>
        <w:topLinePunct w:val="0"/>
        <w:bidi w:val="0"/>
        <w:spacing w:line="288" w:lineRule="auto"/>
        <w:ind w:firstLine="562" w:firstLineChars="200"/>
        <w:jc w:val="center"/>
        <w:textAlignment w:val="auto"/>
        <w:rPr>
          <w:rFonts w:hint="eastAsia" w:ascii="宋体" w:hAnsi="宋体" w:cs="宋体"/>
          <w:b/>
          <w:bCs/>
          <w:color w:val="auto"/>
          <w:kern w:val="0"/>
          <w:sz w:val="28"/>
          <w:szCs w:val="28"/>
          <w:highlight w:val="none"/>
          <w:lang w:val="en-US" w:eastAsia="zh-CN" w:bidi="ar-SA"/>
        </w:rPr>
      </w:pP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b/>
          <w:bCs/>
          <w:color w:val="auto"/>
          <w:kern w:val="0"/>
          <w:sz w:val="28"/>
          <w:szCs w:val="28"/>
          <w:highlight w:val="none"/>
          <w:lang w:val="en-US" w:eastAsia="zh-CN" w:bidi="ar-SA"/>
        </w:rPr>
        <w:t>杭州电子科技大学教育发展基金会</w:t>
      </w:r>
      <w:r>
        <w:rPr>
          <w:rFonts w:hint="eastAsia" w:ascii="宋体" w:hAnsi="宋体" w:eastAsia="宋体" w:cs="宋体"/>
          <w:b/>
          <w:bCs/>
          <w:color w:val="auto"/>
          <w:kern w:val="0"/>
          <w:sz w:val="28"/>
          <w:szCs w:val="28"/>
          <w:highlight w:val="none"/>
          <w:lang w:val="en-US" w:eastAsia="zh-CN" w:bidi="ar-SA"/>
        </w:rPr>
        <w:t>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w:t>
      </w:r>
      <w:r>
        <w:rPr>
          <w:rFonts w:hint="eastAsia" w:ascii="宋体" w:hAnsi="宋体" w:cs="宋体"/>
          <w:color w:val="auto"/>
          <w:kern w:val="0"/>
          <w:sz w:val="21"/>
          <w:szCs w:val="20"/>
          <w:highlight w:val="none"/>
          <w:lang w:val="en-US" w:eastAsia="zh-CN" w:bidi="ar-SA"/>
        </w:rPr>
        <w:t>杭州电子科技大学教育发展基金会</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69"/>
        <w:gridCol w:w="3542"/>
        <w:gridCol w:w="4030"/>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1"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1"/>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教育发展基金会。开户银行：浙商银行杭州文新支行。银行账号：3310011210120100027655。</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cs="宋体"/>
          <w:color w:val="auto"/>
          <w:kern w:val="0"/>
          <w:sz w:val="21"/>
          <w:szCs w:val="20"/>
          <w:highlight w:val="none"/>
          <w:u w:val="single"/>
          <w:lang w:val="en-US" w:eastAsia="zh-CN" w:bidi="ar-SA"/>
        </w:rPr>
        <w:t>3</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%；服务完成，经甲方验收合格并收到发票后7个工作日内，向乙方支付合同总价的</w:t>
      </w:r>
      <w:r>
        <w:rPr>
          <w:rFonts w:hint="eastAsia" w:ascii="宋体" w:hAnsi="宋体" w:cs="宋体"/>
          <w:color w:val="auto"/>
          <w:kern w:val="0"/>
          <w:sz w:val="21"/>
          <w:szCs w:val="20"/>
          <w:highlight w:val="none"/>
          <w:u w:val="single"/>
          <w:lang w:val="en-US" w:eastAsia="zh-CN" w:bidi="ar-SA"/>
        </w:rPr>
        <w:t>7</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%。若供应商收取预付款，要求预付款保函有效期覆盖项目履约时间；提供了预付款保函则供应商无需再缴纳履约保证金。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019E2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213580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服务</w:t>
      </w:r>
      <w:r>
        <w:rPr>
          <w:rFonts w:hint="eastAsia" w:ascii="宋体" w:hAnsi="宋体" w:eastAsia="宋体" w:cs="宋体"/>
          <w:color w:val="auto"/>
          <w:kern w:val="0"/>
          <w:sz w:val="21"/>
          <w:szCs w:val="21"/>
          <w:highlight w:val="none"/>
          <w:lang w:val="en-US" w:eastAsia="zh-CN" w:bidi="ar-SA"/>
        </w:rPr>
        <w:t>完成</w:t>
      </w:r>
      <w:r>
        <w:rPr>
          <w:rFonts w:hint="eastAsia" w:ascii="宋体" w:hAnsi="宋体" w:eastAsia="宋体" w:cs="宋体"/>
          <w:color w:val="auto"/>
          <w:kern w:val="0"/>
          <w:sz w:val="21"/>
          <w:szCs w:val="20"/>
          <w:highlight w:val="none"/>
          <w:lang w:val="en-US" w:eastAsia="zh-CN" w:bidi="ar-SA"/>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 xml:space="preserve">末（月\季度\半年\年），合同生效、具备使用条件并经甲方验收合格并收到发票后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服务期满1个月，</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支付合同总价的50%；服务完成，经</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验收合格并收到增值税发票后7个工作日内，向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0D09CB5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单位名称：杭州电子科技大学教育发展基金会。税号：53330000A9337664X2</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w:t>
      </w:r>
      <w:r>
        <w:rPr>
          <w:rFonts w:hint="eastAsia" w:ascii="宋体" w:hAnsi="宋体" w:cs="宋体"/>
          <w:color w:val="auto"/>
          <w:kern w:val="0"/>
          <w:sz w:val="21"/>
          <w:szCs w:val="20"/>
          <w:highlight w:val="none"/>
          <w:lang w:val="en-US" w:eastAsia="zh-CN" w:bidi="ar-SA"/>
        </w:rPr>
        <w:t>浙商银行杭州文新支行</w:t>
      </w:r>
      <w:r>
        <w:rPr>
          <w:rFonts w:hint="eastAsia" w:ascii="宋体" w:hAnsi="宋体" w:eastAsia="宋体" w:cs="宋体"/>
          <w:color w:val="auto"/>
          <w:kern w:val="0"/>
          <w:sz w:val="21"/>
          <w:szCs w:val="20"/>
          <w:highlight w:val="none"/>
          <w:lang w:val="en-US" w:eastAsia="zh-CN" w:bidi="ar-SA"/>
        </w:rPr>
        <w:t>。账号：1202026209008806216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2" w:name="_Hlk155173514"/>
      <w:r>
        <w:rPr>
          <w:rFonts w:hint="eastAsia" w:ascii="宋体" w:hAnsi="宋体" w:eastAsia="宋体" w:cs="宋体"/>
          <w:color w:val="auto"/>
          <w:kern w:val="0"/>
          <w:sz w:val="21"/>
          <w:szCs w:val="20"/>
          <w:highlight w:val="none"/>
          <w:lang w:val="en-US" w:eastAsia="zh-CN" w:bidi="ar-SA"/>
        </w:rPr>
        <w:t>八、</w:t>
      </w:r>
      <w:bookmarkEnd w:id="2"/>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3"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3"/>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4" w:name="_Hlk154756502"/>
      <w:r>
        <w:rPr>
          <w:rFonts w:hint="eastAsia" w:ascii="宋体" w:hAnsi="宋体" w:eastAsia="宋体" w:cs="宋体"/>
          <w:color w:val="auto"/>
          <w:spacing w:val="-6"/>
          <w:kern w:val="0"/>
          <w:sz w:val="21"/>
          <w:szCs w:val="20"/>
          <w:highlight w:val="none"/>
          <w:lang w:val="en-US" w:eastAsia="zh-CN" w:bidi="ar-SA"/>
        </w:rPr>
        <w:t>3.</w:t>
      </w:r>
      <w:bookmarkEnd w:id="4"/>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5"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5"/>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2"/>
        <w:gridCol w:w="4498"/>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w:t>
            </w:r>
            <w:r>
              <w:rPr>
                <w:rFonts w:hint="eastAsia" w:ascii="宋体" w:hAnsi="宋体" w:cs="宋体"/>
                <w:color w:val="auto"/>
                <w:spacing w:val="-6"/>
                <w:kern w:val="0"/>
                <w:sz w:val="21"/>
                <w:szCs w:val="21"/>
                <w:highlight w:val="none"/>
                <w:lang w:val="en-US" w:eastAsia="zh-CN" w:bidi="ar-SA"/>
              </w:rPr>
              <w:t>杭州电子科技大学教育发展基金会</w:t>
            </w:r>
            <w:r>
              <w:rPr>
                <w:rFonts w:hint="eastAsia" w:ascii="宋体" w:hAnsi="宋体" w:eastAsia="宋体" w:cs="宋体"/>
                <w:color w:val="auto"/>
                <w:spacing w:val="-6"/>
                <w:kern w:val="0"/>
                <w:sz w:val="21"/>
                <w:szCs w:val="21"/>
                <w:highlight w:val="none"/>
                <w:lang w:val="en-US" w:eastAsia="zh-CN" w:bidi="ar-SA"/>
              </w:rPr>
              <w:t>（公章）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开户银行：浙商银行杭州文新支行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帐号：3310011210120100027655</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5273206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投标文件格式</w:t>
      </w:r>
    </w:p>
    <w:p w14:paraId="3F82928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5FAE98D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投标文件组成</w:t>
      </w:r>
    </w:p>
    <w:p w14:paraId="707C6F6F">
      <w:pPr>
        <w:keepNext w:val="0"/>
        <w:keepLines w:val="0"/>
        <w:widowControl/>
        <w:suppressLineNumbers w:val="0"/>
        <w:spacing w:line="288" w:lineRule="auto"/>
        <w:ind w:left="0" w:firstLine="0"/>
        <w:jc w:val="left"/>
        <w:rPr>
          <w:rFonts w:hint="eastAsia" w:ascii="宋体" w:hAnsi="宋体" w:eastAsia="宋体" w:cs="宋体"/>
          <w:b/>
          <w:bCs/>
          <w:color w:val="auto"/>
          <w:kern w:val="0"/>
          <w:sz w:val="21"/>
          <w:szCs w:val="21"/>
          <w:highlight w:val="none"/>
          <w:lang w:val="en-US" w:eastAsia="zh-CN" w:bidi="ar"/>
        </w:rPr>
      </w:pPr>
    </w:p>
    <w:p w14:paraId="4A8C6D2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评分索引表</w:t>
      </w:r>
    </w:p>
    <w:p w14:paraId="5154D33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78B557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131A2DCE">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r>
        <w:rPr>
          <w:rFonts w:hint="eastAsia" w:ascii="宋体" w:hAnsi="宋体" w:cs="宋体"/>
          <w:color w:val="auto"/>
          <w:kern w:val="0"/>
          <w:sz w:val="21"/>
          <w:szCs w:val="21"/>
          <w:highlight w:val="none"/>
          <w:lang w:val="en-US" w:eastAsia="zh-CN" w:bidi="ar"/>
        </w:rPr>
        <w:t>符合参加采购活动应当具备的一般条件的承诺函</w:t>
      </w:r>
    </w:p>
    <w:p w14:paraId="630EAF1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21E97E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（三）本项目的特定资格要求：根据投标邀请“申请人的资格要求”提供。</w:t>
      </w:r>
    </w:p>
    <w:p w14:paraId="5AEBB23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060569A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（一）投标函</w:t>
      </w:r>
    </w:p>
    <w:p w14:paraId="789ECA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3C4F860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（三）投标标的清单</w:t>
      </w:r>
    </w:p>
    <w:p w14:paraId="6BA3D8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（四）投标偏离表</w:t>
      </w:r>
    </w:p>
    <w:p w14:paraId="58E58C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（五）评标标准相应的商务和技术资料</w:t>
      </w:r>
    </w:p>
    <w:p w14:paraId="792C08E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06C7A398">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（一）开标一览表</w:t>
      </w:r>
    </w:p>
    <w:p w14:paraId="627B7073">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（如有）报价情况说明</w:t>
      </w:r>
    </w:p>
    <w:p w14:paraId="377463D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投标文件格式</w:t>
      </w:r>
    </w:p>
    <w:p w14:paraId="75FE1349">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56480DDD">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23F5901E">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88570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1、供应商应按照招标文件规定</w:t>
      </w:r>
      <w:r>
        <w:rPr>
          <w:rFonts w:hint="eastAsia" w:ascii="宋体" w:hAnsi="宋体" w:eastAsia="宋体" w:cs="宋体"/>
          <w:color w:val="auto"/>
          <w:kern w:val="0"/>
          <w:sz w:val="21"/>
          <w:szCs w:val="21"/>
          <w:highlight w:val="none"/>
          <w:lang w:val="en-US" w:eastAsia="zh-CN" w:bidi="ar"/>
        </w:rPr>
        <w:t>的编制要求编制投标文件；</w:t>
      </w:r>
    </w:p>
    <w:p w14:paraId="27E9411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2、投标文件编制应与响应情况、评标标准相对应，提供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733383E8">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4881667B">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5915A19">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0104A4D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备注：本表仅为方便评标使用，不作为判别投标文件是否有效的依据。</w:t>
      </w:r>
    </w:p>
    <w:p w14:paraId="569AEE2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351D70D9">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6C9064A3">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0D02B91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w:t>
      </w:r>
      <w:r>
        <w:rPr>
          <w:rFonts w:hint="eastAsia" w:ascii="宋体" w:hAnsi="宋体" w:cs="宋体"/>
          <w:b/>
          <w:bCs/>
          <w:color w:val="auto"/>
          <w:spacing w:val="-6"/>
          <w:kern w:val="0"/>
          <w:sz w:val="21"/>
          <w:szCs w:val="21"/>
          <w:highlight w:val="none"/>
          <w:lang w:val="en-US" w:eastAsia="zh-CN" w:bidi="ar"/>
        </w:rPr>
        <w:t>符合参加采购活动应当具备的一般条件的承诺函</w:t>
      </w:r>
    </w:p>
    <w:p w14:paraId="01BB6F86">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0A3262D1">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杭州电子科技大学教育发展基金会</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3C6DFFE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QSZBB260271FFGKLL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采购活动，郑重承诺：</w:t>
      </w:r>
    </w:p>
    <w:p w14:paraId="47379DB2">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w:t>
      </w:r>
      <w:r>
        <w:rPr>
          <w:rFonts w:hint="eastAsia" w:ascii="宋体" w:hAnsi="宋体" w:cs="宋体"/>
          <w:b/>
          <w:bCs/>
          <w:color w:val="auto"/>
          <w:spacing w:val="-6"/>
          <w:kern w:val="0"/>
          <w:sz w:val="21"/>
          <w:szCs w:val="21"/>
          <w:highlight w:val="none"/>
          <w:lang w:val="en-US" w:eastAsia="zh-CN" w:bidi="ar"/>
        </w:rPr>
        <w:t>以下</w:t>
      </w:r>
      <w:r>
        <w:rPr>
          <w:rFonts w:hint="eastAsia" w:ascii="宋体" w:hAnsi="宋体" w:eastAsia="宋体" w:cs="宋体"/>
          <w:b/>
          <w:bCs/>
          <w:color w:val="auto"/>
          <w:spacing w:val="-6"/>
          <w:kern w:val="0"/>
          <w:sz w:val="21"/>
          <w:szCs w:val="21"/>
          <w:highlight w:val="none"/>
          <w:lang w:val="en-US" w:eastAsia="zh-CN" w:bidi="ar"/>
        </w:rPr>
        <w:t>规定的条件：</w:t>
      </w:r>
    </w:p>
    <w:p w14:paraId="4B97B395">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6C26A90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6A6408D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22B9A53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6F17E44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5、参加采购活动前三年内，在经营活动中没有重大违法记录；</w:t>
      </w:r>
    </w:p>
    <w:p w14:paraId="19E7212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0EABADD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1DCAAB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1B1959B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1、单位负责人为同一人或者存在直接控股、管理关系的不同供应商参加同一合同项下的采购活动的；</w:t>
      </w:r>
    </w:p>
    <w:p w14:paraId="4DCD20D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r>
        <w:rPr>
          <w:rFonts w:hint="eastAsia" w:ascii="宋体" w:hAnsi="宋体" w:cs="宋体"/>
          <w:color w:val="auto"/>
          <w:spacing w:val="-6"/>
          <w:kern w:val="0"/>
          <w:sz w:val="21"/>
          <w:szCs w:val="21"/>
          <w:highlight w:val="none"/>
          <w:lang w:val="en-US" w:eastAsia="zh-CN" w:bidi="ar"/>
        </w:rPr>
        <w:t>。</w:t>
      </w:r>
    </w:p>
    <w:p w14:paraId="4E2F24E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7C10888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0B4B40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66374A0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7BD034D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18AA457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D85A15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4FCF955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141BC8C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2BAE3D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7A4C2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342F1E2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48314A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5C5DAB7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w:t>
      </w:r>
      <w:r>
        <w:rPr>
          <w:rFonts w:hint="eastAsia" w:ascii="宋体" w:hAnsi="宋体" w:eastAsia="宋体" w:cs="宋体"/>
          <w:b/>
          <w:bCs/>
          <w:color w:val="auto"/>
          <w:kern w:val="0"/>
          <w:sz w:val="21"/>
          <w:szCs w:val="21"/>
          <w:highlight w:val="none"/>
          <w:lang w:val="en-US" w:eastAsia="zh-CN" w:bidi="ar"/>
        </w:rPr>
        <w:t>本项目的特定资格要求</w:t>
      </w:r>
    </w:p>
    <w:p w14:paraId="1DDA0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根据投标邀请“申请人的资格要求”提供。</w:t>
      </w:r>
    </w:p>
    <w:p w14:paraId="6285C8C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A9B67E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A28AB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（一）投标函</w:t>
      </w:r>
    </w:p>
    <w:p w14:paraId="4597BDC5">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7BD7398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1535B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QSZBB260271FFGKLL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采购的有关活动，并对此项目进行投标。为此：</w:t>
      </w:r>
    </w:p>
    <w:p w14:paraId="7AC67E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（一）我方的投标文件包括资格文件、商务和技术文件、报价文件。</w:t>
      </w:r>
    </w:p>
    <w:p w14:paraId="715050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（二）我方承诺投标有效期从投标截止日起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天（不少于90天），本投标文件在投标有效期满之前均具有约束力。</w:t>
      </w:r>
    </w:p>
    <w:p w14:paraId="6897D92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（三）我方承诺除投标偏离表列出的偏离外，我方响应招标文件的全部要求。对投标文件中材料的真实性、合法性负责。</w:t>
      </w:r>
    </w:p>
    <w:p w14:paraId="18F6EA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（四）如我方中标，我方承诺：</w:t>
      </w:r>
    </w:p>
    <w:p w14:paraId="618A23A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1、在收到中标通知书后，在中标通知书规定的期限内与你方签订合同；</w:t>
      </w:r>
    </w:p>
    <w:p w14:paraId="261E03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D5DB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3、按照招标文件要求交纳采购代理服务费等应付费用；</w:t>
      </w:r>
    </w:p>
    <w:p w14:paraId="639E91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4、按照招标文件要求提交履约保证金；</w:t>
      </w:r>
    </w:p>
    <w:p w14:paraId="51176C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0A90044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w:t>
      </w:r>
      <w:r>
        <w:rPr>
          <w:rFonts w:hint="eastAsia" w:ascii="宋体" w:hAnsi="宋体" w:cs="宋体"/>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w:t>
      </w:r>
    </w:p>
    <w:p w14:paraId="74A5C15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481B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47FE5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ACFEB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A9AE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0F259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D1150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BD528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66AB38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0763AE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2126E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C3E01D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235DC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50D6938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144EB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0D2FCF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1794664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2225D02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545134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253564F4">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杭州电子科技大学教育发展基金会</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3E23A00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QSZBB260271FFGKLL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采购投标有关的一切事项，其法律后果由我方承担。</w:t>
      </w:r>
    </w:p>
    <w:p w14:paraId="2F294EC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6D772B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5C75427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828E2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2AE72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2FB491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21CC08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7474C6A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1.按照【第三章 投标人须知】要求提供相关身份证明材料；</w:t>
      </w:r>
    </w:p>
    <w:p w14:paraId="350441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2.相关说明（如有）。</w:t>
      </w:r>
    </w:p>
    <w:p w14:paraId="3D66EB4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C8F9A16">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7E2B44B">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本人参加投标</w:t>
      </w:r>
      <w:r>
        <w:rPr>
          <w:rFonts w:hint="eastAsia" w:ascii="宋体" w:hAnsi="宋体" w:eastAsia="宋体" w:cs="宋体"/>
          <w:color w:val="auto"/>
          <w:kern w:val="0"/>
          <w:sz w:val="21"/>
          <w:szCs w:val="21"/>
          <w:highlight w:val="none"/>
          <w:u w:val="single"/>
          <w:lang w:val="en-US" w:eastAsia="zh-CN" w:bidi="ar"/>
        </w:rPr>
        <w:t>）</w:t>
      </w:r>
    </w:p>
    <w:p w14:paraId="4B25A9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1571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AC807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75ADFA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（三）投标标的清单</w:t>
      </w:r>
    </w:p>
    <w:p w14:paraId="7BBE4B3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5AA51F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52575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QSZBB260271FFGKLL</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83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73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4C3B2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02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2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101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55CFEFA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C66CA1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7DB67B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54D32E3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B76D05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07EF2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0CF7BE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7C21226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3.“制造商”按单个标的整体的生产企业确定，与组成标的部件或材料制造商无关。</w:t>
      </w:r>
    </w:p>
    <w:p w14:paraId="4A5A8EF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（四）投标偏离表</w:t>
      </w:r>
    </w:p>
    <w:p w14:paraId="33AE4F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073AC5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QSZBB260271FFGKLL</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4AC87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9A3CBC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E7F1C0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5D3251B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B461E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524BB1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08B475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1.供应商对招标文件要求有不同的投标的，应在投标偏离表中列明；</w:t>
      </w:r>
    </w:p>
    <w:p w14:paraId="19BCA9B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或与其一致）。说明是指对招标文件要求存在不同之处的解释说明。</w:t>
      </w:r>
    </w:p>
    <w:p w14:paraId="6957404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3.如供应商提供的“投标偏离表”响应情况与产品技术支持材料、投标样品（如有）不一致，且无法合理解释的，视为与事实不符。</w:t>
      </w:r>
    </w:p>
    <w:p w14:paraId="2A81AEF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（五）评标标准相应的商务和技术资料</w:t>
      </w:r>
    </w:p>
    <w:p w14:paraId="227B5BD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32EC868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D9D73D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按招标文件【第四章  评标方法和评标标准】及评审因素相应的内容，逐项提供商务和技术资料。</w:t>
      </w:r>
    </w:p>
    <w:p w14:paraId="459E81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2、评标</w:t>
      </w:r>
      <w:r>
        <w:rPr>
          <w:rFonts w:hint="eastAsia" w:ascii="宋体" w:hAnsi="宋体" w:cs="宋体"/>
          <w:color w:val="auto"/>
          <w:kern w:val="0"/>
          <w:sz w:val="21"/>
          <w:szCs w:val="21"/>
          <w:highlight w:val="none"/>
          <w:lang w:val="en-US" w:eastAsia="zh-CN" w:bidi="ar"/>
        </w:rPr>
        <w:t>委员会</w:t>
      </w:r>
      <w:r>
        <w:rPr>
          <w:rFonts w:hint="eastAsia" w:ascii="宋体" w:hAnsi="宋体" w:eastAsia="宋体" w:cs="宋体"/>
          <w:color w:val="auto"/>
          <w:kern w:val="0"/>
          <w:sz w:val="21"/>
          <w:szCs w:val="21"/>
          <w:highlight w:val="none"/>
          <w:lang w:val="en-US" w:eastAsia="zh-CN" w:bidi="ar"/>
        </w:rPr>
        <w:t>依据供应商在投标文件中提供的商务和技术资料进行商务和技术评分。</w:t>
      </w:r>
    </w:p>
    <w:p w14:paraId="2BBFA70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7546E21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DF1E16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（一）开标一览表</w:t>
      </w:r>
    </w:p>
    <w:p w14:paraId="27E55A0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0E4B5A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6EAC623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QSZBB260271FFGKLL</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B8D9A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3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67900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3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F9D62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47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D0D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具体服务</w:t>
            </w:r>
          </w:p>
        </w:tc>
        <w:tc>
          <w:tcPr>
            <w:tcW w:w="81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6E3E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9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D2C5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7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70F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002B66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4D249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207D8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6159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D40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3EA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CC14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889FB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389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0C03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4EA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B81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0DEB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E6049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1438B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88F43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1F95F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70B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8A89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C9DF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98A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5CF58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PrEx>
        <w:trPr>
          <w:trHeight w:val="340" w:hRule="atLeast"/>
        </w:trPr>
        <w:tc>
          <w:tcPr>
            <w:tcW w:w="9896"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7F09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投标报价</w:t>
            </w:r>
            <w:r>
              <w:rPr>
                <w:rFonts w:hint="eastAsia" w:ascii="宋体" w:hAnsi="宋体" w:eastAsia="宋体" w:cs="宋体"/>
                <w:i w:val="0"/>
                <w:iCs w:val="0"/>
                <w:color w:val="auto"/>
                <w:kern w:val="0"/>
                <w:sz w:val="21"/>
                <w:szCs w:val="21"/>
                <w:highlight w:val="none"/>
                <w:lang w:val="en-US" w:eastAsia="zh-CN" w:bidi="ar"/>
              </w:rPr>
              <w:t>（计价单位：人民币元）</w:t>
            </w:r>
          </w:p>
          <w:p w14:paraId="609EF9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总价（小写）：________________</w:t>
            </w:r>
          </w:p>
          <w:p w14:paraId="59837F2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1BE67B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FF6F76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2EEF71B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4574D16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83AF6C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DFF16C9">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（如有）报价情况说明</w:t>
      </w:r>
    </w:p>
    <w:p w14:paraId="1D0ADF57">
      <w:pPr>
        <w:keepNext w:val="0"/>
        <w:keepLines w:val="0"/>
        <w:widowControl/>
        <w:suppressLineNumbers w:val="0"/>
        <w:autoSpaceDE w:val="0"/>
        <w:autoSpaceDN/>
        <w:spacing w:line="288" w:lineRule="auto"/>
        <w:ind w:left="0" w:firstLine="412"/>
        <w:jc w:val="lef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kern w:val="0"/>
          <w:sz w:val="21"/>
          <w:szCs w:val="21"/>
          <w:highlight w:val="none"/>
          <w:lang w:val="en-US" w:eastAsia="zh-CN" w:bidi="ar"/>
        </w:rPr>
        <w:t>▲供应商报价低于采购项目最高限价45%的，即投标报价&lt;采购项目最高限价×45%，提供书面说明及必要的证明材料，对投标价格作出解释。书面说明、证明材料主要是</w:t>
      </w:r>
      <w:r>
        <w:rPr>
          <w:rFonts w:hint="eastAsia" w:ascii="宋体" w:hAnsi="宋体" w:eastAsia="宋体" w:cs="宋体"/>
          <w:b/>
          <w:bCs/>
          <w:color w:val="auto"/>
          <w:spacing w:val="-2"/>
          <w:kern w:val="0"/>
          <w:sz w:val="21"/>
          <w:szCs w:val="21"/>
          <w:highlight w:val="none"/>
          <w:lang w:val="en-US" w:eastAsia="zh-CN" w:bidi="ar"/>
        </w:rPr>
        <w:t>项目具体成本测算等与报价合理性相关的说明、材料</w:t>
      </w:r>
      <w:r>
        <w:rPr>
          <w:rFonts w:hint="eastAsia" w:ascii="宋体" w:hAnsi="宋体" w:eastAsia="宋体" w:cs="宋体"/>
          <w:color w:val="auto"/>
          <w:spacing w:val="-2"/>
          <w:kern w:val="0"/>
          <w:sz w:val="21"/>
          <w:szCs w:val="21"/>
          <w:highlight w:val="none"/>
          <w:lang w:val="en-US" w:eastAsia="zh-CN" w:bidi="ar"/>
        </w:rPr>
        <w:t>。</w:t>
      </w:r>
    </w:p>
    <w:p w14:paraId="54CA821C">
      <w:pPr>
        <w:pStyle w:val="3"/>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1</w:t>
      </w:r>
      <w:r>
        <w:rPr>
          <w:rFonts w:hint="eastAsia" w:ascii="宋体" w:hAnsi="宋体" w:eastAsia="宋体" w:cs="宋体"/>
          <w:color w:val="auto"/>
          <w:sz w:val="28"/>
          <w:szCs w:val="28"/>
          <w:highlight w:val="none"/>
        </w:rPr>
        <w:t>：业务专用章使用说明函</w:t>
      </w:r>
    </w:p>
    <w:p w14:paraId="55F5ADED">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2534C4C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7A22E4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188F542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邱均平教授文集和纪念集出版</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QSZBB260036FFCSL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4F15A273">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82F6BF1">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015BD64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3C79975A">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8820E82">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09EE3255">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725FEA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ED4200C">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57FE74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40D53F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885DFA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6386298">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1D25B13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9C358F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2</w:t>
      </w:r>
      <w:r>
        <w:rPr>
          <w:rFonts w:hint="eastAsia" w:ascii="宋体" w:hAnsi="宋体" w:eastAsia="宋体" w:cs="宋体"/>
          <w:color w:val="auto"/>
          <w:sz w:val="28"/>
          <w:szCs w:val="28"/>
          <w:highlight w:val="none"/>
        </w:rPr>
        <w:t>：质疑函范本及制作说明</w:t>
      </w:r>
    </w:p>
    <w:p w14:paraId="3327F73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679429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525BF18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26ED7F4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0E5F82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850B03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4EAA5A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2E570F7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DA2977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290DC6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17C996B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523ABB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6B0623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9BD71B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19AD91A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381B4A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77A9FF6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13AD9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BFD57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EC1E81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62D944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D1A313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06A202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3951597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A02429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2D7254A8">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D03FD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0A8FF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3591E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20E680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B9758E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w:t>
      </w:r>
      <w:r>
        <w:rPr>
          <w:rFonts w:hint="eastAsia" w:ascii="宋体" w:hAnsi="宋体" w:cs="宋体"/>
          <w:color w:val="auto"/>
          <w:kern w:val="0"/>
          <w:sz w:val="21"/>
          <w:szCs w:val="21"/>
          <w:highlight w:val="none"/>
          <w:lang w:val="en-US" w:eastAsia="zh-CN" w:bidi="ar"/>
        </w:rPr>
        <w:t>标项</w:t>
      </w:r>
      <w:r>
        <w:rPr>
          <w:rFonts w:hint="eastAsia" w:ascii="宋体" w:hAnsi="宋体" w:eastAsia="宋体" w:cs="宋体"/>
          <w:color w:val="auto"/>
          <w:kern w:val="0"/>
          <w:sz w:val="21"/>
          <w:szCs w:val="21"/>
          <w:highlight w:val="none"/>
          <w:lang w:val="en-US" w:eastAsia="zh-CN" w:bidi="ar"/>
        </w:rPr>
        <w:t>进行质疑，质疑函中应列明具体标项号。</w:t>
      </w:r>
    </w:p>
    <w:p w14:paraId="6CBFF2C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328AB0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24EE60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ADEF5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平台提起质疑的，按照平台相关规定执行。</w:t>
      </w:r>
    </w:p>
    <w:p w14:paraId="2D04A76C">
      <w:pPr>
        <w:keepNext w:val="0"/>
        <w:keepLines w:val="0"/>
        <w:widowControl/>
        <w:suppressLineNumbers w:val="0"/>
        <w:spacing w:line="288" w:lineRule="auto"/>
        <w:jc w:val="left"/>
        <w:rPr>
          <w:rFonts w:hint="eastAsia" w:ascii="宋体" w:hAnsi="宋体" w:eastAsia="宋体" w:cs="宋体"/>
          <w:color w:val="auto"/>
          <w:sz w:val="21"/>
          <w:szCs w:val="21"/>
          <w:highlight w:val="none"/>
        </w:rPr>
      </w:pP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3"/>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A11EC">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38BBFC">
                          <w:pPr>
                            <w:pStyle w:val="5"/>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0A38BBFC">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6"/>
      <w:jc w:val="center"/>
    </w:pPr>
    <w:r>
      <w:rPr>
        <w:rFonts w:hint="eastAsia" w:eastAsiaTheme="minorEastAsia"/>
        <w:lang w:eastAsia="zh-CN"/>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isplayHorizontalDrawingGridEvery w:val="0"/>
  <w:displayVerticalDrawingGridEvery w:val="2"/>
  <w:hdrShapeDefaults>
    <o:shapelayout v:ext="edit">
      <o:idmap v:ext="edit" data="3,4"/>
    </o:shapelayout>
  </w:hdrShapeDefaults>
  <w:compat>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xMGYzNzZiNTdlNGIwOTM0ZjZjNGIzYTJiOWRmYzcifQ=="/>
  </w:docVars>
  <w:rsids>
    <w:rsidRoot w:val="00000000"/>
    <w:rsid w:val="00E775CB"/>
    <w:rsid w:val="02B926FF"/>
    <w:rsid w:val="05CE49C6"/>
    <w:rsid w:val="06F96F5E"/>
    <w:rsid w:val="07681148"/>
    <w:rsid w:val="087B43C8"/>
    <w:rsid w:val="08FD121B"/>
    <w:rsid w:val="0B0C0914"/>
    <w:rsid w:val="0BFD7FF1"/>
    <w:rsid w:val="0CBE715D"/>
    <w:rsid w:val="0CC26EAF"/>
    <w:rsid w:val="0E427F6D"/>
    <w:rsid w:val="0F024638"/>
    <w:rsid w:val="104651D5"/>
    <w:rsid w:val="11AF6E25"/>
    <w:rsid w:val="13DA591E"/>
    <w:rsid w:val="156F79A9"/>
    <w:rsid w:val="180D2F5B"/>
    <w:rsid w:val="19107680"/>
    <w:rsid w:val="196E061F"/>
    <w:rsid w:val="1B562092"/>
    <w:rsid w:val="1BEA2707"/>
    <w:rsid w:val="1C3B4576"/>
    <w:rsid w:val="1D950BAD"/>
    <w:rsid w:val="2087159B"/>
    <w:rsid w:val="2109629B"/>
    <w:rsid w:val="21E54978"/>
    <w:rsid w:val="220A6DF2"/>
    <w:rsid w:val="24526740"/>
    <w:rsid w:val="2623635A"/>
    <w:rsid w:val="265A0AB7"/>
    <w:rsid w:val="2689401B"/>
    <w:rsid w:val="285847AD"/>
    <w:rsid w:val="28846321"/>
    <w:rsid w:val="2E691389"/>
    <w:rsid w:val="304B26BB"/>
    <w:rsid w:val="32291B5E"/>
    <w:rsid w:val="341A36D8"/>
    <w:rsid w:val="3CBD1510"/>
    <w:rsid w:val="3D0C0967"/>
    <w:rsid w:val="3F0E6D25"/>
    <w:rsid w:val="3FDF343F"/>
    <w:rsid w:val="406A3441"/>
    <w:rsid w:val="408742D3"/>
    <w:rsid w:val="40D00CCF"/>
    <w:rsid w:val="42095809"/>
    <w:rsid w:val="436519F5"/>
    <w:rsid w:val="444B08CD"/>
    <w:rsid w:val="44DF168D"/>
    <w:rsid w:val="49F65FE6"/>
    <w:rsid w:val="4A7C341D"/>
    <w:rsid w:val="4B4C5CAC"/>
    <w:rsid w:val="503A35E5"/>
    <w:rsid w:val="50CC1778"/>
    <w:rsid w:val="51B573C7"/>
    <w:rsid w:val="55F043A9"/>
    <w:rsid w:val="55F74DD5"/>
    <w:rsid w:val="56C34B7D"/>
    <w:rsid w:val="580477C0"/>
    <w:rsid w:val="595D269B"/>
    <w:rsid w:val="5967591B"/>
    <w:rsid w:val="59A260E3"/>
    <w:rsid w:val="5BF04BF0"/>
    <w:rsid w:val="611B0808"/>
    <w:rsid w:val="611E6C9B"/>
    <w:rsid w:val="62C83819"/>
    <w:rsid w:val="631F344B"/>
    <w:rsid w:val="632B147D"/>
    <w:rsid w:val="64C0329E"/>
    <w:rsid w:val="6584760B"/>
    <w:rsid w:val="65931376"/>
    <w:rsid w:val="67D902D7"/>
    <w:rsid w:val="68F465CF"/>
    <w:rsid w:val="69333D90"/>
    <w:rsid w:val="6A811388"/>
    <w:rsid w:val="6A9F399C"/>
    <w:rsid w:val="6C35320D"/>
    <w:rsid w:val="71C51D59"/>
    <w:rsid w:val="73392831"/>
    <w:rsid w:val="73BB7E87"/>
    <w:rsid w:val="767E369F"/>
    <w:rsid w:val="78613F13"/>
    <w:rsid w:val="79B01A88"/>
    <w:rsid w:val="7A5552DE"/>
    <w:rsid w:val="7CB9777F"/>
    <w:rsid w:val="7EF144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38</Pages>
  <Words>22663</Words>
  <Characters>23853</Characters>
  <Lines>1</Lines>
  <Paragraphs>1</Paragraphs>
  <TotalTime>18</TotalTime>
  <ScaleCrop>false</ScaleCrop>
  <LinksUpToDate>false</LinksUpToDate>
  <CharactersWithSpaces>24385</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朱建飞</cp:lastModifiedBy>
  <dcterms:modified xsi:type="dcterms:W3CDTF">2026-10-08T09:15:04Z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eyJoZGlkIjoiNGYxNDUzNDA0ZTM3YmMzZGYxM2NmOGRiZmVjNDlmNTEiLCJ1c2VySWQiOiIxNTIwNzc0NTg5In0=</vt:lpwstr>
  </property>
  <property fmtid="{D5CDD505-2E9C-101B-9397-08002B2CF9AE}" pid="3" name="KSOProductBuildVer">
    <vt:lpwstr>2052-12.1.0.18276</vt:lpwstr>
  </property>
  <property fmtid="{D5CDD505-2E9C-101B-9397-08002B2CF9AE}" pid="4" name="ICV">
    <vt:lpwstr>AF1A54208FF04EC1B2A72A51BF3A8801_13</vt:lpwstr>
  </property>
</Properties>
</file>