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rPr>
      </w:pPr>
    </w:p>
    <w:p w14:paraId="3B037FE7">
      <w:pPr>
        <w:adjustRightInd w:val="0"/>
        <w:snapToGrid w:val="0"/>
        <w:spacing w:line="288" w:lineRule="auto"/>
        <w:rPr>
          <w:rFonts w:ascii="楷体" w:hAnsi="楷体" w:eastAsia="楷体" w:cs="Times New Roman"/>
          <w:b/>
          <w:color w:val="auto"/>
          <w:spacing w:val="-6"/>
          <w:sz w:val="44"/>
          <w:szCs w:val="44"/>
        </w:rPr>
      </w:pPr>
    </w:p>
    <w:p w14:paraId="11F59468">
      <w:pPr>
        <w:adjustRightInd w:val="0"/>
        <w:snapToGrid w:val="0"/>
        <w:spacing w:line="288" w:lineRule="auto"/>
        <w:rPr>
          <w:rFonts w:ascii="楷体" w:hAnsi="楷体" w:eastAsia="楷体" w:cs="Times New Roman"/>
          <w:b/>
          <w:color w:val="auto"/>
          <w:spacing w:val="-6"/>
          <w:sz w:val="44"/>
          <w:szCs w:val="44"/>
        </w:rPr>
      </w:pPr>
    </w:p>
    <w:p w14:paraId="468FF83C">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微波毫米波噪声测试系统</w:t>
      </w:r>
    </w:p>
    <w:p w14:paraId="3D528ABB">
      <w:pPr>
        <w:adjustRightInd w:val="0"/>
        <w:snapToGrid w:val="0"/>
        <w:spacing w:line="288" w:lineRule="auto"/>
        <w:jc w:val="center"/>
        <w:rPr>
          <w:rFonts w:ascii="楷体" w:hAnsi="楷体" w:eastAsia="楷体" w:cs="Times New Roman"/>
          <w:b/>
          <w:color w:val="auto"/>
          <w:spacing w:val="-6"/>
          <w:sz w:val="48"/>
          <w:szCs w:val="48"/>
        </w:rPr>
      </w:pPr>
    </w:p>
    <w:p w14:paraId="3942C169">
      <w:pPr>
        <w:adjustRightInd w:val="0"/>
        <w:snapToGrid w:val="0"/>
        <w:spacing w:line="288" w:lineRule="auto"/>
        <w:jc w:val="center"/>
        <w:rPr>
          <w:rFonts w:ascii="楷体" w:hAnsi="楷体" w:eastAsia="楷体" w:cs="Times New Roman"/>
          <w:b/>
          <w:color w:val="auto"/>
          <w:spacing w:val="-6"/>
          <w:sz w:val="48"/>
          <w:szCs w:val="48"/>
        </w:rPr>
      </w:pPr>
    </w:p>
    <w:p w14:paraId="76F892AB">
      <w:pPr>
        <w:adjustRightInd w:val="0"/>
        <w:snapToGrid w:val="0"/>
        <w:spacing w:line="288"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ascii="楷体" w:hAnsi="楷体" w:eastAsia="楷体" w:cs="Times New Roman"/>
          <w:color w:val="auto"/>
          <w:sz w:val="44"/>
          <w:szCs w:val="44"/>
        </w:rPr>
      </w:pPr>
    </w:p>
    <w:p w14:paraId="3B6505C4">
      <w:pPr>
        <w:adjustRightInd w:val="0"/>
        <w:snapToGrid w:val="0"/>
        <w:spacing w:line="288" w:lineRule="auto"/>
        <w:jc w:val="center"/>
        <w:rPr>
          <w:rFonts w:ascii="楷体" w:hAnsi="楷体" w:eastAsia="楷体" w:cs="Times New Roman"/>
          <w:color w:val="auto"/>
          <w:sz w:val="44"/>
          <w:szCs w:val="44"/>
        </w:rPr>
      </w:pPr>
    </w:p>
    <w:p w14:paraId="16FAB8C3">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项目名称：微波毫米波噪声测试系统</w:t>
      </w:r>
    </w:p>
    <w:p w14:paraId="74032A0C">
      <w:pPr>
        <w:adjustRightInd w:val="0"/>
        <w:snapToGrid w:val="0"/>
        <w:spacing w:line="288"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项目编号：</w:t>
      </w:r>
      <w:bookmarkStart w:id="70" w:name="_GoBack"/>
      <w:r>
        <w:rPr>
          <w:rFonts w:hint="eastAsia" w:ascii="楷体" w:hAnsi="楷体" w:eastAsia="楷体" w:cs="Times New Roman"/>
          <w:b/>
          <w:color w:val="auto"/>
          <w:spacing w:val="-6"/>
          <w:sz w:val="30"/>
          <w:szCs w:val="30"/>
          <w:lang w:eastAsia="zh-CN"/>
        </w:rPr>
        <w:t>QSZBB250376ZHGK</w:t>
      </w:r>
      <w:bookmarkEnd w:id="70"/>
    </w:p>
    <w:p w14:paraId="5ACAB285">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lang w:eastAsia="zh-CN"/>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lang w:eastAsia="zh-CN"/>
        </w:rPr>
        <w:t>[2025]81535号、[2025]82097号</w:t>
      </w:r>
    </w:p>
    <w:p w14:paraId="43139F7B">
      <w:pPr>
        <w:adjustRightInd w:val="0"/>
        <w:snapToGrid w:val="0"/>
        <w:spacing w:line="288" w:lineRule="auto"/>
        <w:rPr>
          <w:rFonts w:ascii="楷体" w:hAnsi="楷体" w:eastAsia="楷体" w:cs="Times New Roman"/>
          <w:b/>
          <w:color w:val="auto"/>
          <w:szCs w:val="21"/>
        </w:rPr>
      </w:pPr>
    </w:p>
    <w:p w14:paraId="561CA082">
      <w:pPr>
        <w:adjustRightInd w:val="0"/>
        <w:snapToGrid w:val="0"/>
        <w:spacing w:line="288" w:lineRule="auto"/>
        <w:rPr>
          <w:rFonts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rPr>
      </w:pPr>
    </w:p>
    <w:p w14:paraId="3B4D4683">
      <w:pPr>
        <w:adjustRightInd w:val="0"/>
        <w:snapToGrid w:val="0"/>
        <w:spacing w:line="288"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ascii="楷体" w:hAnsi="楷体" w:eastAsia="楷体" w:cs="Times New Roman"/>
          <w:b/>
          <w:color w:val="auto"/>
          <w:sz w:val="30"/>
          <w:szCs w:val="30"/>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ascii="宋体" w:hAnsi="宋体" w:eastAsia="宋体" w:cs="Times New Roman"/>
          <w:color w:val="auto"/>
          <w:szCs w:val="21"/>
        </w:rPr>
      </w:pPr>
    </w:p>
    <w:p w14:paraId="625CD130">
      <w:pPr>
        <w:widowControl/>
        <w:adjustRightInd w:val="0"/>
        <w:snapToGrid w:val="0"/>
        <w:spacing w:line="288" w:lineRule="auto"/>
        <w:jc w:val="left"/>
        <w:rPr>
          <w:rFonts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 xml:space="preserve"> 微波毫米波噪声测试系统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12月4日9:00:00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ascii="宋体" w:hAnsi="宋体" w:eastAsia="宋体" w:cs="宋体"/>
          <w:b/>
          <w:color w:val="auto"/>
          <w:szCs w:val="21"/>
        </w:rPr>
      </w:pPr>
      <w:bookmarkStart w:id="0" w:name="_Toc35393621"/>
      <w:bookmarkStart w:id="1" w:name="_Toc35393790"/>
      <w:bookmarkStart w:id="2" w:name="_Toc28359079"/>
      <w:bookmarkStart w:id="3" w:name="_Toc28359002"/>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1.项目编号：</w:t>
      </w:r>
      <w:r>
        <w:rPr>
          <w:rFonts w:hint="eastAsia" w:ascii="宋体" w:hAnsi="宋体" w:eastAsia="宋体" w:cs="Times New Roman"/>
          <w:color w:val="auto"/>
          <w:szCs w:val="21"/>
          <w:lang w:eastAsia="zh-CN"/>
        </w:rPr>
        <w:t>QSZBB250376ZHGK</w:t>
      </w:r>
    </w:p>
    <w:p w14:paraId="34C987CC">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.项目名称：微波毫米波噪声测试系统</w:t>
      </w:r>
    </w:p>
    <w:bookmarkEnd w:id="4"/>
    <w:p w14:paraId="2AB1BB05">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.预算金额：1390000元</w:t>
      </w:r>
    </w:p>
    <w:p w14:paraId="11D1D498">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.最高限价：1390000元</w:t>
      </w:r>
    </w:p>
    <w:p w14:paraId="4BF7EF97">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.合同履约期限：自合同签订之日起180个工作日内交付。</w:t>
      </w:r>
    </w:p>
    <w:p w14:paraId="48CBA4CF">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微波毫米波噪声测试系统</w:t>
            </w:r>
          </w:p>
        </w:tc>
        <w:tc>
          <w:tcPr>
            <w:tcW w:w="708" w:type="dxa"/>
            <w:tcBorders>
              <w:tl2br w:val="nil"/>
              <w:tr2bl w:val="nil"/>
            </w:tcBorders>
            <w:vAlign w:val="center"/>
          </w:tcPr>
          <w:p w14:paraId="11BD2EFB">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是</w:t>
            </w:r>
          </w:p>
        </w:tc>
      </w:tr>
    </w:tbl>
    <w:p w14:paraId="0D505C25">
      <w:pPr>
        <w:adjustRightInd w:val="0"/>
        <w:snapToGrid w:val="0"/>
        <w:spacing w:line="288" w:lineRule="auto"/>
        <w:rPr>
          <w:rFonts w:ascii="宋体" w:hAnsi="宋体" w:eastAsia="宋体" w:cs="宋体"/>
          <w:b/>
          <w:color w:val="auto"/>
          <w:szCs w:val="21"/>
        </w:rPr>
      </w:pPr>
      <w:bookmarkStart w:id="5" w:name="_Toc28359080"/>
      <w:bookmarkStart w:id="6" w:name="_Toc35393622"/>
      <w:bookmarkStart w:id="7" w:name="_Toc35393791"/>
      <w:bookmarkStart w:id="8" w:name="_Toc28359003"/>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ascii="宋体" w:hAnsi="宋体" w:eastAsia="宋体" w:cs="Times New Roman"/>
          <w:color w:val="auto"/>
          <w:szCs w:val="21"/>
        </w:rPr>
      </w:pPr>
      <w:bookmarkStart w:id="9" w:name="_Toc28359081"/>
      <w:bookmarkStart w:id="10" w:name="_Toc28359004"/>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ascii="宋体" w:hAnsi="宋体" w:eastAsia="宋体" w:cs="宋体"/>
          <w:b/>
          <w:color w:val="auto"/>
          <w:szCs w:val="21"/>
        </w:rPr>
      </w:pPr>
      <w:bookmarkStart w:id="11" w:name="_Toc35393792"/>
      <w:bookmarkStart w:id="12" w:name="_Toc35393623"/>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11</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13</w:t>
      </w:r>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12月4日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12月4日9:00:00</w:t>
      </w:r>
      <w:r>
        <w:rPr>
          <w:rFonts w:hint="eastAsia" w:ascii="宋体" w:hAnsi="宋体" w:eastAsia="宋体" w:cs="Times New Roman"/>
          <w:bCs/>
          <w:color w:val="auto"/>
          <w:szCs w:val="21"/>
        </w:rPr>
        <w:t>（北京时间）</w:t>
      </w:r>
    </w:p>
    <w:p w14:paraId="556DA842">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12月4日9:00:00</w:t>
      </w:r>
      <w:r>
        <w:rPr>
          <w:rFonts w:hint="eastAsia" w:ascii="宋体" w:hAnsi="宋体" w:eastAsia="宋体" w:cs="Times New Roman"/>
          <w:bCs/>
          <w:color w:val="auto"/>
          <w:szCs w:val="21"/>
        </w:rPr>
        <w:t>（北京时间）</w:t>
      </w:r>
    </w:p>
    <w:p w14:paraId="13CDD20E">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/杭州市西湖区玉古路173号中田大厦16楼（求是招标会议室7）</w:t>
      </w:r>
      <w:bookmarkEnd w:id="18"/>
    </w:p>
    <w:bookmarkEnd w:id="17"/>
    <w:p w14:paraId="15287A77">
      <w:pPr>
        <w:adjustRightInd w:val="0"/>
        <w:snapToGrid w:val="0"/>
        <w:spacing w:line="288" w:lineRule="auto"/>
        <w:rPr>
          <w:rFonts w:ascii="宋体" w:hAnsi="宋体" w:eastAsia="宋体" w:cs="宋体"/>
          <w:b/>
          <w:color w:val="auto"/>
          <w:szCs w:val="21"/>
        </w:rPr>
      </w:pPr>
      <w:bookmarkStart w:id="19" w:name="_Toc28359084"/>
      <w:bookmarkStart w:id="20" w:name="_Toc35393625"/>
      <w:bookmarkStart w:id="21" w:name="_Toc28359007"/>
      <w:bookmarkStart w:id="22" w:name="_Toc35393794"/>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ascii="宋体" w:hAnsi="宋体" w:eastAsia="宋体" w:cs="宋体"/>
          <w:b/>
          <w:color w:val="auto"/>
          <w:szCs w:val="21"/>
        </w:rPr>
      </w:pPr>
      <w:bookmarkStart w:id="23" w:name="_Toc35393626"/>
      <w:bookmarkStart w:id="24" w:name="_Toc35393795"/>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rPr>
      </w:pPr>
      <w:bookmarkStart w:id="29" w:name="_Toc28359085"/>
      <w:bookmarkStart w:id="30" w:name="_Toc35393796"/>
      <w:bookmarkStart w:id="31" w:name="_Toc35393627"/>
      <w:bookmarkStart w:id="32" w:name="_Toc28359008"/>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eastAsia="zh-CN"/>
        </w:rPr>
      </w:pPr>
      <w:r>
        <w:rPr>
          <w:rFonts w:hint="eastAsia" w:ascii="宋体" w:hAnsi="宋体" w:eastAsia="宋体" w:cs="Times New Roman"/>
          <w:color w:val="auto"/>
          <w:szCs w:val="21"/>
        </w:rPr>
        <w:t>项目联系人（询问）：孙</w:t>
      </w:r>
      <w:r>
        <w:rPr>
          <w:rFonts w:hint="eastAsia" w:ascii="宋体" w:hAnsi="宋体" w:eastAsia="宋体" w:cs="Times New Roman"/>
          <w:color w:val="auto"/>
          <w:szCs w:val="21"/>
          <w:lang w:val="en-US" w:eastAsia="zh-CN"/>
        </w:rPr>
        <w:t>老师</w:t>
      </w:r>
    </w:p>
    <w:p w14:paraId="32E8001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项目联系方式（询问）：13386527217</w:t>
      </w:r>
    </w:p>
    <w:p w14:paraId="209040C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质疑联系方式：0571-86915026</w:t>
      </w:r>
    </w:p>
    <w:p w14:paraId="1637E152">
      <w:pPr>
        <w:adjustRightInd w:val="0"/>
        <w:snapToGrid w:val="0"/>
        <w:spacing w:line="288" w:lineRule="auto"/>
        <w:ind w:firstLine="424" w:firstLineChars="202"/>
        <w:rPr>
          <w:rFonts w:ascii="宋体" w:hAnsi="宋体" w:eastAsia="宋体" w:cs="Times New Roman"/>
          <w:color w:val="auto"/>
          <w:szCs w:val="21"/>
        </w:rPr>
      </w:pPr>
    </w:p>
    <w:p w14:paraId="3C32CE7B">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陈应俭、俞炳、朱建飞</w:t>
      </w:r>
    </w:p>
    <w:p w14:paraId="070B094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ascii="宋体" w:hAnsi="宋体" w:eastAsia="宋体" w:cs="Times New Roman"/>
          <w:color w:val="auto"/>
          <w:szCs w:val="21"/>
        </w:rPr>
      </w:pPr>
      <w:bookmarkStart w:id="33" w:name="_Hlk124147873"/>
    </w:p>
    <w:p w14:paraId="2C65E087">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4C0DA443">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名称：浙江省财政厅政府采购监管处、浙江省政府采购行政裁决服务中心（杭州）</w:t>
      </w:r>
    </w:p>
    <w:p w14:paraId="6F4A8793">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地址：杭州市上城区清泰街549号城建综合大楼11楼（快递仅限ems或顺丰）</w:t>
      </w:r>
    </w:p>
    <w:p w14:paraId="05AA176E">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3ED40744">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联系人：匡老师</w:t>
      </w:r>
    </w:p>
    <w:p w14:paraId="3A387231">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监督投诉电话：0571-87807798</w:t>
      </w:r>
    </w:p>
    <w:p w14:paraId="6E78E744">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0D8E9AD9">
      <w:pPr>
        <w:adjustRightInd w:val="0"/>
        <w:snapToGrid w:val="0"/>
        <w:spacing w:line="288" w:lineRule="auto"/>
        <w:ind w:firstLine="370"/>
        <w:rPr>
          <w:rFonts w:ascii="宋体" w:hAnsi="宋体" w:eastAsia="宋体" w:cs="Times New Roman"/>
          <w:color w:val="auto"/>
          <w:spacing w:val="-6"/>
          <w:szCs w:val="21"/>
        </w:rPr>
      </w:pPr>
    </w:p>
    <w:p w14:paraId="091E1A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rPr>
      </w:pPr>
    </w:p>
    <w:p w14:paraId="47046090">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7353C7E7">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1ACC4674">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5A4C68D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3.在签订合同时，供应商明确表示无需预付款或者主动要求降低预付款比例的，可降低预付款比例（预付款保函同步调整）。</w:t>
            </w:r>
          </w:p>
          <w:p w14:paraId="52FCD86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4.若供应商收取预付款，要求预付款保函有效期覆盖项目验收合格时间；提供了预付款保函则供应商无需再缴纳履约保证金。</w:t>
            </w:r>
          </w:p>
          <w:p w14:paraId="1D1AFE8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5.签订合同时中标人明确表示无需预付款的，可以采用以下付款方式：</w:t>
            </w:r>
          </w:p>
          <w:p w14:paraId="4DCBC088">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02709B74">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70DAC50D">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83A3026">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rPr>
      </w:pPr>
    </w:p>
    <w:p w14:paraId="1EC90AF6">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自合同签订之日起180个工作日内交付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lang w:bidi="ar"/>
              </w:rPr>
              <w:t>5.</w:t>
            </w:r>
            <w:r>
              <w:rPr>
                <w:rFonts w:hint="eastAsia" w:ascii="宋体" w:hAnsi="宋体" w:eastAsia="宋体" w:cs="宋体"/>
                <w:color w:val="auto"/>
                <w:szCs w:val="21"/>
                <w:u w:val="single"/>
                <w:lang w:bidi="ar"/>
              </w:rPr>
              <w:t>如在使用过程中发生质量问题，供应商维修响应时间：1小时以内；</w:t>
            </w:r>
          </w:p>
          <w:p w14:paraId="02E376AB">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48小时内派遣相关人员赶赴现场，72小时内维修完毕；发生紧急抢修事故的，供应商应在接到采购人通知后24小时内到达现场抢修，并于到达现场48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u w:val="single"/>
              </w:rPr>
              <w:t>；</w:t>
            </w:r>
          </w:p>
          <w:p w14:paraId="453E65BA">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14:paraId="70071A3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4.技术支持：</w:t>
            </w:r>
          </w:p>
          <w:p w14:paraId="4560E74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3D36B1A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lang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B4AFABC">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1.验收由采购人负责实施；货物经安装调试完成且符合技术要求后，采购人负责在10个工作日内进行最终验收。如采购人需要，验收时供应商必须在现场。</w:t>
            </w:r>
          </w:p>
          <w:p w14:paraId="122A1EE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2.验收依据：</w:t>
            </w:r>
          </w:p>
          <w:p w14:paraId="1ACEFBD9">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2.1合同、招标文件、投标文件；</w:t>
            </w:r>
          </w:p>
          <w:p w14:paraId="4A2D16E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2.2供应商提供的技术规格、经采购人认可的合同货物的有效检验文件；</w:t>
            </w:r>
          </w:p>
          <w:p w14:paraId="56FCF38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2.3供应商投标文件中提供的经采购人认可的合同货物的验收标准（符合中国有关的国家、地方、行业标准）和检测办法及相应检测手段。</w:t>
            </w:r>
          </w:p>
          <w:p w14:paraId="075D7E8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1894FF5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4.验收合格的条件：</w:t>
            </w:r>
          </w:p>
          <w:p w14:paraId="354371D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4.1所供货物符合产品标准和合同的要求；</w:t>
            </w:r>
          </w:p>
          <w:p w14:paraId="1305BFC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4.2在进行测试和验收过程中发现的问题已被解决并得到采购人的认可；</w:t>
            </w:r>
          </w:p>
          <w:p w14:paraId="26833F0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4.3合同中规定的所有货物和材料均已交付；</w:t>
            </w:r>
          </w:p>
          <w:p w14:paraId="3DF67FFC">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4.4所供货物已通过使用单位组织的验收；</w:t>
            </w:r>
          </w:p>
          <w:p w14:paraId="3DD958B3">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4.5所有相关的技术文件及资料均已提交并得到接受。</w:t>
            </w:r>
          </w:p>
        </w:tc>
      </w:tr>
      <w:tr w14:paraId="3D141A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9D9B27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lang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18EEEB7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lang w:bidi="ar"/>
              </w:rPr>
              <w:t>按“第五章  拟签订的合同文本”相关违约责任及争议解决方式内容。</w:t>
            </w:r>
          </w:p>
        </w:tc>
      </w:tr>
    </w:tbl>
    <w:p w14:paraId="0FA2EFA9">
      <w:pPr>
        <w:adjustRightInd w:val="0"/>
        <w:snapToGrid w:val="0"/>
        <w:spacing w:line="288" w:lineRule="auto"/>
        <w:rPr>
          <w:rFonts w:ascii="宋体" w:hAnsi="宋体" w:eastAsia="宋体" w:cs="Times New Roman"/>
          <w:b/>
          <w:color w:val="auto"/>
          <w:szCs w:val="21"/>
        </w:rPr>
      </w:pPr>
    </w:p>
    <w:p w14:paraId="155758D7">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.需实现的功能或者目标：满足微波毫米波噪声测试系统的使用需求。</w:t>
      </w:r>
    </w:p>
    <w:p w14:paraId="052E21C8">
      <w:pPr>
        <w:adjustRightInd w:val="0"/>
        <w:snapToGrid w:val="0"/>
        <w:spacing w:line="288" w:lineRule="auto"/>
        <w:rPr>
          <w:rFonts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10" w:type="dxa"/>
            <w:vAlign w:val="center"/>
          </w:tcPr>
          <w:p w14:paraId="3B9DB4B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661" w:type="dxa"/>
            <w:vAlign w:val="center"/>
          </w:tcPr>
          <w:p w14:paraId="601BB2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661" w:type="dxa"/>
            <w:vAlign w:val="center"/>
          </w:tcPr>
          <w:p w14:paraId="302F457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14:paraId="7F7ED6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b/>
                <w:bCs/>
                <w:color w:val="auto"/>
                <w:szCs w:val="21"/>
              </w:rPr>
              <w:t>1</w:t>
            </w:r>
          </w:p>
        </w:tc>
        <w:tc>
          <w:tcPr>
            <w:tcW w:w="1810" w:type="dxa"/>
            <w:vAlign w:val="center"/>
          </w:tcPr>
          <w:p w14:paraId="2F9DD2F4">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b/>
                <w:bCs/>
                <w:color w:val="auto"/>
                <w:szCs w:val="21"/>
              </w:rPr>
              <w:t>微波毫米波噪声测试系统</w:t>
            </w:r>
          </w:p>
        </w:tc>
        <w:tc>
          <w:tcPr>
            <w:tcW w:w="661" w:type="dxa"/>
            <w:vAlign w:val="center"/>
          </w:tcPr>
          <w:p w14:paraId="77DC8DC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66A5AD6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6399EA51">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1.包括NSM输入端噪声模块、NRM输出端噪声模块、噪声源和噪声参数测量软件；</w:t>
            </w:r>
          </w:p>
          <w:p w14:paraId="1CAE6F1C">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2.NSM输入端噪声模块规格及主要技术要求：</w:t>
            </w:r>
          </w:p>
          <w:p w14:paraId="6766B580">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★2.1 频率范围：0.1GHz-65GHz；</w:t>
            </w:r>
          </w:p>
          <w:p w14:paraId="1D953A6C">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★2.2 内置Bias Tee，最大直流电压≥50V，最大电流0.4A；</w:t>
            </w:r>
          </w:p>
          <w:p w14:paraId="1791E7D1">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★2.3 内置开关，可在S参数和噪声测量之间进行切换；</w:t>
            </w:r>
          </w:p>
          <w:p w14:paraId="716D3361">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★2.4 机械开关重复次数＞400百万次；</w:t>
            </w:r>
          </w:p>
          <w:p w14:paraId="1230132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★2.5 接口类型：1.85mm；</w:t>
            </w:r>
          </w:p>
          <w:p w14:paraId="417D7711">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★2.6 控制接口：USB；</w:t>
            </w:r>
          </w:p>
          <w:p w14:paraId="4698BE0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3.NRM输出端噪声模块规格及主要技术要求：</w:t>
            </w:r>
          </w:p>
          <w:p w14:paraId="615650B1">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★3.1 频率范围：0.1GHz-65GHz；</w:t>
            </w:r>
          </w:p>
          <w:p w14:paraId="2D94A15E">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★3.2 内置Bias Tee，最大直流电压≥50V，最大电流0.4A；</w:t>
            </w:r>
          </w:p>
          <w:p w14:paraId="610C5883">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★3.3 机械开关重复次数＞400百万次；</w:t>
            </w:r>
          </w:p>
          <w:p w14:paraId="188DB82B">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★3.4 内置开关，可在S参数和噪声测量之间进行切换；</w:t>
            </w:r>
          </w:p>
          <w:p w14:paraId="55BCF31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★3.5 模块噪声系数典型值为12dB，最大值18dB；</w:t>
            </w:r>
          </w:p>
          <w:p w14:paraId="362E1BD4">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★3.6 射频接口类型：1.85mm；</w:t>
            </w:r>
          </w:p>
          <w:p w14:paraId="3AC9FC26">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★3.7 控制接口：USB；</w:t>
            </w:r>
          </w:p>
          <w:p w14:paraId="4D50E7C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4.噪声源技术指标：</w:t>
            </w:r>
          </w:p>
          <w:p w14:paraId="2FC84E6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★4.1 频率范围：0.1GHz-65GHz；</w:t>
            </w:r>
          </w:p>
          <w:p w14:paraId="26D6B2A3">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4.2 超噪比范围：7-14dB；</w:t>
            </w:r>
          </w:p>
          <w:p w14:paraId="003B8099">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4.3 输出端口驻波比：＜1.50:1；</w:t>
            </w:r>
          </w:p>
          <w:p w14:paraId="333B7ED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5.噪声参数测量软件功能要求：</w:t>
            </w:r>
          </w:p>
          <w:p w14:paraId="2CBB3BE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★5.1 测量噪声参数时，自动控制NSM和NRM进行S参数及噪声测量切换，无需手动切换；</w:t>
            </w:r>
          </w:p>
          <w:p w14:paraId="39AFEC6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5.2 具备噪声接收机反射系数免压缩智能计算功能、噪声测试校准全过程逐步验证功能。</w:t>
            </w:r>
          </w:p>
          <w:p w14:paraId="6FEC60D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5.3可以通过改变源阻抗，测量最低噪声系数，最佳源反射系数，等效噪声电阻等噪声参数随频率变化特性，可以生成等噪声系数圆；具备噪声参数提取过程的阻抗智能筛选和优化算法。</w:t>
            </w:r>
          </w:p>
          <w:p w14:paraId="277CE699">
            <w:pPr>
              <w:adjustRightInd w:val="0"/>
              <w:snapToGrid w:val="0"/>
              <w:spacing w:line="288" w:lineRule="auto"/>
              <w:jc w:val="left"/>
              <w:rPr>
                <w:rFonts w:hint="eastAsia" w:ascii="宋体" w:hAnsi="宋体" w:eastAsia="宋体" w:cs="宋体"/>
                <w:color w:val="auto"/>
                <w:szCs w:val="21"/>
                <w:lang w:eastAsia="zh-CN"/>
              </w:rPr>
            </w:pPr>
            <w:r>
              <w:rPr>
                <w:rFonts w:hint="eastAsia" w:ascii="宋体" w:hAnsi="宋体" w:eastAsia="宋体" w:cs="宋体"/>
                <w:color w:val="auto"/>
                <w:szCs w:val="21"/>
              </w:rPr>
              <w:t>5.4 支持基于自定义测试方案的自动序列测试功能</w:t>
            </w:r>
            <w:r>
              <w:rPr>
                <w:rFonts w:hint="eastAsia" w:ascii="宋体" w:hAnsi="宋体" w:eastAsia="宋体" w:cs="宋体"/>
                <w:color w:val="auto"/>
                <w:szCs w:val="21"/>
                <w:lang w:eastAsia="zh-CN"/>
              </w:rPr>
              <w:t>；</w:t>
            </w:r>
          </w:p>
          <w:p w14:paraId="1E7C01B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5.5 数据分析软件允许多组测量数据叠加比较；</w:t>
            </w:r>
          </w:p>
          <w:p w14:paraId="367F7391">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5.6 提供可供二次开发的完整噪声测试API接口及使用说明。</w:t>
            </w:r>
          </w:p>
        </w:tc>
      </w:tr>
    </w:tbl>
    <w:p w14:paraId="2A83C00D">
      <w:pPr>
        <w:widowControl/>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本招标文件适用于杭州电子科技大学微波毫米波噪声测试系统的招标、评标、定标、验收、合同履约、付款等（法律、法规另有规定的，从其规定）。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ascii="宋体" w:hAnsi="宋体" w:eastAsia="宋体"/>
                <w:color w:val="auto"/>
                <w:szCs w:val="21"/>
              </w:rPr>
              <w:t>以后任意一月）</w:t>
            </w:r>
            <w:r>
              <w:rPr>
                <w:rFonts w:hint="eastAsia" w:ascii="宋体" w:hAnsi="宋体" w:eastAsia="宋体"/>
                <w:color w:val="auto"/>
                <w:szCs w:val="21"/>
              </w:rPr>
              <w:t>；</w:t>
            </w:r>
          </w:p>
          <w:p w14:paraId="19BCFB3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1073C959">
            <w:pPr>
              <w:adjustRightInd w:val="0"/>
              <w:snapToGrid w:val="0"/>
              <w:spacing w:line="288" w:lineRule="auto"/>
              <w:rPr>
                <w:rFonts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adjustRightInd w:val="0"/>
              <w:snapToGrid w:val="0"/>
              <w:spacing w:line="288" w:lineRule="auto"/>
              <w:rPr>
                <w:rFonts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2BD3C9D6">
            <w:pPr>
              <w:adjustRightInd w:val="0"/>
              <w:snapToGrid w:val="0"/>
              <w:spacing w:line="288" w:lineRule="auto"/>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63817493">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adjustRightInd w:val="0"/>
              <w:snapToGrid w:val="0"/>
              <w:spacing w:line="288" w:lineRule="auto"/>
              <w:jc w:val="center"/>
              <w:rPr>
                <w:rFonts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adjustRightInd w:val="0"/>
              <w:snapToGrid w:val="0"/>
              <w:spacing w:line="288" w:lineRule="auto"/>
              <w:rPr>
                <w:rFonts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7F6A2B16">
            <w:pPr>
              <w:adjustRightInd w:val="0"/>
              <w:snapToGrid w:val="0"/>
              <w:spacing w:line="288" w:lineRule="auto"/>
              <w:rPr>
                <w:rFonts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5D2194A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2.以人民币报价；</w:t>
            </w:r>
          </w:p>
          <w:p w14:paraId="30EC0048">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因中标人自身原因(如中标人不具备进口免税办理资质等)不能办理免税事宜的，则进口设备所涉及的所有税费均由中标人承担。提供进口设备免税承诺函；</w:t>
            </w:r>
          </w:p>
          <w:p w14:paraId="4EA92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4.投标报价是履行合同的最终价格，有关本项目实施所涉及的一切费用均计入报价；总价不为零，分项报价中部分产品、服务单价为零的，视作已包含在总价中；</w:t>
            </w:r>
          </w:p>
          <w:p w14:paraId="0DCF9BF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5.投标文件只允许有一个报价，有选择的报价将不予接受；</w:t>
            </w:r>
          </w:p>
          <w:p w14:paraId="00BE9585">
            <w:pPr>
              <w:pStyle w:val="13"/>
              <w:adjustRightInd w:val="0"/>
              <w:snapToGrid w:val="0"/>
              <w:spacing w:before="0" w:beforeLines="0" w:after="0" w:afterLines="0" w:line="288" w:lineRule="auto"/>
              <w:jc w:val="left"/>
              <w:rPr>
                <w:rFonts w:hAnsi="宋体" w:eastAsia="宋体" w:cs="宋体"/>
                <w:color w:val="auto"/>
                <w:sz w:val="21"/>
                <w:szCs w:val="21"/>
              </w:rPr>
            </w:pPr>
            <w:r>
              <w:rPr>
                <w:rFonts w:hint="eastAsia" w:hAnsi="宋体" w:eastAsia="宋体" w:cs="宋体"/>
                <w:color w:val="auto"/>
                <w:sz w:val="21"/>
                <w:szCs w:val="21"/>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14:paraId="75D18B7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ascii="宋体" w:hAnsi="宋体" w:eastAsia="宋体"/>
          <w:color w:val="auto"/>
          <w:szCs w:val="21"/>
        </w:rPr>
      </w:pPr>
    </w:p>
    <w:p w14:paraId="764296F0">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本招标文件适用于杭州电子科技大学微波毫米波噪声测试系统的招标、评标、定标、验收、合同履约、付款等（法律、法规另有规定的，从其规定）。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（五）投标报价</w:t>
      </w:r>
    </w:p>
    <w:p w14:paraId="7726910B">
      <w:pPr>
        <w:adjustRightInd w:val="0"/>
        <w:snapToGrid w:val="0"/>
        <w:spacing w:line="288" w:lineRule="auto"/>
        <w:ind w:firstLine="420" w:firstLineChars="200"/>
        <w:rPr>
          <w:rFonts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721FE09A">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2.以人民币报价；</w:t>
      </w:r>
    </w:p>
    <w:p w14:paraId="75A0B711">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因中标人自身原因(如中标人不具备进口免税办理资质等)不能办理免税事宜的，则进口设备所涉及的所有税费均由中标人承担。提供进口设备免税承诺函；</w:t>
      </w:r>
    </w:p>
    <w:p w14:paraId="7D1980E5">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4.投标报价是履行合同的最终价格，有关本项目实施所涉及的一切费用均计入报价；总价不为零，分项报价中部分产品、服务单价为零的，视作已包含在总价中；</w:t>
      </w:r>
    </w:p>
    <w:p w14:paraId="6F240D16">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5.投标文件只允许有一个报价，有选择的报价将不予接受；</w:t>
      </w:r>
    </w:p>
    <w:p w14:paraId="30966F27">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p>
    <w:bookmarkEnd w:id="47"/>
    <w:p w14:paraId="58DE03B4">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rPr>
      </w:pPr>
    </w:p>
    <w:p w14:paraId="64F5A24E">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ascii="宋体" w:hAnsi="宋体" w:cs="仿宋"/>
          <w:color w:val="auto"/>
          <w:kern w:val="0"/>
          <w:szCs w:val="21"/>
        </w:rPr>
      </w:pPr>
      <w:r>
        <w:rPr>
          <w:rFonts w:hint="eastAsia" w:ascii="宋体" w:hAnsi="宋体" w:cs="仿宋"/>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rPr>
      </w:pPr>
    </w:p>
    <w:p w14:paraId="41282C47">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adjustRightInd w:val="0"/>
              <w:snapToGrid w:val="0"/>
              <w:rPr>
                <w:rFonts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adjustRightInd w:val="0"/>
              <w:snapToGrid w:val="0"/>
              <w:rPr>
                <w:rFonts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adjustRightInd w:val="0"/>
              <w:snapToGrid w:val="0"/>
              <w:rPr>
                <w:rFonts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adjustRightInd w:val="0"/>
              <w:snapToGrid w:val="0"/>
              <w:rPr>
                <w:rFonts w:ascii="宋体" w:hAnsi="宋体" w:eastAsia="宋体" w:cs="宋体"/>
                <w:color w:val="auto"/>
                <w:szCs w:val="21"/>
              </w:rPr>
            </w:pPr>
            <w:r>
              <w:rPr>
                <w:rFonts w:hint="eastAsia" w:ascii="宋体" w:hAnsi="宋体" w:eastAsia="宋体" w:cs="宋体"/>
                <w:color w:val="auto"/>
                <w:szCs w:val="21"/>
              </w:rPr>
              <w:t>【客观分】</w:t>
            </w:r>
          </w:p>
          <w:p w14:paraId="3EA8419A">
            <w:pPr>
              <w:adjustRightInd w:val="0"/>
              <w:snapToGrid w:val="0"/>
              <w:rPr>
                <w:rFonts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adjustRightInd w:val="0"/>
              <w:snapToGrid w:val="0"/>
              <w:rPr>
                <w:rFonts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adjustRightInd w:val="0"/>
              <w:snapToGrid w:val="0"/>
              <w:rPr>
                <w:rFonts w:ascii="宋体" w:hAnsi="宋体" w:eastAsia="宋体" w:cs="宋体"/>
                <w:color w:val="auto"/>
                <w:szCs w:val="21"/>
              </w:rPr>
            </w:pPr>
            <w:r>
              <w:rPr>
                <w:rFonts w:hint="eastAsia" w:ascii="宋体" w:hAnsi="宋体" w:eastAsia="宋体" w:cs="宋体"/>
                <w:color w:val="auto"/>
                <w:szCs w:val="21"/>
              </w:rPr>
              <w:t>技术条款低于技术要求（负偏离）的，标注“★”的每项扣3分，未标注“★”的每项扣2分；</w:t>
            </w:r>
          </w:p>
          <w:p w14:paraId="6F1D37CE">
            <w:pPr>
              <w:adjustRightInd w:val="0"/>
              <w:snapToGrid w:val="0"/>
              <w:rPr>
                <w:rFonts w:ascii="宋体" w:hAnsi="宋体" w:eastAsia="宋体" w:cs="宋体"/>
                <w:color w:val="auto"/>
                <w:szCs w:val="21"/>
              </w:rPr>
            </w:pPr>
            <w:r>
              <w:rPr>
                <w:rFonts w:hint="eastAsia" w:ascii="宋体" w:hAnsi="宋体" w:eastAsia="宋体" w:cs="宋体"/>
                <w:color w:val="auto"/>
                <w:szCs w:val="21"/>
              </w:rPr>
              <w:t>负偏离扣分30分及以上的视为采购人不能接受的附加条件。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ascii="宋体" w:hAnsi="宋体" w:eastAsia="宋体" w:cs="宋体"/>
          <w:b/>
          <w:color w:val="auto"/>
          <w:spacing w:val="-6"/>
          <w:szCs w:val="21"/>
        </w:rPr>
      </w:pP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0"/>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为了保护甲乙双方合法权益，根据项目</w:t>
      </w:r>
      <w:r>
        <w:rPr>
          <w:rFonts w:hint="eastAsia" w:ascii="宋体" w:hAnsi="宋体" w:eastAsia="宋体" w:cs="宋体"/>
          <w:color w:val="auto"/>
          <w:kern w:val="0"/>
          <w:szCs w:val="20"/>
          <w:u w:val="single"/>
        </w:rPr>
        <w:t xml:space="preserve">   (填项目名称)      </w:t>
      </w:r>
      <w:r>
        <w:rPr>
          <w:rFonts w:hint="eastAsia" w:ascii="宋体" w:hAnsi="宋体" w:eastAsia="宋体" w:cs="宋体"/>
          <w:color w:val="auto"/>
          <w:kern w:val="0"/>
          <w:szCs w:val="20"/>
          <w:u w:val="none"/>
          <w:lang w:eastAsia="zh-CN"/>
        </w:rPr>
        <w:t>、</w:t>
      </w:r>
      <w:r>
        <w:rPr>
          <w:rFonts w:hint="eastAsia" w:ascii="宋体" w:hAnsi="宋体" w:eastAsia="宋体" w:cs="宋体"/>
          <w:color w:val="auto"/>
          <w:kern w:val="0"/>
          <w:szCs w:val="20"/>
          <w:u w:val="single"/>
        </w:rPr>
        <w:t xml:space="preserve"> （填采购方式）   </w:t>
      </w:r>
      <w:r>
        <w:rPr>
          <w:rFonts w:hint="eastAsia" w:ascii="宋体" w:hAnsi="宋体" w:eastAsia="宋体" w:cs="宋体"/>
          <w:color w:val="auto"/>
          <w:kern w:val="0"/>
          <w:szCs w:val="20"/>
        </w:rPr>
        <w:t xml:space="preserve">的中标（成交）结果，签署本合同，以资共同遵守。  </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kinsoku/>
              <w:wordWrap/>
              <w:overflowPunct/>
              <w:topLinePunct w:val="0"/>
              <w:autoSpaceDE/>
              <w:autoSpaceDN/>
              <w:bidi w:val="0"/>
              <w:adjustRightInd/>
              <w:spacing w:line="288" w:lineRule="auto"/>
              <w:ind w:firstLine="210" w:firstLineChars="1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p>
        </w:tc>
        <w:tc>
          <w:tcPr>
            <w:tcW w:w="1270" w:type="dxa"/>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kinsoku/>
              <w:wordWrap/>
              <w:overflowPunct/>
              <w:topLinePunct w:val="0"/>
              <w:autoSpaceDE/>
              <w:autoSpaceDN/>
              <w:bidi w:val="0"/>
              <w:adjustRightInd/>
              <w:spacing w:line="288" w:lineRule="auto"/>
              <w:ind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质保期：自验收合格之日起，质保期</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none"/>
          <w:lang w:val="en-US" w:eastAsia="zh-CN"/>
        </w:rPr>
        <w:t xml:space="preserve"> 月</w:t>
      </w:r>
      <w:r>
        <w:rPr>
          <w:rFonts w:hint="eastAsia" w:ascii="宋体" w:hAnsi="宋体" w:eastAsia="宋体" w:cs="宋体"/>
          <w:color w:val="auto"/>
          <w:kern w:val="0"/>
          <w:szCs w:val="20"/>
        </w:rPr>
        <w:t>。超过质保期的货物，终生维修，维修时只收部件成本费。软件的质保期即维护期，乙方应提供升级服务。质保期内质保维护升级等费用包含在合同总价中，不额外收取。</w:t>
      </w:r>
      <w:r>
        <w:rPr>
          <w:rFonts w:hint="eastAsia" w:ascii="宋体" w:hAnsi="宋体" w:eastAsia="宋体" w:cs="宋体"/>
          <w:color w:val="auto"/>
          <w:kern w:val="0"/>
          <w:szCs w:val="20"/>
          <w:lang w:val="en-US" w:eastAsia="zh-CN"/>
        </w:rPr>
        <w:t>其他质保说明（如有）：</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none"/>
          <w:lang w:val="en-US" w:eastAsia="zh-CN"/>
        </w:rPr>
        <w:t>。</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2.履约保证金（如</w:t>
      </w:r>
      <w:r>
        <w:rPr>
          <w:rFonts w:hint="eastAsia" w:ascii="宋体" w:hAnsi="宋体" w:eastAsia="宋体" w:cs="宋体"/>
          <w:color w:val="auto"/>
          <w:kern w:val="0"/>
          <w:szCs w:val="20"/>
          <w:lang w:val="en-US" w:eastAsia="zh-CN"/>
        </w:rPr>
        <w:t>有</w:t>
      </w:r>
      <w:r>
        <w:rPr>
          <w:rFonts w:hint="eastAsia" w:ascii="宋体" w:hAnsi="宋体" w:eastAsia="宋体" w:cs="宋体"/>
          <w:color w:val="auto"/>
          <w:kern w:val="0"/>
          <w:szCs w:val="20"/>
        </w:rPr>
        <w:t>）</w:t>
      </w:r>
      <w:r>
        <w:rPr>
          <w:rFonts w:hint="eastAsia" w:ascii="宋体" w:hAnsi="宋体" w:eastAsia="宋体" w:cs="宋体"/>
          <w:b/>
          <w:bCs/>
          <w:color w:val="auto"/>
          <w:kern w:val="0"/>
          <w:szCs w:val="20"/>
        </w:rPr>
        <w:t>：</w:t>
      </w:r>
      <w:r>
        <w:rPr>
          <w:rFonts w:hint="eastAsia" w:ascii="宋体" w:hAnsi="宋体" w:eastAsia="宋体" w:cs="宋体"/>
          <w:color w:val="auto"/>
          <w:kern w:val="0"/>
          <w:szCs w:val="20"/>
        </w:rPr>
        <w:t>合同总金额的</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lang w:val="en-US" w:eastAsia="zh-CN"/>
        </w:rPr>
        <w:t>须到学校</w:t>
      </w:r>
      <w:r>
        <w:rPr>
          <w:rFonts w:hint="eastAsia" w:ascii="宋体" w:hAnsi="宋体" w:eastAsia="宋体" w:cs="宋体"/>
          <w:color w:val="auto"/>
          <w:kern w:val="0"/>
          <w:szCs w:val="20"/>
        </w:rPr>
        <w:t>计划财务</w:t>
      </w:r>
      <w:r>
        <w:rPr>
          <w:rFonts w:hint="eastAsia" w:ascii="宋体" w:hAnsi="宋体" w:eastAsia="宋体" w:cs="宋体"/>
          <w:color w:val="auto"/>
          <w:kern w:val="0"/>
          <w:szCs w:val="20"/>
          <w:lang w:val="en-US" w:eastAsia="zh-CN"/>
        </w:rPr>
        <w:t>处办理退还手续</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，以保函形式提交的履约保证金无需办理退还手续。收款单位（户名）：杭州电子科技大学。开户银行：工行高新支行。银行账号：1202026209008806216。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货款结算</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按以下第</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w:t>
      </w:r>
      <w:r>
        <w:rPr>
          <w:rFonts w:hint="eastAsia" w:ascii="宋体" w:hAnsi="宋体" w:eastAsia="宋体" w:cs="宋体"/>
          <w:color w:val="auto"/>
          <w:spacing w:val="-6"/>
          <w:kern w:val="0"/>
          <w:szCs w:val="20"/>
        </w:rPr>
        <w:t>1</w:t>
      </w:r>
      <w:r>
        <w:rPr>
          <w:rFonts w:hint="eastAsia" w:ascii="宋体" w:hAnsi="宋体" w:eastAsia="宋体" w:cs="宋体"/>
          <w:color w:val="auto"/>
          <w:kern w:val="0"/>
          <w:szCs w:val="20"/>
        </w:rPr>
        <w:t>）预付款方式：合同生效以及具备实施条件且乙方已向甲方提交银行、保险公司等金融机构出具的预付款保函</w:t>
      </w:r>
      <w:r>
        <w:rPr>
          <w:rFonts w:hint="eastAsia" w:ascii="宋体" w:hAnsi="宋体" w:eastAsia="宋体" w:cs="宋体"/>
          <w:color w:val="auto"/>
          <w:kern w:val="0"/>
          <w:szCs w:val="20"/>
          <w:lang w:val="en-US" w:eastAsia="zh-CN"/>
        </w:rPr>
        <w:t>后</w:t>
      </w:r>
      <w:r>
        <w:rPr>
          <w:rFonts w:hint="eastAsia" w:ascii="宋体" w:hAnsi="宋体" w:eastAsia="宋体" w:cs="宋体"/>
          <w:color w:val="auto"/>
          <w:kern w:val="0"/>
          <w:szCs w:val="20"/>
        </w:rPr>
        <w:t>，7个工作日内，甲方向乙方支付合同总价的</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w:t>
      </w:r>
      <w:r>
        <w:rPr>
          <w:rFonts w:hint="eastAsia" w:ascii="宋体" w:hAnsi="宋体" w:eastAsia="宋体" w:cs="宋体"/>
          <w:color w:val="auto"/>
          <w:kern w:val="0"/>
          <w:szCs w:val="20"/>
          <w:lang w:val="en-US" w:eastAsia="zh-CN"/>
        </w:rPr>
        <w:t>中小微企业限</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0％</w:t>
      </w:r>
      <w:r>
        <w:rPr>
          <w:rFonts w:hint="eastAsia" w:ascii="宋体" w:hAnsi="宋体" w:eastAsia="宋体" w:cs="宋体"/>
          <w:color w:val="auto"/>
          <w:kern w:val="2"/>
          <w:sz w:val="24"/>
          <w:szCs w:val="24"/>
          <w:lang w:val="en-US" w:eastAsia="zh-CN"/>
        </w:rPr>
        <w:t>-7</w:t>
      </w:r>
      <w:r>
        <w:rPr>
          <w:rFonts w:hint="eastAsia" w:ascii="宋体" w:hAnsi="宋体" w:eastAsia="宋体" w:cs="宋体"/>
          <w:color w:val="auto"/>
          <w:kern w:val="2"/>
          <w:sz w:val="24"/>
          <w:szCs w:val="24"/>
        </w:rPr>
        <w:t>0%</w:t>
      </w:r>
      <w:r>
        <w:rPr>
          <w:rFonts w:hint="eastAsia" w:ascii="宋体" w:hAnsi="宋体" w:eastAsia="宋体" w:cs="宋体"/>
          <w:color w:val="auto"/>
          <w:kern w:val="0"/>
          <w:szCs w:val="20"/>
        </w:rPr>
        <w:t>）；货物在乙方安装调试完毕经甲方验收合格并收到增值税专用发票后7个工作日内，向乙方支付合同总价的</w:t>
      </w:r>
      <w:r>
        <w:rPr>
          <w:rFonts w:hint="eastAsia" w:ascii="宋体" w:hAnsi="宋体" w:eastAsia="宋体" w:cs="宋体"/>
          <w:color w:val="auto"/>
          <w:kern w:val="0"/>
          <w:szCs w:val="20"/>
          <w:u w:val="single"/>
        </w:rPr>
        <w:t>　　　</w:t>
      </w:r>
      <w:r>
        <w:rPr>
          <w:rFonts w:hint="eastAsia" w:ascii="宋体" w:hAnsi="宋体" w:eastAsia="宋体" w:cs="宋体"/>
          <w:color w:val="auto"/>
          <w:kern w:val="0"/>
          <w:szCs w:val="20"/>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（2）无需预付款的，可以采用以下付款方式：</w:t>
      </w:r>
    </w:p>
    <w:p w14:paraId="7B595F0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①</w:t>
      </w:r>
      <w:r>
        <w:rPr>
          <w:rFonts w:hint="eastAsia" w:ascii="宋体" w:hAnsi="宋体" w:eastAsia="宋体" w:cs="宋体"/>
          <w:bCs/>
          <w:color w:val="auto"/>
          <w:kern w:val="0"/>
          <w:szCs w:val="20"/>
        </w:rPr>
        <w:t>货到分期付款：</w:t>
      </w:r>
      <w:r>
        <w:rPr>
          <w:rFonts w:hint="eastAsia" w:ascii="宋体" w:hAnsi="宋体" w:eastAsia="宋体" w:cs="宋体"/>
          <w:color w:val="auto"/>
          <w:kern w:val="0"/>
          <w:szCs w:val="20"/>
        </w:rPr>
        <w:t>货物送达并经甲方初步验收并收到有效票据后10个工作日内，甲方向乙方支付合同总价的70%；货物由乙方安装调试完毕并经甲方验收合格后，收到</w:t>
      </w:r>
      <w:bookmarkStart w:id="55" w:name="OLE_LINK2"/>
      <w:r>
        <w:rPr>
          <w:rFonts w:hint="eastAsia" w:ascii="宋体" w:hAnsi="宋体" w:eastAsia="宋体" w:cs="宋体"/>
          <w:color w:val="auto"/>
          <w:kern w:val="0"/>
          <w:szCs w:val="20"/>
        </w:rPr>
        <w:t>增值税专用</w:t>
      </w:r>
      <w:bookmarkEnd w:id="55"/>
      <w:r>
        <w:rPr>
          <w:rFonts w:hint="eastAsia" w:ascii="宋体" w:hAnsi="宋体" w:eastAsia="宋体" w:cs="宋体"/>
          <w:color w:val="auto"/>
          <w:kern w:val="0"/>
          <w:szCs w:val="20"/>
        </w:rPr>
        <w:t>发票后10个工作日内，甲方向乙方支付合同总价的30%。</w:t>
      </w:r>
    </w:p>
    <w:p w14:paraId="5F68E3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②货到一次性支付：</w:t>
      </w:r>
    </w:p>
    <w:p w14:paraId="6C1E58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全部货物送达安装调试完毕，经甲方验收合格，收到增值税专用发票后10个工作日内，甲方向乙方支付全部合同价款。 </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③其它支付形式</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双方协商一致，</w:t>
      </w:r>
      <w:r>
        <w:rPr>
          <w:rFonts w:hint="eastAsia" w:ascii="宋体" w:hAnsi="宋体" w:eastAsia="宋体" w:cs="宋体"/>
          <w:color w:val="auto"/>
          <w:kern w:val="0"/>
          <w:szCs w:val="20"/>
          <w:lang w:val="en-US" w:eastAsia="zh-CN"/>
        </w:rPr>
        <w:t>须</w:t>
      </w:r>
      <w:r>
        <w:rPr>
          <w:rFonts w:hint="eastAsia" w:ascii="宋体" w:hAnsi="宋体" w:eastAsia="宋体" w:cs="宋体"/>
          <w:color w:val="auto"/>
          <w:kern w:val="0"/>
          <w:szCs w:val="20"/>
        </w:rPr>
        <w:t>符合采购法规</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rPr>
        <w:t>。</w:t>
      </w:r>
      <w:bookmarkStart w:id="56" w:name="OLE_LINK4"/>
      <w:bookmarkStart w:id="57" w:name="OLE_LINK3"/>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无论何种结算方式，</w:t>
      </w:r>
      <w:bookmarkEnd w:id="56"/>
      <w:bookmarkEnd w:id="57"/>
      <w:r>
        <w:rPr>
          <w:rFonts w:hint="eastAsia" w:ascii="宋体" w:hAnsi="宋体" w:eastAsia="宋体" w:cs="宋体"/>
          <w:color w:val="auto"/>
          <w:kern w:val="0"/>
          <w:szCs w:val="20"/>
        </w:rPr>
        <w:t>付款前，乙方须交纳合同约定的履约保证金（如有）并提供甲方财务处开具的履约保证金收据，乙方向甲方开具等额有效的票据。甲方开票信息如下：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开户银行：工行杭州高新支行。账号：1202026209008806216</w:t>
      </w:r>
    </w:p>
    <w:p w14:paraId="76371EB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四、其他条款约定</w:t>
      </w:r>
    </w:p>
    <w:p w14:paraId="29B41FE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1.如本合同货物为进口货物时，甲方协助乙方在到货前办好进口货物审批和免税手续。</w:t>
      </w:r>
    </w:p>
    <w:p w14:paraId="3073243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2.如本合同货物为进口货物时，乙方应根据本次采购结果（本合同约定的）提供双方确认的进口货物的品名、型号规格、配置配件、技术要求、价格、制造厂商或生产国别、售后服务等相关书面资料。</w:t>
      </w:r>
    </w:p>
    <w:p w14:paraId="34E125F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由乙方指定的境外公司签订外贸合同，如乙方指定的境外公司未能履行所签订外贸合同的条款时，则乙方指定的该境外公司名下的所有合同法律后果、责任和风险转由乙方承担，乙方无条件接受。</w:t>
      </w:r>
    </w:p>
    <w:p w14:paraId="7ADE61A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3.如本合同货物为进口货物时，乙方负责对外签订外贸合同、协助商谈运输方式、到货地点，办理法定商检、对外承付货款、办理进口报关、并在到货后负责送货上门和安装调试等事宜。</w:t>
      </w:r>
    </w:p>
    <w:p w14:paraId="4670A8E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4.如本合同货物为进口货物时，所涉及的进口货物外贸代理费由乙方承担，与甲方无涉。</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五</w:t>
      </w:r>
      <w:r>
        <w:rPr>
          <w:rFonts w:hint="eastAsia" w:ascii="宋体" w:hAnsi="宋体" w:eastAsia="宋体" w:cs="宋体"/>
          <w:color w:val="auto"/>
          <w:kern w:val="0"/>
          <w:szCs w:val="20"/>
        </w:rPr>
        <w:t>、知识产权</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8" w:name="_Hlk155103594"/>
    </w:p>
    <w:bookmarkEnd w:id="58"/>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六</w:t>
      </w:r>
      <w:r>
        <w:rPr>
          <w:rFonts w:hint="eastAsia" w:ascii="宋体" w:hAnsi="宋体" w:eastAsia="宋体" w:cs="宋体"/>
          <w:color w:val="auto"/>
          <w:kern w:val="0"/>
          <w:szCs w:val="20"/>
        </w:rPr>
        <w:t>、转包或分包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color w:val="auto"/>
          <w:sz w:val="21"/>
          <w:szCs w:val="21"/>
          <w:lang w:val="en-US" w:eastAsia="zh-CN" w:bidi="ar-SA"/>
        </w:rPr>
        <w:t>2</w:t>
      </w:r>
      <w:r>
        <w:rPr>
          <w:rFonts w:hint="eastAsia" w:ascii="宋体" w:hAnsi="宋体" w:eastAsia="宋体" w:cs="宋体"/>
          <w:snapToGrid w:val="0"/>
          <w:color w:val="auto"/>
          <w:spacing w:val="-6"/>
          <w:sz w:val="21"/>
          <w:szCs w:val="21"/>
          <w:lang w:val="en-US" w:eastAsia="zh-CN" w:bidi="ar-SA"/>
        </w:rPr>
        <w:t>.</w:t>
      </w:r>
      <w:r>
        <w:rPr>
          <w:rFonts w:hint="eastAsia" w:ascii="宋体" w:hAnsi="宋体" w:eastAsia="宋体" w:cs="宋体"/>
          <w:snapToGrid w:val="0"/>
          <w:color w:val="auto"/>
          <w:sz w:val="21"/>
          <w:szCs w:val="21"/>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lang w:val="en-US" w:eastAsia="zh-CN" w:bidi="ar-SA"/>
        </w:rPr>
      </w:pPr>
      <w:r>
        <w:rPr>
          <w:rFonts w:hint="eastAsia" w:ascii="宋体" w:hAnsi="宋体" w:eastAsia="宋体" w:cs="宋体"/>
          <w:color w:val="auto"/>
          <w:kern w:val="2"/>
          <w:sz w:val="21"/>
          <w:lang w:val="en-US" w:eastAsia="zh-CN" w:bidi="ar-SA"/>
        </w:rPr>
        <w:t>3</w:t>
      </w:r>
      <w:r>
        <w:rPr>
          <w:rFonts w:hint="eastAsia" w:ascii="宋体" w:hAnsi="宋体" w:eastAsia="宋体" w:cs="宋体"/>
          <w:color w:val="auto"/>
          <w:spacing w:val="-6"/>
          <w:kern w:val="2"/>
          <w:sz w:val="21"/>
          <w:lang w:val="en-US" w:eastAsia="zh-CN" w:bidi="ar-SA"/>
        </w:rPr>
        <w:t>.</w:t>
      </w:r>
      <w:r>
        <w:rPr>
          <w:rFonts w:hint="eastAsia" w:ascii="宋体" w:hAnsi="宋体" w:eastAsia="宋体" w:cs="宋体"/>
          <w:color w:val="auto"/>
          <w:kern w:val="2"/>
          <w:sz w:val="21"/>
          <w:lang w:val="en-US" w:eastAsia="zh-CN" w:bidi="ar-SA"/>
        </w:rPr>
        <w:t>如有转让或未经甲方同意的分包行为，甲方有权解除合同，没收履约保证金并要求乙方支付合同总价15%的违约金。</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七</w:t>
      </w:r>
      <w:r>
        <w:rPr>
          <w:rFonts w:hint="eastAsia" w:ascii="宋体" w:hAnsi="宋体" w:eastAsia="宋体" w:cs="宋体"/>
          <w:color w:val="auto"/>
          <w:kern w:val="0"/>
          <w:szCs w:val="20"/>
        </w:rPr>
        <w:t>、货物交付</w:t>
      </w:r>
    </w:p>
    <w:p w14:paraId="46E5D8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交货期：自合同签订之日起</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个工作日内。</w:t>
      </w:r>
    </w:p>
    <w:p w14:paraId="70A084F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交货方式：</w:t>
      </w:r>
      <w:bookmarkStart w:id="59" w:name="_Hlk155602651"/>
      <w:r>
        <w:rPr>
          <w:rFonts w:hint="eastAsia" w:ascii="宋体" w:hAnsi="宋体" w:eastAsia="宋体" w:cs="宋体"/>
          <w:color w:val="auto"/>
          <w:kern w:val="0"/>
          <w:szCs w:val="20"/>
        </w:rPr>
        <w:t>送货上门</w:t>
      </w:r>
      <w:bookmarkStart w:id="60" w:name="_Hlk155602451"/>
      <w:r>
        <w:rPr>
          <w:rFonts w:hint="eastAsia" w:ascii="宋体" w:hAnsi="宋体" w:eastAsia="宋体" w:cs="宋体"/>
          <w:color w:val="auto"/>
          <w:kern w:val="0"/>
          <w:szCs w:val="20"/>
        </w:rPr>
        <w:t>。</w:t>
      </w:r>
      <w:bookmarkEnd w:id="59"/>
      <w:bookmarkEnd w:id="60"/>
    </w:p>
    <w:p w14:paraId="71A7437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交货地点：</w:t>
      </w:r>
      <w:bookmarkStart w:id="61" w:name="_Hlk155602663"/>
      <w:r>
        <w:rPr>
          <w:rFonts w:hint="eastAsia" w:ascii="宋体" w:hAnsi="宋体" w:eastAsia="宋体" w:cs="宋体"/>
          <w:color w:val="auto"/>
          <w:kern w:val="0"/>
          <w:szCs w:val="20"/>
        </w:rPr>
        <w:t>甲方指定地点。</w:t>
      </w:r>
      <w:bookmarkEnd w:id="61"/>
    </w:p>
    <w:p w14:paraId="1F24F41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联系人及电话：</w:t>
      </w:r>
      <w:bookmarkStart w:id="62" w:name="_Hlk155181628"/>
      <w:r>
        <w:rPr>
          <w:rFonts w:hint="eastAsia" w:ascii="宋体" w:hAnsi="宋体" w:eastAsia="宋体" w:cs="宋体"/>
          <w:color w:val="auto"/>
          <w:kern w:val="0"/>
          <w:szCs w:val="20"/>
        </w:rPr>
        <w:t>甲方 姓名</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联系</w:t>
      </w:r>
      <w:r>
        <w:rPr>
          <w:rFonts w:hint="eastAsia" w:ascii="宋体" w:hAnsi="宋体" w:eastAsia="宋体" w:cs="宋体"/>
          <w:color w:val="auto"/>
          <w:kern w:val="0"/>
          <w:szCs w:val="20"/>
          <w:lang w:val="en-US" w:eastAsia="zh-CN"/>
        </w:rPr>
        <w:t>电话</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；乙方 姓名</w:t>
      </w:r>
      <w:bookmarkEnd w:id="62"/>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联系</w:t>
      </w:r>
      <w:r>
        <w:rPr>
          <w:rFonts w:hint="eastAsia" w:ascii="宋体" w:hAnsi="宋体" w:eastAsia="宋体" w:cs="宋体"/>
          <w:color w:val="auto"/>
          <w:kern w:val="0"/>
          <w:szCs w:val="20"/>
          <w:lang w:val="en-US" w:eastAsia="zh-CN"/>
        </w:rPr>
        <w:t>电话</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5</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6</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本合同所有物品运抵甲方现场后，乙方应在确保设备外包装完好无损的情况下向甲方交货，出现货物不全，外包装破损等情况，甲方不予接收，由乙方负责更换，其相关费用由乙方负担。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7</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八</w:t>
      </w:r>
      <w:r>
        <w:rPr>
          <w:rFonts w:hint="eastAsia" w:ascii="宋体" w:hAnsi="宋体" w:eastAsia="宋体" w:cs="宋体"/>
          <w:color w:val="auto"/>
          <w:kern w:val="0"/>
          <w:szCs w:val="20"/>
        </w:rPr>
        <w:t>、安装与验收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bookmarkStart w:id="63" w:name="OLE_LINK5"/>
      <w:r>
        <w:rPr>
          <w:rFonts w:hint="eastAsia" w:ascii="宋体" w:hAnsi="宋体" w:eastAsia="宋体" w:cs="宋体"/>
          <w:color w:val="auto"/>
          <w:kern w:val="0"/>
          <w:szCs w:val="20"/>
        </w:rPr>
        <w:t>验收由甲方负责实施，甲乙双方验收人员在安装数量和合同价格清单上签字确认。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B94E7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最终验收：货物经安装调试完成且符合技术要求后，甲方负责在</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63"/>
      <w:bookmarkStart w:id="64" w:name="_Hlk155181772"/>
    </w:p>
    <w:bookmarkEnd w:id="64"/>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九</w:t>
      </w:r>
      <w:r>
        <w:rPr>
          <w:rFonts w:hint="eastAsia" w:ascii="宋体" w:hAnsi="宋体" w:eastAsia="宋体" w:cs="宋体"/>
          <w:color w:val="auto"/>
          <w:kern w:val="0"/>
          <w:szCs w:val="20"/>
        </w:rPr>
        <w:t>、质量保证与售后服务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bookmarkStart w:id="65" w:name="OLE_LINK6"/>
      <w:r>
        <w:rPr>
          <w:rFonts w:hint="eastAsia" w:ascii="宋体" w:hAnsi="宋体" w:eastAsia="宋体" w:cs="宋体"/>
          <w:color w:val="auto"/>
          <w:kern w:val="0"/>
          <w:szCs w:val="20"/>
        </w:rPr>
        <w:t>乙方</w:t>
      </w:r>
      <w:bookmarkStart w:id="66" w:name="_Hlk154577956"/>
      <w:r>
        <w:rPr>
          <w:rFonts w:hint="eastAsia" w:ascii="宋体" w:hAnsi="宋体" w:eastAsia="宋体" w:cs="宋体"/>
          <w:color w:val="auto"/>
          <w:kern w:val="0"/>
          <w:szCs w:val="20"/>
        </w:rPr>
        <w:t>应按采购文件规定的货物性能、技术要求、质量标准向甲方提供</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年</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月后生产的，全新未经使用的，符合国家法律规定和技术规格、质量标准的出厂原装合格产品。</w:t>
      </w:r>
      <w:bookmarkEnd w:id="65"/>
      <w:bookmarkEnd w:id="66"/>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2.1远程技术支持：乙方应具有稳定的技术支持队伍和完善的服务支持网络，提供</w:t>
      </w:r>
      <w:r>
        <w:rPr>
          <w:rFonts w:hint="eastAsia" w:ascii="宋体" w:hAnsi="宋体" w:eastAsia="宋体" w:cs="宋体"/>
          <w:color w:val="auto"/>
          <w:kern w:val="0"/>
          <w:szCs w:val="20"/>
          <w:u w:val="single"/>
        </w:rPr>
        <w:t xml:space="preserve"> 7×24小时 </w:t>
      </w:r>
      <w:r>
        <w:rPr>
          <w:rFonts w:hint="eastAsia" w:ascii="宋体" w:hAnsi="宋体" w:eastAsia="宋体" w:cs="宋体"/>
          <w:color w:val="auto"/>
          <w:kern w:val="0"/>
          <w:szCs w:val="20"/>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2.2现场技术支持：对于通过电话、邮件等远程技术支持不能解决的问题，乙方应在</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小时内派遣相关人员赶赴现场，</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小时内维修完毕；发生紧急抢修事故的，乙方应在接到甲方通知后</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小时内到达现场抢修，并于到达现场</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小时之内排除故障。乙方未在约定时间内修复的或同一货物经</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次维修后仍不能稳定、可靠运行的，甲方有权要求乙方免费更换。</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lang w:val="en-US" w:eastAsia="zh-CN"/>
        </w:rPr>
        <w:t>十</w:t>
      </w:r>
      <w:r>
        <w:rPr>
          <w:rFonts w:hint="eastAsia" w:ascii="宋体" w:hAnsi="宋体" w:eastAsia="宋体" w:cs="宋体"/>
          <w:color w:val="auto"/>
          <w:kern w:val="0"/>
          <w:szCs w:val="20"/>
        </w:rPr>
        <w:t>、保密条款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w:t>
      </w:r>
      <w:r>
        <w:rPr>
          <w:rFonts w:hint="eastAsia" w:ascii="宋体" w:hAnsi="宋体" w:eastAsia="宋体" w:cs="宋体"/>
          <w:color w:val="auto"/>
          <w:kern w:val="0"/>
          <w:szCs w:val="20"/>
          <w:lang w:val="en-US" w:eastAsia="zh-CN"/>
        </w:rPr>
        <w:t>一</w:t>
      </w:r>
      <w:r>
        <w:rPr>
          <w:rFonts w:hint="eastAsia" w:ascii="宋体" w:hAnsi="宋体" w:eastAsia="宋体" w:cs="宋体"/>
          <w:color w:val="auto"/>
          <w:kern w:val="0"/>
          <w:szCs w:val="20"/>
        </w:rPr>
        <w:t>、违约责任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甲方无故逾期验收和办理货款支付手续的，每逾期一日，应按逾期付款总额</w:t>
      </w:r>
      <w:r>
        <w:rPr>
          <w:rFonts w:hint="eastAsia" w:ascii="宋体" w:hAnsi="宋体" w:eastAsia="宋体" w:cs="宋体"/>
          <w:color w:val="auto"/>
          <w:kern w:val="0"/>
          <w:szCs w:val="20"/>
          <w:u w:val="single"/>
          <w:lang w:val="en-US" w:eastAsia="zh-CN"/>
        </w:rPr>
        <w:t>0.3‰</w:t>
      </w:r>
      <w:r>
        <w:rPr>
          <w:rFonts w:hint="eastAsia" w:ascii="宋体" w:hAnsi="宋体" w:eastAsia="宋体" w:cs="宋体"/>
          <w:color w:val="auto"/>
          <w:kern w:val="0"/>
          <w:szCs w:val="20"/>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乙方逾期交货完工的，每逾期一日，应按合同总价</w:t>
      </w:r>
      <w:r>
        <w:rPr>
          <w:rFonts w:hint="eastAsia" w:ascii="宋体" w:hAnsi="宋体" w:eastAsia="宋体" w:cs="宋体"/>
          <w:color w:val="auto"/>
          <w:kern w:val="0"/>
          <w:szCs w:val="20"/>
          <w:u w:val="single"/>
          <w:lang w:val="en-US" w:eastAsia="zh-CN"/>
        </w:rPr>
        <w:t>0.3‰</w:t>
      </w:r>
      <w:r>
        <w:rPr>
          <w:rFonts w:hint="eastAsia" w:ascii="宋体" w:hAnsi="宋体" w:eastAsia="宋体" w:cs="宋体"/>
          <w:color w:val="auto"/>
          <w:kern w:val="0"/>
          <w:szCs w:val="20"/>
        </w:rPr>
        <w:t>向甲方支付违约金。逾期超过约定日期</w:t>
      </w:r>
      <w:r>
        <w:rPr>
          <w:rFonts w:hint="eastAsia" w:ascii="宋体" w:hAnsi="宋体" w:eastAsia="宋体" w:cs="宋体"/>
          <w:color w:val="auto"/>
          <w:kern w:val="0"/>
          <w:szCs w:val="20"/>
          <w:u w:val="single"/>
        </w:rPr>
        <w:t xml:space="preserve"> 10 </w:t>
      </w:r>
      <w:r>
        <w:rPr>
          <w:rFonts w:hint="eastAsia" w:ascii="宋体" w:hAnsi="宋体" w:eastAsia="宋体" w:cs="宋体"/>
          <w:color w:val="auto"/>
          <w:kern w:val="0"/>
          <w:szCs w:val="20"/>
        </w:rPr>
        <w:t>个工作日不能交货完工的，甲方有权解除本合同，并要求乙方支付合同总价</w:t>
      </w:r>
      <w:r>
        <w:rPr>
          <w:rFonts w:hint="eastAsia" w:ascii="宋体" w:hAnsi="宋体" w:eastAsia="宋体" w:cs="宋体"/>
          <w:color w:val="auto"/>
          <w:kern w:val="0"/>
          <w:szCs w:val="20"/>
          <w:u w:val="single"/>
        </w:rPr>
        <w:t xml:space="preserve"> 5 %</w:t>
      </w:r>
      <w:r>
        <w:rPr>
          <w:rFonts w:hint="eastAsia" w:ascii="宋体" w:hAnsi="宋体" w:eastAsia="宋体" w:cs="宋体"/>
          <w:color w:val="auto"/>
          <w:kern w:val="0"/>
          <w:szCs w:val="20"/>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0"/>
          <w:u w:val="single"/>
        </w:rPr>
        <w:t xml:space="preserve"> 5 %</w:t>
      </w:r>
      <w:r>
        <w:rPr>
          <w:rFonts w:hint="eastAsia" w:ascii="宋体" w:hAnsi="宋体" w:eastAsia="宋体" w:cs="宋体"/>
          <w:color w:val="auto"/>
          <w:kern w:val="0"/>
          <w:szCs w:val="20"/>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乙方未能按约定要求履行保修义务的，</w:t>
      </w:r>
      <w:bookmarkStart w:id="67" w:name="_Hlk154755811"/>
      <w:r>
        <w:rPr>
          <w:rFonts w:hint="eastAsia" w:ascii="宋体" w:hAnsi="宋体" w:eastAsia="宋体" w:cs="宋体"/>
          <w:color w:val="auto"/>
          <w:kern w:val="0"/>
          <w:szCs w:val="20"/>
        </w:rPr>
        <w:t>每发生一次应向甲方支付</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u w:val="single"/>
          <w:lang w:val="en-US" w:eastAsia="zh-CN"/>
        </w:rPr>
        <w:t>5000</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元的违约金，同时，甲方有权委托第三方进行保修，所产生的费用由乙方承担。</w:t>
      </w:r>
      <w:bookmarkEnd w:id="67"/>
      <w:r>
        <w:rPr>
          <w:rFonts w:hint="eastAsia" w:ascii="宋体" w:hAnsi="宋体" w:eastAsia="宋体" w:cs="宋体"/>
          <w:color w:val="auto"/>
          <w:kern w:val="0"/>
          <w:szCs w:val="20"/>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5</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 xml:space="preserve">因乙方其他违约行为导致甲方解除合同的，乙方应向甲方支付合同总价 </w:t>
      </w:r>
      <w:r>
        <w:rPr>
          <w:rFonts w:hint="eastAsia" w:ascii="宋体" w:hAnsi="宋体" w:eastAsia="宋体" w:cs="宋体"/>
          <w:color w:val="auto"/>
          <w:kern w:val="0"/>
          <w:szCs w:val="20"/>
          <w:u w:val="single"/>
        </w:rPr>
        <w:t>5 %</w:t>
      </w:r>
      <w:r>
        <w:rPr>
          <w:rFonts w:hint="eastAsia" w:ascii="宋体" w:hAnsi="宋体" w:eastAsia="宋体" w:cs="宋体"/>
          <w:color w:val="auto"/>
          <w:kern w:val="0"/>
          <w:szCs w:val="20"/>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w:t>
      </w:r>
      <w:r>
        <w:rPr>
          <w:rFonts w:hint="eastAsia" w:ascii="宋体" w:hAnsi="宋体" w:eastAsia="宋体" w:cs="宋体"/>
          <w:color w:val="auto"/>
          <w:kern w:val="0"/>
          <w:szCs w:val="20"/>
          <w:lang w:val="en-US" w:eastAsia="zh-CN"/>
        </w:rPr>
        <w:t>二</w:t>
      </w:r>
      <w:r>
        <w:rPr>
          <w:rFonts w:hint="eastAsia" w:ascii="宋体" w:hAnsi="宋体" w:eastAsia="宋体" w:cs="宋体"/>
          <w:color w:val="auto"/>
          <w:kern w:val="0"/>
          <w:szCs w:val="20"/>
        </w:rPr>
        <w:t>、不可抗力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w:t>
      </w:r>
      <w:r>
        <w:rPr>
          <w:rFonts w:hint="eastAsia" w:ascii="宋体" w:hAnsi="宋体" w:eastAsia="宋体" w:cs="宋体"/>
          <w:color w:val="auto"/>
          <w:kern w:val="0"/>
          <w:szCs w:val="20"/>
          <w:lang w:val="en-US" w:eastAsia="zh-CN"/>
        </w:rPr>
        <w:t>三</w:t>
      </w:r>
      <w:r>
        <w:rPr>
          <w:rFonts w:hint="eastAsia" w:ascii="宋体" w:hAnsi="宋体" w:eastAsia="宋体" w:cs="宋体"/>
          <w:color w:val="auto"/>
          <w:kern w:val="0"/>
          <w:szCs w:val="20"/>
        </w:rPr>
        <w:t>、法律适用与争议解决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w:t>
      </w:r>
      <w:r>
        <w:rPr>
          <w:rFonts w:hint="eastAsia" w:ascii="宋体" w:hAnsi="宋体" w:eastAsia="宋体" w:cs="宋体"/>
          <w:color w:val="auto"/>
          <w:kern w:val="0"/>
          <w:szCs w:val="20"/>
          <w:lang w:val="en-US" w:eastAsia="zh-CN"/>
        </w:rPr>
        <w:t>四</w:t>
      </w:r>
      <w:r>
        <w:rPr>
          <w:rFonts w:hint="eastAsia" w:ascii="宋体" w:hAnsi="宋体" w:eastAsia="宋体" w:cs="宋体"/>
          <w:color w:val="auto"/>
          <w:kern w:val="0"/>
          <w:szCs w:val="20"/>
        </w:rPr>
        <w:t>、合同生效及其他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本次采购过程中形成的招标（非招标）文件、投标（响应）文件、澄清承诺、补充协议、附件等</w:t>
      </w:r>
      <w:r>
        <w:rPr>
          <w:rFonts w:hint="eastAsia" w:ascii="宋体" w:hAnsi="宋体" w:eastAsia="宋体" w:cs="宋体"/>
          <w:color w:val="auto"/>
          <w:kern w:val="0"/>
          <w:szCs w:val="20"/>
          <w:lang w:val="zh-CN"/>
        </w:rPr>
        <w:t>为本合同的组成部分，并构成一个整体，需综合解释、相互补充。如果</w:t>
      </w:r>
      <w:r>
        <w:rPr>
          <w:rFonts w:hint="eastAsia" w:ascii="宋体" w:hAnsi="宋体" w:eastAsia="宋体" w:cs="宋体"/>
          <w:color w:val="auto"/>
          <w:kern w:val="0"/>
          <w:szCs w:val="20"/>
        </w:rPr>
        <w:t>上述</w:t>
      </w:r>
      <w:r>
        <w:rPr>
          <w:rFonts w:hint="eastAsia" w:ascii="宋体" w:hAnsi="宋体" w:eastAsia="宋体" w:cs="宋体"/>
          <w:color w:val="auto"/>
          <w:kern w:val="0"/>
          <w:szCs w:val="20"/>
          <w:lang w:val="zh-CN"/>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lang w:val="zh-CN"/>
        </w:rPr>
      </w:pPr>
      <w:r>
        <w:rPr>
          <w:rFonts w:hint="eastAsia" w:ascii="宋体" w:hAnsi="宋体" w:eastAsia="宋体" w:cs="宋体"/>
          <w:color w:val="auto"/>
          <w:kern w:val="0"/>
          <w:szCs w:val="20"/>
        </w:rPr>
        <w:t>（3）投标（</w:t>
      </w:r>
      <w:r>
        <w:rPr>
          <w:rFonts w:hint="eastAsia" w:ascii="宋体" w:hAnsi="宋体" w:eastAsia="宋体" w:cs="宋体"/>
          <w:color w:val="auto"/>
          <w:kern w:val="0"/>
          <w:szCs w:val="20"/>
          <w:lang w:val="zh-CN"/>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lang w:val="zh-CN"/>
        </w:rPr>
      </w:pPr>
      <w:r>
        <w:rPr>
          <w:rFonts w:hint="eastAsia" w:ascii="宋体" w:hAnsi="宋体" w:eastAsia="宋体" w:cs="宋体"/>
          <w:color w:val="auto"/>
          <w:kern w:val="0"/>
          <w:szCs w:val="20"/>
        </w:rPr>
        <w:t>（4）招标（非招标）</w:t>
      </w:r>
      <w:r>
        <w:rPr>
          <w:rFonts w:hint="eastAsia" w:ascii="宋体" w:hAnsi="宋体" w:eastAsia="宋体" w:cs="宋体"/>
          <w:color w:val="auto"/>
          <w:kern w:val="0"/>
          <w:szCs w:val="20"/>
          <w:lang w:val="zh-CN"/>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（5）</w:t>
      </w:r>
      <w:r>
        <w:rPr>
          <w:rFonts w:hint="eastAsia" w:ascii="宋体" w:hAnsi="宋体" w:eastAsia="宋体" w:cs="宋体"/>
          <w:snapToGrid w:val="0"/>
          <w:color w:val="auto"/>
          <w:sz w:val="21"/>
          <w:szCs w:val="21"/>
          <w:lang w:val="zh-CN" w:eastAsia="zh-CN" w:bidi="ar-SA"/>
        </w:rPr>
        <w:t>其他相关采购文件。</w:t>
      </w:r>
    </w:p>
    <w:p w14:paraId="37856F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spacing w:val="-6"/>
          <w:kern w:val="0"/>
          <w:szCs w:val="20"/>
        </w:rPr>
        <w:t>5.</w:t>
      </w:r>
      <w:r>
        <w:rPr>
          <w:rFonts w:hint="eastAsia" w:ascii="宋体" w:hAnsi="宋体" w:eastAsia="宋体" w:cs="宋体"/>
          <w:color w:val="auto"/>
          <w:kern w:val="0"/>
          <w:szCs w:val="20"/>
        </w:rPr>
        <w:t xml:space="preserve"> 本合同一式伍份，甲方执</w:t>
      </w:r>
      <w:r>
        <w:rPr>
          <w:rFonts w:hint="eastAsia" w:ascii="宋体" w:hAnsi="宋体" w:eastAsia="宋体" w:cs="宋体"/>
          <w:color w:val="auto"/>
          <w:kern w:val="0"/>
          <w:szCs w:val="20"/>
          <w:lang w:val="en-US" w:eastAsia="zh-CN"/>
        </w:rPr>
        <w:t>叁</w:t>
      </w:r>
      <w:r>
        <w:rPr>
          <w:rFonts w:hint="eastAsia" w:ascii="宋体" w:hAnsi="宋体" w:eastAsia="宋体" w:cs="宋体"/>
          <w:color w:val="auto"/>
          <w:kern w:val="0"/>
          <w:szCs w:val="20"/>
        </w:rPr>
        <w:t>份，乙方和鉴证方各执</w:t>
      </w:r>
      <w:r>
        <w:rPr>
          <w:rFonts w:hint="eastAsia" w:ascii="宋体" w:hAnsi="宋体" w:eastAsia="宋体" w:cs="宋体"/>
          <w:color w:val="auto"/>
          <w:kern w:val="0"/>
          <w:szCs w:val="20"/>
          <w:lang w:val="en-US" w:eastAsia="zh-CN"/>
        </w:rPr>
        <w:t>壹</w:t>
      </w:r>
      <w:r>
        <w:rPr>
          <w:rFonts w:hint="eastAsia" w:ascii="宋体" w:hAnsi="宋体" w:eastAsia="宋体" w:cs="宋体"/>
          <w:color w:val="auto"/>
          <w:kern w:val="0"/>
          <w:szCs w:val="20"/>
        </w:rPr>
        <w:t>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lang w:val="en-US" w:eastAsia="zh-CN" w:bidi="ar-SA"/>
        </w:rPr>
      </w:pPr>
      <w:r>
        <w:rPr>
          <w:rFonts w:hint="eastAsia" w:ascii="宋体" w:hAnsi="宋体" w:eastAsia="宋体" w:cs="宋体"/>
          <w:color w:val="auto"/>
          <w:kern w:val="2"/>
          <w:sz w:val="21"/>
          <w:lang w:val="en-US" w:eastAsia="zh-CN" w:bidi="ar-SA"/>
        </w:rPr>
        <w:t>合同附件： （附件名称</w:t>
      </w:r>
      <w:r>
        <w:rPr>
          <w:rFonts w:hint="eastAsia" w:ascii="宋体" w:hAnsi="宋体" w:eastAsia="宋体" w:cs="宋体"/>
          <w:color w:val="auto"/>
          <w:kern w:val="2"/>
          <w:sz w:val="21"/>
          <w:u w:val="single"/>
          <w:lang w:val="en-US" w:eastAsia="zh-CN" w:bidi="ar-SA"/>
        </w:rPr>
        <w:t xml:space="preserve">                        ）</w:t>
      </w:r>
      <w:r>
        <w:rPr>
          <w:rFonts w:hint="eastAsia" w:ascii="宋体" w:hAnsi="宋体" w:eastAsia="宋体" w:cs="宋体"/>
          <w:color w:val="auto"/>
          <w:kern w:val="2"/>
          <w:sz w:val="21"/>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bl>
      <w:tblPr>
        <w:tblStyle w:val="23"/>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tcBorders>
              <w:tl2br w:val="nil"/>
              <w:tr2bl w:val="nil"/>
            </w:tcBorders>
            <w:vAlign w:val="center"/>
          </w:tcPr>
          <w:p w14:paraId="769D26DC">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法定（授权）代表人：</w:t>
            </w:r>
          </w:p>
          <w:p w14:paraId="30875848">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tcBorders>
              <w:tl2br w:val="nil"/>
              <w:tr2bl w:val="nil"/>
            </w:tcBorders>
            <w:vAlign w:val="center"/>
          </w:tcPr>
          <w:p w14:paraId="106B223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法定（授权）代表人：</w:t>
            </w:r>
          </w:p>
          <w:p w14:paraId="19AE7AF0">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r>
              <w:rPr>
                <w:rFonts w:hint="eastAsia" w:ascii="宋体" w:hAnsi="宋体" w:eastAsia="宋体" w:cs="宋体"/>
                <w:color w:val="auto"/>
                <w:spacing w:val="-6"/>
                <w:kern w:val="0"/>
                <w:szCs w:val="21"/>
              </w:rPr>
              <w:tab/>
            </w:r>
            <w:r>
              <w:rPr>
                <w:rFonts w:hint="eastAsia" w:ascii="宋体" w:hAnsi="宋体" w:eastAsia="宋体" w:cs="宋体"/>
                <w:color w:val="auto"/>
                <w:spacing w:val="-6"/>
                <w:kern w:val="0"/>
                <w:szCs w:val="21"/>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tcBorders>
              <w:tl2br w:val="nil"/>
              <w:tr2bl w:val="nil"/>
            </w:tcBorders>
            <w:vAlign w:val="center"/>
          </w:tcPr>
          <w:p w14:paraId="3BED60E6">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r>
              <w:rPr>
                <w:rFonts w:hint="eastAsia" w:ascii="宋体" w:hAnsi="宋体" w:eastAsia="宋体" w:cs="宋体"/>
                <w:color w:val="auto"/>
                <w:spacing w:val="-6"/>
                <w:kern w:val="0"/>
                <w:szCs w:val="21"/>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r>
              <w:rPr>
                <w:rFonts w:hint="eastAsia" w:ascii="宋体" w:hAnsi="宋体" w:eastAsia="宋体" w:cs="宋体"/>
                <w:color w:val="auto"/>
                <w:spacing w:val="-6"/>
                <w:kern w:val="0"/>
                <w:szCs w:val="21"/>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tcBorders>
              <w:tl2br w:val="nil"/>
              <w:tr2bl w:val="nil"/>
            </w:tcBorders>
            <w:vAlign w:val="center"/>
          </w:tcPr>
          <w:p w14:paraId="1FCF88B5">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tcBorders>
              <w:tl2br w:val="nil"/>
              <w:tr2bl w:val="nil"/>
            </w:tcBorders>
            <w:vAlign w:val="center"/>
          </w:tcPr>
          <w:p w14:paraId="60206777">
            <w:pPr>
              <w:keepNext w:val="0"/>
              <w:keepLines w:val="0"/>
              <w:pageBreakBefore w:val="0"/>
              <w:widowControl w:val="0"/>
              <w:kinsoku/>
              <w:wordWrap/>
              <w:overflowPunct/>
              <w:topLinePunct w:val="0"/>
              <w:autoSpaceDE/>
              <w:autoSpaceDN/>
              <w:bidi w:val="0"/>
              <w:adjustRightInd/>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43E6848">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代表人：</w:t>
            </w:r>
          </w:p>
          <w:p w14:paraId="17430221">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5A7C22E4">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6278072E">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505A9ED2">
            <w:pPr>
              <w:keepNext w:val="0"/>
              <w:keepLines w:val="0"/>
              <w:pageBreakBefore w:val="0"/>
              <w:widowControl w:val="0"/>
              <w:kinsoku/>
              <w:wordWrap/>
              <w:overflowPunct/>
              <w:topLinePunct w:val="0"/>
              <w:autoSpaceDE/>
              <w:autoSpaceDN/>
              <w:bidi w:val="0"/>
              <w:adjustRightInd/>
              <w:snapToGrid w:val="0"/>
              <w:spacing w:line="288" w:lineRule="auto"/>
              <w:ind w:left="0" w:leftChars="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ascii="宋体" w:hAnsi="宋体" w:eastAsia="宋体" w:cs="Times New Roman"/>
          <w:b/>
          <w:bCs/>
          <w:color w:val="auto"/>
          <w:spacing w:val="-6"/>
          <w:sz w:val="24"/>
          <w:szCs w:val="24"/>
        </w:rPr>
      </w:pPr>
    </w:p>
    <w:p w14:paraId="77A61967">
      <w:pPr>
        <w:adjustRightInd w:val="0"/>
        <w:snapToGrid w:val="0"/>
        <w:spacing w:line="288"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ascii="宋体" w:hAnsi="宋体" w:eastAsia="宋体" w:cs="宋体"/>
          <w:b/>
          <w:color w:val="auto"/>
          <w:spacing w:val="-6"/>
          <w:szCs w:val="21"/>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70B5A7C3">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31F905EF">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（2）进口设备免税承诺函（如有）</w:t>
      </w:r>
    </w:p>
    <w:p w14:paraId="61723977">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（3）中小企业声明函（若属于中小企业）</w:t>
      </w:r>
    </w:p>
    <w:p w14:paraId="3161E54E">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（4）属于监狱企业的证明文件（若属于监狱企业）</w:t>
      </w:r>
    </w:p>
    <w:p w14:paraId="52033B6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（5）残疾人福利性单位声明函（若属于残疾人福利性单位）</w:t>
      </w:r>
    </w:p>
    <w:p w14:paraId="3BDB16B3">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rPr>
            </w:pPr>
          </w:p>
        </w:tc>
        <w:tc>
          <w:tcPr>
            <w:tcW w:w="882" w:type="dxa"/>
          </w:tcPr>
          <w:p w14:paraId="6FF943A5">
            <w:pPr>
              <w:adjustRightInd w:val="0"/>
              <w:snapToGrid w:val="0"/>
              <w:spacing w:line="288" w:lineRule="auto"/>
              <w:jc w:val="center"/>
              <w:rPr>
                <w:rFonts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rPr>
            </w:pPr>
          </w:p>
        </w:tc>
      </w:tr>
    </w:tbl>
    <w:p w14:paraId="67490BE6">
      <w:pPr>
        <w:adjustRightInd w:val="0"/>
        <w:snapToGrid w:val="0"/>
        <w:spacing w:line="288" w:lineRule="auto"/>
        <w:rPr>
          <w:rFonts w:ascii="宋体" w:hAnsi="宋体" w:eastAsia="宋体" w:cs="Times New Roman"/>
          <w:color w:val="auto"/>
          <w:spacing w:val="-6"/>
          <w:szCs w:val="21"/>
        </w:rPr>
      </w:pPr>
    </w:p>
    <w:p w14:paraId="7CEAFD55">
      <w:pPr>
        <w:widowControl/>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ascii="宋体" w:hAnsi="宋体" w:eastAsia="宋体" w:cs="宋体"/>
          <w:b/>
          <w:bCs/>
          <w:color w:val="auto"/>
          <w:sz w:val="24"/>
          <w:szCs w:val="24"/>
        </w:rPr>
      </w:pPr>
    </w:p>
    <w:p w14:paraId="1C71A8AA">
      <w:pPr>
        <w:adjustRightInd w:val="0"/>
        <w:snapToGrid w:val="0"/>
        <w:spacing w:line="288" w:lineRule="auto"/>
        <w:jc w:val="center"/>
        <w:rPr>
          <w:rFonts w:ascii="宋体" w:hAnsi="宋体" w:eastAsia="宋体" w:cs="宋体"/>
          <w:b/>
          <w:bCs/>
          <w:color w:val="auto"/>
          <w:sz w:val="24"/>
          <w:szCs w:val="24"/>
        </w:rPr>
      </w:pPr>
    </w:p>
    <w:p w14:paraId="2BED115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ascii="宋体" w:hAnsi="宋体" w:eastAsia="宋体" w:cs="Times New Roman"/>
          <w:bCs/>
          <w:color w:val="auto"/>
          <w:spacing w:val="-6"/>
          <w:szCs w:val="21"/>
        </w:rPr>
      </w:pPr>
    </w:p>
    <w:p w14:paraId="4C6928BE">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rPr>
      </w:pPr>
    </w:p>
    <w:p w14:paraId="09AC6A6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rPr>
      </w:pPr>
    </w:p>
    <w:p w14:paraId="50FEAEB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rPr>
      </w:pPr>
    </w:p>
    <w:p w14:paraId="03BE7C8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ascii="宋体" w:hAnsi="宋体" w:eastAsia="宋体" w:cs="宋体"/>
          <w:b/>
          <w:color w:val="auto"/>
          <w:spacing w:val="-6"/>
          <w:szCs w:val="21"/>
        </w:rPr>
      </w:pPr>
    </w:p>
    <w:p w14:paraId="5155161B">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ascii="宋体" w:hAnsi="宋体" w:eastAsia="宋体" w:cs="Times New Roman"/>
          <w:color w:val="auto"/>
          <w:spacing w:val="-6"/>
          <w:szCs w:val="21"/>
        </w:rPr>
      </w:pPr>
    </w:p>
    <w:p w14:paraId="42C9782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rPr>
      </w:pPr>
    </w:p>
    <w:p w14:paraId="275A0BF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杭州电子科技大学微波毫米波噪声测试系统</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w:t>
      </w:r>
      <w:r>
        <w:rPr>
          <w:rFonts w:hint="eastAsia" w:ascii="宋体" w:hAnsi="宋体" w:eastAsia="宋体" w:cs="Times New Roman"/>
          <w:bCs/>
          <w:color w:val="auto"/>
          <w:spacing w:val="-6"/>
          <w:szCs w:val="21"/>
          <w:u w:val="single"/>
          <w:lang w:eastAsia="zh-CN"/>
        </w:rPr>
        <w:t>QSZBB250376ZHGK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rPr>
            </w:pPr>
          </w:p>
        </w:tc>
      </w:tr>
    </w:tbl>
    <w:p w14:paraId="69CF19CB">
      <w:pPr>
        <w:adjustRightInd w:val="0"/>
        <w:snapToGrid w:val="0"/>
        <w:spacing w:line="288" w:lineRule="auto"/>
        <w:rPr>
          <w:rFonts w:ascii="宋体" w:hAnsi="宋体" w:eastAsia="宋体" w:cs="Times New Roman"/>
          <w:color w:val="auto"/>
          <w:spacing w:val="-6"/>
          <w:szCs w:val="21"/>
        </w:rPr>
      </w:pPr>
    </w:p>
    <w:p w14:paraId="260DE583">
      <w:pPr>
        <w:adjustRightInd w:val="0"/>
        <w:snapToGrid w:val="0"/>
        <w:spacing w:line="288" w:lineRule="auto"/>
        <w:rPr>
          <w:rFonts w:ascii="宋体" w:hAnsi="宋体" w:eastAsia="宋体" w:cs="Times New Roman"/>
          <w:color w:val="auto"/>
          <w:spacing w:val="-6"/>
          <w:szCs w:val="21"/>
        </w:rPr>
      </w:pPr>
    </w:p>
    <w:p w14:paraId="318AB8CC">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ascii="宋体" w:hAnsi="宋体" w:eastAsia="宋体" w:cs="Times New Roman"/>
          <w:b/>
          <w:bCs/>
          <w:color w:val="auto"/>
          <w:spacing w:val="-6"/>
          <w:szCs w:val="21"/>
        </w:rPr>
      </w:pPr>
    </w:p>
    <w:p w14:paraId="66F419B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杭州电子科技大学微波毫米波噪声测试系统项目（项目编号：</w:t>
      </w:r>
      <w:r>
        <w:rPr>
          <w:rFonts w:hint="eastAsia" w:ascii="宋体" w:hAnsi="宋体" w:eastAsia="宋体" w:cs="Times New Roman"/>
          <w:bCs/>
          <w:color w:val="auto"/>
          <w:spacing w:val="-6"/>
          <w:szCs w:val="21"/>
          <w:lang w:eastAsia="zh-CN"/>
        </w:rPr>
        <w:t>QSZBB250376ZHGK</w:t>
      </w:r>
      <w:r>
        <w:rPr>
          <w:rFonts w:hint="eastAsia" w:ascii="宋体" w:hAnsi="宋体" w:eastAsia="宋体" w:cs="Times New Roman"/>
          <w:bCs/>
          <w:color w:val="auto"/>
          <w:spacing w:val="-6"/>
          <w:szCs w:val="21"/>
        </w:rPr>
        <w:t>）</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ascii="宋体" w:hAnsi="宋体" w:eastAsia="宋体" w:cs="Times New Roman"/>
          <w:color w:val="auto"/>
          <w:spacing w:val="-6"/>
          <w:szCs w:val="21"/>
        </w:rPr>
      </w:pPr>
    </w:p>
    <w:p w14:paraId="279324C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ascii="宋体" w:hAnsi="宋体" w:eastAsia="宋体" w:cs="Times New Roman"/>
          <w:color w:val="auto"/>
          <w:szCs w:val="21"/>
        </w:rPr>
      </w:pPr>
    </w:p>
    <w:p w14:paraId="244DAF51">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ascii="宋体" w:hAnsi="宋体" w:eastAsia="宋体" w:cs="Times New Roman"/>
          <w:color w:val="auto"/>
          <w:szCs w:val="21"/>
        </w:rPr>
      </w:pPr>
    </w:p>
    <w:p w14:paraId="60691A99">
      <w:pPr>
        <w:adjustRightInd w:val="0"/>
        <w:snapToGrid w:val="0"/>
        <w:spacing w:line="288" w:lineRule="auto"/>
        <w:rPr>
          <w:rFonts w:ascii="宋体" w:hAnsi="宋体" w:eastAsia="宋体" w:cs="Times New Roman"/>
          <w:color w:val="auto"/>
          <w:szCs w:val="21"/>
        </w:rPr>
      </w:pPr>
    </w:p>
    <w:p w14:paraId="6543E901">
      <w:pPr>
        <w:adjustRightInd w:val="0"/>
        <w:snapToGrid w:val="0"/>
        <w:spacing w:line="288" w:lineRule="auto"/>
        <w:jc w:val="center"/>
        <w:outlineLvl w:val="2"/>
        <w:rPr>
          <w:rFonts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合同金额</w:t>
            </w:r>
          </w:p>
          <w:p w14:paraId="2591702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rPr>
            </w:pPr>
          </w:p>
        </w:tc>
      </w:tr>
    </w:tbl>
    <w:p w14:paraId="7BB882B0">
      <w:pPr>
        <w:adjustRightInd w:val="0"/>
        <w:snapToGrid w:val="0"/>
        <w:spacing w:line="288" w:lineRule="auto"/>
        <w:rPr>
          <w:rFonts w:ascii="宋体" w:hAnsi="宋体" w:eastAsia="宋体" w:cs="Times New Roman"/>
          <w:color w:val="auto"/>
          <w:szCs w:val="21"/>
        </w:rPr>
      </w:pPr>
    </w:p>
    <w:p w14:paraId="0A2D736E">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rPr>
      </w:pPr>
    </w:p>
    <w:p w14:paraId="6E3DE3F5">
      <w:pPr>
        <w:adjustRightInd w:val="0"/>
        <w:snapToGrid w:val="0"/>
        <w:spacing w:line="288" w:lineRule="auto"/>
        <w:rPr>
          <w:rFonts w:ascii="宋体" w:hAnsi="宋体" w:eastAsia="宋体" w:cs="Times New Roman"/>
          <w:color w:val="auto"/>
          <w:spacing w:val="-6"/>
          <w:szCs w:val="21"/>
        </w:rPr>
      </w:pPr>
    </w:p>
    <w:p w14:paraId="1F46849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项目名称：微波毫米波噪声测试系统</w:t>
      </w:r>
    </w:p>
    <w:p w14:paraId="1F7E0C6C">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QSZBB250376ZHGK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adjustRightInd w:val="0"/>
              <w:snapToGrid w:val="0"/>
              <w:spacing w:line="288" w:lineRule="auto"/>
              <w:rPr>
                <w:rFonts w:ascii="宋体" w:hAnsi="宋体" w:eastAsia="宋体" w:cs="宋体"/>
                <w:color w:val="auto"/>
                <w:szCs w:val="21"/>
              </w:rPr>
            </w:pPr>
          </w:p>
        </w:tc>
        <w:tc>
          <w:tcPr>
            <w:tcW w:w="2574" w:type="dxa"/>
            <w:vAlign w:val="center"/>
          </w:tcPr>
          <w:p w14:paraId="702CD0E8">
            <w:pPr>
              <w:adjustRightInd w:val="0"/>
              <w:snapToGrid w:val="0"/>
              <w:spacing w:line="288" w:lineRule="auto"/>
              <w:rPr>
                <w:rFonts w:ascii="宋体" w:hAnsi="宋体" w:eastAsia="宋体" w:cs="宋体"/>
                <w:color w:val="auto"/>
                <w:szCs w:val="21"/>
              </w:rPr>
            </w:pPr>
          </w:p>
        </w:tc>
        <w:tc>
          <w:tcPr>
            <w:tcW w:w="2124" w:type="dxa"/>
            <w:vAlign w:val="center"/>
          </w:tcPr>
          <w:p w14:paraId="602EFA5A">
            <w:pPr>
              <w:adjustRightInd w:val="0"/>
              <w:snapToGrid w:val="0"/>
              <w:spacing w:line="288" w:lineRule="auto"/>
              <w:rPr>
                <w:rFonts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adjustRightInd w:val="0"/>
              <w:snapToGrid w:val="0"/>
              <w:spacing w:line="288" w:lineRule="auto"/>
              <w:rPr>
                <w:rFonts w:ascii="宋体" w:hAnsi="宋体" w:eastAsia="宋体" w:cs="宋体"/>
                <w:color w:val="auto"/>
                <w:szCs w:val="21"/>
              </w:rPr>
            </w:pPr>
          </w:p>
        </w:tc>
        <w:tc>
          <w:tcPr>
            <w:tcW w:w="2574" w:type="dxa"/>
            <w:vAlign w:val="center"/>
          </w:tcPr>
          <w:p w14:paraId="3887E5E7">
            <w:pPr>
              <w:adjustRightInd w:val="0"/>
              <w:snapToGrid w:val="0"/>
              <w:spacing w:line="288" w:lineRule="auto"/>
              <w:rPr>
                <w:rFonts w:ascii="宋体" w:hAnsi="宋体" w:eastAsia="宋体" w:cs="宋体"/>
                <w:color w:val="auto"/>
                <w:szCs w:val="21"/>
              </w:rPr>
            </w:pPr>
          </w:p>
        </w:tc>
        <w:tc>
          <w:tcPr>
            <w:tcW w:w="2124" w:type="dxa"/>
            <w:vAlign w:val="center"/>
          </w:tcPr>
          <w:p w14:paraId="376258A4">
            <w:pPr>
              <w:adjustRightInd w:val="0"/>
              <w:snapToGrid w:val="0"/>
              <w:spacing w:line="288" w:lineRule="auto"/>
              <w:rPr>
                <w:rFonts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adjustRightInd w:val="0"/>
              <w:snapToGrid w:val="0"/>
              <w:spacing w:line="288" w:lineRule="auto"/>
              <w:rPr>
                <w:rFonts w:ascii="宋体" w:hAnsi="宋体" w:eastAsia="宋体" w:cs="宋体"/>
                <w:color w:val="auto"/>
                <w:szCs w:val="21"/>
              </w:rPr>
            </w:pPr>
          </w:p>
        </w:tc>
        <w:tc>
          <w:tcPr>
            <w:tcW w:w="2574" w:type="dxa"/>
            <w:vAlign w:val="center"/>
          </w:tcPr>
          <w:p w14:paraId="2E789987">
            <w:pPr>
              <w:adjustRightInd w:val="0"/>
              <w:snapToGrid w:val="0"/>
              <w:spacing w:line="288" w:lineRule="auto"/>
              <w:rPr>
                <w:rFonts w:ascii="宋体" w:hAnsi="宋体" w:eastAsia="宋体" w:cs="宋体"/>
                <w:color w:val="auto"/>
                <w:szCs w:val="21"/>
              </w:rPr>
            </w:pPr>
          </w:p>
        </w:tc>
        <w:tc>
          <w:tcPr>
            <w:tcW w:w="2124" w:type="dxa"/>
            <w:vAlign w:val="center"/>
          </w:tcPr>
          <w:p w14:paraId="2374EA9A">
            <w:pPr>
              <w:adjustRightInd w:val="0"/>
              <w:snapToGrid w:val="0"/>
              <w:spacing w:line="288" w:lineRule="auto"/>
              <w:rPr>
                <w:rFonts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adjustRightInd w:val="0"/>
              <w:snapToGrid w:val="0"/>
              <w:spacing w:line="288" w:lineRule="auto"/>
              <w:rPr>
                <w:rFonts w:ascii="宋体" w:hAnsi="宋体" w:eastAsia="宋体" w:cs="宋体"/>
                <w:color w:val="auto"/>
                <w:szCs w:val="21"/>
              </w:rPr>
            </w:pPr>
          </w:p>
        </w:tc>
        <w:tc>
          <w:tcPr>
            <w:tcW w:w="2574" w:type="dxa"/>
            <w:vAlign w:val="center"/>
          </w:tcPr>
          <w:p w14:paraId="58B8E02A">
            <w:pPr>
              <w:adjustRightInd w:val="0"/>
              <w:snapToGrid w:val="0"/>
              <w:spacing w:line="288" w:lineRule="auto"/>
              <w:rPr>
                <w:rFonts w:ascii="宋体" w:hAnsi="宋体" w:eastAsia="宋体" w:cs="宋体"/>
                <w:color w:val="auto"/>
                <w:szCs w:val="21"/>
              </w:rPr>
            </w:pPr>
          </w:p>
        </w:tc>
        <w:tc>
          <w:tcPr>
            <w:tcW w:w="2124" w:type="dxa"/>
            <w:vAlign w:val="center"/>
          </w:tcPr>
          <w:p w14:paraId="4091EEC4">
            <w:pPr>
              <w:adjustRightInd w:val="0"/>
              <w:snapToGrid w:val="0"/>
              <w:spacing w:line="288" w:lineRule="auto"/>
              <w:rPr>
                <w:rFonts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adjustRightInd w:val="0"/>
              <w:snapToGrid w:val="0"/>
              <w:spacing w:line="288" w:lineRule="auto"/>
              <w:rPr>
                <w:rFonts w:ascii="宋体" w:hAnsi="宋体" w:eastAsia="宋体" w:cs="宋体"/>
                <w:color w:val="auto"/>
                <w:szCs w:val="21"/>
              </w:rPr>
            </w:pPr>
          </w:p>
        </w:tc>
        <w:tc>
          <w:tcPr>
            <w:tcW w:w="2574" w:type="dxa"/>
            <w:vAlign w:val="center"/>
          </w:tcPr>
          <w:p w14:paraId="486C04ED">
            <w:pPr>
              <w:adjustRightInd w:val="0"/>
              <w:snapToGrid w:val="0"/>
              <w:spacing w:line="288" w:lineRule="auto"/>
              <w:rPr>
                <w:rFonts w:ascii="宋体" w:hAnsi="宋体" w:eastAsia="宋体" w:cs="宋体"/>
                <w:color w:val="auto"/>
                <w:szCs w:val="21"/>
              </w:rPr>
            </w:pPr>
          </w:p>
        </w:tc>
        <w:tc>
          <w:tcPr>
            <w:tcW w:w="2124" w:type="dxa"/>
            <w:vAlign w:val="center"/>
          </w:tcPr>
          <w:p w14:paraId="558791D1">
            <w:pPr>
              <w:adjustRightInd w:val="0"/>
              <w:snapToGrid w:val="0"/>
              <w:spacing w:line="288" w:lineRule="auto"/>
              <w:rPr>
                <w:rFonts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adjustRightInd w:val="0"/>
              <w:snapToGrid w:val="0"/>
              <w:spacing w:line="288" w:lineRule="auto"/>
              <w:rPr>
                <w:rFonts w:ascii="宋体" w:hAnsi="宋体" w:eastAsia="宋体" w:cs="宋体"/>
                <w:color w:val="auto"/>
                <w:szCs w:val="21"/>
              </w:rPr>
            </w:pPr>
          </w:p>
        </w:tc>
        <w:tc>
          <w:tcPr>
            <w:tcW w:w="2574" w:type="dxa"/>
            <w:vAlign w:val="center"/>
          </w:tcPr>
          <w:p w14:paraId="1C372D07">
            <w:pPr>
              <w:adjustRightInd w:val="0"/>
              <w:snapToGrid w:val="0"/>
              <w:spacing w:line="288" w:lineRule="auto"/>
              <w:rPr>
                <w:rFonts w:ascii="宋体" w:hAnsi="宋体" w:eastAsia="宋体" w:cs="宋体"/>
                <w:color w:val="auto"/>
                <w:szCs w:val="21"/>
              </w:rPr>
            </w:pPr>
          </w:p>
        </w:tc>
        <w:tc>
          <w:tcPr>
            <w:tcW w:w="2124" w:type="dxa"/>
            <w:vAlign w:val="center"/>
          </w:tcPr>
          <w:p w14:paraId="0680D771">
            <w:pPr>
              <w:adjustRightInd w:val="0"/>
              <w:snapToGrid w:val="0"/>
              <w:spacing w:line="288" w:lineRule="auto"/>
              <w:rPr>
                <w:rFonts w:ascii="宋体" w:hAnsi="宋体" w:eastAsia="宋体" w:cs="宋体"/>
                <w:color w:val="auto"/>
                <w:szCs w:val="21"/>
              </w:rPr>
            </w:pPr>
          </w:p>
        </w:tc>
      </w:tr>
    </w:tbl>
    <w:p w14:paraId="49E53099">
      <w:pPr>
        <w:adjustRightInd w:val="0"/>
        <w:snapToGrid w:val="0"/>
        <w:spacing w:line="288" w:lineRule="auto"/>
        <w:rPr>
          <w:rFonts w:ascii="宋体" w:hAnsi="宋体" w:eastAsia="宋体" w:cs="Times New Roman"/>
          <w:b/>
          <w:bCs/>
          <w:color w:val="auto"/>
          <w:spacing w:val="-6"/>
          <w:szCs w:val="21"/>
        </w:rPr>
      </w:pPr>
    </w:p>
    <w:p w14:paraId="59B65B8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ascii="宋体" w:hAnsi="宋体" w:eastAsia="宋体" w:cs="Times New Roman"/>
          <w:color w:val="auto"/>
          <w:spacing w:val="-6"/>
          <w:szCs w:val="21"/>
        </w:rPr>
      </w:pPr>
    </w:p>
    <w:p w14:paraId="40D95B4E">
      <w:pPr>
        <w:adjustRightInd w:val="0"/>
        <w:snapToGrid w:val="0"/>
        <w:spacing w:line="288" w:lineRule="auto"/>
        <w:rPr>
          <w:rFonts w:ascii="宋体" w:hAnsi="宋体" w:eastAsia="宋体" w:cs="Times New Roman"/>
          <w:color w:val="auto"/>
          <w:spacing w:val="-6"/>
          <w:szCs w:val="21"/>
        </w:rPr>
      </w:pPr>
    </w:p>
    <w:p w14:paraId="48C4EFB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规格型号</w:t>
            </w:r>
          </w:p>
          <w:p w14:paraId="5457464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备注</w:t>
            </w:r>
          </w:p>
          <w:p w14:paraId="6D12CBC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ascii="宋体" w:hAnsi="宋体" w:eastAsia="宋体" w:cs="宋体"/>
                <w:b/>
                <w:bCs/>
                <w:color w:val="auto"/>
                <w:szCs w:val="21"/>
              </w:rPr>
            </w:pPr>
          </w:p>
        </w:tc>
      </w:tr>
    </w:tbl>
    <w:p w14:paraId="620AEB82">
      <w:pPr>
        <w:adjustRightInd w:val="0"/>
        <w:snapToGrid w:val="0"/>
        <w:spacing w:line="288" w:lineRule="auto"/>
        <w:rPr>
          <w:rFonts w:ascii="宋体" w:hAnsi="宋体" w:eastAsia="宋体" w:cs="宋体"/>
          <w:color w:val="auto"/>
          <w:spacing w:val="-6"/>
          <w:szCs w:val="21"/>
        </w:rPr>
      </w:pPr>
    </w:p>
    <w:p w14:paraId="0AC09C55">
      <w:pPr>
        <w:adjustRightInd w:val="0"/>
        <w:snapToGrid w:val="0"/>
        <w:spacing w:line="360" w:lineRule="auto"/>
        <w:rPr>
          <w:rFonts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ascii="宋体" w:hAnsi="宋体" w:eastAsia="宋体" w:cs="Times New Roman"/>
          <w:b/>
          <w:bCs/>
          <w:color w:val="auto"/>
          <w:spacing w:val="-6"/>
          <w:szCs w:val="21"/>
        </w:rPr>
      </w:pPr>
    </w:p>
    <w:p w14:paraId="4019593B">
      <w:pPr>
        <w:adjustRightInd w:val="0"/>
        <w:snapToGrid w:val="0"/>
        <w:spacing w:line="288" w:lineRule="auto"/>
        <w:rPr>
          <w:rFonts w:ascii="宋体" w:hAnsi="宋体" w:eastAsia="宋体" w:cs="Times New Roman"/>
          <w:b/>
          <w:bCs/>
          <w:color w:val="auto"/>
          <w:spacing w:val="-6"/>
          <w:szCs w:val="21"/>
        </w:rPr>
      </w:pPr>
    </w:p>
    <w:p w14:paraId="6027D0A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rPr>
      </w:pPr>
    </w:p>
    <w:p w14:paraId="4244FB24">
      <w:pPr>
        <w:adjustRightInd w:val="0"/>
        <w:snapToGrid w:val="0"/>
        <w:spacing w:line="288" w:lineRule="auto"/>
        <w:rPr>
          <w:rFonts w:ascii="宋体" w:hAnsi="宋体" w:eastAsia="宋体" w:cs="宋体"/>
          <w:color w:val="auto"/>
          <w:szCs w:val="21"/>
        </w:rPr>
      </w:pPr>
    </w:p>
    <w:p w14:paraId="3CF17650">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ascii="宋体" w:hAnsi="宋体" w:eastAsia="宋体" w:cs="宋体"/>
          <w:b/>
          <w:color w:val="auto"/>
          <w:spacing w:val="-6"/>
          <w:szCs w:val="21"/>
        </w:rPr>
      </w:pPr>
    </w:p>
    <w:p w14:paraId="59067040">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ascii="宋体" w:hAnsi="宋体" w:eastAsia="宋体" w:cs="宋体"/>
          <w:b/>
          <w:color w:val="auto"/>
          <w:spacing w:val="-6"/>
          <w:szCs w:val="21"/>
        </w:rPr>
      </w:pPr>
    </w:p>
    <w:p w14:paraId="5F957607">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rPr>
      </w:pPr>
    </w:p>
    <w:p w14:paraId="278CC9F6">
      <w:pPr>
        <w:adjustRightInd w:val="0"/>
        <w:snapToGrid w:val="0"/>
        <w:spacing w:line="288" w:lineRule="auto"/>
        <w:rPr>
          <w:rFonts w:ascii="宋体" w:hAnsi="宋体" w:eastAsia="宋体" w:cs="Times New Roman"/>
          <w:b/>
          <w:color w:val="auto"/>
          <w:szCs w:val="21"/>
        </w:rPr>
      </w:pPr>
    </w:p>
    <w:p w14:paraId="3E31F522">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rPr>
      </w:pPr>
    </w:p>
    <w:p w14:paraId="455EFF2B">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rPr>
      </w:pPr>
    </w:p>
    <w:p w14:paraId="0145D06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项目名称：微波毫米波噪声测试系统</w:t>
      </w:r>
    </w:p>
    <w:p w14:paraId="4ADB52CD">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QSZBB250376ZHGK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w:t>
            </w:r>
            <w:bookmarkStart w:id="68" w:name="_Hlk177717733"/>
            <w:r>
              <w:rPr>
                <w:rFonts w:hint="eastAsia" w:ascii="宋体" w:hAnsi="宋体" w:eastAsia="宋体" w:cs="宋体"/>
                <w:b/>
                <w:bCs/>
                <w:color w:val="auto"/>
                <w:szCs w:val="21"/>
              </w:rPr>
              <w:t>规格型号</w:t>
            </w:r>
          </w:p>
          <w:p w14:paraId="6654D31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bookmarkEnd w:id="68"/>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单价</w:t>
            </w:r>
          </w:p>
          <w:p w14:paraId="33843E8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合计</w:t>
            </w:r>
          </w:p>
          <w:p w14:paraId="7330551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adjustRightInd w:val="0"/>
              <w:snapToGrid w:val="0"/>
              <w:spacing w:line="288" w:lineRule="auto"/>
              <w:rPr>
                <w:rFonts w:ascii="宋体" w:hAnsi="宋体" w:eastAsia="宋体" w:cs="宋体"/>
                <w:b/>
                <w:bCs/>
                <w:color w:val="auto"/>
                <w:szCs w:val="21"/>
              </w:rPr>
            </w:pPr>
          </w:p>
          <w:p w14:paraId="0C631DF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adjustRightInd w:val="0"/>
              <w:snapToGrid w:val="0"/>
              <w:spacing w:line="288" w:lineRule="auto"/>
              <w:rPr>
                <w:rFonts w:ascii="宋体" w:hAnsi="宋体" w:eastAsia="宋体" w:cs="宋体"/>
                <w:b/>
                <w:bCs/>
                <w:color w:val="auto"/>
                <w:szCs w:val="21"/>
              </w:rPr>
            </w:pPr>
          </w:p>
          <w:p w14:paraId="5FEFE13F">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adjustRightInd w:val="0"/>
              <w:snapToGrid w:val="0"/>
              <w:spacing w:line="288" w:lineRule="auto"/>
              <w:rPr>
                <w:rFonts w:ascii="宋体" w:hAnsi="宋体" w:eastAsia="宋体" w:cs="宋体"/>
                <w:b/>
                <w:bCs/>
                <w:color w:val="auto"/>
                <w:szCs w:val="21"/>
              </w:rPr>
            </w:pPr>
          </w:p>
        </w:tc>
      </w:tr>
    </w:tbl>
    <w:p w14:paraId="3D76638D">
      <w:pPr>
        <w:adjustRightInd w:val="0"/>
        <w:snapToGrid w:val="0"/>
        <w:spacing w:line="288" w:lineRule="auto"/>
        <w:rPr>
          <w:rFonts w:ascii="宋体" w:hAnsi="宋体" w:eastAsia="宋体" w:cs="Times New Roman"/>
          <w:color w:val="auto"/>
          <w:spacing w:val="-6"/>
          <w:szCs w:val="21"/>
        </w:rPr>
      </w:pPr>
    </w:p>
    <w:p w14:paraId="42BE46DF">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rPr>
      </w:pPr>
    </w:p>
    <w:p w14:paraId="3753EC2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3974690A">
      <w:pPr>
        <w:snapToGrid w:val="0"/>
        <w:spacing w:line="288" w:lineRule="auto"/>
        <w:jc w:val="center"/>
        <w:rPr>
          <w:rFonts w:ascii="宋体" w:hAnsi="宋体" w:eastAsia="宋体" w:cs="宋体"/>
          <w:b/>
          <w:color w:val="auto"/>
          <w:szCs w:val="21"/>
        </w:rPr>
      </w:pPr>
      <w:r>
        <w:rPr>
          <w:rFonts w:hint="eastAsia" w:ascii="宋体" w:hAnsi="宋体" w:eastAsia="宋体" w:cs="宋体"/>
          <w:b/>
          <w:color w:val="auto"/>
          <w:spacing w:val="-6"/>
          <w:szCs w:val="21"/>
        </w:rPr>
        <w:t>（2）</w:t>
      </w:r>
      <w:r>
        <w:rPr>
          <w:rFonts w:hint="eastAsia" w:ascii="宋体" w:hAnsi="宋体" w:eastAsia="宋体" w:cs="宋体"/>
          <w:b/>
          <w:color w:val="auto"/>
          <w:szCs w:val="21"/>
        </w:rPr>
        <w:t>进口设备免税承诺函</w:t>
      </w:r>
    </w:p>
    <w:p w14:paraId="6AF63FA2">
      <w:pPr>
        <w:spacing w:line="288" w:lineRule="auto"/>
        <w:jc w:val="center"/>
        <w:outlineLvl w:val="0"/>
        <w:rPr>
          <w:rFonts w:ascii="宋体" w:hAnsi="宋体" w:eastAsia="宋体" w:cs="宋体"/>
          <w:b/>
          <w:bCs/>
          <w:color w:val="auto"/>
          <w:szCs w:val="21"/>
        </w:rPr>
      </w:pPr>
    </w:p>
    <w:p w14:paraId="74ED7423">
      <w:pPr>
        <w:snapToGrid w:val="0"/>
        <w:spacing w:line="288" w:lineRule="auto"/>
        <w:rPr>
          <w:rFonts w:ascii="宋体" w:hAnsi="宋体" w:eastAsia="宋体" w:cs="宋体"/>
          <w:color w:val="auto"/>
          <w:szCs w:val="21"/>
        </w:rPr>
      </w:pPr>
      <w:r>
        <w:rPr>
          <w:rFonts w:hint="eastAsia" w:ascii="宋体" w:hAnsi="宋体" w:eastAsia="宋体" w:cs="宋体"/>
          <w:color w:val="auto"/>
          <w:szCs w:val="21"/>
        </w:rPr>
        <w:t>致：杭州电子科技大学：</w:t>
      </w:r>
    </w:p>
    <w:p w14:paraId="5BD0F850">
      <w:pPr>
        <w:spacing w:line="288" w:lineRule="auto"/>
        <w:rPr>
          <w:rFonts w:ascii="宋体" w:hAnsi="宋体" w:eastAsia="宋体" w:cs="宋体"/>
          <w:color w:val="auto"/>
          <w:szCs w:val="21"/>
        </w:rPr>
      </w:pPr>
    </w:p>
    <w:p w14:paraId="7711179A">
      <w:pPr>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我公司已认真阅读了招标文件（项目编号：</w:t>
      </w:r>
      <w:r>
        <w:rPr>
          <w:rFonts w:hint="eastAsia" w:ascii="宋体" w:hAnsi="宋体" w:eastAsia="宋体" w:cs="宋体"/>
          <w:color w:val="auto"/>
          <w:szCs w:val="21"/>
          <w:lang w:eastAsia="zh-CN"/>
        </w:rPr>
        <w:t>QSZBB250376ZHGK</w:t>
      </w:r>
      <w:r>
        <w:rPr>
          <w:rFonts w:hint="eastAsia" w:ascii="宋体" w:hAnsi="宋体" w:eastAsia="宋体" w:cs="宋体"/>
          <w:color w:val="auto"/>
          <w:szCs w:val="21"/>
        </w:rPr>
        <w:t>）并在此对进口免税承诺：</w:t>
      </w:r>
    </w:p>
    <w:p w14:paraId="0CF65757">
      <w:pPr>
        <w:snapToGrid w:val="0"/>
        <w:spacing w:line="288" w:lineRule="auto"/>
        <w:ind w:firstLine="420"/>
        <w:rPr>
          <w:rFonts w:ascii="宋体" w:hAnsi="宋体" w:eastAsia="宋体" w:cs="宋体"/>
          <w:b/>
          <w:color w:val="auto"/>
          <w:szCs w:val="21"/>
        </w:rPr>
      </w:pPr>
      <w:r>
        <w:rPr>
          <w:rFonts w:hint="eastAsia" w:ascii="宋体" w:hAnsi="宋体" w:eastAsia="宋体" w:cs="宋体"/>
          <w:b/>
          <w:color w:val="auto"/>
          <w:szCs w:val="21"/>
        </w:rPr>
        <w:t>国家政策允许免税的进口设备的价格采用免税的人民币报价，但对于不能免税的部分应报含税价，并在投标文件中予以明示，交易方式为CIP杭州电子科技大学。不能享受国家的减免税政策或者加征关税的，其税金均由我司承担。由我司负责办理免税事宜，采购人予以协助，所需费用由我司承担。</w:t>
      </w:r>
      <w:r>
        <w:rPr>
          <w:rFonts w:hint="eastAsia" w:ascii="宋体" w:hAnsi="宋体" w:eastAsia="宋体" w:cs="宋体"/>
          <w:b/>
          <w:color w:val="auto"/>
          <w:szCs w:val="21"/>
          <w:u w:val="single"/>
        </w:rPr>
        <w:t>因我司自身原因（如不具备进口免税办理资质等）不能办理免税事宜的，则进口设备所涉及的所有税费均由我司承担</w:t>
      </w:r>
      <w:r>
        <w:rPr>
          <w:rFonts w:hint="eastAsia" w:ascii="宋体" w:hAnsi="宋体" w:eastAsia="宋体" w:cs="宋体"/>
          <w:b/>
          <w:color w:val="auto"/>
          <w:szCs w:val="21"/>
        </w:rPr>
        <w:t>。</w:t>
      </w:r>
    </w:p>
    <w:p w14:paraId="4899B617">
      <w:pPr>
        <w:spacing w:line="288" w:lineRule="auto"/>
        <w:jc w:val="center"/>
        <w:outlineLvl w:val="0"/>
        <w:rPr>
          <w:rFonts w:ascii="宋体" w:hAnsi="宋体" w:eastAsia="宋体" w:cs="宋体"/>
          <w:b/>
          <w:bCs/>
          <w:color w:val="auto"/>
          <w:szCs w:val="21"/>
        </w:rPr>
      </w:pPr>
    </w:p>
    <w:p w14:paraId="45392AB0">
      <w:pPr>
        <w:spacing w:line="288" w:lineRule="auto"/>
        <w:rPr>
          <w:rFonts w:ascii="宋体" w:hAnsi="宋体" w:eastAsia="宋体" w:cs="宋体"/>
          <w:b/>
          <w:color w:val="auto"/>
          <w:szCs w:val="21"/>
        </w:rPr>
      </w:pPr>
    </w:p>
    <w:p w14:paraId="25C04328">
      <w:pPr>
        <w:spacing w:line="288" w:lineRule="auto"/>
        <w:jc w:val="center"/>
        <w:outlineLvl w:val="0"/>
        <w:rPr>
          <w:rFonts w:ascii="宋体" w:hAnsi="宋体" w:eastAsia="宋体" w:cs="宋体"/>
          <w:b/>
          <w:bCs/>
          <w:color w:val="auto"/>
          <w:szCs w:val="21"/>
        </w:rPr>
      </w:pPr>
    </w:p>
    <w:p w14:paraId="432B8CAC">
      <w:pPr>
        <w:spacing w:line="288" w:lineRule="auto"/>
        <w:rPr>
          <w:rFonts w:ascii="宋体" w:hAnsi="宋体" w:eastAsia="宋体" w:cs="宋体"/>
          <w:b/>
          <w:color w:val="auto"/>
          <w:szCs w:val="21"/>
        </w:rPr>
      </w:pPr>
    </w:p>
    <w:p w14:paraId="25EBADC5">
      <w:pPr>
        <w:snapToGrid w:val="0"/>
        <w:spacing w:line="288" w:lineRule="auto"/>
        <w:ind w:firstLine="480"/>
        <w:rPr>
          <w:rFonts w:ascii="宋体" w:hAnsi="宋体" w:eastAsia="宋体" w:cs="宋体"/>
          <w:color w:val="auto"/>
          <w:szCs w:val="21"/>
        </w:rPr>
      </w:pPr>
      <w:r>
        <w:rPr>
          <w:rFonts w:hint="eastAsia" w:ascii="宋体" w:hAnsi="宋体" w:eastAsia="宋体" w:cs="宋体"/>
          <w:color w:val="auto"/>
          <w:szCs w:val="21"/>
        </w:rPr>
        <w:t>承诺方（投标人）法定名称：</w:t>
      </w:r>
      <w:r>
        <w:rPr>
          <w:rFonts w:hint="eastAsia" w:ascii="宋体" w:hAnsi="宋体" w:eastAsia="宋体" w:cs="宋体"/>
          <w:color w:val="auto"/>
          <w:szCs w:val="21"/>
          <w:u w:val="single"/>
        </w:rPr>
        <w:t>__________（盖章）_________</w:t>
      </w:r>
    </w:p>
    <w:p w14:paraId="4E72E5F6">
      <w:pPr>
        <w:snapToGrid w:val="0"/>
        <w:spacing w:line="288" w:lineRule="auto"/>
        <w:ind w:firstLine="480"/>
        <w:rPr>
          <w:rFonts w:ascii="宋体" w:hAnsi="宋体" w:eastAsia="宋体" w:cs="宋体"/>
          <w:color w:val="auto"/>
          <w:szCs w:val="21"/>
        </w:rPr>
      </w:pPr>
      <w:r>
        <w:rPr>
          <w:rFonts w:hint="eastAsia" w:ascii="宋体" w:hAnsi="宋体" w:eastAsia="宋体" w:cs="宋体"/>
          <w:color w:val="auto"/>
          <w:szCs w:val="21"/>
        </w:rPr>
        <w:t xml:space="preserve">承诺方（投标人）法定地址： </w:t>
      </w:r>
      <w:r>
        <w:rPr>
          <w:rFonts w:hint="eastAsia" w:ascii="宋体" w:hAnsi="宋体" w:eastAsia="宋体" w:cs="宋体"/>
          <w:color w:val="auto"/>
          <w:szCs w:val="21"/>
          <w:u w:val="single"/>
        </w:rPr>
        <w:t xml:space="preserve">         （盖章）         </w:t>
      </w:r>
    </w:p>
    <w:p w14:paraId="1B8FA906">
      <w:pPr>
        <w:snapToGrid w:val="0"/>
        <w:spacing w:line="288" w:lineRule="auto"/>
        <w:ind w:firstLine="480"/>
        <w:rPr>
          <w:rFonts w:ascii="宋体" w:hAnsi="宋体" w:eastAsia="宋体" w:cs="宋体"/>
          <w:color w:val="auto"/>
          <w:szCs w:val="21"/>
          <w:u w:val="single"/>
        </w:rPr>
      </w:pPr>
      <w:r>
        <w:rPr>
          <w:rFonts w:hint="eastAsia" w:ascii="宋体" w:hAnsi="宋体" w:eastAsia="宋体" w:cs="宋体"/>
          <w:color w:val="auto"/>
          <w:szCs w:val="21"/>
        </w:rPr>
        <w:t>联系电话：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联系传真：</w:t>
      </w:r>
      <w:r>
        <w:rPr>
          <w:rFonts w:hint="eastAsia" w:ascii="宋体" w:hAnsi="宋体" w:eastAsia="宋体" w:cs="宋体"/>
          <w:color w:val="auto"/>
          <w:szCs w:val="21"/>
          <w:u w:val="single"/>
        </w:rPr>
        <w:t xml:space="preserve">               </w:t>
      </w:r>
    </w:p>
    <w:p w14:paraId="2CF0557A">
      <w:pPr>
        <w:snapToGrid w:val="0"/>
        <w:spacing w:line="288" w:lineRule="auto"/>
        <w:ind w:firstLine="480"/>
        <w:rPr>
          <w:rFonts w:ascii="宋体" w:hAnsi="宋体" w:eastAsia="宋体" w:cs="宋体"/>
          <w:color w:val="auto"/>
          <w:szCs w:val="21"/>
        </w:rPr>
      </w:pPr>
      <w:r>
        <w:rPr>
          <w:rFonts w:hint="eastAsia" w:ascii="宋体" w:hAnsi="宋体" w:eastAsia="宋体" w:cs="宋体"/>
          <w:color w:val="auto"/>
          <w:szCs w:val="21"/>
        </w:rPr>
        <w:t>承诺日期：_____年___月___日</w:t>
      </w:r>
    </w:p>
    <w:p w14:paraId="42A8EAD4">
      <w:pPr>
        <w:spacing w:line="288" w:lineRule="auto"/>
        <w:jc w:val="center"/>
        <w:outlineLvl w:val="0"/>
        <w:rPr>
          <w:rFonts w:ascii="宋体" w:hAnsi="宋体" w:eastAsia="宋体" w:cs="宋体"/>
          <w:b/>
          <w:bCs/>
          <w:color w:val="auto"/>
          <w:szCs w:val="21"/>
        </w:rPr>
      </w:pPr>
    </w:p>
    <w:p w14:paraId="3B4AA9B0">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注：所投产品为进口产品的提供。</w:t>
      </w:r>
    </w:p>
    <w:p w14:paraId="4332C2F6">
      <w:pPr>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14:paraId="5BFEEE6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（3）</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rPr>
      </w:pPr>
    </w:p>
    <w:p w14:paraId="69E4B3B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69" w:name="_Hlk118098443"/>
      <w:r>
        <w:rPr>
          <w:rFonts w:ascii="宋体" w:hAnsi="宋体" w:eastAsia="宋体" w:cs="Times New Roman"/>
          <w:i/>
          <w:color w:val="auto"/>
          <w:szCs w:val="21"/>
          <w:u w:val="single"/>
        </w:rPr>
        <w:t>项目名称</w:t>
      </w:r>
      <w:bookmarkEnd w:id="69"/>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rPr>
      </w:pPr>
    </w:p>
    <w:p w14:paraId="0619F3D2">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ascii="宋体" w:hAnsi="宋体" w:eastAsia="宋体" w:cs="Times New Roman"/>
          <w:color w:val="auto"/>
          <w:szCs w:val="21"/>
        </w:rPr>
      </w:pPr>
    </w:p>
    <w:p w14:paraId="000631ED">
      <w:pPr>
        <w:adjustRightInd w:val="0"/>
        <w:snapToGrid w:val="0"/>
        <w:spacing w:line="288"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ascii="宋体" w:hAnsi="宋体" w:eastAsia="宋体" w:cs="宋体"/>
          <w:color w:val="auto"/>
          <w:kern w:val="0"/>
          <w:szCs w:val="21"/>
        </w:rPr>
      </w:pPr>
      <w:r>
        <w:rPr>
          <w:rFonts w:hint="eastAsia" w:ascii="宋体" w:hAnsi="宋体" w:eastAsia="宋体" w:cs="宋体"/>
          <w:b/>
          <w:color w:val="auto"/>
          <w:spacing w:val="-6"/>
          <w:szCs w:val="21"/>
        </w:rPr>
        <w:t>（4）属于监狱企业的证明文件（若属于监狱企业）</w:t>
      </w:r>
    </w:p>
    <w:p w14:paraId="338CC1CB">
      <w:pPr>
        <w:adjustRightInd w:val="0"/>
        <w:snapToGrid w:val="0"/>
        <w:spacing w:line="288" w:lineRule="auto"/>
        <w:rPr>
          <w:rFonts w:ascii="宋体" w:hAnsi="宋体" w:eastAsia="宋体" w:cs="宋体"/>
          <w:color w:val="auto"/>
          <w:kern w:val="0"/>
          <w:szCs w:val="21"/>
        </w:rPr>
      </w:pPr>
    </w:p>
    <w:p w14:paraId="5B8617AF">
      <w:pPr>
        <w:adjustRightInd w:val="0"/>
        <w:snapToGrid w:val="0"/>
        <w:spacing w:line="288" w:lineRule="auto"/>
        <w:ind w:firstLine="373" w:firstLineChars="177"/>
        <w:rPr>
          <w:rFonts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rPr>
      </w:pPr>
    </w:p>
    <w:p w14:paraId="68D881FA">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（5）残疾人福利性单位声明函（若属于残疾人福利性单位）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rPr>
      </w:pPr>
    </w:p>
    <w:p w14:paraId="43A8AA8E">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ascii="宋体" w:hAnsi="宋体" w:eastAsia="宋体"/>
          <w:color w:val="auto"/>
          <w:szCs w:val="21"/>
        </w:rPr>
      </w:pPr>
    </w:p>
    <w:p w14:paraId="194EFBD5">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01BBCD5F">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ascii="宋体" w:hAnsi="宋体" w:eastAsia="宋体" w:cs="仿宋_GB2312"/>
          <w:color w:val="auto"/>
          <w:szCs w:val="21"/>
          <w:u w:val="single"/>
        </w:rPr>
      </w:pPr>
    </w:p>
    <w:p w14:paraId="06230838">
      <w:pPr>
        <w:snapToGrid w:val="0"/>
        <w:spacing w:line="288" w:lineRule="auto"/>
        <w:rPr>
          <w:rFonts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ascii="宋体" w:hAnsi="宋体" w:eastAsia="宋体" w:cs="宋体"/>
          <w:b/>
          <w:bCs/>
          <w:color w:val="auto"/>
          <w:szCs w:val="21"/>
        </w:rPr>
      </w:pPr>
    </w:p>
    <w:p w14:paraId="299B8C33">
      <w:pPr>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ascii="宋体" w:hAnsi="宋体" w:eastAsia="宋体" w:cs="宋体"/>
                <w:color w:val="auto"/>
                <w:szCs w:val="21"/>
              </w:rPr>
            </w:pPr>
          </w:p>
        </w:tc>
        <w:tc>
          <w:tcPr>
            <w:tcW w:w="4814" w:type="dxa"/>
          </w:tcPr>
          <w:p w14:paraId="6E2B4F3D">
            <w:pPr>
              <w:snapToGrid w:val="0"/>
              <w:spacing w:line="288" w:lineRule="auto"/>
              <w:rPr>
                <w:rFonts w:ascii="宋体" w:hAnsi="宋体" w:eastAsia="宋体" w:cs="宋体"/>
                <w:color w:val="auto"/>
                <w:szCs w:val="21"/>
              </w:rPr>
            </w:pPr>
          </w:p>
        </w:tc>
      </w:tr>
    </w:tbl>
    <w:p w14:paraId="4F8710BE">
      <w:pPr>
        <w:snapToGrid w:val="0"/>
        <w:spacing w:line="288" w:lineRule="auto"/>
        <w:rPr>
          <w:rFonts w:ascii="宋体" w:hAnsi="宋体" w:eastAsia="宋体" w:cs="宋体"/>
          <w:color w:val="auto"/>
          <w:szCs w:val="21"/>
        </w:rPr>
      </w:pPr>
    </w:p>
    <w:p w14:paraId="325C4AE2">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lang w:val="zh-CN"/>
        </w:rPr>
      </w:pPr>
    </w:p>
    <w:p w14:paraId="50157048">
      <w:pPr>
        <w:snapToGrid w:val="0"/>
        <w:spacing w:line="288" w:lineRule="auto"/>
        <w:ind w:firstLine="422" w:firstLineChars="201"/>
        <w:rPr>
          <w:rFonts w:ascii="宋体" w:hAnsi="宋体" w:eastAsia="宋体" w:cs="仿宋_GB2312"/>
          <w:color w:val="auto"/>
          <w:kern w:val="0"/>
          <w:szCs w:val="21"/>
          <w:lang w:val="zh-CN"/>
        </w:rPr>
      </w:pPr>
    </w:p>
    <w:p w14:paraId="27595E15">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lang w:val="zh-CN"/>
        </w:rPr>
      </w:pPr>
    </w:p>
    <w:p w14:paraId="191C763B">
      <w:pPr>
        <w:snapToGrid w:val="0"/>
        <w:spacing w:line="288" w:lineRule="auto"/>
        <w:ind w:firstLine="424" w:firstLineChars="201"/>
        <w:rPr>
          <w:rFonts w:ascii="宋体" w:hAnsi="宋体" w:eastAsia="宋体" w:cs="Times New Roman"/>
          <w:b/>
          <w:bCs/>
          <w:color w:val="auto"/>
          <w:szCs w:val="21"/>
        </w:rPr>
      </w:pPr>
    </w:p>
    <w:p w14:paraId="77AF9BF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ascii="宋体" w:hAnsi="宋体" w:eastAsia="宋体" w:cs="仿宋_GB2312"/>
          <w:color w:val="auto"/>
          <w:kern w:val="0"/>
          <w:szCs w:val="21"/>
          <w:lang w:val="zh-CN"/>
        </w:rPr>
      </w:pPr>
    </w:p>
    <w:p w14:paraId="1D16F0E5">
      <w:pPr>
        <w:snapToGrid w:val="0"/>
        <w:spacing w:line="288" w:lineRule="auto"/>
        <w:ind w:firstLine="422" w:firstLineChars="200"/>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ascii="宋体" w:hAnsi="宋体" w:eastAsia="宋体" w:cs="仿宋_GB2312"/>
          <w:b/>
          <w:bCs/>
          <w:color w:val="auto"/>
          <w:kern w:val="0"/>
          <w:szCs w:val="21"/>
          <w:lang w:val="zh-CN"/>
        </w:rPr>
      </w:pPr>
    </w:p>
    <w:p w14:paraId="0EFAAFAF">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ascii="宋体" w:hAnsi="宋体" w:eastAsia="宋体" w:cs="仿宋_GB2312"/>
          <w:b/>
          <w:bCs/>
          <w:color w:val="auto"/>
          <w:kern w:val="0"/>
          <w:szCs w:val="21"/>
          <w:lang w:val="zh-CN"/>
        </w:rPr>
      </w:pPr>
    </w:p>
    <w:p w14:paraId="4F6AC4D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ascii="等线" w:hAnsi="等线" w:eastAsia="等线" w:cs="Times New Roman"/>
          <w:color w:val="auto"/>
        </w:rPr>
      </w:pPr>
    </w:p>
    <w:p w14:paraId="650A653D">
      <w:pPr>
        <w:adjustRightInd w:val="0"/>
        <w:snapToGrid w:val="0"/>
        <w:spacing w:line="288" w:lineRule="auto"/>
        <w:rPr>
          <w:rFonts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27DB2"/>
    <w:rsid w:val="00230DA7"/>
    <w:rsid w:val="00232897"/>
    <w:rsid w:val="002336BD"/>
    <w:rsid w:val="00236327"/>
    <w:rsid w:val="00236937"/>
    <w:rsid w:val="002402D1"/>
    <w:rsid w:val="00241C5C"/>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1A17"/>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4B56"/>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66C"/>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33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08A3"/>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ED8"/>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13F2"/>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432"/>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3C3A"/>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7C1"/>
    <w:rsid w:val="009B4FED"/>
    <w:rsid w:val="009B68FA"/>
    <w:rsid w:val="009B6D01"/>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C01"/>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B6370"/>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5AC1"/>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06F"/>
    <w:rsid w:val="00BE21D5"/>
    <w:rsid w:val="00BE2488"/>
    <w:rsid w:val="00BE2B41"/>
    <w:rsid w:val="00BE5332"/>
    <w:rsid w:val="00BF3D5C"/>
    <w:rsid w:val="00BF5DA9"/>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452"/>
    <w:rsid w:val="00C25898"/>
    <w:rsid w:val="00C266F1"/>
    <w:rsid w:val="00C270E3"/>
    <w:rsid w:val="00C31323"/>
    <w:rsid w:val="00C32230"/>
    <w:rsid w:val="00C33147"/>
    <w:rsid w:val="00C343E2"/>
    <w:rsid w:val="00C3722B"/>
    <w:rsid w:val="00C373A3"/>
    <w:rsid w:val="00C41A90"/>
    <w:rsid w:val="00C41BEC"/>
    <w:rsid w:val="00C41FA9"/>
    <w:rsid w:val="00C42277"/>
    <w:rsid w:val="00C43361"/>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8744A"/>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187"/>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0CF6"/>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2A58"/>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393"/>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12AD"/>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5AAE"/>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45A0346"/>
    <w:rsid w:val="05D34727"/>
    <w:rsid w:val="05D9297D"/>
    <w:rsid w:val="07650D44"/>
    <w:rsid w:val="078D3A1F"/>
    <w:rsid w:val="07DB5C37"/>
    <w:rsid w:val="08931933"/>
    <w:rsid w:val="0A0371E4"/>
    <w:rsid w:val="0A8F0E99"/>
    <w:rsid w:val="0AE04A5B"/>
    <w:rsid w:val="0B4A1776"/>
    <w:rsid w:val="0BD50265"/>
    <w:rsid w:val="0BEC010D"/>
    <w:rsid w:val="0C786503"/>
    <w:rsid w:val="0D1A04C9"/>
    <w:rsid w:val="0DA43FD6"/>
    <w:rsid w:val="0DCB77B4"/>
    <w:rsid w:val="0EA240BE"/>
    <w:rsid w:val="0ED75CD8"/>
    <w:rsid w:val="0FF539C8"/>
    <w:rsid w:val="100A1485"/>
    <w:rsid w:val="10757130"/>
    <w:rsid w:val="112B34AD"/>
    <w:rsid w:val="11FF5827"/>
    <w:rsid w:val="12565CA0"/>
    <w:rsid w:val="128D3854"/>
    <w:rsid w:val="12C80283"/>
    <w:rsid w:val="15F429D7"/>
    <w:rsid w:val="16B459A5"/>
    <w:rsid w:val="173A3CDD"/>
    <w:rsid w:val="17847813"/>
    <w:rsid w:val="18090C43"/>
    <w:rsid w:val="18FB5F15"/>
    <w:rsid w:val="19950832"/>
    <w:rsid w:val="1A1664DD"/>
    <w:rsid w:val="1B321622"/>
    <w:rsid w:val="1BBF3689"/>
    <w:rsid w:val="1BDC2BFF"/>
    <w:rsid w:val="1E452027"/>
    <w:rsid w:val="1EEB1A56"/>
    <w:rsid w:val="1F9C38D3"/>
    <w:rsid w:val="1FB7696A"/>
    <w:rsid w:val="1FDC7771"/>
    <w:rsid w:val="20142AD8"/>
    <w:rsid w:val="20767551"/>
    <w:rsid w:val="212705BE"/>
    <w:rsid w:val="21AC2FA2"/>
    <w:rsid w:val="21DB64E2"/>
    <w:rsid w:val="221C4C30"/>
    <w:rsid w:val="22A70B6C"/>
    <w:rsid w:val="22AD65CC"/>
    <w:rsid w:val="23C14303"/>
    <w:rsid w:val="23FF4622"/>
    <w:rsid w:val="24FF7EBF"/>
    <w:rsid w:val="25A217AC"/>
    <w:rsid w:val="26A479CD"/>
    <w:rsid w:val="27432BC1"/>
    <w:rsid w:val="27F0275A"/>
    <w:rsid w:val="28580092"/>
    <w:rsid w:val="28BC23D4"/>
    <w:rsid w:val="2AA10ED5"/>
    <w:rsid w:val="2ADA0518"/>
    <w:rsid w:val="2C921974"/>
    <w:rsid w:val="2DBE14C9"/>
    <w:rsid w:val="2E2B31E3"/>
    <w:rsid w:val="2ED77388"/>
    <w:rsid w:val="2F380CDF"/>
    <w:rsid w:val="2F6A64D8"/>
    <w:rsid w:val="30616EA9"/>
    <w:rsid w:val="31A44D82"/>
    <w:rsid w:val="31E90C8E"/>
    <w:rsid w:val="320C1026"/>
    <w:rsid w:val="321901F5"/>
    <w:rsid w:val="32BE120D"/>
    <w:rsid w:val="32E22A0E"/>
    <w:rsid w:val="330C0EF9"/>
    <w:rsid w:val="33506DE6"/>
    <w:rsid w:val="33B73EB0"/>
    <w:rsid w:val="34004E73"/>
    <w:rsid w:val="34973C0D"/>
    <w:rsid w:val="349B054D"/>
    <w:rsid w:val="34DB1B1E"/>
    <w:rsid w:val="35194EAC"/>
    <w:rsid w:val="35A54CED"/>
    <w:rsid w:val="366D45F8"/>
    <w:rsid w:val="36DD7E2B"/>
    <w:rsid w:val="37534CA7"/>
    <w:rsid w:val="37C157A9"/>
    <w:rsid w:val="37D824F1"/>
    <w:rsid w:val="39B918B5"/>
    <w:rsid w:val="3B0C4DFA"/>
    <w:rsid w:val="3B415F0C"/>
    <w:rsid w:val="3C4D26C6"/>
    <w:rsid w:val="3D044EFC"/>
    <w:rsid w:val="3E6946AD"/>
    <w:rsid w:val="3EB60CB3"/>
    <w:rsid w:val="3EC436F9"/>
    <w:rsid w:val="3F740895"/>
    <w:rsid w:val="3F845A35"/>
    <w:rsid w:val="3FB93DC6"/>
    <w:rsid w:val="3FE65630"/>
    <w:rsid w:val="402A691C"/>
    <w:rsid w:val="4164336B"/>
    <w:rsid w:val="422E66F3"/>
    <w:rsid w:val="4275164D"/>
    <w:rsid w:val="430A3262"/>
    <w:rsid w:val="44265D88"/>
    <w:rsid w:val="46A824B9"/>
    <w:rsid w:val="46BA072D"/>
    <w:rsid w:val="46BB170B"/>
    <w:rsid w:val="47510906"/>
    <w:rsid w:val="495D70F7"/>
    <w:rsid w:val="497349FC"/>
    <w:rsid w:val="498C1364"/>
    <w:rsid w:val="4A167D48"/>
    <w:rsid w:val="4B6974A4"/>
    <w:rsid w:val="4B7D5F80"/>
    <w:rsid w:val="4BF40741"/>
    <w:rsid w:val="4C5E019B"/>
    <w:rsid w:val="4F4977F9"/>
    <w:rsid w:val="4F64249F"/>
    <w:rsid w:val="4F6E1200"/>
    <w:rsid w:val="4FEE189E"/>
    <w:rsid w:val="500B7C38"/>
    <w:rsid w:val="52455887"/>
    <w:rsid w:val="5345653C"/>
    <w:rsid w:val="53F038EA"/>
    <w:rsid w:val="549F2962"/>
    <w:rsid w:val="54E01333"/>
    <w:rsid w:val="54EC7E91"/>
    <w:rsid w:val="5668599A"/>
    <w:rsid w:val="569232B2"/>
    <w:rsid w:val="56E61993"/>
    <w:rsid w:val="57D73A3D"/>
    <w:rsid w:val="59BA69E3"/>
    <w:rsid w:val="5A661DF4"/>
    <w:rsid w:val="5ACF0178"/>
    <w:rsid w:val="5B9E3DE4"/>
    <w:rsid w:val="5BE42A48"/>
    <w:rsid w:val="5C3E17F9"/>
    <w:rsid w:val="5C483ABC"/>
    <w:rsid w:val="5D052980"/>
    <w:rsid w:val="5D3A6920"/>
    <w:rsid w:val="5D8135CC"/>
    <w:rsid w:val="5DF10A2F"/>
    <w:rsid w:val="5E0A019C"/>
    <w:rsid w:val="5ED57F57"/>
    <w:rsid w:val="5EF534F9"/>
    <w:rsid w:val="600446EC"/>
    <w:rsid w:val="600D2EE6"/>
    <w:rsid w:val="61D4087B"/>
    <w:rsid w:val="621760F6"/>
    <w:rsid w:val="621819CB"/>
    <w:rsid w:val="62246B60"/>
    <w:rsid w:val="628A2B7E"/>
    <w:rsid w:val="644F1ACD"/>
    <w:rsid w:val="64751744"/>
    <w:rsid w:val="668E2F31"/>
    <w:rsid w:val="67060D39"/>
    <w:rsid w:val="67FF1998"/>
    <w:rsid w:val="680D1D99"/>
    <w:rsid w:val="69431270"/>
    <w:rsid w:val="6A147DD2"/>
    <w:rsid w:val="6A7F4F75"/>
    <w:rsid w:val="6ACA16F9"/>
    <w:rsid w:val="6B16774A"/>
    <w:rsid w:val="6B907BEA"/>
    <w:rsid w:val="6C467142"/>
    <w:rsid w:val="6CB03B45"/>
    <w:rsid w:val="6CE03475"/>
    <w:rsid w:val="6ECE2681"/>
    <w:rsid w:val="6ED12033"/>
    <w:rsid w:val="6F86137C"/>
    <w:rsid w:val="70144B43"/>
    <w:rsid w:val="72340F9C"/>
    <w:rsid w:val="739E42CA"/>
    <w:rsid w:val="740D7F02"/>
    <w:rsid w:val="763243C9"/>
    <w:rsid w:val="774152C9"/>
    <w:rsid w:val="775D6EE2"/>
    <w:rsid w:val="776A3FFF"/>
    <w:rsid w:val="793070F8"/>
    <w:rsid w:val="79D825C1"/>
    <w:rsid w:val="7A922E24"/>
    <w:rsid w:val="7B5D131E"/>
    <w:rsid w:val="7D950234"/>
    <w:rsid w:val="7DB41B16"/>
    <w:rsid w:val="7DEB79E2"/>
    <w:rsid w:val="7DFC5027"/>
    <w:rsid w:val="7E002D54"/>
    <w:rsid w:val="7E591BE3"/>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9">
    <w:name w:val="修订1"/>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53</Pages>
  <Words>12155</Words>
  <Characters>13167</Characters>
  <Lines>989</Lines>
  <Paragraphs>1102</Paragraphs>
  <TotalTime>1</TotalTime>
  <ScaleCrop>false</ScaleCrop>
  <LinksUpToDate>false</LinksUpToDate>
  <CharactersWithSpaces>13236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2025-10-15T08:02:00Z</dcterms:created>
  <dc:creator>hj j</dc:creator>
  <cp:lastModifiedBy>yubin</cp:lastModifiedBy>
  <cp:lastPrinted>2022-10-31T00:58:00Z</cp:lastPrinted>
  <dcterms:modified xsi:type="dcterms:W3CDTF">2025-11-13T07:53:45Z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A761678B778F4822B75B3AE27ABDC5DA_13</vt:lpwstr>
  </property>
  <property fmtid="{D5CDD505-2E9C-101B-9397-08002B2CF9AE}" pid="4" name="KSOTemplateDocerSaveRecord">
    <vt:lpwstr>eyJoZGlkIjoiNDA1NjJhY2YzNGY0NzY5M2ZmM2Y0ZjcwMmY2ODQ2YTYiLCJ1c2VySWQiOiIxNjEzNTQ4OTc4In0=</vt:lpwstr>
  </property>
</Properties>
</file>