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7AA">
      <w:pPr>
        <w:jc w:val="center"/>
        <w:rPr>
          <w:rFonts w:ascii="宋体" w:hAnsi="宋体" w:cs="宋体"/>
          <w:b/>
          <w:sz w:val="52"/>
          <w:szCs w:val="52"/>
        </w:rPr>
      </w:pPr>
    </w:p>
    <w:p w14:paraId="5093A51F">
      <w:pPr>
        <w:jc w:val="center"/>
        <w:rPr>
          <w:rFonts w:hint="eastAsia" w:ascii="宋体" w:hAnsi="宋体" w:eastAsia="宋体" w:cs="宋体"/>
          <w:b/>
          <w:kern w:val="2"/>
          <w:sz w:val="52"/>
          <w:szCs w:val="52"/>
          <w:lang w:val="en-US" w:eastAsia="zh-CN" w:bidi="ar-SA"/>
        </w:rPr>
      </w:pPr>
      <w:r>
        <w:rPr>
          <w:rFonts w:hint="eastAsia" w:ascii="宋体" w:hAnsi="宋体" w:cs="宋体"/>
          <w:b/>
          <w:kern w:val="2"/>
          <w:sz w:val="52"/>
          <w:szCs w:val="52"/>
          <w:lang w:val="en-US" w:eastAsia="zh-CN" w:bidi="ar-SA"/>
        </w:rPr>
        <w:t>杭州电子科技大学下沙校区14#、15#、31#宿舍装修改造工程标项六</w:t>
      </w:r>
    </w:p>
    <w:p w14:paraId="6CB63961">
      <w:pPr>
        <w:spacing w:line="480" w:lineRule="auto"/>
        <w:jc w:val="center"/>
        <w:rPr>
          <w:rFonts w:ascii="宋体" w:hAnsi="宋体" w:cs="宋体"/>
          <w:b/>
          <w:sz w:val="52"/>
          <w:szCs w:val="52"/>
        </w:rPr>
      </w:pPr>
    </w:p>
    <w:p w14:paraId="23119F30">
      <w:pPr>
        <w:spacing w:line="480" w:lineRule="auto"/>
        <w:jc w:val="center"/>
        <w:rPr>
          <w:rFonts w:ascii="宋体" w:hAnsi="宋体" w:cs="宋体"/>
          <w:b/>
          <w:sz w:val="48"/>
          <w:szCs w:val="48"/>
        </w:rPr>
      </w:pPr>
    </w:p>
    <w:p w14:paraId="2A2B804A">
      <w:pPr>
        <w:spacing w:line="480" w:lineRule="auto"/>
        <w:jc w:val="center"/>
        <w:rPr>
          <w:rFonts w:ascii="宋体" w:hAnsi="宋体" w:cs="宋体"/>
          <w:b/>
          <w:sz w:val="48"/>
          <w:szCs w:val="48"/>
        </w:rPr>
      </w:pPr>
      <w:r>
        <w:rPr>
          <w:rFonts w:hint="eastAsia" w:ascii="宋体" w:hAnsi="宋体" w:cs="宋体"/>
          <w:b/>
          <w:sz w:val="48"/>
          <w:szCs w:val="48"/>
        </w:rPr>
        <w:t>招标工程量清单</w:t>
      </w:r>
    </w:p>
    <w:p w14:paraId="03E85ECC">
      <w:pPr>
        <w:spacing w:line="480" w:lineRule="auto"/>
        <w:rPr>
          <w:rFonts w:ascii="宋体" w:hAnsi="宋体" w:cs="宋体"/>
          <w:b/>
          <w:sz w:val="28"/>
          <w:szCs w:val="28"/>
        </w:rPr>
      </w:pPr>
    </w:p>
    <w:p w14:paraId="61F53586">
      <w:pPr>
        <w:spacing w:line="480" w:lineRule="auto"/>
        <w:rPr>
          <w:rFonts w:ascii="宋体" w:hAnsi="宋体" w:cs="宋体"/>
          <w:b/>
          <w:sz w:val="28"/>
          <w:szCs w:val="28"/>
        </w:rPr>
      </w:pPr>
    </w:p>
    <w:p w14:paraId="29875BF7">
      <w:pPr>
        <w:spacing w:line="360" w:lineRule="exact"/>
        <w:rPr>
          <w:rFonts w:ascii="宋体" w:hAnsi="宋体" w:cs="宋体"/>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57F6603C">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F1E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1" w:hRule="atLeast"/>
        </w:trPr>
        <w:tc>
          <w:tcPr>
            <w:tcW w:w="9240" w:type="dxa"/>
            <w:shd w:val="clear" w:color="auto" w:fill="auto"/>
            <w:noWrap/>
          </w:tcPr>
          <w:p w14:paraId="6EBB2CE5">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4E3A5575">
            <w:pPr>
              <w:pStyle w:val="4"/>
              <w:spacing w:line="360" w:lineRule="auto"/>
              <w:rPr>
                <w:rFonts w:ascii="宋体" w:hAnsi="宋体" w:cs="宋体"/>
                <w:szCs w:val="21"/>
              </w:rPr>
            </w:pPr>
            <w:r>
              <w:rPr>
                <w:rFonts w:hint="eastAsia" w:ascii="宋体" w:hAnsi="宋体" w:cs="宋体"/>
                <w:szCs w:val="21"/>
              </w:rPr>
              <w:t>1、工程名称：</w:t>
            </w:r>
            <w:r>
              <w:rPr>
                <w:rStyle w:val="20"/>
                <w:rFonts w:hint="eastAsia" w:ascii="宋体" w:hAnsi="宋体" w:cs="宋体"/>
                <w:kern w:val="0"/>
                <w:szCs w:val="21"/>
                <w:lang w:eastAsia="zh-CN"/>
              </w:rPr>
              <w:t>杭州电子科技大学下沙校区14#、15#、31#宿舍装修改造工程标项六</w:t>
            </w:r>
            <w:r>
              <w:rPr>
                <w:rFonts w:hint="eastAsia" w:ascii="宋体" w:hAnsi="宋体" w:cs="宋体"/>
                <w:szCs w:val="21"/>
              </w:rPr>
              <w:t>。</w:t>
            </w:r>
          </w:p>
          <w:p w14:paraId="7BD1C2C5">
            <w:pPr>
              <w:pStyle w:val="15"/>
              <w:spacing w:before="0" w:beforeAutospacing="0" w:after="0" w:afterAutospacing="0" w:line="360" w:lineRule="auto"/>
              <w:ind w:firstLine="420" w:firstLineChars="200"/>
              <w:rPr>
                <w:kern w:val="2"/>
                <w:sz w:val="21"/>
                <w:szCs w:val="21"/>
              </w:rPr>
            </w:pPr>
            <w:r>
              <w:rPr>
                <w:rFonts w:hint="eastAsia"/>
                <w:kern w:val="2"/>
                <w:sz w:val="21"/>
                <w:szCs w:val="21"/>
              </w:rPr>
              <w:t>2、工程地点：</w:t>
            </w:r>
            <w:r>
              <w:rPr>
                <w:rFonts w:hint="eastAsia"/>
                <w:bCs/>
                <w:sz w:val="21"/>
                <w:szCs w:val="21"/>
              </w:rPr>
              <w:t>浙江省杭州市</w:t>
            </w:r>
            <w:r>
              <w:rPr>
                <w:rFonts w:hint="eastAsia"/>
                <w:kern w:val="2"/>
                <w:sz w:val="21"/>
                <w:szCs w:val="21"/>
              </w:rPr>
              <w:t>。</w:t>
            </w:r>
          </w:p>
          <w:p w14:paraId="7ED73F76">
            <w:pPr>
              <w:spacing w:line="360" w:lineRule="auto"/>
              <w:ind w:firstLine="422" w:firstLineChars="200"/>
              <w:rPr>
                <w:rFonts w:ascii="宋体" w:hAnsi="宋体" w:cs="宋体"/>
                <w:b/>
                <w:bCs/>
                <w:szCs w:val="21"/>
              </w:rPr>
            </w:pPr>
            <w:r>
              <w:rPr>
                <w:rFonts w:hint="eastAsia" w:ascii="宋体" w:hAnsi="宋体" w:cs="宋体"/>
                <w:b/>
                <w:bCs/>
                <w:szCs w:val="21"/>
              </w:rPr>
              <w:t>二、工程招标范围</w:t>
            </w:r>
          </w:p>
          <w:p w14:paraId="076C8C16">
            <w:pPr>
              <w:spacing w:line="360" w:lineRule="auto"/>
              <w:ind w:firstLine="420" w:firstLineChars="200"/>
              <w:jc w:val="left"/>
              <w:rPr>
                <w:rFonts w:ascii="宋体" w:hAnsi="宋体" w:cs="宋体"/>
                <w:szCs w:val="21"/>
              </w:rPr>
            </w:pPr>
            <w:r>
              <w:rPr>
                <w:rFonts w:hint="eastAsia" w:ascii="宋体" w:hAnsi="宋体" w:cs="宋体"/>
                <w:szCs w:val="21"/>
              </w:rPr>
              <w:t>本次招标范围主要包括但不限于：</w:t>
            </w:r>
            <w:r>
              <w:rPr>
                <w:rFonts w:hint="eastAsia"/>
                <w:szCs w:val="22"/>
              </w:rPr>
              <w:t>寝室、楼梯间、走廊等墙面装修改造，按实际破损情况局部修补基层；宿舍内插座移位，阳台栏杆改造，卫生间内门窗、洗漱台、洗脸盆等装修改造</w:t>
            </w:r>
            <w:r>
              <w:rPr>
                <w:rFonts w:hint="eastAsia" w:ascii="宋体" w:hAnsi="宋体" w:cs="宋体"/>
                <w:szCs w:val="21"/>
              </w:rPr>
              <w:t>等；具体内容详见招标文件及招标工程量清单。</w:t>
            </w:r>
          </w:p>
          <w:p w14:paraId="5B245107">
            <w:pPr>
              <w:spacing w:line="360" w:lineRule="auto"/>
              <w:ind w:firstLine="422" w:firstLineChars="200"/>
              <w:rPr>
                <w:rFonts w:ascii="宋体" w:hAnsi="宋体" w:cs="宋体"/>
                <w:b/>
                <w:bCs/>
                <w:szCs w:val="21"/>
              </w:rPr>
            </w:pPr>
            <w:r>
              <w:rPr>
                <w:rFonts w:hint="eastAsia" w:ascii="宋体" w:hAnsi="宋体" w:cs="宋体"/>
                <w:b/>
                <w:bCs/>
                <w:szCs w:val="21"/>
              </w:rPr>
              <w:t>三、招标工程量清单编制依据</w:t>
            </w:r>
          </w:p>
          <w:p w14:paraId="64DCA01D">
            <w:pPr>
              <w:spacing w:line="360" w:lineRule="auto"/>
              <w:ind w:firstLine="420" w:firstLineChars="200"/>
              <w:rPr>
                <w:rFonts w:ascii="宋体" w:hAnsi="宋体" w:cs="宋体"/>
                <w:szCs w:val="21"/>
              </w:rPr>
            </w:pPr>
            <w:r>
              <w:rPr>
                <w:rFonts w:hint="eastAsia" w:ascii="宋体" w:hAnsi="宋体" w:cs="宋体"/>
                <w:szCs w:val="21"/>
              </w:rPr>
              <w:t>1、根据建设单位提供的“</w:t>
            </w:r>
            <w:r>
              <w:rPr>
                <w:rStyle w:val="20"/>
                <w:rFonts w:hint="eastAsia" w:ascii="宋体" w:hAnsi="宋体" w:cs="宋体"/>
                <w:kern w:val="0"/>
                <w:szCs w:val="21"/>
                <w:lang w:eastAsia="zh-CN"/>
              </w:rPr>
              <w:t>杭州电子科技大学下沙校区14#、15#、31#宿舍装修改造工程标项六</w:t>
            </w:r>
            <w:r>
              <w:rPr>
                <w:rFonts w:hint="eastAsia" w:ascii="宋体" w:hAnsi="宋体" w:cs="宋体"/>
                <w:szCs w:val="21"/>
              </w:rPr>
              <w:t>”相关资料明确的范围。</w:t>
            </w:r>
          </w:p>
          <w:p w14:paraId="62E78AF2">
            <w:pPr>
              <w:spacing w:line="360" w:lineRule="auto"/>
              <w:ind w:firstLine="420" w:firstLineChars="200"/>
              <w:rPr>
                <w:rFonts w:ascii="宋体" w:hAnsi="宋体" w:cs="宋体"/>
                <w:szCs w:val="21"/>
              </w:rPr>
            </w:pPr>
            <w:r>
              <w:rPr>
                <w:rFonts w:hint="eastAsia" w:ascii="宋体" w:hAnsi="宋体" w:cs="宋体"/>
                <w:szCs w:val="21"/>
              </w:rPr>
              <w:t>2、《建设工程工程量清单计价规范》（GB50500—2013）。</w:t>
            </w:r>
          </w:p>
          <w:p w14:paraId="0F647206">
            <w:pPr>
              <w:spacing w:line="360" w:lineRule="auto"/>
              <w:ind w:firstLine="420" w:firstLineChars="200"/>
              <w:rPr>
                <w:rFonts w:ascii="宋体" w:hAnsi="宋体" w:cs="宋体"/>
                <w:szCs w:val="21"/>
              </w:rPr>
            </w:pPr>
            <w:r>
              <w:rPr>
                <w:rFonts w:hint="eastAsia" w:ascii="宋体" w:hAnsi="宋体" w:cs="宋体"/>
                <w:szCs w:val="21"/>
              </w:rPr>
              <w:t>3、《房屋建筑与装饰工程工程量计算规范》（GB50854—2013）。</w:t>
            </w:r>
          </w:p>
          <w:p w14:paraId="6C5BA7C1">
            <w:pPr>
              <w:spacing w:line="360" w:lineRule="auto"/>
              <w:ind w:firstLine="420" w:firstLineChars="200"/>
              <w:rPr>
                <w:rFonts w:ascii="宋体" w:hAnsi="宋体" w:cs="宋体"/>
                <w:szCs w:val="21"/>
              </w:rPr>
            </w:pPr>
            <w:r>
              <w:rPr>
                <w:rFonts w:hint="eastAsia" w:ascii="宋体" w:hAnsi="宋体" w:cs="宋体"/>
                <w:szCs w:val="21"/>
              </w:rPr>
              <w:t>4、《通用安装工程工程量计算规范》（GB50856—2013）。</w:t>
            </w:r>
          </w:p>
          <w:p w14:paraId="4F243162">
            <w:pPr>
              <w:spacing w:line="360" w:lineRule="auto"/>
              <w:ind w:firstLine="420" w:firstLineChars="200"/>
              <w:rPr>
                <w:rFonts w:ascii="宋体" w:hAnsi="宋体" w:cs="宋体"/>
                <w:szCs w:val="21"/>
              </w:rPr>
            </w:pPr>
            <w:r>
              <w:rPr>
                <w:rFonts w:hint="eastAsia" w:ascii="宋体" w:hAnsi="宋体" w:cs="宋体"/>
                <w:szCs w:val="21"/>
              </w:rPr>
              <w:t>5、</w:t>
            </w:r>
            <w:bookmarkStart w:id="0" w:name="OLE_LINK2"/>
            <w:r>
              <w:rPr>
                <w:rFonts w:hint="eastAsia" w:ascii="宋体" w:hAnsi="宋体" w:cs="宋体"/>
                <w:szCs w:val="21"/>
              </w:rPr>
              <w:t>《浙江省建设工程计价规则》（2018版）</w:t>
            </w:r>
            <w:bookmarkEnd w:id="0"/>
            <w:r>
              <w:rPr>
                <w:rFonts w:hint="eastAsia" w:ascii="宋体" w:hAnsi="宋体" w:cs="宋体"/>
                <w:szCs w:val="21"/>
              </w:rPr>
              <w:t>。</w:t>
            </w:r>
          </w:p>
          <w:p w14:paraId="27F32772">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2CA45F4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769EB36A">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0A30614B">
            <w:pPr>
              <w:spacing w:line="360" w:lineRule="auto"/>
              <w:ind w:firstLine="420" w:firstLineChars="200"/>
              <w:rPr>
                <w:rFonts w:ascii="宋体" w:hAnsi="宋体" w:cs="宋体"/>
                <w:szCs w:val="21"/>
              </w:rPr>
            </w:pPr>
            <w:r>
              <w:rPr>
                <w:rFonts w:hint="eastAsia" w:ascii="宋体" w:hAnsi="宋体" w:cs="宋体"/>
                <w:szCs w:val="21"/>
              </w:rPr>
              <w:t>9、《关于增值税调整后我省建设工程计价依据增值税税率及有关计价调整的通知》（浙建建发【2019】92号）。</w:t>
            </w:r>
          </w:p>
          <w:p w14:paraId="67B14B4E">
            <w:pPr>
              <w:spacing w:line="360" w:lineRule="auto"/>
              <w:ind w:firstLine="420" w:firstLineChars="200"/>
              <w:rPr>
                <w:rFonts w:ascii="宋体" w:hAnsi="宋体" w:cs="宋体"/>
                <w:szCs w:val="21"/>
              </w:rPr>
            </w:pPr>
            <w:r>
              <w:rPr>
                <w:rFonts w:hint="eastAsia" w:ascii="宋体" w:hAnsi="宋体" w:cs="宋体"/>
                <w:szCs w:val="21"/>
              </w:rPr>
              <w:t>10、《省建设厅关于调整我省 2018 版建筑安装工程安全文明施工费的通知》（浙建建函〔2025〕320 号）</w:t>
            </w:r>
          </w:p>
          <w:p w14:paraId="0084A587">
            <w:pPr>
              <w:spacing w:line="360" w:lineRule="auto"/>
              <w:ind w:firstLine="420" w:firstLineChars="200"/>
              <w:rPr>
                <w:rFonts w:ascii="宋体" w:hAnsi="宋体" w:cs="宋体"/>
                <w:szCs w:val="21"/>
              </w:rPr>
            </w:pPr>
            <w:r>
              <w:rPr>
                <w:rFonts w:hint="eastAsia" w:ascii="宋体" w:hAnsi="宋体" w:cs="宋体"/>
                <w:szCs w:val="21"/>
              </w:rPr>
              <w:t>11、《杭州市城乡建设委员会关于落实省建设厅调整2018版建筑安装工程安全文明施工费有关事项的通知》（杭建市通知【2025】98号）。</w:t>
            </w:r>
          </w:p>
          <w:p w14:paraId="5EE6C505">
            <w:pPr>
              <w:spacing w:line="360" w:lineRule="auto"/>
              <w:ind w:firstLine="420" w:firstLineChars="200"/>
              <w:rPr>
                <w:rFonts w:ascii="宋体" w:hAnsi="宋体" w:cs="宋体"/>
                <w:szCs w:val="21"/>
              </w:rPr>
            </w:pPr>
            <w:r>
              <w:rPr>
                <w:rFonts w:hint="eastAsia" w:ascii="宋体" w:hAnsi="宋体" w:cs="宋体"/>
                <w:szCs w:val="21"/>
              </w:rPr>
              <w:t>12、招标文件。</w:t>
            </w:r>
          </w:p>
          <w:p w14:paraId="16F0BC39">
            <w:pPr>
              <w:spacing w:line="360" w:lineRule="auto"/>
              <w:ind w:firstLine="420" w:firstLineChars="200"/>
              <w:rPr>
                <w:rFonts w:ascii="宋体" w:hAnsi="宋体" w:cs="宋体"/>
                <w:szCs w:val="21"/>
              </w:rPr>
            </w:pPr>
            <w:r>
              <w:rPr>
                <w:rFonts w:hint="eastAsia" w:ascii="宋体" w:hAnsi="宋体" w:cs="宋体"/>
                <w:szCs w:val="21"/>
              </w:rPr>
              <w:t>13、与建设项目相关的标准、图集、规范、技术资料、文件、法律法规和综合解释。</w:t>
            </w:r>
          </w:p>
          <w:p w14:paraId="58B1F319">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7E53FBA8">
            <w:pPr>
              <w:spacing w:line="360" w:lineRule="auto"/>
              <w:ind w:firstLine="420" w:firstLineChars="200"/>
              <w:rPr>
                <w:rFonts w:ascii="宋体" w:hAnsi="宋体" w:cs="宋体"/>
                <w:szCs w:val="21"/>
              </w:rPr>
            </w:pPr>
            <w:r>
              <w:rPr>
                <w:rFonts w:hint="eastAsia" w:ascii="宋体" w:hAnsi="宋体" w:cs="宋体"/>
                <w:szCs w:val="21"/>
              </w:rPr>
              <w:t>1、工程质量：根据招标文件要求。</w:t>
            </w:r>
          </w:p>
          <w:p w14:paraId="4624AA85">
            <w:pPr>
              <w:spacing w:line="360" w:lineRule="auto"/>
              <w:ind w:firstLine="420" w:firstLineChars="200"/>
              <w:rPr>
                <w:rFonts w:ascii="宋体" w:hAnsi="宋体" w:cs="宋体"/>
                <w:szCs w:val="21"/>
              </w:rPr>
            </w:pPr>
            <w:r>
              <w:rPr>
                <w:rFonts w:hint="eastAsia" w:ascii="宋体" w:hAnsi="宋体" w:cs="宋体"/>
                <w:szCs w:val="21"/>
              </w:rPr>
              <w:t>2、工期：根据招标文件要求。</w:t>
            </w:r>
          </w:p>
          <w:p w14:paraId="3B3A78A6">
            <w:pPr>
              <w:spacing w:line="360" w:lineRule="auto"/>
              <w:ind w:firstLine="420" w:firstLineChars="200"/>
              <w:rPr>
                <w:rFonts w:ascii="宋体" w:hAnsi="宋体" w:cs="宋体"/>
                <w:szCs w:val="21"/>
              </w:rPr>
            </w:pPr>
            <w:r>
              <w:rPr>
                <w:rFonts w:hint="eastAsia" w:ascii="宋体" w:hAnsi="宋体" w:cs="宋体"/>
                <w:szCs w:val="21"/>
              </w:rPr>
              <w:t>3、施工要求详见招标文件及技术规范。</w:t>
            </w:r>
          </w:p>
          <w:p w14:paraId="2F282558">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7FA25BF7">
            <w:pPr>
              <w:widowControl/>
              <w:tabs>
                <w:tab w:val="left" w:pos="720"/>
              </w:tabs>
              <w:spacing w:line="360" w:lineRule="auto"/>
              <w:ind w:firstLine="420" w:firstLineChars="200"/>
              <w:jc w:val="left"/>
              <w:rPr>
                <w:rFonts w:ascii="宋体" w:hAnsi="宋体" w:cs="宋体"/>
                <w:szCs w:val="21"/>
              </w:rPr>
            </w:pPr>
            <w:bookmarkStart w:id="1" w:name="OLE_LINK9"/>
            <w:bookmarkStart w:id="2" w:name="OLE_LINK6"/>
            <w:r>
              <w:rPr>
                <w:rFonts w:hint="eastAsia" w:ascii="宋体" w:hAnsi="宋体" w:cs="宋体"/>
                <w:szCs w:val="21"/>
              </w:rPr>
              <w:t>安全文明施工费由文明施工费、环境保护费、临时设施费、安全施工费组成。以实施标准划分，可分为安全文明施工基本费和创建安全文明施工标准化工地增加费（以下简称“标化工地增加费”）。</w:t>
            </w:r>
          </w:p>
          <w:p w14:paraId="25E8BB2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机械费”之和。</w:t>
            </w:r>
          </w:p>
          <w:bookmarkEnd w:id="1"/>
          <w:bookmarkEnd w:id="2"/>
          <w:p w14:paraId="693D59E5">
            <w:pPr>
              <w:widowControl/>
              <w:tabs>
                <w:tab w:val="left" w:pos="720"/>
              </w:tabs>
              <w:spacing w:line="360" w:lineRule="auto"/>
              <w:ind w:firstLine="422" w:firstLineChars="200"/>
              <w:jc w:val="left"/>
              <w:rPr>
                <w:rFonts w:ascii="宋体" w:hAnsi="宋体" w:cs="宋体"/>
                <w:b/>
                <w:bCs/>
                <w:szCs w:val="21"/>
              </w:rPr>
            </w:pPr>
            <w:bookmarkStart w:id="3" w:name="OLE_LINK8"/>
            <w:r>
              <w:rPr>
                <w:rFonts w:hint="eastAsia" w:ascii="宋体" w:hAnsi="宋体" w:cs="宋体"/>
                <w:b/>
                <w:bCs/>
                <w:szCs w:val="21"/>
              </w:rPr>
              <w:t>房屋建筑与装饰工程最低取费费率为6.43%；</w:t>
            </w:r>
          </w:p>
          <w:bookmarkEnd w:id="3"/>
          <w:p w14:paraId="52A7EA55">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通用安装工程最低取费费率为7.99%。</w:t>
            </w:r>
          </w:p>
          <w:p w14:paraId="45744EB6">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标化工地增加费：无。</w:t>
            </w:r>
          </w:p>
          <w:p w14:paraId="105FFDAF">
            <w:pPr>
              <w:spacing w:line="360" w:lineRule="auto"/>
              <w:ind w:firstLine="422" w:firstLineChars="200"/>
              <w:rPr>
                <w:rFonts w:ascii="宋体" w:hAnsi="宋体" w:cs="宋体"/>
                <w:b/>
                <w:bCs/>
                <w:szCs w:val="21"/>
              </w:rPr>
            </w:pPr>
            <w:r>
              <w:rPr>
                <w:rFonts w:hint="eastAsia" w:ascii="宋体" w:hAnsi="宋体" w:cs="宋体"/>
                <w:b/>
                <w:bCs/>
                <w:szCs w:val="21"/>
              </w:rPr>
              <w:t>六、企业管理费用的取费计算基数和最低费率标准</w:t>
            </w:r>
          </w:p>
          <w:p w14:paraId="042A7632">
            <w:pPr>
              <w:spacing w:line="360" w:lineRule="auto"/>
              <w:ind w:firstLine="420" w:firstLineChars="200"/>
              <w:rPr>
                <w:rFonts w:ascii="宋体" w:hAnsi="宋体" w:cs="宋体"/>
                <w:szCs w:val="21"/>
              </w:rPr>
            </w:pPr>
            <w:bookmarkStart w:id="4" w:name="OLE_LINK11"/>
            <w:r>
              <w:rPr>
                <w:rFonts w:hint="eastAsia" w:ascii="宋体" w:hAnsi="宋体" w:cs="宋体"/>
                <w:szCs w:val="21"/>
              </w:rPr>
              <w:t>根据《杭州市建设工程工程量清单计价实施细则（2018年修订）》文件规定，</w:t>
            </w:r>
            <w:bookmarkEnd w:id="4"/>
            <w:r>
              <w:rPr>
                <w:rFonts w:hint="eastAsia" w:ascii="宋体" w:hAnsi="宋体" w:cs="宋体"/>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机械费”之和。</w:t>
            </w:r>
          </w:p>
          <w:p w14:paraId="0D9226D7">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房屋建筑与装饰工程最低取费费率为11.37%*0.2=2.27%；</w:t>
            </w:r>
          </w:p>
          <w:p w14:paraId="51DAE53D">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通用安装工程最低取费费率为16.29%*0.2=3.26%。</w:t>
            </w:r>
          </w:p>
          <w:p w14:paraId="00BB9CEB">
            <w:pPr>
              <w:spacing w:line="360" w:lineRule="auto"/>
              <w:ind w:firstLine="422" w:firstLineChars="200"/>
              <w:rPr>
                <w:rFonts w:ascii="宋体" w:hAnsi="宋体" w:cs="宋体"/>
                <w:b/>
                <w:bCs/>
                <w:szCs w:val="21"/>
              </w:rPr>
            </w:pPr>
            <w:r>
              <w:rPr>
                <w:rFonts w:hint="eastAsia" w:ascii="宋体" w:hAnsi="宋体" w:cs="宋体"/>
                <w:b/>
                <w:bCs/>
                <w:szCs w:val="21"/>
              </w:rPr>
              <w:t>七、规费、税金、安责险的取费要求</w:t>
            </w:r>
          </w:p>
          <w:p w14:paraId="4A28EF6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机械费”之和，报价按《浙江省建设工程施工取费定额（2018）》不得低于费率乘以30%的规定执行。</w:t>
            </w:r>
          </w:p>
          <w:p w14:paraId="79025A61">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房屋建筑与装饰工程最低取费费率为27.92%*0.3=8.38%；</w:t>
            </w:r>
          </w:p>
          <w:p w14:paraId="1DB8BD4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通用安装工程最低取费费率为30.63%*0.3=9.19%。</w:t>
            </w:r>
          </w:p>
          <w:p w14:paraId="5945156D">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cs="宋体"/>
                <w:b/>
                <w:bCs/>
                <w:szCs w:val="21"/>
              </w:rPr>
              <w:t>9%</w:t>
            </w:r>
            <w:r>
              <w:rPr>
                <w:rFonts w:hint="eastAsia" w:ascii="宋体" w:hAnsi="宋体" w:cs="宋体"/>
                <w:szCs w:val="21"/>
              </w:rPr>
              <w:t>。</w:t>
            </w:r>
          </w:p>
          <w:p w14:paraId="3E27AB21">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7E15785F">
            <w:pPr>
              <w:spacing w:line="360" w:lineRule="auto"/>
              <w:ind w:firstLine="422" w:firstLineChars="200"/>
              <w:rPr>
                <w:rFonts w:ascii="宋体" w:hAnsi="宋体" w:cs="宋体"/>
                <w:szCs w:val="21"/>
              </w:rPr>
            </w:pPr>
            <w:r>
              <w:rPr>
                <w:rFonts w:hint="eastAsia" w:ascii="宋体" w:hAnsi="宋体" w:cs="宋体"/>
                <w:b/>
                <w:bCs/>
                <w:szCs w:val="21"/>
              </w:rPr>
              <w:t>八、暂列金额的数量：</w:t>
            </w:r>
            <w:r>
              <w:rPr>
                <w:rFonts w:hint="eastAsia" w:ascii="宋体" w:hAnsi="宋体" w:cs="宋体"/>
                <w:szCs w:val="21"/>
              </w:rPr>
              <w:t>无。</w:t>
            </w:r>
          </w:p>
          <w:p w14:paraId="45E00D43">
            <w:pPr>
              <w:spacing w:line="360" w:lineRule="auto"/>
              <w:ind w:firstLine="422" w:firstLineChars="200"/>
              <w:rPr>
                <w:rFonts w:ascii="宋体" w:hAnsi="宋体" w:cs="宋体"/>
                <w:b/>
                <w:bCs/>
                <w:szCs w:val="21"/>
              </w:rPr>
            </w:pPr>
            <w:r>
              <w:rPr>
                <w:rFonts w:hint="eastAsia" w:ascii="宋体" w:hAnsi="宋体" w:cs="宋体"/>
                <w:b/>
                <w:bCs/>
                <w:szCs w:val="21"/>
              </w:rPr>
              <w:t>九、招标人自行采购材料的名称、规格型号、数量，要求总承包人提供的服务内容</w:t>
            </w:r>
          </w:p>
          <w:p w14:paraId="6E53A0CA">
            <w:pPr>
              <w:spacing w:line="360" w:lineRule="auto"/>
              <w:ind w:left="420"/>
              <w:jc w:val="left"/>
              <w:rPr>
                <w:rStyle w:val="39"/>
                <w:rFonts w:ascii="宋体" w:hAnsi="宋体" w:cs="宋体"/>
                <w:szCs w:val="21"/>
              </w:rPr>
            </w:pPr>
            <w:r>
              <w:rPr>
                <w:rStyle w:val="39"/>
                <w:rFonts w:hint="eastAsia" w:ascii="宋体" w:hAnsi="宋体" w:cs="宋体"/>
                <w:szCs w:val="21"/>
              </w:rPr>
              <w:t>1、按招标文件要求。</w:t>
            </w:r>
          </w:p>
          <w:p w14:paraId="138989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3D84CC7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59A11CED">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分部分项工程量清单中的工程量是按实物净量计算的，一切损耗均应在投标报价的综合单价中考虑。</w:t>
            </w:r>
          </w:p>
          <w:p w14:paraId="7C4C1315">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投标人应在综合单价中充分考虑施工中的各种损耗和需要增加的工程量，所报综合单价应包含该清单子目的所有工作内容，并考虑风险因素。</w:t>
            </w:r>
          </w:p>
          <w:p w14:paraId="7E2911D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投标人未填报综合单价或合价的项目，其费用视为已分摊在其他项目的综合单价与合价中，该项工作实施后，招标人将不予支付。</w:t>
            </w:r>
          </w:p>
          <w:p w14:paraId="52779F7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3B5FDC2">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投标报价应综合考虑各项技术规范所涉及的各项要求进行报价，若国家/省级/地方技术规范发生冲突，以最高标准执行。</w:t>
            </w:r>
          </w:p>
          <w:p w14:paraId="28DCA3A0">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投标人应先到工地踏勘以充分了解工地位置、现状、交通运输、空间局限及任何其它足以影响报价的情况，任何因忽视或误解工地情况而导致的索赔或工期延长申请将不获批准。</w:t>
            </w:r>
          </w:p>
          <w:p w14:paraId="3E5E847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工程量清单及其计价依据格式中的任何内容不得随意删除或涂改，若有错误，在招标答疑时及时提出，以“补充答疑”资料为准。</w:t>
            </w:r>
          </w:p>
          <w:p w14:paraId="3753EBD4">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本清单项目特征内未注明的单位均为mm（毫米）。</w:t>
            </w:r>
          </w:p>
          <w:p w14:paraId="3940FF78">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若施工场地无法满足投标人临时设施布置需求，由投标人自行就近解决（场地租赁费用及场地到施工现场间的用水用电管线接通、道路接通、人材机的短驳转运等费用由投标人在组织措施费考虑包干），中标后招标人不再另行支付相关费用。</w:t>
            </w:r>
          </w:p>
          <w:p w14:paraId="2BAD76D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投标人根据自行确定的施工方案及招标文件相关要求，认为有必要增加的技术措施费，计入其他技术措施费当中，并提供相应的措施项目清单综合单价计算表及工料机分析表，一旦中标不再调整。</w:t>
            </w:r>
          </w:p>
          <w:p w14:paraId="2913220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所有饰面材料等均未区分颜色，请投标单位自行充分考虑不同颜色和规格的报价的影响，实际施工时按业主、设计要求调整，中标后综合单价不变。</w:t>
            </w:r>
          </w:p>
          <w:p w14:paraId="64E4F85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本项目脚手架的使用及方案由各投标单位自行考虑，相关方案需满足现行规范要求及质监站要求，费用在相关子目中综合考虑报价，中标后不得以任何理由要求调整相关费用。</w:t>
            </w:r>
          </w:p>
          <w:p w14:paraId="78E5F457">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施工单位需要考虑工程移交前工程范围内的卫生保洁费用，以及施工现场配备保安人员做好防盗、防损工作所需的费用，计入措施项目费中，否则视作优惠。</w:t>
            </w:r>
          </w:p>
          <w:p w14:paraId="034A40FA">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所有材料必须符合设计及招标人要求，由投标人根据招标文件的要求明确规格型号和报价，有推荐品牌的，投标人应在推荐品牌中选择，并在备注栏中标明品牌</w:t>
            </w:r>
            <w:bookmarkStart w:id="5" w:name="_GoBack"/>
            <w:bookmarkEnd w:id="5"/>
            <w:r>
              <w:rPr>
                <w:rFonts w:hint="eastAsia" w:ascii="宋体" w:hAnsi="宋体" w:cs="宋体"/>
                <w:szCs w:val="21"/>
              </w:rPr>
              <w:t>。若投标人未列出，在施工期间，招标人可根据工程需要提出要求，投标人必须按照招标人的要求提供材料（设备），费用差价风险由投标人承担。</w:t>
            </w:r>
          </w:p>
          <w:p w14:paraId="404407FB">
            <w:pPr>
              <w:spacing w:line="360" w:lineRule="auto"/>
              <w:ind w:left="631" w:leftChars="200" w:hanging="211" w:hangingChars="100"/>
              <w:rPr>
                <w:rFonts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1FB39F4">
                  <w:pPr>
                    <w:spacing w:line="360" w:lineRule="auto"/>
                    <w:jc w:val="center"/>
                    <w:rPr>
                      <w:rFonts w:ascii="宋体" w:hAnsi="宋体" w:cs="宋体"/>
                      <w:szCs w:val="21"/>
                    </w:rPr>
                  </w:pPr>
                  <w:r>
                    <w:rPr>
                      <w:rFonts w:hint="eastAsia" w:ascii="宋体" w:hAnsi="宋体" w:cs="宋体"/>
                      <w:szCs w:val="21"/>
                    </w:rPr>
                    <w:t>序号</w:t>
                  </w:r>
                </w:p>
              </w:tc>
              <w:tc>
                <w:tcPr>
                  <w:tcW w:w="2772" w:type="dxa"/>
                  <w:noWrap/>
                </w:tcPr>
                <w:p w14:paraId="3D7357E6">
                  <w:pPr>
                    <w:spacing w:line="360" w:lineRule="auto"/>
                    <w:jc w:val="center"/>
                    <w:rPr>
                      <w:rFonts w:ascii="宋体" w:hAnsi="宋体" w:cs="宋体"/>
                      <w:szCs w:val="21"/>
                    </w:rPr>
                  </w:pPr>
                  <w:r>
                    <w:rPr>
                      <w:rFonts w:hint="eastAsia" w:ascii="宋体" w:hAnsi="宋体" w:cs="宋体"/>
                      <w:szCs w:val="21"/>
                    </w:rPr>
                    <w:t>主要设备材料名称</w:t>
                  </w:r>
                </w:p>
              </w:tc>
              <w:tc>
                <w:tcPr>
                  <w:tcW w:w="4860" w:type="dxa"/>
                  <w:noWrap/>
                </w:tcPr>
                <w:p w14:paraId="508A7381">
                  <w:pPr>
                    <w:spacing w:line="360" w:lineRule="auto"/>
                    <w:jc w:val="center"/>
                    <w:rPr>
                      <w:rFonts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spacing w:line="360" w:lineRule="auto"/>
                    <w:jc w:val="center"/>
                    <w:rPr>
                      <w:rFonts w:ascii="宋体" w:hAnsi="宋体" w:cs="宋体"/>
                      <w:szCs w:val="21"/>
                    </w:rPr>
                  </w:pPr>
                  <w:r>
                    <w:rPr>
                      <w:rFonts w:hint="eastAsia" w:ascii="宋体" w:hAnsi="宋体" w:cs="宋体"/>
                      <w:szCs w:val="21"/>
                    </w:rPr>
                    <w:t>1</w:t>
                  </w:r>
                </w:p>
              </w:tc>
              <w:tc>
                <w:tcPr>
                  <w:tcW w:w="2772" w:type="dxa"/>
                  <w:noWrap/>
                </w:tcPr>
                <w:p w14:paraId="762F6199">
                  <w:pPr>
                    <w:spacing w:line="360" w:lineRule="auto"/>
                    <w:jc w:val="left"/>
                    <w:rPr>
                      <w:rFonts w:ascii="宋体" w:hAnsi="宋体" w:cs="宋体"/>
                      <w:szCs w:val="21"/>
                    </w:rPr>
                  </w:pPr>
                  <w:r>
                    <w:rPr>
                      <w:rFonts w:hint="eastAsia" w:ascii="宋体" w:hAnsi="宋体" w:cs="宋体"/>
                      <w:szCs w:val="21"/>
                    </w:rPr>
                    <w:t>涂料、乳胶漆</w:t>
                  </w:r>
                </w:p>
              </w:tc>
              <w:tc>
                <w:tcPr>
                  <w:tcW w:w="4860" w:type="dxa"/>
                  <w:noWrap/>
                </w:tcPr>
                <w:p w14:paraId="54C4F342">
                  <w:pPr>
                    <w:spacing w:line="360" w:lineRule="auto"/>
                    <w:jc w:val="left"/>
                    <w:rPr>
                      <w:rFonts w:ascii="宋体" w:hAnsi="宋体" w:cs="宋体"/>
                      <w:szCs w:val="21"/>
                    </w:rPr>
                  </w:pPr>
                  <w:r>
                    <w:rPr>
                      <w:rFonts w:hint="eastAsia" w:ascii="宋体" w:hAnsi="宋体" w:cs="宋体"/>
                      <w:szCs w:val="21"/>
                    </w:rPr>
                    <w:t>立邦、多乐士、亚士</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4"/>
                    <w:widowControl/>
                    <w:spacing w:line="360" w:lineRule="auto"/>
                    <w:jc w:val="center"/>
                    <w:rPr>
                      <w:rFonts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4"/>
                    <w:widowControl/>
                    <w:spacing w:line="360" w:lineRule="auto"/>
                    <w:rPr>
                      <w:rFonts w:ascii="宋体" w:hAnsi="宋体" w:cs="宋体"/>
                      <w:kern w:val="0"/>
                      <w:szCs w:val="21"/>
                    </w:rPr>
                  </w:pPr>
                  <w:r>
                    <w:rPr>
                      <w:rFonts w:hint="eastAsia" w:ascii="宋体" w:hAnsi="宋体" w:cs="宋体"/>
                      <w:kern w:val="0"/>
                      <w:szCs w:val="21"/>
                    </w:rPr>
                    <w:t>铝合金型材</w:t>
                  </w:r>
                </w:p>
              </w:tc>
              <w:tc>
                <w:tcPr>
                  <w:tcW w:w="4860" w:type="dxa"/>
                  <w:noWrap/>
                  <w:vAlign w:val="center"/>
                </w:tcPr>
                <w:p w14:paraId="3494B7EF">
                  <w:pPr>
                    <w:pStyle w:val="44"/>
                    <w:widowControl/>
                    <w:spacing w:line="360" w:lineRule="auto"/>
                    <w:rPr>
                      <w:rFonts w:ascii="宋体" w:hAnsi="宋体" w:cs="宋体"/>
                      <w:kern w:val="0"/>
                      <w:szCs w:val="21"/>
                    </w:rPr>
                  </w:pPr>
                  <w:r>
                    <w:rPr>
                      <w:rFonts w:hint="eastAsia" w:ascii="宋体" w:hAnsi="宋体" w:cs="宋体"/>
                      <w:kern w:val="0"/>
                      <w:szCs w:val="21"/>
                    </w:rPr>
                    <w:t>佛山坚美、广东坚美、亚铝或同档次及以上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4"/>
                    <w:widowControl/>
                    <w:spacing w:line="360" w:lineRule="auto"/>
                    <w:jc w:val="center"/>
                    <w:rPr>
                      <w:rFonts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不锈钢栏杆</w:t>
                  </w:r>
                </w:p>
              </w:tc>
              <w:tc>
                <w:tcPr>
                  <w:tcW w:w="4860" w:type="dxa"/>
                  <w:noWrap/>
                  <w:vAlign w:val="center"/>
                </w:tcPr>
                <w:p w14:paraId="428E7710">
                  <w:pPr>
                    <w:pStyle w:val="44"/>
                    <w:widowControl/>
                    <w:spacing w:line="360" w:lineRule="auto"/>
                    <w:rPr>
                      <w:rFonts w:ascii="宋体" w:hAnsi="宋体" w:cs="宋体"/>
                      <w:kern w:val="0"/>
                      <w:szCs w:val="21"/>
                    </w:rPr>
                  </w:pPr>
                  <w:r>
                    <w:rPr>
                      <w:rFonts w:hint="eastAsia" w:ascii="宋体" w:hAnsi="宋体" w:cs="宋体"/>
                      <w:kern w:val="0"/>
                      <w:szCs w:val="21"/>
                    </w:rPr>
                    <w:t>佳麒、恒丰、联兴或同档次及以上</w:t>
                  </w:r>
                </w:p>
              </w:tc>
            </w:tr>
            <w:tr w14:paraId="410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CEF60A4">
                  <w:pPr>
                    <w:pStyle w:val="44"/>
                    <w:widowControl/>
                    <w:spacing w:line="360" w:lineRule="auto"/>
                    <w:jc w:val="center"/>
                    <w:rPr>
                      <w:rFonts w:ascii="宋体" w:hAnsi="宋体" w:cs="宋体"/>
                      <w:kern w:val="0"/>
                      <w:szCs w:val="21"/>
                    </w:rPr>
                  </w:pPr>
                  <w:r>
                    <w:rPr>
                      <w:rFonts w:hint="eastAsia" w:ascii="宋体" w:hAnsi="宋体" w:cs="宋体"/>
                      <w:kern w:val="0"/>
                      <w:szCs w:val="21"/>
                    </w:rPr>
                    <w:t>4</w:t>
                  </w:r>
                </w:p>
              </w:tc>
              <w:tc>
                <w:tcPr>
                  <w:tcW w:w="2772" w:type="dxa"/>
                  <w:noWrap/>
                  <w:vAlign w:val="center"/>
                </w:tcPr>
                <w:p w14:paraId="074733D8">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石材</w:t>
                  </w:r>
                </w:p>
              </w:tc>
              <w:tc>
                <w:tcPr>
                  <w:tcW w:w="4860" w:type="dxa"/>
                  <w:noWrap/>
                  <w:vAlign w:val="center"/>
                </w:tcPr>
                <w:p w14:paraId="178AE703">
                  <w:pPr>
                    <w:pStyle w:val="44"/>
                    <w:widowControl/>
                    <w:spacing w:line="360" w:lineRule="auto"/>
                    <w:rPr>
                      <w:rFonts w:ascii="宋体" w:hAnsi="宋体" w:cs="宋体"/>
                      <w:kern w:val="0"/>
                      <w:szCs w:val="21"/>
                    </w:rPr>
                  </w:pPr>
                  <w:r>
                    <w:rPr>
                      <w:rFonts w:hint="eastAsia" w:ascii="宋体" w:hAnsi="宋体" w:cs="宋体"/>
                      <w:kern w:val="0"/>
                      <w:szCs w:val="21"/>
                    </w:rPr>
                    <w:t>康利、环球石材、宏发或同档次及以上</w:t>
                  </w:r>
                </w:p>
              </w:tc>
            </w:tr>
            <w:tr w14:paraId="3EF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4490D9A4">
                  <w:pPr>
                    <w:pStyle w:val="44"/>
                    <w:widowControl/>
                    <w:spacing w:line="360" w:lineRule="auto"/>
                    <w:jc w:val="center"/>
                    <w:rPr>
                      <w:rFonts w:ascii="宋体" w:hAnsi="宋体" w:cs="宋体"/>
                      <w:kern w:val="0"/>
                      <w:szCs w:val="21"/>
                    </w:rPr>
                  </w:pPr>
                  <w:r>
                    <w:rPr>
                      <w:rFonts w:hint="eastAsia" w:ascii="宋体" w:hAnsi="宋体" w:cs="宋体"/>
                      <w:kern w:val="0"/>
                      <w:szCs w:val="21"/>
                    </w:rPr>
                    <w:t>5</w:t>
                  </w:r>
                </w:p>
              </w:tc>
              <w:tc>
                <w:tcPr>
                  <w:tcW w:w="2772" w:type="dxa"/>
                  <w:noWrap/>
                  <w:vAlign w:val="center"/>
                </w:tcPr>
                <w:p w14:paraId="03CE7347">
                  <w:pPr>
                    <w:pStyle w:val="44"/>
                    <w:widowControl/>
                    <w:spacing w:line="360" w:lineRule="auto"/>
                    <w:rPr>
                      <w:rFonts w:ascii="宋体" w:hAnsi="宋体" w:cs="宋体"/>
                      <w:kern w:val="0"/>
                      <w:szCs w:val="21"/>
                    </w:rPr>
                  </w:pPr>
                  <w:r>
                    <w:rPr>
                      <w:rFonts w:hint="eastAsia" w:ascii="宋体" w:hAnsi="宋体" w:cs="宋体"/>
                      <w:kern w:val="0"/>
                      <w:szCs w:val="21"/>
                    </w:rPr>
                    <w:t>开关、插座</w:t>
                  </w:r>
                </w:p>
              </w:tc>
              <w:tc>
                <w:tcPr>
                  <w:tcW w:w="4860" w:type="dxa"/>
                  <w:noWrap/>
                  <w:vAlign w:val="center"/>
                </w:tcPr>
                <w:p w14:paraId="11418A38">
                  <w:pPr>
                    <w:pStyle w:val="44"/>
                    <w:widowControl/>
                    <w:spacing w:line="360" w:lineRule="auto"/>
                    <w:rPr>
                      <w:rFonts w:ascii="宋体" w:hAnsi="宋体" w:cs="宋体"/>
                      <w:kern w:val="0"/>
                      <w:szCs w:val="21"/>
                    </w:rPr>
                  </w:pPr>
                  <w:r>
                    <w:rPr>
                      <w:rFonts w:hint="eastAsia" w:ascii="宋体" w:hAnsi="宋体" w:cs="宋体"/>
                      <w:kern w:val="0"/>
                      <w:szCs w:val="21"/>
                    </w:rPr>
                    <w:t>鸿雁、德力西、正泰或同档次及以上</w:t>
                  </w:r>
                </w:p>
              </w:tc>
            </w:tr>
            <w:tr w14:paraId="723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6646A222">
                  <w:pPr>
                    <w:pStyle w:val="44"/>
                    <w:widowControl/>
                    <w:spacing w:line="360" w:lineRule="auto"/>
                    <w:jc w:val="center"/>
                    <w:rPr>
                      <w:rFonts w:ascii="宋体" w:hAnsi="宋体" w:cs="宋体"/>
                      <w:kern w:val="0"/>
                      <w:szCs w:val="21"/>
                    </w:rPr>
                  </w:pPr>
                  <w:r>
                    <w:rPr>
                      <w:rFonts w:hint="eastAsia" w:ascii="宋体" w:hAnsi="宋体" w:cs="宋体"/>
                      <w:kern w:val="0"/>
                      <w:szCs w:val="21"/>
                    </w:rPr>
                    <w:t>6</w:t>
                  </w:r>
                </w:p>
              </w:tc>
              <w:tc>
                <w:tcPr>
                  <w:tcW w:w="2772" w:type="dxa"/>
                  <w:noWrap/>
                  <w:vAlign w:val="center"/>
                </w:tcPr>
                <w:p w14:paraId="3257EAC7">
                  <w:pPr>
                    <w:pStyle w:val="44"/>
                    <w:widowControl/>
                    <w:spacing w:line="360" w:lineRule="auto"/>
                    <w:rPr>
                      <w:rFonts w:ascii="宋体" w:hAnsi="宋体" w:cs="宋体"/>
                      <w:kern w:val="0"/>
                      <w:szCs w:val="21"/>
                    </w:rPr>
                  </w:pPr>
                  <w:r>
                    <w:rPr>
                      <w:rFonts w:hint="eastAsia" w:ascii="宋体" w:hAnsi="宋体" w:cs="宋体"/>
                      <w:kern w:val="0"/>
                      <w:szCs w:val="21"/>
                    </w:rPr>
                    <w:t>灯具、光源</w:t>
                  </w:r>
                </w:p>
              </w:tc>
              <w:tc>
                <w:tcPr>
                  <w:tcW w:w="4860" w:type="dxa"/>
                  <w:noWrap/>
                  <w:vAlign w:val="center"/>
                </w:tcPr>
                <w:p w14:paraId="7119BE9B">
                  <w:pPr>
                    <w:pStyle w:val="44"/>
                    <w:widowControl/>
                    <w:spacing w:line="360" w:lineRule="auto"/>
                    <w:rPr>
                      <w:rFonts w:ascii="宋体" w:hAnsi="宋体" w:cs="宋体"/>
                      <w:kern w:val="0"/>
                      <w:szCs w:val="21"/>
                    </w:rPr>
                  </w:pPr>
                  <w:r>
                    <w:rPr>
                      <w:rFonts w:hint="eastAsia" w:ascii="宋体" w:hAnsi="宋体" w:cs="宋体"/>
                      <w:kern w:val="0"/>
                      <w:szCs w:val="21"/>
                    </w:rPr>
                    <w:t>飞利浦、雷士、欧普或同档次及以上</w:t>
                  </w:r>
                </w:p>
              </w:tc>
            </w:tr>
            <w:tr w14:paraId="2775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90149AC">
                  <w:pPr>
                    <w:pStyle w:val="44"/>
                    <w:widowControl/>
                    <w:spacing w:line="360" w:lineRule="auto"/>
                    <w:jc w:val="center"/>
                    <w:rPr>
                      <w:rFonts w:ascii="宋体" w:hAnsi="宋体" w:cs="宋体"/>
                      <w:kern w:val="0"/>
                      <w:szCs w:val="21"/>
                    </w:rPr>
                  </w:pPr>
                  <w:r>
                    <w:rPr>
                      <w:rFonts w:hint="eastAsia" w:ascii="宋体" w:hAnsi="宋体" w:cs="宋体"/>
                      <w:kern w:val="0"/>
                      <w:szCs w:val="21"/>
                    </w:rPr>
                    <w:t>7</w:t>
                  </w:r>
                </w:p>
              </w:tc>
              <w:tc>
                <w:tcPr>
                  <w:tcW w:w="2772" w:type="dxa"/>
                  <w:noWrap/>
                  <w:vAlign w:val="center"/>
                </w:tcPr>
                <w:p w14:paraId="7071B09B">
                  <w:pPr>
                    <w:pStyle w:val="44"/>
                    <w:widowControl/>
                    <w:spacing w:line="360" w:lineRule="auto"/>
                    <w:rPr>
                      <w:rFonts w:ascii="宋体" w:hAnsi="宋体" w:cs="宋体"/>
                      <w:kern w:val="0"/>
                      <w:szCs w:val="21"/>
                    </w:rPr>
                  </w:pPr>
                  <w:r>
                    <w:rPr>
                      <w:rFonts w:hint="eastAsia" w:ascii="宋体" w:hAnsi="宋体" w:cs="宋体"/>
                      <w:kern w:val="0"/>
                      <w:szCs w:val="21"/>
                    </w:rPr>
                    <w:t>电线、电缆</w:t>
                  </w:r>
                </w:p>
              </w:tc>
              <w:tc>
                <w:tcPr>
                  <w:tcW w:w="4860" w:type="dxa"/>
                  <w:noWrap/>
                  <w:vAlign w:val="center"/>
                </w:tcPr>
                <w:p w14:paraId="0F692FF9">
                  <w:pPr>
                    <w:pStyle w:val="44"/>
                    <w:widowControl/>
                    <w:spacing w:line="360" w:lineRule="auto"/>
                    <w:rPr>
                      <w:rFonts w:ascii="宋体" w:hAnsi="宋体" w:cs="宋体"/>
                      <w:kern w:val="0"/>
                      <w:szCs w:val="21"/>
                    </w:rPr>
                  </w:pPr>
                  <w:r>
                    <w:rPr>
                      <w:rFonts w:hint="eastAsia" w:ascii="宋体" w:hAnsi="宋体" w:cs="宋体"/>
                      <w:kern w:val="0"/>
                      <w:szCs w:val="21"/>
                    </w:rPr>
                    <w:t>宝胜、远东、上上或同档次及以上</w:t>
                  </w:r>
                </w:p>
              </w:tc>
            </w:tr>
            <w:tr w14:paraId="57F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278EDAE2">
                  <w:pPr>
                    <w:pStyle w:val="44"/>
                    <w:widowControl/>
                    <w:spacing w:line="360" w:lineRule="auto"/>
                    <w:jc w:val="center"/>
                    <w:rPr>
                      <w:rFonts w:ascii="宋体" w:hAnsi="宋体" w:cs="宋体"/>
                      <w:kern w:val="0"/>
                      <w:szCs w:val="21"/>
                    </w:rPr>
                  </w:pPr>
                  <w:r>
                    <w:rPr>
                      <w:rFonts w:hint="eastAsia" w:ascii="宋体" w:hAnsi="宋体" w:cs="宋体"/>
                      <w:kern w:val="0"/>
                      <w:szCs w:val="21"/>
                    </w:rPr>
                    <w:t>8</w:t>
                  </w:r>
                </w:p>
              </w:tc>
              <w:tc>
                <w:tcPr>
                  <w:tcW w:w="2772" w:type="dxa"/>
                  <w:noWrap/>
                  <w:vAlign w:val="center"/>
                </w:tcPr>
                <w:p w14:paraId="2E155EA9">
                  <w:pPr>
                    <w:pStyle w:val="44"/>
                    <w:widowControl/>
                    <w:spacing w:line="360" w:lineRule="auto"/>
                    <w:rPr>
                      <w:rFonts w:ascii="宋体" w:hAnsi="宋体" w:cs="宋体"/>
                      <w:kern w:val="0"/>
                      <w:szCs w:val="21"/>
                    </w:rPr>
                  </w:pPr>
                  <w:r>
                    <w:rPr>
                      <w:rFonts w:hint="eastAsia" w:ascii="宋体" w:hAnsi="宋体" w:cs="宋体"/>
                      <w:kern w:val="0"/>
                      <w:szCs w:val="21"/>
                    </w:rPr>
                    <w:t>洗脸盆、混水龙头</w:t>
                  </w:r>
                </w:p>
              </w:tc>
              <w:tc>
                <w:tcPr>
                  <w:tcW w:w="4860" w:type="dxa"/>
                  <w:noWrap/>
                  <w:vAlign w:val="center"/>
                </w:tcPr>
                <w:p w14:paraId="66B430FA">
                  <w:pPr>
                    <w:pStyle w:val="44"/>
                    <w:widowControl/>
                    <w:spacing w:line="360" w:lineRule="auto"/>
                    <w:rPr>
                      <w:rFonts w:ascii="宋体" w:hAnsi="宋体" w:cs="宋体"/>
                      <w:kern w:val="0"/>
                      <w:szCs w:val="21"/>
                    </w:rPr>
                  </w:pPr>
                  <w:r>
                    <w:rPr>
                      <w:rFonts w:hint="eastAsia" w:ascii="宋体" w:hAnsi="宋体" w:cs="宋体"/>
                      <w:kern w:val="0"/>
                      <w:szCs w:val="21"/>
                    </w:rPr>
                    <w:t>惠达、东鹏、恒洁、洁陶、杭诚或同档次及以上</w:t>
                  </w:r>
                </w:p>
              </w:tc>
            </w:tr>
            <w:tr w14:paraId="4712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shd w:val="clear" w:color="auto" w:fill="auto"/>
                  <w:noWrap/>
                  <w:vAlign w:val="center"/>
                </w:tcPr>
                <w:p w14:paraId="4D45429D">
                  <w:pPr>
                    <w:pStyle w:val="44"/>
                    <w:widowControl/>
                    <w:spacing w:line="360" w:lineRule="auto"/>
                    <w:jc w:val="center"/>
                    <w:rPr>
                      <w:rFonts w:ascii="宋体" w:hAnsi="宋体" w:cs="宋体"/>
                      <w:kern w:val="0"/>
                      <w:szCs w:val="21"/>
                    </w:rPr>
                  </w:pPr>
                  <w:r>
                    <w:rPr>
                      <w:rFonts w:hint="eastAsia" w:ascii="宋体" w:hAnsi="宋体" w:cs="宋体"/>
                      <w:kern w:val="0"/>
                      <w:szCs w:val="21"/>
                    </w:rPr>
                    <w:t>9</w:t>
                  </w:r>
                </w:p>
              </w:tc>
              <w:tc>
                <w:tcPr>
                  <w:tcW w:w="2772" w:type="dxa"/>
                  <w:shd w:val="clear" w:color="auto" w:fill="auto"/>
                  <w:noWrap/>
                  <w:vAlign w:val="center"/>
                </w:tcPr>
                <w:p w14:paraId="6D1F3A96">
                  <w:pPr>
                    <w:pStyle w:val="44"/>
                    <w:widowControl/>
                    <w:spacing w:line="360" w:lineRule="auto"/>
                    <w:rPr>
                      <w:rFonts w:ascii="宋体" w:hAnsi="宋体" w:cs="宋体"/>
                      <w:kern w:val="0"/>
                      <w:szCs w:val="21"/>
                    </w:rPr>
                  </w:pPr>
                  <w:r>
                    <w:rPr>
                      <w:rFonts w:hint="eastAsia" w:ascii="宋体" w:hAnsi="宋体" w:cs="宋体"/>
                      <w:kern w:val="0"/>
                      <w:szCs w:val="21"/>
                    </w:rPr>
                    <w:t>木门</w:t>
                  </w:r>
                </w:p>
              </w:tc>
              <w:tc>
                <w:tcPr>
                  <w:tcW w:w="4860" w:type="dxa"/>
                  <w:shd w:val="clear" w:color="auto" w:fill="auto"/>
                  <w:noWrap/>
                  <w:vAlign w:val="center"/>
                </w:tcPr>
                <w:p w14:paraId="30C445F5">
                  <w:pPr>
                    <w:pStyle w:val="44"/>
                    <w:widowControl/>
                    <w:spacing w:line="360" w:lineRule="auto"/>
                    <w:rPr>
                      <w:rFonts w:ascii="宋体" w:hAnsi="宋体" w:cs="宋体"/>
                      <w:kern w:val="0"/>
                      <w:szCs w:val="21"/>
                    </w:rPr>
                  </w:pPr>
                  <w:r>
                    <w:rPr>
                      <w:rFonts w:hint="eastAsia" w:ascii="宋体" w:hAnsi="宋体" w:cs="宋体"/>
                      <w:kern w:val="0"/>
                      <w:szCs w:val="21"/>
                    </w:rPr>
                    <w:t>喜泰乐、泰诺、昊博或同档次及以上</w:t>
                  </w:r>
                </w:p>
              </w:tc>
            </w:tr>
          </w:tbl>
          <w:p w14:paraId="0368DF32">
            <w:pPr>
              <w:widowControl/>
              <w:spacing w:line="360" w:lineRule="auto"/>
              <w:ind w:left="420" w:leftChars="200"/>
              <w:jc w:val="left"/>
              <w:rPr>
                <w:rFonts w:ascii="宋体" w:hAnsi="宋体" w:cs="宋体"/>
                <w:b/>
                <w:bCs/>
                <w:szCs w:val="21"/>
              </w:rPr>
            </w:pPr>
          </w:p>
        </w:tc>
      </w:tr>
    </w:tbl>
    <w:p w14:paraId="40CE4CA7">
      <w:pPr>
        <w:spacing w:line="360" w:lineRule="auto"/>
        <w:rPr>
          <w:rFonts w:asciiTheme="minorEastAsia" w:hAnsiTheme="minorEastAsia" w:eastAsiaTheme="minorEastAsia" w:cstheme="minorEastAsia"/>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203E1">
    <w:pPr>
      <w:pStyle w:val="13"/>
      <w:framePr w:wrap="around" w:vAnchor="text" w:hAnchor="margin" w:xAlign="center" w:y="1"/>
      <w:rPr>
        <w:rStyle w:val="20"/>
      </w:rPr>
    </w:pPr>
    <w:r>
      <w:fldChar w:fldCharType="begin"/>
    </w:r>
    <w:r>
      <w:rPr>
        <w:rStyle w:val="20"/>
      </w:rPr>
      <w:instrText xml:space="preserve">PAGE  </w:instrText>
    </w:r>
    <w:r>
      <w:fldChar w:fldCharType="end"/>
    </w:r>
  </w:p>
  <w:p w14:paraId="715B310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388A">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B159E01">
    <w:pPr>
      <w:rPr>
        <w:rFonts w:ascii="宋体" w:hAnsi="宋体"/>
        <w:szCs w:val="21"/>
      </w:rPr>
    </w:pPr>
    <w:r>
      <w:rPr>
        <w:rStyle w:val="20"/>
        <w:rFonts w:hint="eastAsia" w:ascii="宋体" w:hAnsi="宋体"/>
        <w:kern w:val="0"/>
        <w:szCs w:val="21"/>
      </w:rPr>
      <w:t>工程名称：</w:t>
    </w:r>
    <w:r>
      <w:rPr>
        <w:rStyle w:val="20"/>
        <w:rFonts w:hint="eastAsia" w:ascii="宋体" w:hAnsi="宋体"/>
        <w:kern w:val="0"/>
        <w:szCs w:val="21"/>
        <w:lang w:eastAsia="zh-CN"/>
      </w:rPr>
      <w:t>杭州电子科技大学下沙校区14#、15#、31#宿舍装修改造工程标项六</w:t>
    </w:r>
    <w:r>
      <w:rPr>
        <w:rStyle w:val="20"/>
        <w:rFonts w:hint="eastAsia" w:ascii="宋体" w:hAnsi="宋体"/>
        <w:kern w:val="0"/>
        <w:szCs w:val="21"/>
      </w:rPr>
      <w:t xml:space="preserve"> </w:t>
    </w:r>
    <w:r>
      <w:rPr>
        <w:rStyle w:val="20"/>
        <w:rFonts w:hint="eastAsia" w:ascii="宋体" w:hAnsi="宋体"/>
        <w:kern w:val="0"/>
        <w:szCs w:val="21"/>
        <w:lang w:val="en-US" w:eastAsia="zh-CN"/>
      </w:rPr>
      <w:t xml:space="preserve">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4</w:t>
    </w:r>
    <w:r>
      <w:rPr>
        <w:rFonts w:ascii="宋体" w:hAnsi="宋体"/>
        <w:szCs w:val="21"/>
      </w:rPr>
      <w:fldChar w:fldCharType="end"/>
    </w:r>
    <w:r>
      <w:rPr>
        <w:rStyle w:val="20"/>
        <w:rFonts w:hint="eastAsia" w:ascii="宋体" w:hAnsi="宋体"/>
        <w:szCs w:val="21"/>
      </w:rPr>
      <w:t>页  共5页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E1F4">
    <w:pPr>
      <w:pStyle w:val="14"/>
      <w:framePr w:wrap="around" w:vAnchor="text" w:hAnchor="margin" w:xAlign="right" w:y="1"/>
      <w:rPr>
        <w:rStyle w:val="20"/>
      </w:rPr>
    </w:pPr>
    <w:r>
      <w:fldChar w:fldCharType="begin"/>
    </w:r>
    <w:r>
      <w:rPr>
        <w:rStyle w:val="20"/>
      </w:rPr>
      <w:instrText xml:space="preserve">PAGE  </w:instrText>
    </w:r>
    <w:r>
      <w:fldChar w:fldCharType="end"/>
    </w:r>
  </w:p>
  <w:p w14:paraId="1EAA47E5">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1E5C4A"/>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91EE1"/>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A0D10"/>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611787"/>
    <w:rsid w:val="057B3BD4"/>
    <w:rsid w:val="05810053"/>
    <w:rsid w:val="05914C99"/>
    <w:rsid w:val="05AE605F"/>
    <w:rsid w:val="05B358E1"/>
    <w:rsid w:val="05BD68A3"/>
    <w:rsid w:val="05C57529"/>
    <w:rsid w:val="06053772"/>
    <w:rsid w:val="06112117"/>
    <w:rsid w:val="06175062"/>
    <w:rsid w:val="061A04E2"/>
    <w:rsid w:val="06345E06"/>
    <w:rsid w:val="067E2D8E"/>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8F50C0F"/>
    <w:rsid w:val="08FD5BB5"/>
    <w:rsid w:val="09131BC8"/>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AB4475"/>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184011"/>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7C5C52"/>
    <w:rsid w:val="17871D41"/>
    <w:rsid w:val="17C0574B"/>
    <w:rsid w:val="17C84600"/>
    <w:rsid w:val="17E25150"/>
    <w:rsid w:val="17EF28C2"/>
    <w:rsid w:val="17FF2717"/>
    <w:rsid w:val="180561C7"/>
    <w:rsid w:val="180E64B6"/>
    <w:rsid w:val="18506C08"/>
    <w:rsid w:val="1856208B"/>
    <w:rsid w:val="186D1464"/>
    <w:rsid w:val="18747971"/>
    <w:rsid w:val="187A13C0"/>
    <w:rsid w:val="188B347D"/>
    <w:rsid w:val="189A41EE"/>
    <w:rsid w:val="18C069F5"/>
    <w:rsid w:val="18D436C7"/>
    <w:rsid w:val="18DB5F9C"/>
    <w:rsid w:val="19024052"/>
    <w:rsid w:val="191D27E4"/>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114117"/>
    <w:rsid w:val="23225693"/>
    <w:rsid w:val="23447230"/>
    <w:rsid w:val="23483CF2"/>
    <w:rsid w:val="236C5411"/>
    <w:rsid w:val="237A07B4"/>
    <w:rsid w:val="237B7324"/>
    <w:rsid w:val="23810BE7"/>
    <w:rsid w:val="23B55DAE"/>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35019"/>
    <w:rsid w:val="27696033"/>
    <w:rsid w:val="277B51EB"/>
    <w:rsid w:val="27884C7A"/>
    <w:rsid w:val="28213FE4"/>
    <w:rsid w:val="282916BA"/>
    <w:rsid w:val="282E3934"/>
    <w:rsid w:val="285F6F83"/>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367F7E"/>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9F3DD8"/>
    <w:rsid w:val="31AE767E"/>
    <w:rsid w:val="31B9528D"/>
    <w:rsid w:val="31BB525A"/>
    <w:rsid w:val="31C658D2"/>
    <w:rsid w:val="31DE4E60"/>
    <w:rsid w:val="31F2254D"/>
    <w:rsid w:val="322A2424"/>
    <w:rsid w:val="32834ADD"/>
    <w:rsid w:val="329B0E37"/>
    <w:rsid w:val="329B3BA5"/>
    <w:rsid w:val="32DB72D9"/>
    <w:rsid w:val="33165BD0"/>
    <w:rsid w:val="336F7D45"/>
    <w:rsid w:val="337705FD"/>
    <w:rsid w:val="33784CD4"/>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CF3ECE"/>
    <w:rsid w:val="3FEE0662"/>
    <w:rsid w:val="40055FCB"/>
    <w:rsid w:val="402E19C4"/>
    <w:rsid w:val="402E5098"/>
    <w:rsid w:val="404F4FBB"/>
    <w:rsid w:val="4062799B"/>
    <w:rsid w:val="407D1FF3"/>
    <w:rsid w:val="40C07226"/>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932F68"/>
    <w:rsid w:val="4BA460D0"/>
    <w:rsid w:val="4BC0573E"/>
    <w:rsid w:val="4BE57EC5"/>
    <w:rsid w:val="4C122540"/>
    <w:rsid w:val="4C173F5D"/>
    <w:rsid w:val="4C243A0B"/>
    <w:rsid w:val="4C2B6F44"/>
    <w:rsid w:val="4C373312"/>
    <w:rsid w:val="4C3E67D2"/>
    <w:rsid w:val="4C5152C1"/>
    <w:rsid w:val="4C560717"/>
    <w:rsid w:val="4C6318A7"/>
    <w:rsid w:val="4C724C4A"/>
    <w:rsid w:val="4C7D53DD"/>
    <w:rsid w:val="4C8D3001"/>
    <w:rsid w:val="4C9923D8"/>
    <w:rsid w:val="4CAA55D5"/>
    <w:rsid w:val="4CBD3CFA"/>
    <w:rsid w:val="4CCA7EF7"/>
    <w:rsid w:val="4D0E7086"/>
    <w:rsid w:val="4D311494"/>
    <w:rsid w:val="4D617082"/>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D33607"/>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7FB7A3D"/>
    <w:rsid w:val="58140590"/>
    <w:rsid w:val="582C20C4"/>
    <w:rsid w:val="583012BA"/>
    <w:rsid w:val="58394A57"/>
    <w:rsid w:val="584511C0"/>
    <w:rsid w:val="584E7C2E"/>
    <w:rsid w:val="58707408"/>
    <w:rsid w:val="5875165E"/>
    <w:rsid w:val="58940E7A"/>
    <w:rsid w:val="58C541CA"/>
    <w:rsid w:val="58E53C9F"/>
    <w:rsid w:val="58EE32A9"/>
    <w:rsid w:val="58F15FF1"/>
    <w:rsid w:val="590A1CEB"/>
    <w:rsid w:val="5914523B"/>
    <w:rsid w:val="593A7D6D"/>
    <w:rsid w:val="596110D1"/>
    <w:rsid w:val="59624336"/>
    <w:rsid w:val="599B50F5"/>
    <w:rsid w:val="59A04CCE"/>
    <w:rsid w:val="59E24004"/>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A956EE"/>
    <w:rsid w:val="70C70904"/>
    <w:rsid w:val="70D403D3"/>
    <w:rsid w:val="70F27898"/>
    <w:rsid w:val="70F522BC"/>
    <w:rsid w:val="71122318"/>
    <w:rsid w:val="711F61B4"/>
    <w:rsid w:val="713341DF"/>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58A298E"/>
    <w:rsid w:val="763042EE"/>
    <w:rsid w:val="76450DD5"/>
    <w:rsid w:val="764E10B0"/>
    <w:rsid w:val="765362F6"/>
    <w:rsid w:val="766B55F3"/>
    <w:rsid w:val="7676585E"/>
    <w:rsid w:val="76817468"/>
    <w:rsid w:val="76945895"/>
    <w:rsid w:val="769F401E"/>
    <w:rsid w:val="76A43C4B"/>
    <w:rsid w:val="76B57304"/>
    <w:rsid w:val="76C866CC"/>
    <w:rsid w:val="76CB6D8E"/>
    <w:rsid w:val="76F64856"/>
    <w:rsid w:val="76F83E8C"/>
    <w:rsid w:val="76F95218"/>
    <w:rsid w:val="77324723"/>
    <w:rsid w:val="773C5370"/>
    <w:rsid w:val="774963C9"/>
    <w:rsid w:val="7766473C"/>
    <w:rsid w:val="778B45A3"/>
    <w:rsid w:val="77980D9A"/>
    <w:rsid w:val="77A52F18"/>
    <w:rsid w:val="77AD5A29"/>
    <w:rsid w:val="77BC3A18"/>
    <w:rsid w:val="77DA1F3B"/>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CE74DC"/>
    <w:rsid w:val="7ADE14E1"/>
    <w:rsid w:val="7AE45ADC"/>
    <w:rsid w:val="7AE83E46"/>
    <w:rsid w:val="7AEF081F"/>
    <w:rsid w:val="7AF1471D"/>
    <w:rsid w:val="7B055127"/>
    <w:rsid w:val="7B197F69"/>
    <w:rsid w:val="7B230DC1"/>
    <w:rsid w:val="7B871069"/>
    <w:rsid w:val="7CAE6B7A"/>
    <w:rsid w:val="7CCE0BC2"/>
    <w:rsid w:val="7CFF15ED"/>
    <w:rsid w:val="7D460D84"/>
    <w:rsid w:val="7D5947FB"/>
    <w:rsid w:val="7D66199A"/>
    <w:rsid w:val="7D6E6B48"/>
    <w:rsid w:val="7D821FA4"/>
    <w:rsid w:val="7D827C31"/>
    <w:rsid w:val="7D8C348B"/>
    <w:rsid w:val="7DDE7A40"/>
    <w:rsid w:val="7DE9671E"/>
    <w:rsid w:val="7DEA5A15"/>
    <w:rsid w:val="7E1C4CDA"/>
    <w:rsid w:val="7E293F7B"/>
    <w:rsid w:val="7E643773"/>
    <w:rsid w:val="7E712102"/>
    <w:rsid w:val="7E976035"/>
    <w:rsid w:val="7ECA45D2"/>
    <w:rsid w:val="7ECC31F5"/>
    <w:rsid w:val="7EDD10F9"/>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 w:type="paragraph" w:customStyle="1" w:styleId="44">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3302</Words>
  <Characters>3500</Characters>
  <Lines>25</Lines>
  <Paragraphs>7</Paragraphs>
  <TotalTime>0</TotalTime>
  <ScaleCrop>false</ScaleCrop>
  <LinksUpToDate>false</LinksUpToDate>
  <CharactersWithSpaces>3703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ようきんい</cp:lastModifiedBy>
  <cp:lastPrinted>2025-10-21T04:35:00Z</cp:lastPrinted>
  <dcterms:modified xsi:type="dcterms:W3CDTF">2026-06-12T07:05:29Z</dcterms:modified>
  <dc:title>杭州东部创智天地工程招标工程量清单编制说明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49ADA6D5467D4167B0FFC1BD144D859F_13</vt:lpwstr>
  </property>
  <property fmtid="{D5CDD505-2E9C-101B-9397-08002B2CF9AE}" pid="4" name="KSOTemplateDocerSaveRecord">
    <vt:lpwstr>eyJoZGlkIjoiMjdiNzkzMjAxNmVmYjgxMzY0ZjI2ZmMxNzk2ZGUwOGQiLCJ1c2VySWQiOiI0NDcwMzQwODcifQ==</vt:lpwstr>
  </property>
</Properties>
</file>