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8F77AA">
      <w:pPr>
        <w:jc w:val="center"/>
        <w:rPr>
          <w:rFonts w:ascii="宋体" w:hAnsi="宋体" w:cs="宋体"/>
          <w:b/>
          <w:sz w:val="52"/>
          <w:szCs w:val="52"/>
        </w:rPr>
      </w:pPr>
    </w:p>
    <w:p w14:paraId="5093A51F">
      <w:pPr>
        <w:jc w:val="center"/>
        <w:rPr>
          <w:rFonts w:hint="eastAsia" w:ascii="宋体" w:hAnsi="宋体" w:eastAsia="宋体" w:cs="宋体"/>
          <w:b/>
          <w:kern w:val="2"/>
          <w:sz w:val="52"/>
          <w:szCs w:val="52"/>
          <w:lang w:val="en-US" w:eastAsia="zh-CN" w:bidi="ar-SA"/>
        </w:rPr>
      </w:pPr>
      <w:r>
        <w:rPr>
          <w:rFonts w:hint="eastAsia" w:ascii="宋体" w:hAnsi="宋体" w:cs="宋体"/>
          <w:b/>
          <w:kern w:val="2"/>
          <w:sz w:val="52"/>
          <w:szCs w:val="52"/>
          <w:lang w:val="en-US" w:eastAsia="zh-CN" w:bidi="ar-SA"/>
        </w:rPr>
        <w:t>杭州电子科技大学下沙校区14#、15#、31#宿舍装修改造工程标项四</w:t>
      </w:r>
    </w:p>
    <w:p w14:paraId="6CB63961">
      <w:pPr>
        <w:spacing w:line="480" w:lineRule="auto"/>
        <w:jc w:val="center"/>
        <w:rPr>
          <w:rFonts w:ascii="宋体" w:hAnsi="宋体" w:cs="宋体"/>
          <w:b/>
          <w:sz w:val="52"/>
          <w:szCs w:val="52"/>
        </w:rPr>
      </w:pPr>
    </w:p>
    <w:p w14:paraId="23119F30">
      <w:pPr>
        <w:spacing w:line="480" w:lineRule="auto"/>
        <w:jc w:val="center"/>
        <w:rPr>
          <w:rFonts w:ascii="宋体" w:hAnsi="宋体" w:cs="宋体"/>
          <w:b/>
          <w:sz w:val="48"/>
          <w:szCs w:val="48"/>
        </w:rPr>
      </w:pPr>
    </w:p>
    <w:p w14:paraId="2A2B804A">
      <w:pPr>
        <w:spacing w:line="480" w:lineRule="auto"/>
        <w:jc w:val="center"/>
        <w:rPr>
          <w:rFonts w:ascii="宋体" w:hAnsi="宋体" w:cs="宋体"/>
          <w:b/>
          <w:sz w:val="48"/>
          <w:szCs w:val="48"/>
        </w:rPr>
      </w:pPr>
      <w:r>
        <w:rPr>
          <w:rFonts w:hint="eastAsia" w:ascii="宋体" w:hAnsi="宋体" w:cs="宋体"/>
          <w:b/>
          <w:sz w:val="48"/>
          <w:szCs w:val="48"/>
        </w:rPr>
        <w:t>招标工程量清单</w:t>
      </w:r>
    </w:p>
    <w:p w14:paraId="03E85ECC">
      <w:pPr>
        <w:spacing w:line="480" w:lineRule="auto"/>
        <w:rPr>
          <w:rFonts w:ascii="宋体" w:hAnsi="宋体" w:cs="宋体"/>
          <w:b/>
          <w:sz w:val="28"/>
          <w:szCs w:val="28"/>
        </w:rPr>
      </w:pPr>
    </w:p>
    <w:p w14:paraId="61F53586">
      <w:pPr>
        <w:spacing w:line="480" w:lineRule="auto"/>
        <w:rPr>
          <w:rFonts w:ascii="宋体" w:hAnsi="宋体" w:cs="宋体"/>
          <w:b/>
          <w:sz w:val="28"/>
          <w:szCs w:val="28"/>
        </w:rPr>
      </w:pPr>
    </w:p>
    <w:p w14:paraId="29875BF7">
      <w:pPr>
        <w:spacing w:line="360" w:lineRule="exact"/>
        <w:rPr>
          <w:rFonts w:ascii="宋体" w:hAnsi="宋体" w:cs="宋体"/>
          <w:sz w:val="30"/>
          <w:szCs w:val="30"/>
        </w:rPr>
      </w:pPr>
    </w:p>
    <w:p w14:paraId="59090B39">
      <w:pPr>
        <w:widowControl/>
        <w:autoSpaceDE w:val="0"/>
        <w:autoSpaceDN w:val="0"/>
        <w:spacing w:before="360" w:after="360" w:line="360" w:lineRule="auto"/>
        <w:jc w:val="left"/>
        <w:textAlignment w:val="bottom"/>
        <w:rPr>
          <w:rFonts w:hint="eastAsia" w:ascii="宋体" w:hAnsi="宋体" w:eastAsia="宋体" w:cs="宋体"/>
          <w:b/>
          <w:bCs/>
          <w:color w:val="auto"/>
          <w:sz w:val="32"/>
          <w:szCs w:val="32"/>
        </w:rPr>
      </w:pPr>
      <w:r>
        <w:rPr>
          <w:rFonts w:hint="eastAsia" w:ascii="宋体" w:hAnsi="宋体" w:eastAsia="宋体" w:cs="宋体"/>
          <w:b/>
          <w:bCs/>
          <w:color w:val="auto"/>
          <w:sz w:val="32"/>
          <w:szCs w:val="32"/>
        </w:rPr>
        <w:t>招</w:t>
      </w:r>
      <w:r>
        <w:rPr>
          <w:rFonts w:hint="eastAsia" w:ascii="宋体" w:hAnsi="宋体" w:eastAsia="宋体" w:cs="宋体"/>
          <w:b/>
          <w:bCs/>
          <w:color w:val="auto"/>
          <w:sz w:val="32"/>
          <w:szCs w:val="32"/>
          <w:lang w:val="en-US" w:eastAsia="zh-CN"/>
        </w:rPr>
        <w:t xml:space="preserve"> </w:t>
      </w:r>
      <w:r>
        <w:rPr>
          <w:rFonts w:hint="eastAsia" w:ascii="宋体" w:hAnsi="宋体" w:eastAsia="宋体" w:cs="宋体"/>
          <w:b/>
          <w:bCs/>
          <w:color w:val="auto"/>
          <w:sz w:val="32"/>
          <w:szCs w:val="32"/>
        </w:rPr>
        <w:t>标</w:t>
      </w:r>
      <w:r>
        <w:rPr>
          <w:rFonts w:hint="eastAsia" w:ascii="宋体" w:hAnsi="宋体" w:eastAsia="宋体" w:cs="宋体"/>
          <w:b/>
          <w:bCs/>
          <w:color w:val="auto"/>
          <w:sz w:val="32"/>
          <w:szCs w:val="32"/>
          <w:lang w:val="en-US" w:eastAsia="zh-CN"/>
        </w:rPr>
        <w:t xml:space="preserve"> </w:t>
      </w:r>
      <w:r>
        <w:rPr>
          <w:rFonts w:hint="eastAsia" w:ascii="宋体" w:hAnsi="宋体" w:eastAsia="宋体" w:cs="宋体"/>
          <w:b/>
          <w:bCs/>
          <w:color w:val="auto"/>
          <w:sz w:val="32"/>
          <w:szCs w:val="32"/>
        </w:rPr>
        <w:t>人：</w:t>
      </w:r>
      <w:r>
        <w:rPr>
          <w:rFonts w:hint="eastAsia" w:ascii="宋体" w:hAnsi="宋体" w:eastAsia="宋体" w:cs="宋体"/>
          <w:b/>
          <w:bCs/>
          <w:color w:val="auto"/>
          <w:sz w:val="32"/>
          <w:szCs w:val="32"/>
          <w:u w:val="single"/>
        </w:rPr>
        <w:t xml:space="preserve">                                  </w:t>
      </w:r>
      <w:r>
        <w:rPr>
          <w:rFonts w:hint="eastAsia" w:ascii="宋体" w:hAnsi="宋体" w:eastAsia="宋体" w:cs="宋体"/>
          <w:b/>
          <w:bCs/>
          <w:color w:val="auto"/>
          <w:sz w:val="24"/>
        </w:rPr>
        <w:t>（单位盖章）</w:t>
      </w:r>
    </w:p>
    <w:p w14:paraId="67108833">
      <w:pPr>
        <w:widowControl/>
        <w:autoSpaceDE w:val="0"/>
        <w:autoSpaceDN w:val="0"/>
        <w:spacing w:before="360" w:after="360" w:line="360" w:lineRule="auto"/>
        <w:jc w:val="left"/>
        <w:textAlignment w:val="bottom"/>
        <w:rPr>
          <w:rFonts w:hint="eastAsia" w:ascii="宋体" w:hAnsi="宋体" w:eastAsia="宋体" w:cs="宋体"/>
          <w:b/>
          <w:bCs/>
          <w:color w:val="auto"/>
          <w:sz w:val="32"/>
          <w:szCs w:val="32"/>
          <w:u w:val="single"/>
        </w:rPr>
      </w:pPr>
      <w:r>
        <w:rPr>
          <w:rFonts w:hint="eastAsia" w:ascii="宋体" w:hAnsi="宋体" w:eastAsia="宋体" w:cs="宋体"/>
          <w:b/>
          <w:bCs/>
          <w:color w:val="auto"/>
          <w:sz w:val="32"/>
          <w:szCs w:val="32"/>
        </w:rPr>
        <w:t>法定代表人：</w:t>
      </w:r>
      <w:r>
        <w:rPr>
          <w:rFonts w:hint="eastAsia" w:ascii="宋体" w:hAnsi="宋体" w:eastAsia="宋体" w:cs="宋体"/>
          <w:b/>
          <w:bCs/>
          <w:color w:val="auto"/>
          <w:sz w:val="32"/>
          <w:szCs w:val="32"/>
          <w:u w:val="single"/>
        </w:rPr>
        <w:t xml:space="preserve">                              </w:t>
      </w:r>
      <w:r>
        <w:rPr>
          <w:rFonts w:hint="eastAsia" w:ascii="宋体" w:hAnsi="宋体" w:eastAsia="宋体" w:cs="宋体"/>
          <w:b/>
          <w:bCs/>
          <w:color w:val="auto"/>
          <w:sz w:val="24"/>
        </w:rPr>
        <w:t>（签字或盖章）</w:t>
      </w:r>
    </w:p>
    <w:p w14:paraId="1F0C8510">
      <w:pPr>
        <w:widowControl/>
        <w:autoSpaceDE w:val="0"/>
        <w:autoSpaceDN w:val="0"/>
        <w:spacing w:before="360" w:after="360" w:line="360" w:lineRule="auto"/>
        <w:jc w:val="left"/>
        <w:textAlignment w:val="bottom"/>
        <w:rPr>
          <w:rFonts w:hint="eastAsia" w:ascii="宋体" w:hAnsi="宋体" w:eastAsia="宋体" w:cs="宋体"/>
          <w:b/>
          <w:bCs/>
          <w:color w:val="auto"/>
          <w:sz w:val="32"/>
          <w:szCs w:val="32"/>
        </w:rPr>
      </w:pPr>
      <w:r>
        <w:rPr>
          <w:rFonts w:hint="eastAsia" w:ascii="宋体" w:hAnsi="宋体" w:eastAsia="宋体" w:cs="宋体"/>
          <w:b/>
          <w:bCs/>
          <w:color w:val="auto"/>
          <w:sz w:val="32"/>
          <w:szCs w:val="32"/>
        </w:rPr>
        <w:t>中介机构：</w:t>
      </w:r>
      <w:r>
        <w:rPr>
          <w:rFonts w:hint="eastAsia" w:ascii="宋体" w:hAnsi="宋体" w:eastAsia="宋体" w:cs="宋体"/>
          <w:b/>
          <w:bCs/>
          <w:color w:val="auto"/>
          <w:sz w:val="32"/>
          <w:szCs w:val="32"/>
          <w:u w:val="single"/>
        </w:rPr>
        <w:t xml:space="preserve">                      </w:t>
      </w:r>
      <w:r>
        <w:rPr>
          <w:rFonts w:hint="eastAsia" w:ascii="宋体" w:hAnsi="宋体" w:eastAsia="宋体" w:cs="宋体"/>
          <w:b/>
          <w:bCs/>
          <w:color w:val="auto"/>
          <w:sz w:val="32"/>
          <w:szCs w:val="32"/>
          <w:u w:val="single"/>
          <w:lang w:val="en-US" w:eastAsia="zh-CN"/>
        </w:rPr>
        <w:t xml:space="preserve">     </w:t>
      </w:r>
      <w:r>
        <w:rPr>
          <w:rFonts w:hint="eastAsia" w:ascii="宋体" w:hAnsi="宋体" w:eastAsia="宋体" w:cs="宋体"/>
          <w:b/>
          <w:bCs/>
          <w:color w:val="auto"/>
          <w:sz w:val="32"/>
          <w:szCs w:val="32"/>
          <w:u w:val="single"/>
        </w:rPr>
        <w:t xml:space="preserve">       </w:t>
      </w:r>
      <w:r>
        <w:rPr>
          <w:rFonts w:hint="eastAsia" w:ascii="宋体" w:hAnsi="宋体" w:eastAsia="宋体" w:cs="宋体"/>
          <w:b/>
          <w:bCs/>
          <w:color w:val="auto"/>
          <w:sz w:val="24"/>
        </w:rPr>
        <w:t>（单位盖章）</w:t>
      </w:r>
    </w:p>
    <w:p w14:paraId="6C4105B7">
      <w:pPr>
        <w:widowControl/>
        <w:autoSpaceDE w:val="0"/>
        <w:autoSpaceDN w:val="0"/>
        <w:spacing w:before="360" w:after="360" w:line="360" w:lineRule="auto"/>
        <w:jc w:val="left"/>
        <w:textAlignment w:val="bottom"/>
        <w:rPr>
          <w:rFonts w:hint="eastAsia" w:ascii="宋体" w:hAnsi="宋体" w:eastAsia="宋体" w:cs="宋体"/>
          <w:b/>
          <w:bCs/>
          <w:color w:val="auto"/>
          <w:sz w:val="32"/>
          <w:szCs w:val="32"/>
          <w:u w:val="single"/>
        </w:rPr>
      </w:pPr>
      <w:r>
        <w:rPr>
          <w:rFonts w:hint="eastAsia" w:ascii="宋体" w:hAnsi="宋体" w:eastAsia="宋体" w:cs="宋体"/>
          <w:b/>
          <w:bCs/>
          <w:color w:val="auto"/>
          <w:sz w:val="32"/>
          <w:szCs w:val="32"/>
        </w:rPr>
        <w:t>法定代表人：</w:t>
      </w:r>
      <w:r>
        <w:rPr>
          <w:rFonts w:hint="eastAsia" w:ascii="宋体" w:hAnsi="宋体" w:eastAsia="宋体" w:cs="宋体"/>
          <w:b/>
          <w:bCs/>
          <w:color w:val="auto"/>
          <w:sz w:val="32"/>
          <w:szCs w:val="32"/>
          <w:u w:val="single"/>
        </w:rPr>
        <w:t xml:space="preserve">                               </w:t>
      </w:r>
      <w:r>
        <w:rPr>
          <w:rFonts w:hint="eastAsia" w:ascii="宋体" w:hAnsi="宋体" w:eastAsia="宋体" w:cs="宋体"/>
          <w:b/>
          <w:bCs/>
          <w:color w:val="auto"/>
          <w:sz w:val="24"/>
        </w:rPr>
        <w:t>（签字或盖章）</w:t>
      </w:r>
    </w:p>
    <w:p w14:paraId="5EEC5020">
      <w:pPr>
        <w:widowControl/>
        <w:autoSpaceDE w:val="0"/>
        <w:autoSpaceDN w:val="0"/>
        <w:spacing w:before="360" w:after="360" w:line="360" w:lineRule="auto"/>
        <w:jc w:val="left"/>
        <w:textAlignment w:val="bottom"/>
        <w:rPr>
          <w:rFonts w:hint="eastAsia" w:ascii="宋体" w:hAnsi="宋体" w:eastAsia="宋体" w:cs="宋体"/>
          <w:b/>
          <w:bCs/>
          <w:color w:val="auto"/>
          <w:sz w:val="24"/>
        </w:rPr>
      </w:pPr>
      <w:r>
        <w:rPr>
          <w:rFonts w:hint="eastAsia" w:ascii="宋体" w:hAnsi="宋体" w:eastAsia="宋体" w:cs="宋体"/>
          <w:b/>
          <w:bCs/>
          <w:color w:val="auto"/>
          <w:sz w:val="32"/>
          <w:szCs w:val="32"/>
        </w:rPr>
        <w:t>编制人：</w:t>
      </w:r>
      <w:r>
        <w:rPr>
          <w:rFonts w:hint="eastAsia" w:ascii="宋体" w:hAnsi="宋体" w:eastAsia="宋体" w:cs="宋体"/>
          <w:b/>
          <w:bCs/>
          <w:color w:val="auto"/>
          <w:sz w:val="32"/>
          <w:szCs w:val="32"/>
          <w:u w:val="single"/>
        </w:rPr>
        <w:t xml:space="preserve">              </w:t>
      </w:r>
      <w:r>
        <w:rPr>
          <w:rFonts w:hint="eastAsia" w:ascii="宋体" w:hAnsi="宋体" w:eastAsia="宋体" w:cs="宋体"/>
          <w:b/>
          <w:bCs/>
          <w:color w:val="auto"/>
          <w:sz w:val="32"/>
          <w:szCs w:val="32"/>
          <w:u w:val="single"/>
          <w:lang w:val="en-US" w:eastAsia="zh-CN"/>
        </w:rPr>
        <w:t xml:space="preserve"> </w:t>
      </w:r>
      <w:r>
        <w:rPr>
          <w:rFonts w:hint="eastAsia" w:ascii="宋体" w:hAnsi="宋体" w:eastAsia="宋体" w:cs="宋体"/>
          <w:b/>
          <w:bCs/>
          <w:color w:val="auto"/>
          <w:sz w:val="32"/>
          <w:szCs w:val="32"/>
          <w:u w:val="single"/>
        </w:rPr>
        <w:t xml:space="preserve">           </w:t>
      </w:r>
      <w:r>
        <w:rPr>
          <w:rFonts w:hint="eastAsia" w:ascii="宋体" w:hAnsi="宋体" w:eastAsia="宋体" w:cs="宋体"/>
          <w:b/>
          <w:bCs/>
          <w:color w:val="auto"/>
          <w:sz w:val="24"/>
        </w:rPr>
        <w:t>（造价工程师签字盖专用章）</w:t>
      </w:r>
    </w:p>
    <w:p w14:paraId="663E9585">
      <w:pPr>
        <w:widowControl/>
        <w:autoSpaceDE w:val="0"/>
        <w:autoSpaceDN w:val="0"/>
        <w:spacing w:before="360" w:after="360" w:line="360" w:lineRule="auto"/>
        <w:jc w:val="left"/>
        <w:textAlignment w:val="bottom"/>
        <w:rPr>
          <w:rFonts w:hint="eastAsia" w:ascii="宋体" w:hAnsi="宋体" w:eastAsia="宋体" w:cs="宋体"/>
          <w:b/>
          <w:bCs/>
          <w:color w:val="auto"/>
          <w:sz w:val="32"/>
          <w:szCs w:val="32"/>
        </w:rPr>
      </w:pPr>
      <w:r>
        <w:rPr>
          <w:rFonts w:hint="eastAsia" w:ascii="宋体" w:hAnsi="宋体" w:eastAsia="宋体" w:cs="宋体"/>
          <w:b/>
          <w:bCs/>
          <w:color w:val="auto"/>
          <w:sz w:val="32"/>
          <w:szCs w:val="32"/>
        </w:rPr>
        <w:t>复核人：</w:t>
      </w:r>
      <w:r>
        <w:rPr>
          <w:rFonts w:hint="eastAsia" w:ascii="宋体" w:hAnsi="宋体" w:eastAsia="宋体" w:cs="宋体"/>
          <w:b/>
          <w:bCs/>
          <w:color w:val="auto"/>
          <w:sz w:val="32"/>
          <w:szCs w:val="32"/>
          <w:u w:val="single"/>
        </w:rPr>
        <w:t xml:space="preserve">       </w:t>
      </w:r>
      <w:r>
        <w:rPr>
          <w:rFonts w:hint="eastAsia" w:ascii="宋体" w:hAnsi="宋体" w:eastAsia="宋体" w:cs="宋体"/>
          <w:b/>
          <w:bCs/>
          <w:color w:val="auto"/>
          <w:sz w:val="32"/>
          <w:szCs w:val="32"/>
          <w:u w:val="single"/>
          <w:lang w:val="en-US" w:eastAsia="zh-CN"/>
        </w:rPr>
        <w:t xml:space="preserve"> </w:t>
      </w:r>
      <w:r>
        <w:rPr>
          <w:rFonts w:hint="eastAsia" w:ascii="宋体" w:hAnsi="宋体" w:eastAsia="宋体" w:cs="宋体"/>
          <w:b/>
          <w:bCs/>
          <w:color w:val="auto"/>
          <w:sz w:val="32"/>
          <w:szCs w:val="32"/>
          <w:u w:val="single"/>
        </w:rPr>
        <w:t xml:space="preserve">                  </w:t>
      </w:r>
      <w:r>
        <w:rPr>
          <w:rFonts w:hint="eastAsia" w:ascii="宋体" w:hAnsi="宋体" w:eastAsia="宋体" w:cs="宋体"/>
          <w:b/>
          <w:bCs/>
          <w:color w:val="auto"/>
          <w:sz w:val="24"/>
        </w:rPr>
        <w:t>（造价工程师签字盖专用章）</w:t>
      </w:r>
    </w:p>
    <w:p w14:paraId="506A76F2">
      <w:pPr>
        <w:widowControl/>
        <w:autoSpaceDE w:val="0"/>
        <w:autoSpaceDN w:val="0"/>
        <w:spacing w:before="360" w:after="360" w:line="360" w:lineRule="auto"/>
        <w:jc w:val="left"/>
        <w:textAlignment w:val="bottom"/>
        <w:rPr>
          <w:rFonts w:hint="eastAsia" w:ascii="宋体" w:hAnsi="宋体" w:eastAsia="宋体" w:cs="宋体"/>
          <w:b/>
          <w:bCs/>
          <w:color w:val="auto"/>
          <w:sz w:val="32"/>
          <w:szCs w:val="32"/>
          <w:u w:val="single"/>
        </w:rPr>
      </w:pPr>
      <w:r>
        <w:rPr>
          <w:rFonts w:hint="eastAsia" w:ascii="宋体" w:hAnsi="宋体" w:eastAsia="宋体" w:cs="宋体"/>
          <w:b/>
          <w:bCs/>
          <w:color w:val="auto"/>
          <w:sz w:val="32"/>
          <w:szCs w:val="32"/>
        </w:rPr>
        <w:t>编制时间：</w:t>
      </w:r>
      <w:r>
        <w:rPr>
          <w:rFonts w:hint="eastAsia" w:ascii="宋体" w:hAnsi="宋体" w:cs="宋体"/>
          <w:b/>
          <w:bCs/>
          <w:color w:val="auto"/>
          <w:sz w:val="32"/>
          <w:szCs w:val="32"/>
          <w:u w:val="single"/>
          <w:lang w:val="en-US" w:eastAsia="zh-CN"/>
        </w:rPr>
        <w:t>2026</w:t>
      </w:r>
      <w:r>
        <w:rPr>
          <w:rFonts w:hint="eastAsia" w:ascii="宋体" w:hAnsi="宋体" w:eastAsia="宋体" w:cs="宋体"/>
          <w:b/>
          <w:bCs/>
          <w:color w:val="auto"/>
          <w:sz w:val="32"/>
          <w:szCs w:val="32"/>
          <w:u w:val="single"/>
        </w:rPr>
        <w:t>年</w:t>
      </w:r>
      <w:r>
        <w:rPr>
          <w:rFonts w:hint="eastAsia" w:ascii="宋体" w:hAnsi="宋体" w:eastAsia="宋体" w:cs="宋体"/>
          <w:b/>
          <w:bCs/>
          <w:color w:val="auto"/>
          <w:sz w:val="32"/>
          <w:szCs w:val="32"/>
          <w:u w:val="single"/>
          <w:lang w:val="en-US" w:eastAsia="zh-CN"/>
        </w:rPr>
        <w:t xml:space="preserve">  </w:t>
      </w:r>
      <w:r>
        <w:rPr>
          <w:rFonts w:hint="eastAsia" w:ascii="宋体" w:hAnsi="宋体" w:eastAsia="宋体" w:cs="宋体"/>
          <w:b/>
          <w:bCs/>
          <w:color w:val="auto"/>
          <w:sz w:val="32"/>
          <w:szCs w:val="32"/>
          <w:u w:val="single"/>
        </w:rPr>
        <w:t>月  日</w:t>
      </w:r>
      <w:r>
        <w:rPr>
          <w:rFonts w:hint="eastAsia" w:ascii="宋体" w:hAnsi="宋体" w:eastAsia="宋体" w:cs="宋体"/>
          <w:b/>
          <w:bCs/>
          <w:color w:val="auto"/>
          <w:sz w:val="32"/>
          <w:szCs w:val="32"/>
        </w:rPr>
        <w:t xml:space="preserve">      复核时间：</w:t>
      </w:r>
      <w:r>
        <w:rPr>
          <w:rFonts w:hint="eastAsia" w:ascii="宋体" w:hAnsi="宋体" w:cs="宋体"/>
          <w:b/>
          <w:bCs/>
          <w:color w:val="auto"/>
          <w:sz w:val="32"/>
          <w:szCs w:val="32"/>
          <w:u w:val="single"/>
          <w:lang w:val="en-US" w:eastAsia="zh-CN"/>
        </w:rPr>
        <w:t>2026</w:t>
      </w:r>
      <w:r>
        <w:rPr>
          <w:rFonts w:hint="eastAsia" w:ascii="宋体" w:hAnsi="宋体" w:eastAsia="宋体" w:cs="宋体"/>
          <w:b/>
          <w:bCs/>
          <w:color w:val="auto"/>
          <w:sz w:val="32"/>
          <w:szCs w:val="32"/>
          <w:u w:val="single"/>
        </w:rPr>
        <w:t>年</w:t>
      </w:r>
      <w:r>
        <w:rPr>
          <w:rFonts w:hint="eastAsia" w:ascii="宋体" w:hAnsi="宋体" w:eastAsia="宋体" w:cs="宋体"/>
          <w:b/>
          <w:bCs/>
          <w:color w:val="auto"/>
          <w:sz w:val="32"/>
          <w:szCs w:val="32"/>
          <w:u w:val="single"/>
          <w:lang w:val="en-US" w:eastAsia="zh-CN"/>
        </w:rPr>
        <w:t xml:space="preserve">  </w:t>
      </w:r>
      <w:r>
        <w:rPr>
          <w:rFonts w:hint="eastAsia" w:ascii="宋体" w:hAnsi="宋体" w:eastAsia="宋体" w:cs="宋体"/>
          <w:b/>
          <w:bCs/>
          <w:color w:val="auto"/>
          <w:sz w:val="32"/>
          <w:szCs w:val="32"/>
          <w:u w:val="single"/>
        </w:rPr>
        <w:t xml:space="preserve">月 </w:t>
      </w:r>
      <w:r>
        <w:rPr>
          <w:rFonts w:hint="eastAsia" w:ascii="宋体" w:hAnsi="宋体" w:eastAsia="宋体" w:cs="宋体"/>
          <w:b/>
          <w:bCs/>
          <w:color w:val="auto"/>
          <w:sz w:val="32"/>
          <w:szCs w:val="32"/>
          <w:u w:val="single"/>
          <w:lang w:val="en-US" w:eastAsia="zh-CN"/>
        </w:rPr>
        <w:t xml:space="preserve"> </w:t>
      </w:r>
      <w:r>
        <w:rPr>
          <w:rFonts w:hint="eastAsia" w:ascii="宋体" w:hAnsi="宋体" w:eastAsia="宋体" w:cs="宋体"/>
          <w:b/>
          <w:bCs/>
          <w:color w:val="auto"/>
          <w:sz w:val="32"/>
          <w:szCs w:val="32"/>
          <w:u w:val="single"/>
        </w:rPr>
        <w:t>日</w:t>
      </w:r>
    </w:p>
    <w:p w14:paraId="57F6603C">
      <w:pPr>
        <w:widowControl/>
        <w:autoSpaceDE w:val="0"/>
        <w:autoSpaceDN w:val="0"/>
        <w:spacing w:before="360" w:after="360" w:line="360" w:lineRule="auto"/>
        <w:jc w:val="left"/>
        <w:textAlignment w:val="bottom"/>
        <w:rPr>
          <w:rFonts w:ascii="宋体" w:hAnsi="宋体" w:cs="宋体"/>
          <w:b/>
          <w:bCs/>
          <w:sz w:val="32"/>
          <w:szCs w:val="32"/>
          <w:u w:val="single"/>
        </w:rPr>
      </w:pPr>
    </w:p>
    <w:tbl>
      <w:tblPr>
        <w:tblStyle w:val="1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40"/>
      </w:tblGrid>
      <w:tr w14:paraId="5F1EC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01" w:hRule="atLeast"/>
        </w:trPr>
        <w:tc>
          <w:tcPr>
            <w:tcW w:w="9240" w:type="dxa"/>
            <w:shd w:val="clear" w:color="auto" w:fill="auto"/>
            <w:noWrap/>
          </w:tcPr>
          <w:p w14:paraId="6EBB2CE5">
            <w:pPr>
              <w:spacing w:line="360" w:lineRule="auto"/>
              <w:ind w:firstLine="422" w:firstLineChars="200"/>
              <w:rPr>
                <w:rFonts w:ascii="宋体" w:hAnsi="宋体" w:cs="宋体"/>
                <w:b/>
                <w:bCs/>
                <w:szCs w:val="21"/>
              </w:rPr>
            </w:pPr>
            <w:r>
              <w:rPr>
                <w:rFonts w:hint="eastAsia" w:ascii="宋体" w:hAnsi="宋体" w:cs="宋体"/>
                <w:b/>
                <w:bCs/>
                <w:szCs w:val="21"/>
              </w:rPr>
              <w:t>一、工程概况</w:t>
            </w:r>
          </w:p>
          <w:p w14:paraId="4E3A5575">
            <w:pPr>
              <w:pStyle w:val="4"/>
              <w:spacing w:line="360" w:lineRule="auto"/>
              <w:rPr>
                <w:rFonts w:ascii="宋体" w:hAnsi="宋体" w:cs="宋体"/>
                <w:szCs w:val="21"/>
              </w:rPr>
            </w:pPr>
            <w:r>
              <w:rPr>
                <w:rFonts w:hint="eastAsia" w:ascii="宋体" w:hAnsi="宋体" w:cs="宋体"/>
                <w:szCs w:val="21"/>
              </w:rPr>
              <w:t>1、工程名称：</w:t>
            </w:r>
            <w:r>
              <w:rPr>
                <w:rStyle w:val="20"/>
                <w:rFonts w:hint="eastAsia" w:ascii="宋体" w:hAnsi="宋体" w:cs="宋体"/>
                <w:kern w:val="0"/>
                <w:szCs w:val="21"/>
                <w:lang w:eastAsia="zh-CN"/>
              </w:rPr>
              <w:t>杭州电子科技大学下沙校区14#、15#、31#宿舍装修改造工程标项四</w:t>
            </w:r>
            <w:r>
              <w:rPr>
                <w:rFonts w:hint="eastAsia" w:ascii="宋体" w:hAnsi="宋体" w:cs="宋体"/>
                <w:szCs w:val="21"/>
              </w:rPr>
              <w:t>。</w:t>
            </w:r>
          </w:p>
          <w:p w14:paraId="7BD1C2C5">
            <w:pPr>
              <w:pStyle w:val="15"/>
              <w:spacing w:before="0" w:beforeAutospacing="0" w:after="0" w:afterAutospacing="0" w:line="360" w:lineRule="auto"/>
              <w:ind w:firstLine="420" w:firstLineChars="200"/>
              <w:rPr>
                <w:kern w:val="2"/>
                <w:sz w:val="21"/>
                <w:szCs w:val="21"/>
              </w:rPr>
            </w:pPr>
            <w:r>
              <w:rPr>
                <w:rFonts w:hint="eastAsia"/>
                <w:kern w:val="2"/>
                <w:sz w:val="21"/>
                <w:szCs w:val="21"/>
              </w:rPr>
              <w:t>2、工程地点：</w:t>
            </w:r>
            <w:r>
              <w:rPr>
                <w:rFonts w:hint="eastAsia"/>
                <w:bCs/>
                <w:sz w:val="21"/>
                <w:szCs w:val="21"/>
              </w:rPr>
              <w:t>浙江省杭州市</w:t>
            </w:r>
            <w:r>
              <w:rPr>
                <w:rFonts w:hint="eastAsia"/>
                <w:kern w:val="2"/>
                <w:sz w:val="21"/>
                <w:szCs w:val="21"/>
              </w:rPr>
              <w:t>。</w:t>
            </w:r>
          </w:p>
          <w:p w14:paraId="7ED73F76">
            <w:pPr>
              <w:spacing w:line="360" w:lineRule="auto"/>
              <w:ind w:firstLine="422" w:firstLineChars="200"/>
              <w:rPr>
                <w:rFonts w:ascii="宋体" w:hAnsi="宋体" w:cs="宋体"/>
                <w:b/>
                <w:bCs/>
                <w:szCs w:val="21"/>
              </w:rPr>
            </w:pPr>
            <w:r>
              <w:rPr>
                <w:rFonts w:hint="eastAsia" w:ascii="宋体" w:hAnsi="宋体" w:cs="宋体"/>
                <w:b/>
                <w:bCs/>
                <w:szCs w:val="21"/>
              </w:rPr>
              <w:t>二、工程招标范围</w:t>
            </w:r>
          </w:p>
          <w:p w14:paraId="076C8C16">
            <w:pPr>
              <w:spacing w:line="360" w:lineRule="auto"/>
              <w:ind w:firstLine="420" w:firstLineChars="200"/>
              <w:jc w:val="left"/>
              <w:rPr>
                <w:rFonts w:ascii="宋体" w:hAnsi="宋体" w:cs="宋体"/>
                <w:szCs w:val="21"/>
              </w:rPr>
            </w:pPr>
            <w:r>
              <w:rPr>
                <w:rFonts w:hint="eastAsia" w:ascii="宋体" w:hAnsi="宋体" w:cs="宋体"/>
                <w:szCs w:val="21"/>
              </w:rPr>
              <w:t>本次招标范围主要包括但不限于：</w:t>
            </w:r>
            <w:r>
              <w:rPr>
                <w:rFonts w:hint="eastAsia"/>
                <w:szCs w:val="22"/>
              </w:rPr>
              <w:t>寝室、楼梯间、走廊等墙面装修改造，按实际破损情况局部修补基层；宿舍内插座移位，阳台栏杆改造，卫生间内门窗、洗漱台、洗脸盆等装修改造</w:t>
            </w:r>
            <w:r>
              <w:rPr>
                <w:rFonts w:hint="eastAsia" w:ascii="宋体" w:hAnsi="宋体" w:cs="宋体"/>
                <w:szCs w:val="21"/>
              </w:rPr>
              <w:t>等；具体内容详见招标文件及招标工程量清单。</w:t>
            </w:r>
          </w:p>
          <w:p w14:paraId="5B245107">
            <w:pPr>
              <w:spacing w:line="360" w:lineRule="auto"/>
              <w:ind w:firstLine="422" w:firstLineChars="200"/>
              <w:rPr>
                <w:rFonts w:ascii="宋体" w:hAnsi="宋体" w:cs="宋体"/>
                <w:b/>
                <w:bCs/>
                <w:szCs w:val="21"/>
              </w:rPr>
            </w:pPr>
            <w:r>
              <w:rPr>
                <w:rFonts w:hint="eastAsia" w:ascii="宋体" w:hAnsi="宋体" w:cs="宋体"/>
                <w:b/>
                <w:bCs/>
                <w:szCs w:val="21"/>
              </w:rPr>
              <w:t>三、招标工程量清单编制依据</w:t>
            </w:r>
          </w:p>
          <w:p w14:paraId="64DCA01D">
            <w:pPr>
              <w:spacing w:line="360" w:lineRule="auto"/>
              <w:ind w:firstLine="420" w:firstLineChars="200"/>
              <w:rPr>
                <w:rFonts w:ascii="宋体" w:hAnsi="宋体" w:cs="宋体"/>
                <w:szCs w:val="21"/>
              </w:rPr>
            </w:pPr>
            <w:r>
              <w:rPr>
                <w:rFonts w:hint="eastAsia" w:ascii="宋体" w:hAnsi="宋体" w:cs="宋体"/>
                <w:szCs w:val="21"/>
              </w:rPr>
              <w:t>1、根据建设单位提供的“</w:t>
            </w:r>
            <w:r>
              <w:rPr>
                <w:rStyle w:val="20"/>
                <w:rFonts w:hint="eastAsia" w:ascii="宋体" w:hAnsi="宋体" w:cs="宋体"/>
                <w:kern w:val="0"/>
                <w:szCs w:val="21"/>
                <w:lang w:eastAsia="zh-CN"/>
              </w:rPr>
              <w:t>杭州电子科技大学下沙校区14#、15#、31#宿舍装修改造工程标项四</w:t>
            </w:r>
            <w:r>
              <w:rPr>
                <w:rFonts w:hint="eastAsia" w:ascii="宋体" w:hAnsi="宋体" w:cs="宋体"/>
                <w:szCs w:val="21"/>
              </w:rPr>
              <w:t>”相关资料明确的范围。</w:t>
            </w:r>
          </w:p>
          <w:p w14:paraId="62E78AF2">
            <w:pPr>
              <w:spacing w:line="360" w:lineRule="auto"/>
              <w:ind w:firstLine="420" w:firstLineChars="200"/>
              <w:rPr>
                <w:rFonts w:ascii="宋体" w:hAnsi="宋体" w:cs="宋体"/>
                <w:szCs w:val="21"/>
              </w:rPr>
            </w:pPr>
            <w:r>
              <w:rPr>
                <w:rFonts w:hint="eastAsia" w:ascii="宋体" w:hAnsi="宋体" w:cs="宋体"/>
                <w:szCs w:val="21"/>
              </w:rPr>
              <w:t>2、《建设工程工程量清单计价规范》（GB50500—2013）。</w:t>
            </w:r>
          </w:p>
          <w:p w14:paraId="0F647206">
            <w:pPr>
              <w:spacing w:line="360" w:lineRule="auto"/>
              <w:ind w:firstLine="420" w:firstLineChars="200"/>
              <w:rPr>
                <w:rFonts w:ascii="宋体" w:hAnsi="宋体" w:cs="宋体"/>
                <w:szCs w:val="21"/>
              </w:rPr>
            </w:pPr>
            <w:r>
              <w:rPr>
                <w:rFonts w:hint="eastAsia" w:ascii="宋体" w:hAnsi="宋体" w:cs="宋体"/>
                <w:szCs w:val="21"/>
              </w:rPr>
              <w:t>3、《房屋建筑与装饰工程工程量计算规范》（GB50854—2013）。</w:t>
            </w:r>
          </w:p>
          <w:p w14:paraId="6C5BA7C1">
            <w:pPr>
              <w:spacing w:line="360" w:lineRule="auto"/>
              <w:ind w:firstLine="420" w:firstLineChars="200"/>
              <w:rPr>
                <w:rFonts w:ascii="宋体" w:hAnsi="宋体" w:cs="宋体"/>
                <w:szCs w:val="21"/>
              </w:rPr>
            </w:pPr>
            <w:r>
              <w:rPr>
                <w:rFonts w:hint="eastAsia" w:ascii="宋体" w:hAnsi="宋体" w:cs="宋体"/>
                <w:szCs w:val="21"/>
              </w:rPr>
              <w:t>4、《通用安装工程工程量计算规范》（GB50856—2013）。</w:t>
            </w:r>
          </w:p>
          <w:p w14:paraId="4F243162">
            <w:pPr>
              <w:spacing w:line="360" w:lineRule="auto"/>
              <w:ind w:firstLine="420" w:firstLineChars="200"/>
              <w:rPr>
                <w:rFonts w:ascii="宋体" w:hAnsi="宋体" w:cs="宋体"/>
                <w:szCs w:val="21"/>
              </w:rPr>
            </w:pPr>
            <w:r>
              <w:rPr>
                <w:rFonts w:hint="eastAsia" w:ascii="宋体" w:hAnsi="宋体" w:cs="宋体"/>
                <w:szCs w:val="21"/>
              </w:rPr>
              <w:t>5、</w:t>
            </w:r>
            <w:bookmarkStart w:id="0" w:name="OLE_LINK2"/>
            <w:r>
              <w:rPr>
                <w:rFonts w:hint="eastAsia" w:ascii="宋体" w:hAnsi="宋体" w:cs="宋体"/>
                <w:szCs w:val="21"/>
              </w:rPr>
              <w:t>《浙江省建设工程计价规则》（2018版）</w:t>
            </w:r>
            <w:bookmarkEnd w:id="0"/>
            <w:r>
              <w:rPr>
                <w:rFonts w:hint="eastAsia" w:ascii="宋体" w:hAnsi="宋体" w:cs="宋体"/>
                <w:szCs w:val="21"/>
              </w:rPr>
              <w:t>。</w:t>
            </w:r>
          </w:p>
          <w:p w14:paraId="27F32772">
            <w:pPr>
              <w:spacing w:line="360" w:lineRule="auto"/>
              <w:ind w:firstLine="420" w:firstLineChars="200"/>
              <w:rPr>
                <w:rFonts w:ascii="宋体" w:hAnsi="宋体" w:cs="宋体"/>
                <w:szCs w:val="21"/>
              </w:rPr>
            </w:pPr>
            <w:r>
              <w:rPr>
                <w:rFonts w:hint="eastAsia" w:ascii="宋体" w:hAnsi="宋体" w:cs="宋体"/>
                <w:szCs w:val="21"/>
              </w:rPr>
              <w:t>6、《杭州市建设工程工程量清单计价实施细则》（2018年修订）。</w:t>
            </w:r>
          </w:p>
          <w:p w14:paraId="2CA45F41">
            <w:pPr>
              <w:spacing w:line="360" w:lineRule="auto"/>
              <w:ind w:firstLine="420" w:firstLineChars="200"/>
              <w:rPr>
                <w:rFonts w:ascii="宋体" w:hAnsi="宋体" w:cs="宋体"/>
                <w:szCs w:val="21"/>
              </w:rPr>
            </w:pPr>
            <w:r>
              <w:rPr>
                <w:rFonts w:hint="eastAsia" w:ascii="宋体" w:hAnsi="宋体" w:cs="宋体"/>
                <w:szCs w:val="21"/>
              </w:rPr>
              <w:t>7、《关于颁发浙江省建设工程计价依据（2018版）的通知》（浙建建﹝2018﹞61号）。</w:t>
            </w:r>
          </w:p>
          <w:p w14:paraId="769EB36A">
            <w:pPr>
              <w:spacing w:line="360" w:lineRule="auto"/>
              <w:ind w:firstLine="420" w:firstLineChars="200"/>
              <w:rPr>
                <w:rFonts w:ascii="宋体" w:hAnsi="宋体" w:cs="宋体"/>
                <w:szCs w:val="21"/>
              </w:rPr>
            </w:pPr>
            <w:r>
              <w:rPr>
                <w:rFonts w:hint="eastAsia" w:ascii="宋体" w:hAnsi="宋体" w:cs="宋体"/>
                <w:szCs w:val="21"/>
              </w:rPr>
              <w:t>8、《关于印发《杭州市建设工程工程量清单计价实施细则》（2018年修订）的通知》（杭建市发（2018）578号）。</w:t>
            </w:r>
          </w:p>
          <w:p w14:paraId="0A30614B">
            <w:pPr>
              <w:spacing w:line="360" w:lineRule="auto"/>
              <w:ind w:firstLine="420" w:firstLineChars="200"/>
              <w:rPr>
                <w:rFonts w:ascii="宋体" w:hAnsi="宋体" w:cs="宋体"/>
                <w:szCs w:val="21"/>
              </w:rPr>
            </w:pPr>
            <w:r>
              <w:rPr>
                <w:rFonts w:hint="eastAsia" w:ascii="宋体" w:hAnsi="宋体" w:cs="宋体"/>
                <w:szCs w:val="21"/>
              </w:rPr>
              <w:t>9、《关于增值税调整后我省建设工程计价依据增值税税率及有关计价调整的通知》（浙建建发【2019】92号）。</w:t>
            </w:r>
          </w:p>
          <w:p w14:paraId="67B14B4E">
            <w:pPr>
              <w:spacing w:line="360" w:lineRule="auto"/>
              <w:ind w:firstLine="420" w:firstLineChars="200"/>
              <w:rPr>
                <w:rFonts w:ascii="宋体" w:hAnsi="宋体" w:cs="宋体"/>
                <w:szCs w:val="21"/>
              </w:rPr>
            </w:pPr>
            <w:r>
              <w:rPr>
                <w:rFonts w:hint="eastAsia" w:ascii="宋体" w:hAnsi="宋体" w:cs="宋体"/>
                <w:szCs w:val="21"/>
              </w:rPr>
              <w:t>10、《省建设厅关于调整我省 2018 版建筑安装工程安全文明施工费的通知》（浙建建函〔2025〕320 号）</w:t>
            </w:r>
          </w:p>
          <w:p w14:paraId="0084A587">
            <w:pPr>
              <w:spacing w:line="360" w:lineRule="auto"/>
              <w:ind w:firstLine="420" w:firstLineChars="200"/>
              <w:rPr>
                <w:rFonts w:ascii="宋体" w:hAnsi="宋体" w:cs="宋体"/>
                <w:szCs w:val="21"/>
              </w:rPr>
            </w:pPr>
            <w:r>
              <w:rPr>
                <w:rFonts w:hint="eastAsia" w:ascii="宋体" w:hAnsi="宋体" w:cs="宋体"/>
                <w:szCs w:val="21"/>
              </w:rPr>
              <w:t>11、《杭州市城乡建设委员会关于落实省建设厅调整2018版建筑安装工程安全文明施工费有关事项的通知》（杭建市通知【2025】98号）。</w:t>
            </w:r>
          </w:p>
          <w:p w14:paraId="5EE6C505">
            <w:pPr>
              <w:spacing w:line="360" w:lineRule="auto"/>
              <w:ind w:firstLine="420" w:firstLineChars="200"/>
              <w:rPr>
                <w:rFonts w:ascii="宋体" w:hAnsi="宋体" w:cs="宋体"/>
                <w:szCs w:val="21"/>
              </w:rPr>
            </w:pPr>
            <w:r>
              <w:rPr>
                <w:rFonts w:hint="eastAsia" w:ascii="宋体" w:hAnsi="宋体" w:cs="宋体"/>
                <w:szCs w:val="21"/>
              </w:rPr>
              <w:t>12、招标文件。</w:t>
            </w:r>
          </w:p>
          <w:p w14:paraId="16F0BC39">
            <w:pPr>
              <w:spacing w:line="360" w:lineRule="auto"/>
              <w:ind w:firstLine="420" w:firstLineChars="200"/>
              <w:rPr>
                <w:rFonts w:ascii="宋体" w:hAnsi="宋体" w:cs="宋体"/>
                <w:szCs w:val="21"/>
              </w:rPr>
            </w:pPr>
            <w:r>
              <w:rPr>
                <w:rFonts w:hint="eastAsia" w:ascii="宋体" w:hAnsi="宋体" w:cs="宋体"/>
                <w:szCs w:val="21"/>
              </w:rPr>
              <w:t>13、与建设项目相关的标准、图集、规范、技术资料、文件、法律法规和综合解释。</w:t>
            </w:r>
          </w:p>
          <w:p w14:paraId="58B1F319">
            <w:pPr>
              <w:spacing w:line="360" w:lineRule="auto"/>
              <w:ind w:firstLine="422" w:firstLineChars="200"/>
              <w:rPr>
                <w:rFonts w:ascii="宋体" w:hAnsi="宋体" w:cs="宋体"/>
                <w:b/>
                <w:bCs/>
                <w:szCs w:val="21"/>
              </w:rPr>
            </w:pPr>
            <w:r>
              <w:rPr>
                <w:rFonts w:hint="eastAsia" w:ascii="宋体" w:hAnsi="宋体" w:cs="宋体"/>
                <w:b/>
                <w:bCs/>
                <w:szCs w:val="21"/>
              </w:rPr>
              <w:t>四、工程质量、工期、材料、施工等要求</w:t>
            </w:r>
          </w:p>
          <w:p w14:paraId="7E53FBA8">
            <w:pPr>
              <w:spacing w:line="360" w:lineRule="auto"/>
              <w:ind w:firstLine="420" w:firstLineChars="200"/>
              <w:rPr>
                <w:rFonts w:ascii="宋体" w:hAnsi="宋体" w:cs="宋体"/>
                <w:szCs w:val="21"/>
              </w:rPr>
            </w:pPr>
            <w:r>
              <w:rPr>
                <w:rFonts w:hint="eastAsia" w:ascii="宋体" w:hAnsi="宋体" w:cs="宋体"/>
                <w:szCs w:val="21"/>
              </w:rPr>
              <w:t>1、工程质量：根据招标文件要求。</w:t>
            </w:r>
          </w:p>
          <w:p w14:paraId="4624AA85">
            <w:pPr>
              <w:spacing w:line="360" w:lineRule="auto"/>
              <w:ind w:firstLine="420" w:firstLineChars="200"/>
              <w:rPr>
                <w:rFonts w:ascii="宋体" w:hAnsi="宋体" w:cs="宋体"/>
                <w:szCs w:val="21"/>
              </w:rPr>
            </w:pPr>
            <w:r>
              <w:rPr>
                <w:rFonts w:hint="eastAsia" w:ascii="宋体" w:hAnsi="宋体" w:cs="宋体"/>
                <w:szCs w:val="21"/>
              </w:rPr>
              <w:t>2、工期：根据招标文件要求。</w:t>
            </w:r>
          </w:p>
          <w:p w14:paraId="3B3A78A6">
            <w:pPr>
              <w:spacing w:line="360" w:lineRule="auto"/>
              <w:ind w:firstLine="420" w:firstLineChars="200"/>
              <w:rPr>
                <w:rFonts w:ascii="宋体" w:hAnsi="宋体" w:cs="宋体"/>
                <w:szCs w:val="21"/>
              </w:rPr>
            </w:pPr>
            <w:r>
              <w:rPr>
                <w:rFonts w:hint="eastAsia" w:ascii="宋体" w:hAnsi="宋体" w:cs="宋体"/>
                <w:szCs w:val="21"/>
              </w:rPr>
              <w:t>3、施工要求详见招标文件及技术规范。</w:t>
            </w:r>
          </w:p>
          <w:p w14:paraId="2F282558">
            <w:pPr>
              <w:spacing w:line="360" w:lineRule="auto"/>
              <w:ind w:firstLine="422" w:firstLineChars="200"/>
              <w:rPr>
                <w:rFonts w:ascii="宋体" w:hAnsi="宋体" w:cs="宋体"/>
                <w:b/>
                <w:bCs/>
                <w:szCs w:val="21"/>
              </w:rPr>
            </w:pPr>
            <w:r>
              <w:rPr>
                <w:rFonts w:hint="eastAsia" w:ascii="宋体" w:hAnsi="宋体" w:cs="宋体"/>
                <w:b/>
                <w:bCs/>
                <w:szCs w:val="21"/>
              </w:rPr>
              <w:t>五、安全文明施工措施费用的取费计算基数和最低费率标准</w:t>
            </w:r>
          </w:p>
          <w:p w14:paraId="7FA25BF7">
            <w:pPr>
              <w:widowControl/>
              <w:tabs>
                <w:tab w:val="left" w:pos="720"/>
              </w:tabs>
              <w:spacing w:line="360" w:lineRule="auto"/>
              <w:ind w:firstLine="420" w:firstLineChars="200"/>
              <w:jc w:val="left"/>
              <w:rPr>
                <w:rFonts w:ascii="宋体" w:hAnsi="宋体" w:cs="宋体"/>
                <w:szCs w:val="21"/>
              </w:rPr>
            </w:pPr>
            <w:bookmarkStart w:id="1" w:name="OLE_LINK6"/>
            <w:bookmarkStart w:id="2" w:name="OLE_LINK9"/>
            <w:r>
              <w:rPr>
                <w:rFonts w:hint="eastAsia" w:ascii="宋体" w:hAnsi="宋体" w:cs="宋体"/>
                <w:szCs w:val="21"/>
              </w:rPr>
              <w:t>安全文明施工费由文明施工费、环境保护费、临时设施费、安全施工费组成。以实施标准划分，可分为安全文明施工基本费和创建安全文明施工标准化工地增加费（以下简称“标化工地增加费”）。</w:t>
            </w:r>
          </w:p>
          <w:p w14:paraId="25E8BB22">
            <w:pPr>
              <w:widowControl/>
              <w:tabs>
                <w:tab w:val="left" w:pos="720"/>
              </w:tabs>
              <w:spacing w:line="360" w:lineRule="auto"/>
              <w:ind w:firstLine="420" w:firstLineChars="200"/>
              <w:jc w:val="left"/>
              <w:rPr>
                <w:rFonts w:ascii="宋体" w:hAnsi="宋体" w:cs="宋体"/>
                <w:szCs w:val="21"/>
              </w:rPr>
            </w:pPr>
            <w:r>
              <w:rPr>
                <w:rFonts w:hint="eastAsia" w:ascii="宋体" w:hAnsi="宋体" w:cs="宋体"/>
                <w:szCs w:val="21"/>
              </w:rPr>
              <w:t>1、安全文明施工基本费报价不得低于《浙江省建设工程计价规则》（2018版）中规定的弹性费率下限的计算值。按照本项目地理位置情况确定为市区工程。各专业工程取费基数均为“分部分项工程费和施工技术措施项目费”计价中的“人工费+机械费”之和。</w:t>
            </w:r>
          </w:p>
          <w:bookmarkEnd w:id="1"/>
          <w:bookmarkEnd w:id="2"/>
          <w:p w14:paraId="693D59E5">
            <w:pPr>
              <w:widowControl/>
              <w:tabs>
                <w:tab w:val="left" w:pos="720"/>
              </w:tabs>
              <w:spacing w:line="360" w:lineRule="auto"/>
              <w:ind w:firstLine="422" w:firstLineChars="200"/>
              <w:jc w:val="left"/>
              <w:rPr>
                <w:rFonts w:ascii="宋体" w:hAnsi="宋体" w:cs="宋体"/>
                <w:b/>
                <w:bCs/>
                <w:szCs w:val="21"/>
              </w:rPr>
            </w:pPr>
            <w:bookmarkStart w:id="3" w:name="OLE_LINK8"/>
            <w:r>
              <w:rPr>
                <w:rFonts w:hint="eastAsia" w:ascii="宋体" w:hAnsi="宋体" w:cs="宋体"/>
                <w:b/>
                <w:bCs/>
                <w:szCs w:val="21"/>
              </w:rPr>
              <w:t>房屋建筑与装饰工程最低取费费率为6.43%；</w:t>
            </w:r>
          </w:p>
          <w:bookmarkEnd w:id="3"/>
          <w:p w14:paraId="52A7EA55">
            <w:pPr>
              <w:widowControl/>
              <w:tabs>
                <w:tab w:val="left" w:pos="720"/>
              </w:tabs>
              <w:spacing w:line="360" w:lineRule="auto"/>
              <w:ind w:firstLine="422" w:firstLineChars="200"/>
              <w:jc w:val="left"/>
              <w:rPr>
                <w:rFonts w:ascii="宋体" w:hAnsi="宋体" w:cs="宋体"/>
                <w:b/>
                <w:bCs/>
                <w:szCs w:val="21"/>
              </w:rPr>
            </w:pPr>
            <w:r>
              <w:rPr>
                <w:rFonts w:hint="eastAsia" w:ascii="宋体" w:hAnsi="宋体" w:cs="宋体"/>
                <w:b/>
                <w:bCs/>
                <w:szCs w:val="21"/>
              </w:rPr>
              <w:t>通用安装工程最低取费费率为7.99%。</w:t>
            </w:r>
          </w:p>
          <w:p w14:paraId="45744EB6">
            <w:pPr>
              <w:widowControl/>
              <w:tabs>
                <w:tab w:val="left" w:pos="720"/>
              </w:tabs>
              <w:spacing w:line="360" w:lineRule="auto"/>
              <w:ind w:firstLine="420" w:firstLineChars="200"/>
              <w:jc w:val="left"/>
              <w:rPr>
                <w:rFonts w:ascii="宋体" w:hAnsi="宋体" w:cs="宋体"/>
                <w:szCs w:val="21"/>
              </w:rPr>
            </w:pPr>
            <w:r>
              <w:rPr>
                <w:rFonts w:hint="eastAsia" w:ascii="宋体" w:hAnsi="宋体" w:cs="宋体"/>
                <w:szCs w:val="21"/>
              </w:rPr>
              <w:t>标化工地增加费：无。</w:t>
            </w:r>
          </w:p>
          <w:p w14:paraId="105FFDAF">
            <w:pPr>
              <w:spacing w:line="360" w:lineRule="auto"/>
              <w:ind w:firstLine="422" w:firstLineChars="200"/>
              <w:rPr>
                <w:rFonts w:ascii="宋体" w:hAnsi="宋体" w:cs="宋体"/>
                <w:b/>
                <w:bCs/>
                <w:szCs w:val="21"/>
              </w:rPr>
            </w:pPr>
            <w:r>
              <w:rPr>
                <w:rFonts w:hint="eastAsia" w:ascii="宋体" w:hAnsi="宋体" w:cs="宋体"/>
                <w:b/>
                <w:bCs/>
                <w:szCs w:val="21"/>
              </w:rPr>
              <w:t>六、企业管理费用的取费计算基数和最低费率标准</w:t>
            </w:r>
          </w:p>
          <w:p w14:paraId="042A7632">
            <w:pPr>
              <w:spacing w:line="360" w:lineRule="auto"/>
              <w:ind w:firstLine="420" w:firstLineChars="200"/>
              <w:rPr>
                <w:rFonts w:ascii="宋体" w:hAnsi="宋体" w:cs="宋体"/>
                <w:szCs w:val="21"/>
              </w:rPr>
            </w:pPr>
            <w:bookmarkStart w:id="4" w:name="OLE_LINK11"/>
            <w:r>
              <w:rPr>
                <w:rFonts w:hint="eastAsia" w:ascii="宋体" w:hAnsi="宋体" w:cs="宋体"/>
                <w:szCs w:val="21"/>
              </w:rPr>
              <w:t>根据《杭州市建设工程工程量清单计价实施细则（2018年修订）》文件规定，</w:t>
            </w:r>
            <w:bookmarkEnd w:id="4"/>
            <w:r>
              <w:rPr>
                <w:rFonts w:hint="eastAsia" w:ascii="宋体" w:hAnsi="宋体" w:cs="宋体"/>
                <w:szCs w:val="21"/>
              </w:rPr>
              <w:t>投标报价时，企业管理费中应包括施工企业现场监控和现场临时宿舍取暖降温费用，以及施工企业对建筑以及材料、构件和建筑安装物进行一般鉴定、检查所发生的检验试验费等相关费用。为保障工程质量和安全，企业管理费报价不得低于省建设行政主管部门颁发的施工费用定额和相关取费计价文件规定的对应专业工程企业管理费弹性费率下限乘以20%的计算值。企业管理费的取费基数为“分部分项工程费和施工技术措施项目费”计价中的“人工费+机械费”之和。</w:t>
            </w:r>
          </w:p>
          <w:p w14:paraId="0D9226D7">
            <w:pPr>
              <w:widowControl/>
              <w:tabs>
                <w:tab w:val="left" w:pos="720"/>
              </w:tabs>
              <w:spacing w:line="360" w:lineRule="auto"/>
              <w:ind w:firstLine="422" w:firstLineChars="200"/>
              <w:jc w:val="left"/>
              <w:rPr>
                <w:rFonts w:ascii="宋体" w:hAnsi="宋体" w:cs="宋体"/>
                <w:b/>
                <w:bCs/>
                <w:szCs w:val="21"/>
              </w:rPr>
            </w:pPr>
            <w:r>
              <w:rPr>
                <w:rFonts w:hint="eastAsia" w:ascii="宋体" w:hAnsi="宋体" w:cs="宋体"/>
                <w:b/>
                <w:bCs/>
                <w:szCs w:val="21"/>
              </w:rPr>
              <w:t>房屋建筑与装饰工程最低取费费率为11.37%*0.2=2.27%；</w:t>
            </w:r>
          </w:p>
          <w:p w14:paraId="51DAE53D">
            <w:pPr>
              <w:widowControl/>
              <w:tabs>
                <w:tab w:val="left" w:pos="720"/>
              </w:tabs>
              <w:spacing w:line="360" w:lineRule="auto"/>
              <w:ind w:firstLine="422" w:firstLineChars="200"/>
              <w:jc w:val="left"/>
              <w:rPr>
                <w:rFonts w:ascii="宋体" w:hAnsi="宋体" w:cs="宋体"/>
                <w:b/>
                <w:bCs/>
                <w:szCs w:val="21"/>
              </w:rPr>
            </w:pPr>
            <w:r>
              <w:rPr>
                <w:rFonts w:hint="eastAsia" w:ascii="宋体" w:hAnsi="宋体" w:cs="宋体"/>
                <w:b/>
                <w:bCs/>
                <w:szCs w:val="21"/>
              </w:rPr>
              <w:t>通用安装工程最低取费费率为16.29%*0.2=3.26%。</w:t>
            </w:r>
          </w:p>
          <w:p w14:paraId="00BB9CEB">
            <w:pPr>
              <w:spacing w:line="360" w:lineRule="auto"/>
              <w:ind w:firstLine="422" w:firstLineChars="200"/>
              <w:rPr>
                <w:rFonts w:ascii="宋体" w:hAnsi="宋体" w:cs="宋体"/>
                <w:b/>
                <w:bCs/>
                <w:szCs w:val="21"/>
              </w:rPr>
            </w:pPr>
            <w:r>
              <w:rPr>
                <w:rFonts w:hint="eastAsia" w:ascii="宋体" w:hAnsi="宋体" w:cs="宋体"/>
                <w:b/>
                <w:bCs/>
                <w:szCs w:val="21"/>
              </w:rPr>
              <w:t>七、规费、税金、安责险的取费要求</w:t>
            </w:r>
          </w:p>
          <w:p w14:paraId="4A28EF62">
            <w:pPr>
              <w:widowControl/>
              <w:tabs>
                <w:tab w:val="left" w:pos="720"/>
              </w:tabs>
              <w:spacing w:line="360" w:lineRule="auto"/>
              <w:ind w:firstLine="420" w:firstLineChars="200"/>
              <w:jc w:val="left"/>
              <w:rPr>
                <w:rFonts w:ascii="宋体" w:hAnsi="宋体" w:cs="宋体"/>
                <w:szCs w:val="21"/>
              </w:rPr>
            </w:pPr>
            <w:r>
              <w:rPr>
                <w:rFonts w:hint="eastAsia" w:ascii="宋体" w:hAnsi="宋体" w:cs="宋体"/>
                <w:szCs w:val="21"/>
              </w:rPr>
              <w:t>1、规费按照《浙江省建设工程计价规则》（2018版）规定，由社会保险费（含养老保险费、失业保险费、医疗保险费、生育保险费、工伤保险费）和住房公积金组成。各专业工程取费基数均为“分部分项工程费和施工技术措施项目费”计价中的“人工费+机械费”之和，报价按《浙江省建设工程施工取费定额（2018）》不得低于费率乘以30%的规定执行。</w:t>
            </w:r>
          </w:p>
          <w:p w14:paraId="79025A61">
            <w:pPr>
              <w:widowControl/>
              <w:tabs>
                <w:tab w:val="left" w:pos="720"/>
              </w:tabs>
              <w:spacing w:line="360" w:lineRule="auto"/>
              <w:ind w:firstLine="422" w:firstLineChars="200"/>
              <w:jc w:val="left"/>
              <w:rPr>
                <w:rFonts w:ascii="宋体" w:hAnsi="宋体" w:cs="宋体"/>
                <w:b/>
                <w:bCs/>
                <w:szCs w:val="21"/>
              </w:rPr>
            </w:pPr>
            <w:r>
              <w:rPr>
                <w:rFonts w:hint="eastAsia" w:ascii="宋体" w:hAnsi="宋体" w:cs="宋体"/>
                <w:b/>
                <w:bCs/>
                <w:szCs w:val="21"/>
              </w:rPr>
              <w:t>房屋建筑与装饰工程最低取费费率为27.92%*0.3=8.38%；</w:t>
            </w:r>
          </w:p>
          <w:p w14:paraId="1DB8BD40">
            <w:pPr>
              <w:widowControl/>
              <w:tabs>
                <w:tab w:val="left" w:pos="720"/>
              </w:tabs>
              <w:spacing w:line="360" w:lineRule="auto"/>
              <w:ind w:firstLine="422" w:firstLineChars="200"/>
              <w:jc w:val="left"/>
              <w:rPr>
                <w:rFonts w:ascii="宋体" w:hAnsi="宋体" w:cs="宋体"/>
                <w:b/>
                <w:bCs/>
                <w:szCs w:val="21"/>
              </w:rPr>
            </w:pPr>
            <w:r>
              <w:rPr>
                <w:rFonts w:hint="eastAsia" w:ascii="宋体" w:hAnsi="宋体" w:cs="宋体"/>
                <w:b/>
                <w:bCs/>
                <w:szCs w:val="21"/>
              </w:rPr>
              <w:t>通用安装工程最低取费费率为30.63%*0.3=9.19%。</w:t>
            </w:r>
          </w:p>
          <w:p w14:paraId="5945156D">
            <w:pPr>
              <w:widowControl/>
              <w:tabs>
                <w:tab w:val="left" w:pos="720"/>
              </w:tabs>
              <w:spacing w:line="360" w:lineRule="auto"/>
              <w:ind w:left="420" w:leftChars="200"/>
              <w:jc w:val="left"/>
              <w:rPr>
                <w:rFonts w:ascii="宋体" w:hAnsi="宋体" w:cs="宋体"/>
                <w:szCs w:val="21"/>
              </w:rPr>
            </w:pPr>
            <w:r>
              <w:rPr>
                <w:rFonts w:hint="eastAsia" w:ascii="宋体" w:hAnsi="宋体" w:cs="宋体"/>
                <w:szCs w:val="21"/>
              </w:rPr>
              <w:t>2、税金费率按照《关于增值税调整后我省建设工程计价依据增值税税率及有关计价调整的通知》（浙建建发【2019】92号）文件规定计取，取费基数为税前工程造价。根据文件要求，本工程按一般计税法考虑，费率为</w:t>
            </w:r>
            <w:r>
              <w:rPr>
                <w:rFonts w:hint="eastAsia" w:ascii="宋体" w:hAnsi="宋体" w:cs="宋体"/>
                <w:b/>
                <w:bCs/>
                <w:szCs w:val="21"/>
              </w:rPr>
              <w:t>9%</w:t>
            </w:r>
            <w:r>
              <w:rPr>
                <w:rFonts w:hint="eastAsia" w:ascii="宋体" w:hAnsi="宋体" w:cs="宋体"/>
                <w:szCs w:val="21"/>
              </w:rPr>
              <w:t>。</w:t>
            </w:r>
          </w:p>
          <w:p w14:paraId="3E27AB21">
            <w:pPr>
              <w:widowControl/>
              <w:tabs>
                <w:tab w:val="left" w:pos="720"/>
              </w:tabs>
              <w:spacing w:line="360" w:lineRule="auto"/>
              <w:ind w:left="420" w:leftChars="200"/>
              <w:jc w:val="left"/>
              <w:rPr>
                <w:rFonts w:ascii="宋体" w:hAnsi="宋体" w:cs="宋体"/>
                <w:szCs w:val="21"/>
              </w:rPr>
            </w:pPr>
            <w:r>
              <w:rPr>
                <w:rFonts w:hint="eastAsia" w:ascii="宋体" w:hAnsi="宋体" w:cs="宋体"/>
                <w:szCs w:val="21"/>
              </w:rPr>
              <w:t>3、根据《省建设厅关于调整我省 2018 版建筑安装工程安全文明施工费的通知》（浙建建函〔2025〕320 号）文件说明安全生产责任保险是指保险机构对投保施工单位发生生产安全事故造成的人员伤亡和有关经济损失等予以赔偿，并且为投保生产经营单位提供生产安全事故预防服务的商业保险。费用包括从业人员人身伤亡、第三者人身伤亡和第三者财产损失赔偿、事故抢险救援、医疗救护、事故鉴定、法律诉讼等费用，应由相应的施工总承包企业以项目为单位进行参保。费用列项由企业管理费调至安全文明施工基本费，执行〔2025〕320号文件时，其安全文明基本费已包含安责险，不再重复计取。</w:t>
            </w:r>
          </w:p>
          <w:p w14:paraId="7E15785F">
            <w:pPr>
              <w:spacing w:line="360" w:lineRule="auto"/>
              <w:ind w:firstLine="422" w:firstLineChars="200"/>
              <w:rPr>
                <w:rFonts w:ascii="宋体" w:hAnsi="宋体" w:cs="宋体"/>
                <w:szCs w:val="21"/>
              </w:rPr>
            </w:pPr>
            <w:r>
              <w:rPr>
                <w:rFonts w:hint="eastAsia" w:ascii="宋体" w:hAnsi="宋体" w:cs="宋体"/>
                <w:b/>
                <w:bCs/>
                <w:szCs w:val="21"/>
              </w:rPr>
              <w:t>八、暂列金额的数量：</w:t>
            </w:r>
            <w:r>
              <w:rPr>
                <w:rFonts w:hint="eastAsia" w:ascii="宋体" w:hAnsi="宋体" w:cs="宋体"/>
                <w:szCs w:val="21"/>
              </w:rPr>
              <w:t>无。</w:t>
            </w:r>
          </w:p>
          <w:p w14:paraId="45E00D43">
            <w:pPr>
              <w:spacing w:line="360" w:lineRule="auto"/>
              <w:ind w:firstLine="422" w:firstLineChars="200"/>
              <w:rPr>
                <w:rFonts w:ascii="宋体" w:hAnsi="宋体" w:cs="宋体"/>
                <w:b/>
                <w:bCs/>
                <w:szCs w:val="21"/>
              </w:rPr>
            </w:pPr>
            <w:r>
              <w:rPr>
                <w:rFonts w:hint="eastAsia" w:ascii="宋体" w:hAnsi="宋体" w:cs="宋体"/>
                <w:b/>
                <w:bCs/>
                <w:szCs w:val="21"/>
              </w:rPr>
              <w:t>九、招标人自行采购材料的名称、规格型号、数量，要求总承包人提供的服务内容</w:t>
            </w:r>
          </w:p>
          <w:p w14:paraId="6E53A0CA">
            <w:pPr>
              <w:spacing w:line="360" w:lineRule="auto"/>
              <w:ind w:left="420"/>
              <w:jc w:val="left"/>
              <w:rPr>
                <w:rStyle w:val="39"/>
                <w:rFonts w:ascii="宋体" w:hAnsi="宋体" w:cs="宋体"/>
                <w:szCs w:val="21"/>
              </w:rPr>
            </w:pPr>
            <w:r>
              <w:rPr>
                <w:rStyle w:val="39"/>
                <w:rFonts w:hint="eastAsia" w:ascii="宋体" w:hAnsi="宋体" w:cs="宋体"/>
                <w:szCs w:val="21"/>
              </w:rPr>
              <w:t>1、按招标文件要求。</w:t>
            </w:r>
          </w:p>
          <w:p w14:paraId="138989B8">
            <w:pPr>
              <w:spacing w:line="360" w:lineRule="auto"/>
              <w:ind w:firstLine="422" w:firstLineChars="200"/>
              <w:rPr>
                <w:rFonts w:ascii="宋体" w:hAnsi="宋体" w:cs="宋体"/>
                <w:b/>
                <w:bCs/>
                <w:szCs w:val="21"/>
              </w:rPr>
            </w:pPr>
            <w:r>
              <w:rPr>
                <w:rFonts w:hint="eastAsia" w:ascii="宋体" w:hAnsi="宋体" w:cs="宋体"/>
                <w:b/>
                <w:bCs/>
                <w:szCs w:val="21"/>
              </w:rPr>
              <w:t>十、其他需要说明的问题</w:t>
            </w:r>
          </w:p>
          <w:p w14:paraId="3D84CC75">
            <w:pPr>
              <w:spacing w:line="360" w:lineRule="auto"/>
              <w:ind w:firstLine="422" w:firstLineChars="200"/>
              <w:rPr>
                <w:rFonts w:ascii="宋体" w:hAnsi="宋体" w:cs="宋体"/>
                <w:b/>
                <w:bCs/>
                <w:szCs w:val="21"/>
              </w:rPr>
            </w:pPr>
            <w:r>
              <w:rPr>
                <w:rFonts w:hint="eastAsia" w:ascii="宋体" w:hAnsi="宋体" w:cs="宋体"/>
                <w:b/>
                <w:bCs/>
                <w:szCs w:val="21"/>
              </w:rPr>
              <w:t>（一）整体</w:t>
            </w:r>
          </w:p>
          <w:p w14:paraId="59A11CED">
            <w:pPr>
              <w:widowControl/>
              <w:numPr>
                <w:ilvl w:val="0"/>
                <w:numId w:val="1"/>
              </w:numPr>
              <w:spacing w:line="360" w:lineRule="auto"/>
              <w:ind w:firstLine="420" w:firstLineChars="200"/>
              <w:jc w:val="left"/>
              <w:rPr>
                <w:rFonts w:ascii="宋体" w:hAnsi="宋体" w:cs="宋体"/>
                <w:szCs w:val="21"/>
              </w:rPr>
            </w:pPr>
            <w:r>
              <w:rPr>
                <w:rFonts w:hint="eastAsia" w:ascii="宋体" w:hAnsi="宋体" w:cs="宋体"/>
                <w:szCs w:val="21"/>
              </w:rPr>
              <w:t>分部分项工程量清单中的工程量是按实物净量计算的，一切损耗均应在投标报价的综合单价中考虑。</w:t>
            </w:r>
          </w:p>
          <w:p w14:paraId="7C4C1315">
            <w:pPr>
              <w:widowControl/>
              <w:numPr>
                <w:ilvl w:val="0"/>
                <w:numId w:val="1"/>
              </w:numPr>
              <w:spacing w:line="360" w:lineRule="auto"/>
              <w:ind w:firstLine="420" w:firstLineChars="200"/>
              <w:jc w:val="left"/>
              <w:rPr>
                <w:rFonts w:ascii="宋体" w:hAnsi="宋体" w:cs="宋体"/>
                <w:szCs w:val="21"/>
              </w:rPr>
            </w:pPr>
            <w:r>
              <w:rPr>
                <w:rFonts w:hint="eastAsia" w:ascii="宋体" w:hAnsi="宋体" w:cs="宋体"/>
                <w:szCs w:val="21"/>
              </w:rPr>
              <w:t>投标人应在综合单价中充分考虑施工中的各种损耗和需要增加的工程量，所报综合单价应包含该清单子目的所有工作内容，并考虑风险因素。</w:t>
            </w:r>
          </w:p>
          <w:p w14:paraId="7E2911DC">
            <w:pPr>
              <w:widowControl/>
              <w:numPr>
                <w:ilvl w:val="0"/>
                <w:numId w:val="1"/>
              </w:numPr>
              <w:spacing w:line="360" w:lineRule="auto"/>
              <w:ind w:firstLine="420" w:firstLineChars="200"/>
              <w:jc w:val="left"/>
              <w:rPr>
                <w:rFonts w:ascii="宋体" w:hAnsi="宋体" w:cs="宋体"/>
                <w:szCs w:val="21"/>
              </w:rPr>
            </w:pPr>
            <w:r>
              <w:rPr>
                <w:rFonts w:hint="eastAsia" w:ascii="宋体" w:hAnsi="宋体" w:cs="宋体"/>
                <w:szCs w:val="21"/>
              </w:rPr>
              <w:t>投标人未填报综合单价或合价的项目，其费用视为已分摊在其他项目的综合单价与合价中，该项工作实施后，招标人将不予支付。</w:t>
            </w:r>
          </w:p>
          <w:p w14:paraId="52779F7C">
            <w:pPr>
              <w:widowControl/>
              <w:numPr>
                <w:ilvl w:val="0"/>
                <w:numId w:val="1"/>
              </w:numPr>
              <w:spacing w:line="360" w:lineRule="auto"/>
              <w:ind w:firstLine="420" w:firstLineChars="200"/>
              <w:jc w:val="left"/>
              <w:rPr>
                <w:rFonts w:ascii="宋体" w:hAnsi="宋体" w:cs="宋体"/>
                <w:szCs w:val="21"/>
              </w:rPr>
            </w:pPr>
            <w:r>
              <w:rPr>
                <w:rFonts w:hint="eastAsia" w:ascii="宋体" w:hAnsi="宋体" w:cs="宋体"/>
                <w:szCs w:val="21"/>
              </w:rPr>
              <w:t>以“项”为单位的分部分项工程量清单项目及措施项目为总价子目，合价固定包干，在招标范围内不作调整，投标人报价时应考虑设计方案优化、施工方案调整等风险因素，但工程实施过程中经批准甩项的工程量的措施费按投标口径扣除。</w:t>
            </w:r>
          </w:p>
          <w:p w14:paraId="63B5FDC2">
            <w:pPr>
              <w:widowControl/>
              <w:numPr>
                <w:ilvl w:val="0"/>
                <w:numId w:val="1"/>
              </w:numPr>
              <w:spacing w:line="360" w:lineRule="auto"/>
              <w:ind w:firstLine="420" w:firstLineChars="200"/>
              <w:jc w:val="left"/>
              <w:rPr>
                <w:rFonts w:ascii="宋体" w:hAnsi="宋体" w:cs="宋体"/>
                <w:szCs w:val="21"/>
              </w:rPr>
            </w:pPr>
            <w:r>
              <w:rPr>
                <w:rFonts w:hint="eastAsia" w:ascii="宋体" w:hAnsi="宋体" w:cs="宋体"/>
                <w:szCs w:val="21"/>
              </w:rPr>
              <w:t>投标报价应综合考虑各项技术规范所涉及的各项要求进行报价，若国家/省级/地方技术规范发生冲突，以最高标准执行。</w:t>
            </w:r>
          </w:p>
          <w:p w14:paraId="28DCA3A0">
            <w:pPr>
              <w:widowControl/>
              <w:numPr>
                <w:ilvl w:val="0"/>
                <w:numId w:val="1"/>
              </w:numPr>
              <w:spacing w:line="360" w:lineRule="auto"/>
              <w:ind w:firstLine="420" w:firstLineChars="200"/>
              <w:jc w:val="left"/>
              <w:rPr>
                <w:rFonts w:ascii="宋体" w:hAnsi="宋体" w:cs="宋体"/>
                <w:szCs w:val="21"/>
              </w:rPr>
            </w:pPr>
            <w:r>
              <w:rPr>
                <w:rFonts w:hint="eastAsia" w:ascii="宋体" w:hAnsi="宋体" w:cs="宋体"/>
                <w:szCs w:val="21"/>
              </w:rPr>
              <w:t>投标人应先到工地踏勘以充分了解工地位置、现状、交通运输、空间局限及任何其它足以影响报价的情况，任何因忽视或误解工地情况而导致的索赔或工期延长申请将不获批准。</w:t>
            </w:r>
          </w:p>
          <w:p w14:paraId="3E5E8476">
            <w:pPr>
              <w:widowControl/>
              <w:numPr>
                <w:ilvl w:val="0"/>
                <w:numId w:val="1"/>
              </w:numPr>
              <w:spacing w:line="360" w:lineRule="auto"/>
              <w:ind w:firstLine="420" w:firstLineChars="200"/>
              <w:jc w:val="left"/>
              <w:rPr>
                <w:rFonts w:ascii="宋体" w:hAnsi="宋体" w:cs="宋体"/>
                <w:szCs w:val="21"/>
              </w:rPr>
            </w:pPr>
            <w:r>
              <w:rPr>
                <w:rFonts w:hint="eastAsia" w:ascii="宋体" w:hAnsi="宋体" w:cs="宋体"/>
                <w:szCs w:val="21"/>
              </w:rPr>
              <w:t>工程量清单及其计价依据格式中的任何内容不得随意删除或涂改，若有错误，在招标答疑时及时提出，以“补充答疑”资料为准。</w:t>
            </w:r>
          </w:p>
          <w:p w14:paraId="3753EBD4">
            <w:pPr>
              <w:widowControl/>
              <w:numPr>
                <w:ilvl w:val="0"/>
                <w:numId w:val="1"/>
              </w:numPr>
              <w:spacing w:line="360" w:lineRule="auto"/>
              <w:ind w:firstLine="420" w:firstLineChars="200"/>
              <w:jc w:val="left"/>
              <w:rPr>
                <w:rFonts w:ascii="宋体" w:hAnsi="宋体" w:cs="宋体"/>
                <w:szCs w:val="21"/>
              </w:rPr>
            </w:pPr>
            <w:r>
              <w:rPr>
                <w:rFonts w:hint="eastAsia" w:ascii="宋体" w:hAnsi="宋体" w:cs="宋体"/>
                <w:szCs w:val="21"/>
              </w:rPr>
              <w:t>本清单项目特征内未注明的单位均为mm（毫米）。</w:t>
            </w:r>
          </w:p>
          <w:p w14:paraId="3940FF78">
            <w:pPr>
              <w:widowControl/>
              <w:numPr>
                <w:ilvl w:val="0"/>
                <w:numId w:val="1"/>
              </w:numPr>
              <w:spacing w:line="360" w:lineRule="auto"/>
              <w:ind w:firstLine="420" w:firstLineChars="200"/>
              <w:jc w:val="left"/>
              <w:rPr>
                <w:rFonts w:ascii="宋体" w:hAnsi="宋体" w:cs="宋体"/>
                <w:szCs w:val="21"/>
              </w:rPr>
            </w:pPr>
            <w:r>
              <w:rPr>
                <w:rFonts w:hint="eastAsia" w:ascii="宋体" w:hAnsi="宋体" w:cs="宋体"/>
                <w:szCs w:val="21"/>
              </w:rPr>
              <w:t>若施工场地无法满足投标人临时设施布置需求，由投标人自行就近解决（场地租赁费用及场地到施工现场间的用水用电管线接通、道路接通、人材机的短驳转运等费用由投标人在组织措施费考虑包干），中标后招标人不再另行支付相关费用。</w:t>
            </w:r>
          </w:p>
          <w:p w14:paraId="2BAD76D6">
            <w:pPr>
              <w:widowControl/>
              <w:numPr>
                <w:ilvl w:val="0"/>
                <w:numId w:val="1"/>
              </w:numPr>
              <w:spacing w:line="360" w:lineRule="auto"/>
              <w:ind w:firstLine="420" w:firstLineChars="200"/>
              <w:jc w:val="left"/>
              <w:rPr>
                <w:rFonts w:ascii="宋体" w:hAnsi="宋体" w:cs="宋体"/>
                <w:szCs w:val="21"/>
              </w:rPr>
            </w:pPr>
            <w:r>
              <w:rPr>
                <w:rFonts w:hint="eastAsia" w:ascii="宋体" w:hAnsi="宋体" w:cs="宋体"/>
                <w:szCs w:val="21"/>
              </w:rPr>
              <w:t>投标人根据自行确定的施工方案及招标文件相关要求，认为有必要增加的技术措施费，计入其他技术措施费当中，并提供相应的措施项目清单综合单价计算表及工料机分析表，一旦中标不再调整。</w:t>
            </w:r>
          </w:p>
          <w:p w14:paraId="29132209">
            <w:pPr>
              <w:widowControl/>
              <w:numPr>
                <w:ilvl w:val="0"/>
                <w:numId w:val="1"/>
              </w:numPr>
              <w:spacing w:line="360" w:lineRule="auto"/>
              <w:ind w:firstLine="420" w:firstLineChars="200"/>
              <w:jc w:val="left"/>
              <w:rPr>
                <w:rFonts w:ascii="宋体" w:hAnsi="宋体" w:cs="宋体"/>
                <w:szCs w:val="21"/>
              </w:rPr>
            </w:pPr>
            <w:r>
              <w:rPr>
                <w:rFonts w:hint="eastAsia" w:ascii="宋体" w:hAnsi="宋体" w:cs="宋体"/>
                <w:szCs w:val="21"/>
              </w:rPr>
              <w:t>所有饰面材料等均未区分颜色，请投标单位自行充分考虑不同颜色和规格的报价的影响，实际施工时按业主、设计要求调整，中标后综合单价不变。</w:t>
            </w:r>
          </w:p>
          <w:p w14:paraId="64E4F859">
            <w:pPr>
              <w:widowControl/>
              <w:numPr>
                <w:ilvl w:val="0"/>
                <w:numId w:val="1"/>
              </w:numPr>
              <w:spacing w:line="360" w:lineRule="auto"/>
              <w:ind w:firstLine="420" w:firstLineChars="200"/>
              <w:jc w:val="left"/>
              <w:rPr>
                <w:rFonts w:ascii="宋体" w:hAnsi="宋体" w:cs="宋体"/>
                <w:szCs w:val="21"/>
              </w:rPr>
            </w:pPr>
            <w:r>
              <w:rPr>
                <w:rFonts w:hint="eastAsia" w:ascii="宋体" w:hAnsi="宋体" w:cs="宋体"/>
                <w:szCs w:val="21"/>
              </w:rPr>
              <w:t>本项目脚手架的使用及方案由各投标单位自行考虑，相关方案需满足现行规范要求及质监站要求，费用在相关子目中综合考虑报价，中标后不得以任何理由要求调整相关费用。</w:t>
            </w:r>
          </w:p>
          <w:p w14:paraId="78E5F457">
            <w:pPr>
              <w:widowControl/>
              <w:numPr>
                <w:ilvl w:val="0"/>
                <w:numId w:val="1"/>
              </w:numPr>
              <w:spacing w:line="360" w:lineRule="auto"/>
              <w:ind w:firstLine="420" w:firstLineChars="200"/>
              <w:jc w:val="left"/>
              <w:rPr>
                <w:rFonts w:ascii="宋体" w:hAnsi="宋体" w:cs="宋体"/>
                <w:szCs w:val="21"/>
              </w:rPr>
            </w:pPr>
            <w:r>
              <w:rPr>
                <w:rFonts w:hint="eastAsia" w:ascii="宋体" w:hAnsi="宋体" w:cs="宋体"/>
                <w:szCs w:val="21"/>
              </w:rPr>
              <w:t>施工单位需要考虑工程移交前工程范围内的卫生保洁费用，以及施工现场配备保安人员做好防盗、防损工作所需的费用，计入措施项目费中，否则视作优惠。</w:t>
            </w:r>
          </w:p>
          <w:p w14:paraId="034A40FA">
            <w:pPr>
              <w:widowControl/>
              <w:numPr>
                <w:ilvl w:val="0"/>
                <w:numId w:val="1"/>
              </w:numPr>
              <w:spacing w:line="360" w:lineRule="auto"/>
              <w:ind w:firstLine="420" w:firstLineChars="200"/>
              <w:jc w:val="left"/>
              <w:rPr>
                <w:rFonts w:ascii="宋体" w:hAnsi="宋体" w:cs="宋体"/>
                <w:szCs w:val="21"/>
              </w:rPr>
            </w:pPr>
            <w:r>
              <w:rPr>
                <w:rFonts w:hint="eastAsia" w:ascii="宋体" w:hAnsi="宋体" w:cs="宋体"/>
                <w:szCs w:val="21"/>
              </w:rPr>
              <w:t>所有材料必须符合设计及招标人要求，由投标人根据招标文件的要求明确规格型号和报价，有推荐品牌的，投标人应在推荐品牌中选择，并在备注栏中标明品牌</w:t>
            </w:r>
            <w:bookmarkStart w:id="5" w:name="_GoBack"/>
            <w:bookmarkEnd w:id="5"/>
            <w:r>
              <w:rPr>
                <w:rFonts w:hint="eastAsia" w:ascii="宋体" w:hAnsi="宋体" w:cs="宋体"/>
                <w:szCs w:val="21"/>
              </w:rPr>
              <w:t>。若投标人未列出，在施工期间，招标人可根据工程需要提出要求，投标人必须按照招标人的要求提供材料（设备），费用差价风险由投标人承担。</w:t>
            </w:r>
          </w:p>
          <w:p w14:paraId="404407FB">
            <w:pPr>
              <w:spacing w:line="360" w:lineRule="auto"/>
              <w:ind w:left="631" w:leftChars="200" w:hanging="211" w:hangingChars="100"/>
              <w:rPr>
                <w:rFonts w:ascii="宋体" w:hAnsi="宋体" w:cs="宋体"/>
                <w:bCs/>
                <w:szCs w:val="21"/>
              </w:rPr>
            </w:pPr>
            <w:r>
              <w:rPr>
                <w:rFonts w:hint="eastAsia" w:ascii="宋体" w:hAnsi="宋体" w:cs="宋体"/>
                <w:b/>
                <w:bCs/>
                <w:szCs w:val="21"/>
              </w:rPr>
              <w:t>（二）主要材料品牌推荐表</w:t>
            </w:r>
          </w:p>
          <w:tbl>
            <w:tblPr>
              <w:tblStyle w:val="17"/>
              <w:tblpPr w:leftFromText="180" w:rightFromText="180" w:vertAnchor="text" w:horzAnchor="page" w:tblpX="552" w:tblpY="141"/>
              <w:tblOverlap w:val="never"/>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772"/>
              <w:gridCol w:w="4860"/>
            </w:tblGrid>
            <w:tr w14:paraId="01717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 w:type="dxa"/>
                  <w:noWrap/>
                </w:tcPr>
                <w:p w14:paraId="11FB39F4">
                  <w:pPr>
                    <w:spacing w:line="360" w:lineRule="auto"/>
                    <w:jc w:val="center"/>
                    <w:rPr>
                      <w:rFonts w:ascii="宋体" w:hAnsi="宋体" w:cs="宋体"/>
                      <w:szCs w:val="21"/>
                    </w:rPr>
                  </w:pPr>
                  <w:r>
                    <w:rPr>
                      <w:rFonts w:hint="eastAsia" w:ascii="宋体" w:hAnsi="宋体" w:cs="宋体"/>
                      <w:szCs w:val="21"/>
                    </w:rPr>
                    <w:t>序号</w:t>
                  </w:r>
                </w:p>
              </w:tc>
              <w:tc>
                <w:tcPr>
                  <w:tcW w:w="2772" w:type="dxa"/>
                  <w:noWrap/>
                </w:tcPr>
                <w:p w14:paraId="3D7357E6">
                  <w:pPr>
                    <w:spacing w:line="360" w:lineRule="auto"/>
                    <w:jc w:val="center"/>
                    <w:rPr>
                      <w:rFonts w:ascii="宋体" w:hAnsi="宋体" w:cs="宋体"/>
                      <w:szCs w:val="21"/>
                    </w:rPr>
                  </w:pPr>
                  <w:r>
                    <w:rPr>
                      <w:rFonts w:hint="eastAsia" w:ascii="宋体" w:hAnsi="宋体" w:cs="宋体"/>
                      <w:szCs w:val="21"/>
                    </w:rPr>
                    <w:t>主要设备材料名称</w:t>
                  </w:r>
                </w:p>
              </w:tc>
              <w:tc>
                <w:tcPr>
                  <w:tcW w:w="4860" w:type="dxa"/>
                  <w:noWrap/>
                </w:tcPr>
                <w:p w14:paraId="508A7381">
                  <w:pPr>
                    <w:spacing w:line="360" w:lineRule="auto"/>
                    <w:jc w:val="center"/>
                    <w:rPr>
                      <w:rFonts w:ascii="宋体" w:hAnsi="宋体" w:cs="宋体"/>
                      <w:szCs w:val="21"/>
                    </w:rPr>
                  </w:pPr>
                  <w:r>
                    <w:rPr>
                      <w:rFonts w:hint="eastAsia" w:ascii="宋体" w:hAnsi="宋体" w:cs="宋体"/>
                      <w:szCs w:val="21"/>
                    </w:rPr>
                    <w:t>推荐品牌</w:t>
                  </w:r>
                </w:p>
              </w:tc>
            </w:tr>
            <w:tr w14:paraId="12BAF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 w:type="dxa"/>
                  <w:noWrap/>
                </w:tcPr>
                <w:p w14:paraId="1A0DB1AC">
                  <w:pPr>
                    <w:spacing w:line="360" w:lineRule="auto"/>
                    <w:jc w:val="center"/>
                    <w:rPr>
                      <w:rFonts w:ascii="宋体" w:hAnsi="宋体" w:cs="宋体"/>
                      <w:szCs w:val="21"/>
                    </w:rPr>
                  </w:pPr>
                  <w:r>
                    <w:rPr>
                      <w:rFonts w:hint="eastAsia" w:ascii="宋体" w:hAnsi="宋体" w:cs="宋体"/>
                      <w:szCs w:val="21"/>
                    </w:rPr>
                    <w:t>1</w:t>
                  </w:r>
                </w:p>
              </w:tc>
              <w:tc>
                <w:tcPr>
                  <w:tcW w:w="2772" w:type="dxa"/>
                  <w:noWrap/>
                </w:tcPr>
                <w:p w14:paraId="762F6199">
                  <w:pPr>
                    <w:spacing w:line="360" w:lineRule="auto"/>
                    <w:jc w:val="left"/>
                    <w:rPr>
                      <w:rFonts w:ascii="宋体" w:hAnsi="宋体" w:cs="宋体"/>
                      <w:szCs w:val="21"/>
                    </w:rPr>
                  </w:pPr>
                  <w:r>
                    <w:rPr>
                      <w:rFonts w:hint="eastAsia" w:ascii="宋体" w:hAnsi="宋体" w:cs="宋体"/>
                      <w:szCs w:val="21"/>
                    </w:rPr>
                    <w:t>涂料、乳胶漆</w:t>
                  </w:r>
                </w:p>
              </w:tc>
              <w:tc>
                <w:tcPr>
                  <w:tcW w:w="4860" w:type="dxa"/>
                  <w:noWrap/>
                </w:tcPr>
                <w:p w14:paraId="54C4F342">
                  <w:pPr>
                    <w:spacing w:line="360" w:lineRule="auto"/>
                    <w:jc w:val="left"/>
                    <w:rPr>
                      <w:rFonts w:ascii="宋体" w:hAnsi="宋体" w:cs="宋体"/>
                      <w:szCs w:val="21"/>
                    </w:rPr>
                  </w:pPr>
                  <w:r>
                    <w:rPr>
                      <w:rFonts w:hint="eastAsia" w:ascii="宋体" w:hAnsi="宋体" w:cs="宋体"/>
                      <w:szCs w:val="21"/>
                    </w:rPr>
                    <w:t>立邦、多乐士、亚士</w:t>
                  </w:r>
                  <w:r>
                    <w:rPr>
                      <w:rFonts w:hint="eastAsia" w:ascii="宋体" w:hAnsi="宋体" w:cs="宋体"/>
                      <w:kern w:val="0"/>
                      <w:szCs w:val="21"/>
                    </w:rPr>
                    <w:t>或同档次及以上</w:t>
                  </w:r>
                </w:p>
              </w:tc>
            </w:tr>
            <w:tr w14:paraId="66FB1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40" w:type="dxa"/>
                  <w:noWrap/>
                  <w:vAlign w:val="center"/>
                </w:tcPr>
                <w:p w14:paraId="6A8631D1">
                  <w:pPr>
                    <w:pStyle w:val="44"/>
                    <w:widowControl/>
                    <w:spacing w:line="360" w:lineRule="auto"/>
                    <w:jc w:val="center"/>
                    <w:rPr>
                      <w:rFonts w:ascii="宋体" w:hAnsi="宋体" w:cs="宋体"/>
                      <w:kern w:val="0"/>
                      <w:szCs w:val="21"/>
                    </w:rPr>
                  </w:pPr>
                  <w:r>
                    <w:rPr>
                      <w:rFonts w:hint="eastAsia" w:ascii="宋体" w:hAnsi="宋体" w:cs="宋体"/>
                      <w:kern w:val="0"/>
                      <w:szCs w:val="21"/>
                    </w:rPr>
                    <w:t>2</w:t>
                  </w:r>
                </w:p>
              </w:tc>
              <w:tc>
                <w:tcPr>
                  <w:tcW w:w="2772" w:type="dxa"/>
                  <w:noWrap/>
                  <w:vAlign w:val="center"/>
                </w:tcPr>
                <w:p w14:paraId="75EC461E">
                  <w:pPr>
                    <w:pStyle w:val="44"/>
                    <w:widowControl/>
                    <w:spacing w:line="360" w:lineRule="auto"/>
                    <w:rPr>
                      <w:rFonts w:ascii="宋体" w:hAnsi="宋体" w:cs="宋体"/>
                      <w:kern w:val="0"/>
                      <w:szCs w:val="21"/>
                    </w:rPr>
                  </w:pPr>
                  <w:r>
                    <w:rPr>
                      <w:rFonts w:hint="eastAsia" w:ascii="宋体" w:hAnsi="宋体" w:cs="宋体"/>
                      <w:kern w:val="0"/>
                      <w:szCs w:val="21"/>
                    </w:rPr>
                    <w:t>铝合金型材</w:t>
                  </w:r>
                </w:p>
              </w:tc>
              <w:tc>
                <w:tcPr>
                  <w:tcW w:w="4860" w:type="dxa"/>
                  <w:noWrap/>
                  <w:vAlign w:val="center"/>
                </w:tcPr>
                <w:p w14:paraId="3494B7EF">
                  <w:pPr>
                    <w:pStyle w:val="44"/>
                    <w:widowControl/>
                    <w:spacing w:line="360" w:lineRule="auto"/>
                    <w:rPr>
                      <w:rFonts w:ascii="宋体" w:hAnsi="宋体" w:cs="宋体"/>
                      <w:kern w:val="0"/>
                      <w:szCs w:val="21"/>
                    </w:rPr>
                  </w:pPr>
                  <w:r>
                    <w:rPr>
                      <w:rFonts w:hint="eastAsia" w:ascii="宋体" w:hAnsi="宋体" w:cs="宋体"/>
                      <w:kern w:val="0"/>
                      <w:szCs w:val="21"/>
                    </w:rPr>
                    <w:t>佛山坚美、广东坚美、亚铝或同档次及以上</w:t>
                  </w:r>
                </w:p>
              </w:tc>
            </w:tr>
            <w:tr w14:paraId="37865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40" w:type="dxa"/>
                  <w:noWrap/>
                  <w:vAlign w:val="center"/>
                </w:tcPr>
                <w:p w14:paraId="2FC6D9E2">
                  <w:pPr>
                    <w:pStyle w:val="44"/>
                    <w:widowControl/>
                    <w:spacing w:line="360" w:lineRule="auto"/>
                    <w:jc w:val="center"/>
                    <w:rPr>
                      <w:rFonts w:ascii="宋体" w:hAnsi="宋体" w:cs="宋体"/>
                      <w:kern w:val="0"/>
                      <w:szCs w:val="21"/>
                    </w:rPr>
                  </w:pPr>
                  <w:r>
                    <w:rPr>
                      <w:rFonts w:hint="eastAsia" w:ascii="宋体" w:hAnsi="宋体" w:cs="宋体"/>
                      <w:kern w:val="0"/>
                      <w:szCs w:val="21"/>
                    </w:rPr>
                    <w:t>3</w:t>
                  </w:r>
                </w:p>
              </w:tc>
              <w:tc>
                <w:tcPr>
                  <w:tcW w:w="2772" w:type="dxa"/>
                  <w:noWrap/>
                  <w:vAlign w:val="center"/>
                </w:tcPr>
                <w:p w14:paraId="22DBFF46">
                  <w:pPr>
                    <w:pStyle w:val="44"/>
                    <w:widowControl/>
                    <w:tabs>
                      <w:tab w:val="left" w:pos="667"/>
                    </w:tabs>
                    <w:spacing w:line="360" w:lineRule="auto"/>
                    <w:rPr>
                      <w:rFonts w:ascii="宋体" w:hAnsi="宋体" w:cs="宋体"/>
                      <w:kern w:val="0"/>
                      <w:szCs w:val="21"/>
                    </w:rPr>
                  </w:pPr>
                  <w:r>
                    <w:rPr>
                      <w:rFonts w:hint="eastAsia" w:ascii="宋体" w:hAnsi="宋体" w:cs="宋体"/>
                      <w:kern w:val="0"/>
                      <w:szCs w:val="21"/>
                    </w:rPr>
                    <w:t>不锈钢栏杆</w:t>
                  </w:r>
                </w:p>
              </w:tc>
              <w:tc>
                <w:tcPr>
                  <w:tcW w:w="4860" w:type="dxa"/>
                  <w:noWrap/>
                  <w:vAlign w:val="center"/>
                </w:tcPr>
                <w:p w14:paraId="428E7710">
                  <w:pPr>
                    <w:pStyle w:val="44"/>
                    <w:widowControl/>
                    <w:spacing w:line="360" w:lineRule="auto"/>
                    <w:rPr>
                      <w:rFonts w:ascii="宋体" w:hAnsi="宋体" w:cs="宋体"/>
                      <w:kern w:val="0"/>
                      <w:szCs w:val="21"/>
                    </w:rPr>
                  </w:pPr>
                  <w:r>
                    <w:rPr>
                      <w:rFonts w:hint="eastAsia" w:ascii="宋体" w:hAnsi="宋体" w:cs="宋体"/>
                      <w:kern w:val="0"/>
                      <w:szCs w:val="21"/>
                    </w:rPr>
                    <w:t>佳麒、恒丰、联兴或同档次及以上</w:t>
                  </w:r>
                </w:p>
              </w:tc>
            </w:tr>
            <w:tr w14:paraId="410EE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 w:type="dxa"/>
                  <w:noWrap/>
                  <w:vAlign w:val="center"/>
                </w:tcPr>
                <w:p w14:paraId="1CEF60A4">
                  <w:pPr>
                    <w:pStyle w:val="44"/>
                    <w:widowControl/>
                    <w:spacing w:line="360" w:lineRule="auto"/>
                    <w:jc w:val="center"/>
                    <w:rPr>
                      <w:rFonts w:ascii="宋体" w:hAnsi="宋体" w:cs="宋体"/>
                      <w:kern w:val="0"/>
                      <w:szCs w:val="21"/>
                    </w:rPr>
                  </w:pPr>
                  <w:r>
                    <w:rPr>
                      <w:rFonts w:hint="eastAsia" w:ascii="宋体" w:hAnsi="宋体" w:cs="宋体"/>
                      <w:kern w:val="0"/>
                      <w:szCs w:val="21"/>
                    </w:rPr>
                    <w:t>4</w:t>
                  </w:r>
                </w:p>
              </w:tc>
              <w:tc>
                <w:tcPr>
                  <w:tcW w:w="2772" w:type="dxa"/>
                  <w:noWrap/>
                  <w:vAlign w:val="center"/>
                </w:tcPr>
                <w:p w14:paraId="074733D8">
                  <w:pPr>
                    <w:pStyle w:val="44"/>
                    <w:widowControl/>
                    <w:tabs>
                      <w:tab w:val="left" w:pos="667"/>
                    </w:tabs>
                    <w:spacing w:line="360" w:lineRule="auto"/>
                    <w:rPr>
                      <w:rFonts w:ascii="宋体" w:hAnsi="宋体" w:cs="宋体"/>
                      <w:kern w:val="0"/>
                      <w:szCs w:val="21"/>
                    </w:rPr>
                  </w:pPr>
                  <w:r>
                    <w:rPr>
                      <w:rFonts w:hint="eastAsia" w:ascii="宋体" w:hAnsi="宋体" w:cs="宋体"/>
                      <w:kern w:val="0"/>
                      <w:szCs w:val="21"/>
                    </w:rPr>
                    <w:t>石材</w:t>
                  </w:r>
                </w:p>
              </w:tc>
              <w:tc>
                <w:tcPr>
                  <w:tcW w:w="4860" w:type="dxa"/>
                  <w:noWrap/>
                  <w:vAlign w:val="center"/>
                </w:tcPr>
                <w:p w14:paraId="178AE703">
                  <w:pPr>
                    <w:pStyle w:val="44"/>
                    <w:widowControl/>
                    <w:spacing w:line="360" w:lineRule="auto"/>
                    <w:rPr>
                      <w:rFonts w:ascii="宋体" w:hAnsi="宋体" w:cs="宋体"/>
                      <w:kern w:val="0"/>
                      <w:szCs w:val="21"/>
                    </w:rPr>
                  </w:pPr>
                  <w:r>
                    <w:rPr>
                      <w:rFonts w:hint="eastAsia" w:ascii="宋体" w:hAnsi="宋体" w:cs="宋体"/>
                      <w:kern w:val="0"/>
                      <w:szCs w:val="21"/>
                    </w:rPr>
                    <w:t>康利、环球石材、宏发或同档次及以上</w:t>
                  </w:r>
                </w:p>
              </w:tc>
            </w:tr>
            <w:tr w14:paraId="3EFB4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 w:type="dxa"/>
                  <w:noWrap/>
                  <w:vAlign w:val="center"/>
                </w:tcPr>
                <w:p w14:paraId="4490D9A4">
                  <w:pPr>
                    <w:pStyle w:val="44"/>
                    <w:widowControl/>
                    <w:spacing w:line="360" w:lineRule="auto"/>
                    <w:jc w:val="center"/>
                    <w:rPr>
                      <w:rFonts w:ascii="宋体" w:hAnsi="宋体" w:cs="宋体"/>
                      <w:kern w:val="0"/>
                      <w:szCs w:val="21"/>
                    </w:rPr>
                  </w:pPr>
                  <w:r>
                    <w:rPr>
                      <w:rFonts w:hint="eastAsia" w:ascii="宋体" w:hAnsi="宋体" w:cs="宋体"/>
                      <w:kern w:val="0"/>
                      <w:szCs w:val="21"/>
                    </w:rPr>
                    <w:t>5</w:t>
                  </w:r>
                </w:p>
              </w:tc>
              <w:tc>
                <w:tcPr>
                  <w:tcW w:w="2772" w:type="dxa"/>
                  <w:noWrap/>
                  <w:vAlign w:val="center"/>
                </w:tcPr>
                <w:p w14:paraId="03CE7347">
                  <w:pPr>
                    <w:pStyle w:val="44"/>
                    <w:widowControl/>
                    <w:spacing w:line="360" w:lineRule="auto"/>
                    <w:rPr>
                      <w:rFonts w:ascii="宋体" w:hAnsi="宋体" w:cs="宋体"/>
                      <w:kern w:val="0"/>
                      <w:szCs w:val="21"/>
                    </w:rPr>
                  </w:pPr>
                  <w:r>
                    <w:rPr>
                      <w:rFonts w:hint="eastAsia" w:ascii="宋体" w:hAnsi="宋体" w:cs="宋体"/>
                      <w:kern w:val="0"/>
                      <w:szCs w:val="21"/>
                    </w:rPr>
                    <w:t>开关、插座</w:t>
                  </w:r>
                </w:p>
              </w:tc>
              <w:tc>
                <w:tcPr>
                  <w:tcW w:w="4860" w:type="dxa"/>
                  <w:noWrap/>
                  <w:vAlign w:val="center"/>
                </w:tcPr>
                <w:p w14:paraId="11418A38">
                  <w:pPr>
                    <w:pStyle w:val="44"/>
                    <w:widowControl/>
                    <w:spacing w:line="360" w:lineRule="auto"/>
                    <w:rPr>
                      <w:rFonts w:ascii="宋体" w:hAnsi="宋体" w:cs="宋体"/>
                      <w:kern w:val="0"/>
                      <w:szCs w:val="21"/>
                    </w:rPr>
                  </w:pPr>
                  <w:r>
                    <w:rPr>
                      <w:rFonts w:hint="eastAsia" w:ascii="宋体" w:hAnsi="宋体" w:cs="宋体"/>
                      <w:kern w:val="0"/>
                      <w:szCs w:val="21"/>
                    </w:rPr>
                    <w:t>鸿雁、德力西、正泰或同档次及以上</w:t>
                  </w:r>
                </w:p>
              </w:tc>
            </w:tr>
            <w:tr w14:paraId="723C7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 w:type="dxa"/>
                  <w:noWrap/>
                  <w:vAlign w:val="center"/>
                </w:tcPr>
                <w:p w14:paraId="6646A222">
                  <w:pPr>
                    <w:pStyle w:val="44"/>
                    <w:widowControl/>
                    <w:spacing w:line="360" w:lineRule="auto"/>
                    <w:jc w:val="center"/>
                    <w:rPr>
                      <w:rFonts w:ascii="宋体" w:hAnsi="宋体" w:cs="宋体"/>
                      <w:kern w:val="0"/>
                      <w:szCs w:val="21"/>
                    </w:rPr>
                  </w:pPr>
                  <w:r>
                    <w:rPr>
                      <w:rFonts w:hint="eastAsia" w:ascii="宋体" w:hAnsi="宋体" w:cs="宋体"/>
                      <w:kern w:val="0"/>
                      <w:szCs w:val="21"/>
                    </w:rPr>
                    <w:t>6</w:t>
                  </w:r>
                </w:p>
              </w:tc>
              <w:tc>
                <w:tcPr>
                  <w:tcW w:w="2772" w:type="dxa"/>
                  <w:noWrap/>
                  <w:vAlign w:val="center"/>
                </w:tcPr>
                <w:p w14:paraId="3257EAC7">
                  <w:pPr>
                    <w:pStyle w:val="44"/>
                    <w:widowControl/>
                    <w:spacing w:line="360" w:lineRule="auto"/>
                    <w:rPr>
                      <w:rFonts w:ascii="宋体" w:hAnsi="宋体" w:cs="宋体"/>
                      <w:kern w:val="0"/>
                      <w:szCs w:val="21"/>
                    </w:rPr>
                  </w:pPr>
                  <w:r>
                    <w:rPr>
                      <w:rFonts w:hint="eastAsia" w:ascii="宋体" w:hAnsi="宋体" w:cs="宋体"/>
                      <w:kern w:val="0"/>
                      <w:szCs w:val="21"/>
                    </w:rPr>
                    <w:t>灯具、光源</w:t>
                  </w:r>
                </w:p>
              </w:tc>
              <w:tc>
                <w:tcPr>
                  <w:tcW w:w="4860" w:type="dxa"/>
                  <w:noWrap/>
                  <w:vAlign w:val="center"/>
                </w:tcPr>
                <w:p w14:paraId="7119BE9B">
                  <w:pPr>
                    <w:pStyle w:val="44"/>
                    <w:widowControl/>
                    <w:spacing w:line="360" w:lineRule="auto"/>
                    <w:rPr>
                      <w:rFonts w:ascii="宋体" w:hAnsi="宋体" w:cs="宋体"/>
                      <w:kern w:val="0"/>
                      <w:szCs w:val="21"/>
                    </w:rPr>
                  </w:pPr>
                  <w:r>
                    <w:rPr>
                      <w:rFonts w:hint="eastAsia" w:ascii="宋体" w:hAnsi="宋体" w:cs="宋体"/>
                      <w:kern w:val="0"/>
                      <w:szCs w:val="21"/>
                    </w:rPr>
                    <w:t>飞利浦、雷士、欧普或同档次及以上</w:t>
                  </w:r>
                </w:p>
              </w:tc>
            </w:tr>
            <w:tr w14:paraId="27758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 w:type="dxa"/>
                  <w:noWrap/>
                  <w:vAlign w:val="center"/>
                </w:tcPr>
                <w:p w14:paraId="190149AC">
                  <w:pPr>
                    <w:pStyle w:val="44"/>
                    <w:widowControl/>
                    <w:spacing w:line="360" w:lineRule="auto"/>
                    <w:jc w:val="center"/>
                    <w:rPr>
                      <w:rFonts w:ascii="宋体" w:hAnsi="宋体" w:cs="宋体"/>
                      <w:kern w:val="0"/>
                      <w:szCs w:val="21"/>
                    </w:rPr>
                  </w:pPr>
                  <w:r>
                    <w:rPr>
                      <w:rFonts w:hint="eastAsia" w:ascii="宋体" w:hAnsi="宋体" w:cs="宋体"/>
                      <w:kern w:val="0"/>
                      <w:szCs w:val="21"/>
                    </w:rPr>
                    <w:t>7</w:t>
                  </w:r>
                </w:p>
              </w:tc>
              <w:tc>
                <w:tcPr>
                  <w:tcW w:w="2772" w:type="dxa"/>
                  <w:noWrap/>
                  <w:vAlign w:val="center"/>
                </w:tcPr>
                <w:p w14:paraId="7071B09B">
                  <w:pPr>
                    <w:pStyle w:val="44"/>
                    <w:widowControl/>
                    <w:spacing w:line="360" w:lineRule="auto"/>
                    <w:rPr>
                      <w:rFonts w:ascii="宋体" w:hAnsi="宋体" w:cs="宋体"/>
                      <w:kern w:val="0"/>
                      <w:szCs w:val="21"/>
                    </w:rPr>
                  </w:pPr>
                  <w:r>
                    <w:rPr>
                      <w:rFonts w:hint="eastAsia" w:ascii="宋体" w:hAnsi="宋体" w:cs="宋体"/>
                      <w:kern w:val="0"/>
                      <w:szCs w:val="21"/>
                    </w:rPr>
                    <w:t>电线、电缆</w:t>
                  </w:r>
                </w:p>
              </w:tc>
              <w:tc>
                <w:tcPr>
                  <w:tcW w:w="4860" w:type="dxa"/>
                  <w:noWrap/>
                  <w:vAlign w:val="center"/>
                </w:tcPr>
                <w:p w14:paraId="0F692FF9">
                  <w:pPr>
                    <w:pStyle w:val="44"/>
                    <w:widowControl/>
                    <w:spacing w:line="360" w:lineRule="auto"/>
                    <w:rPr>
                      <w:rFonts w:ascii="宋体" w:hAnsi="宋体" w:cs="宋体"/>
                      <w:kern w:val="0"/>
                      <w:szCs w:val="21"/>
                    </w:rPr>
                  </w:pPr>
                  <w:r>
                    <w:rPr>
                      <w:rFonts w:hint="eastAsia" w:ascii="宋体" w:hAnsi="宋体" w:cs="宋体"/>
                      <w:kern w:val="0"/>
                      <w:szCs w:val="21"/>
                    </w:rPr>
                    <w:t>宝胜、远东、上上或同档次及以上</w:t>
                  </w:r>
                </w:p>
              </w:tc>
            </w:tr>
            <w:tr w14:paraId="57F4E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 w:type="dxa"/>
                  <w:noWrap/>
                  <w:vAlign w:val="center"/>
                </w:tcPr>
                <w:p w14:paraId="278EDAE2">
                  <w:pPr>
                    <w:pStyle w:val="44"/>
                    <w:widowControl/>
                    <w:spacing w:line="360" w:lineRule="auto"/>
                    <w:jc w:val="center"/>
                    <w:rPr>
                      <w:rFonts w:ascii="宋体" w:hAnsi="宋体" w:cs="宋体"/>
                      <w:kern w:val="0"/>
                      <w:szCs w:val="21"/>
                    </w:rPr>
                  </w:pPr>
                  <w:r>
                    <w:rPr>
                      <w:rFonts w:hint="eastAsia" w:ascii="宋体" w:hAnsi="宋体" w:cs="宋体"/>
                      <w:kern w:val="0"/>
                      <w:szCs w:val="21"/>
                    </w:rPr>
                    <w:t>8</w:t>
                  </w:r>
                </w:p>
              </w:tc>
              <w:tc>
                <w:tcPr>
                  <w:tcW w:w="2772" w:type="dxa"/>
                  <w:noWrap/>
                  <w:vAlign w:val="center"/>
                </w:tcPr>
                <w:p w14:paraId="2E155EA9">
                  <w:pPr>
                    <w:pStyle w:val="44"/>
                    <w:widowControl/>
                    <w:spacing w:line="360" w:lineRule="auto"/>
                    <w:rPr>
                      <w:rFonts w:ascii="宋体" w:hAnsi="宋体" w:cs="宋体"/>
                      <w:kern w:val="0"/>
                      <w:szCs w:val="21"/>
                    </w:rPr>
                  </w:pPr>
                  <w:r>
                    <w:rPr>
                      <w:rFonts w:hint="eastAsia" w:ascii="宋体" w:hAnsi="宋体" w:cs="宋体"/>
                      <w:kern w:val="0"/>
                      <w:szCs w:val="21"/>
                    </w:rPr>
                    <w:t>洗脸盆、混水龙头</w:t>
                  </w:r>
                </w:p>
              </w:tc>
              <w:tc>
                <w:tcPr>
                  <w:tcW w:w="4860" w:type="dxa"/>
                  <w:noWrap/>
                  <w:vAlign w:val="center"/>
                </w:tcPr>
                <w:p w14:paraId="66B430FA">
                  <w:pPr>
                    <w:pStyle w:val="44"/>
                    <w:widowControl/>
                    <w:spacing w:line="360" w:lineRule="auto"/>
                    <w:rPr>
                      <w:rFonts w:ascii="宋体" w:hAnsi="宋体" w:cs="宋体"/>
                      <w:kern w:val="0"/>
                      <w:szCs w:val="21"/>
                    </w:rPr>
                  </w:pPr>
                  <w:r>
                    <w:rPr>
                      <w:rFonts w:hint="eastAsia" w:ascii="宋体" w:hAnsi="宋体" w:cs="宋体"/>
                      <w:kern w:val="0"/>
                      <w:szCs w:val="21"/>
                    </w:rPr>
                    <w:t>惠达、东鹏、恒洁、洁陶、杭诚或同档次及以上</w:t>
                  </w:r>
                </w:p>
              </w:tc>
            </w:tr>
            <w:tr w14:paraId="47128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 w:type="dxa"/>
                  <w:shd w:val="clear" w:color="auto" w:fill="auto"/>
                  <w:noWrap/>
                  <w:vAlign w:val="center"/>
                </w:tcPr>
                <w:p w14:paraId="4D45429D">
                  <w:pPr>
                    <w:pStyle w:val="44"/>
                    <w:widowControl/>
                    <w:spacing w:line="360" w:lineRule="auto"/>
                    <w:jc w:val="center"/>
                    <w:rPr>
                      <w:rFonts w:ascii="宋体" w:hAnsi="宋体" w:cs="宋体"/>
                      <w:kern w:val="0"/>
                      <w:szCs w:val="21"/>
                    </w:rPr>
                  </w:pPr>
                  <w:r>
                    <w:rPr>
                      <w:rFonts w:hint="eastAsia" w:ascii="宋体" w:hAnsi="宋体" w:cs="宋体"/>
                      <w:kern w:val="0"/>
                      <w:szCs w:val="21"/>
                    </w:rPr>
                    <w:t>9</w:t>
                  </w:r>
                </w:p>
              </w:tc>
              <w:tc>
                <w:tcPr>
                  <w:tcW w:w="2772" w:type="dxa"/>
                  <w:shd w:val="clear" w:color="auto" w:fill="auto"/>
                  <w:noWrap/>
                  <w:vAlign w:val="center"/>
                </w:tcPr>
                <w:p w14:paraId="6D1F3A96">
                  <w:pPr>
                    <w:pStyle w:val="44"/>
                    <w:widowControl/>
                    <w:spacing w:line="360" w:lineRule="auto"/>
                    <w:rPr>
                      <w:rFonts w:ascii="宋体" w:hAnsi="宋体" w:cs="宋体"/>
                      <w:kern w:val="0"/>
                      <w:szCs w:val="21"/>
                    </w:rPr>
                  </w:pPr>
                  <w:r>
                    <w:rPr>
                      <w:rFonts w:hint="eastAsia" w:ascii="宋体" w:hAnsi="宋体" w:cs="宋体"/>
                      <w:kern w:val="0"/>
                      <w:szCs w:val="21"/>
                    </w:rPr>
                    <w:t>木门</w:t>
                  </w:r>
                </w:p>
              </w:tc>
              <w:tc>
                <w:tcPr>
                  <w:tcW w:w="4860" w:type="dxa"/>
                  <w:shd w:val="clear" w:color="auto" w:fill="auto"/>
                  <w:noWrap/>
                  <w:vAlign w:val="center"/>
                </w:tcPr>
                <w:p w14:paraId="30C445F5">
                  <w:pPr>
                    <w:pStyle w:val="44"/>
                    <w:widowControl/>
                    <w:spacing w:line="360" w:lineRule="auto"/>
                    <w:rPr>
                      <w:rFonts w:ascii="宋体" w:hAnsi="宋体" w:cs="宋体"/>
                      <w:kern w:val="0"/>
                      <w:szCs w:val="21"/>
                    </w:rPr>
                  </w:pPr>
                  <w:r>
                    <w:rPr>
                      <w:rFonts w:hint="eastAsia" w:ascii="宋体" w:hAnsi="宋体" w:cs="宋体"/>
                      <w:kern w:val="0"/>
                      <w:szCs w:val="21"/>
                    </w:rPr>
                    <w:t>喜泰乐、泰诺、昊博或同档次及以上</w:t>
                  </w:r>
                </w:p>
              </w:tc>
            </w:tr>
          </w:tbl>
          <w:p w14:paraId="0368DF32">
            <w:pPr>
              <w:widowControl/>
              <w:spacing w:line="360" w:lineRule="auto"/>
              <w:ind w:left="420" w:leftChars="200"/>
              <w:jc w:val="left"/>
              <w:rPr>
                <w:rFonts w:ascii="宋体" w:hAnsi="宋体" w:cs="宋体"/>
                <w:b/>
                <w:bCs/>
                <w:szCs w:val="21"/>
              </w:rPr>
            </w:pPr>
          </w:p>
        </w:tc>
      </w:tr>
    </w:tbl>
    <w:p w14:paraId="40CE4CA7">
      <w:pPr>
        <w:spacing w:line="360" w:lineRule="auto"/>
        <w:rPr>
          <w:rFonts w:asciiTheme="minorEastAsia" w:hAnsiTheme="minorEastAsia" w:eastAsiaTheme="minorEastAsia" w:cstheme="minorEastAsia"/>
          <w:szCs w:val="21"/>
        </w:rPr>
      </w:pPr>
    </w:p>
    <w:sectPr>
      <w:headerReference r:id="rId3" w:type="default"/>
      <w:headerReference r:id="rId4" w:type="even"/>
      <w:footerReference r:id="rId5" w:type="even"/>
      <w:pgSz w:w="11906" w:h="16838"/>
      <w:pgMar w:top="1242" w:right="1134" w:bottom="1088" w:left="1134"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A203E1">
    <w:pPr>
      <w:pStyle w:val="13"/>
      <w:framePr w:wrap="around" w:vAnchor="text" w:hAnchor="margin" w:xAlign="center" w:y="1"/>
      <w:rPr>
        <w:rStyle w:val="20"/>
      </w:rPr>
    </w:pPr>
    <w:r>
      <w:fldChar w:fldCharType="begin"/>
    </w:r>
    <w:r>
      <w:rPr>
        <w:rStyle w:val="20"/>
      </w:rPr>
      <w:instrText xml:space="preserve">PAGE  </w:instrText>
    </w:r>
    <w:r>
      <w:fldChar w:fldCharType="end"/>
    </w:r>
  </w:p>
  <w:p w14:paraId="715B3105">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71388A">
    <w:pPr>
      <w:spacing w:beforeLines="150" w:line="480" w:lineRule="auto"/>
      <w:ind w:right="360"/>
      <w:jc w:val="center"/>
      <w:rPr>
        <w:rFonts w:ascii="宋体" w:hAnsi="宋体"/>
        <w:b/>
        <w:bCs/>
        <w:sz w:val="44"/>
        <w:szCs w:val="44"/>
      </w:rPr>
    </w:pPr>
    <w:r>
      <w:rPr>
        <w:rFonts w:hint="eastAsia" w:ascii="宋体" w:hAnsi="宋体"/>
        <w:b/>
        <w:bCs/>
        <w:sz w:val="44"/>
        <w:szCs w:val="44"/>
      </w:rPr>
      <w:t>招标工程量清单编制说明</w:t>
    </w:r>
  </w:p>
  <w:p w14:paraId="6B159E01">
    <w:pPr>
      <w:rPr>
        <w:rFonts w:ascii="宋体" w:hAnsi="宋体"/>
        <w:szCs w:val="21"/>
      </w:rPr>
    </w:pPr>
    <w:r>
      <w:rPr>
        <w:rStyle w:val="20"/>
        <w:rFonts w:hint="eastAsia" w:ascii="宋体" w:hAnsi="宋体"/>
        <w:kern w:val="0"/>
        <w:szCs w:val="21"/>
      </w:rPr>
      <w:t>工程名称：</w:t>
    </w:r>
    <w:r>
      <w:rPr>
        <w:rStyle w:val="20"/>
        <w:rFonts w:hint="eastAsia" w:ascii="宋体" w:hAnsi="宋体"/>
        <w:kern w:val="0"/>
        <w:szCs w:val="21"/>
        <w:lang w:eastAsia="zh-CN"/>
      </w:rPr>
      <w:t>杭州电子科技大学下沙校区14#、15#、31#宿舍装修改造工程标项四</w:t>
    </w:r>
    <w:r>
      <w:rPr>
        <w:rStyle w:val="20"/>
        <w:rFonts w:hint="eastAsia" w:ascii="宋体" w:hAnsi="宋体"/>
        <w:kern w:val="0"/>
        <w:szCs w:val="21"/>
      </w:rPr>
      <w:t xml:space="preserve"> </w:t>
    </w:r>
    <w:r>
      <w:rPr>
        <w:rStyle w:val="20"/>
        <w:rFonts w:hint="eastAsia" w:ascii="宋体" w:hAnsi="宋体"/>
        <w:kern w:val="0"/>
        <w:szCs w:val="21"/>
        <w:lang w:val="en-US" w:eastAsia="zh-CN"/>
      </w:rPr>
      <w:t xml:space="preserve">    </w:t>
    </w:r>
    <w:r>
      <w:rPr>
        <w:rStyle w:val="20"/>
        <w:rFonts w:hint="eastAsia" w:ascii="宋体" w:hAnsi="宋体"/>
        <w:szCs w:val="21"/>
      </w:rPr>
      <w:t>第</w:t>
    </w:r>
    <w:r>
      <w:rPr>
        <w:rFonts w:ascii="宋体" w:hAnsi="宋体"/>
        <w:szCs w:val="21"/>
      </w:rPr>
      <w:fldChar w:fldCharType="begin"/>
    </w:r>
    <w:r>
      <w:rPr>
        <w:rStyle w:val="20"/>
        <w:rFonts w:ascii="宋体" w:hAnsi="宋体"/>
        <w:szCs w:val="21"/>
      </w:rPr>
      <w:instrText xml:space="preserve"> PAGE </w:instrText>
    </w:r>
    <w:r>
      <w:rPr>
        <w:rFonts w:ascii="宋体" w:hAnsi="宋体"/>
        <w:szCs w:val="21"/>
      </w:rPr>
      <w:fldChar w:fldCharType="separate"/>
    </w:r>
    <w:r>
      <w:rPr>
        <w:rStyle w:val="20"/>
        <w:rFonts w:ascii="宋体" w:hAnsi="宋体"/>
        <w:szCs w:val="21"/>
      </w:rPr>
      <w:t>4</w:t>
    </w:r>
    <w:r>
      <w:rPr>
        <w:rFonts w:ascii="宋体" w:hAnsi="宋体"/>
        <w:szCs w:val="21"/>
      </w:rPr>
      <w:fldChar w:fldCharType="end"/>
    </w:r>
    <w:r>
      <w:rPr>
        <w:rStyle w:val="20"/>
        <w:rFonts w:hint="eastAsia" w:ascii="宋体" w:hAnsi="宋体"/>
        <w:szCs w:val="21"/>
      </w:rPr>
      <w:t>页  共5页</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D8E1F4">
    <w:pPr>
      <w:pStyle w:val="14"/>
      <w:framePr w:wrap="around" w:vAnchor="text" w:hAnchor="margin" w:xAlign="right" w:y="1"/>
      <w:rPr>
        <w:rStyle w:val="20"/>
      </w:rPr>
    </w:pPr>
    <w:r>
      <w:fldChar w:fldCharType="begin"/>
    </w:r>
    <w:r>
      <w:rPr>
        <w:rStyle w:val="20"/>
      </w:rPr>
      <w:instrText xml:space="preserve">PAGE  </w:instrText>
    </w:r>
    <w:r>
      <w:fldChar w:fldCharType="end"/>
    </w:r>
  </w:p>
  <w:p w14:paraId="1EAA47E5">
    <w:pPr>
      <w:pStyle w:val="14"/>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6632BB"/>
    <w:multiLevelType w:val="singleLevel"/>
    <w:tmpl w:val="206632BB"/>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TrackMoves/>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zA0NzhiZTM4YzFmZTkxOWJhMDAyZjBkZGE1NDg2YzQifQ=="/>
  </w:docVars>
  <w:rsids>
    <w:rsidRoot w:val="7F87223B"/>
    <w:rsid w:val="00005402"/>
    <w:rsid w:val="00005CA0"/>
    <w:rsid w:val="00010A13"/>
    <w:rsid w:val="00013ED1"/>
    <w:rsid w:val="00033E36"/>
    <w:rsid w:val="00034FB3"/>
    <w:rsid w:val="000352F5"/>
    <w:rsid w:val="00035A0A"/>
    <w:rsid w:val="000360DE"/>
    <w:rsid w:val="00041D68"/>
    <w:rsid w:val="0004239C"/>
    <w:rsid w:val="00043998"/>
    <w:rsid w:val="0004707D"/>
    <w:rsid w:val="00047F5A"/>
    <w:rsid w:val="000555BE"/>
    <w:rsid w:val="00063335"/>
    <w:rsid w:val="00064AB8"/>
    <w:rsid w:val="0006728D"/>
    <w:rsid w:val="000820EB"/>
    <w:rsid w:val="000843F3"/>
    <w:rsid w:val="00086F97"/>
    <w:rsid w:val="00091FA7"/>
    <w:rsid w:val="000B10D0"/>
    <w:rsid w:val="000B434F"/>
    <w:rsid w:val="000B5936"/>
    <w:rsid w:val="000B79A8"/>
    <w:rsid w:val="000C2821"/>
    <w:rsid w:val="000C47BA"/>
    <w:rsid w:val="000C728B"/>
    <w:rsid w:val="000D0923"/>
    <w:rsid w:val="000D6FC0"/>
    <w:rsid w:val="000D781B"/>
    <w:rsid w:val="000E137E"/>
    <w:rsid w:val="000F51BB"/>
    <w:rsid w:val="000F550D"/>
    <w:rsid w:val="000F559B"/>
    <w:rsid w:val="000F6D5B"/>
    <w:rsid w:val="00101A85"/>
    <w:rsid w:val="00107BB6"/>
    <w:rsid w:val="00112EB2"/>
    <w:rsid w:val="00132C2F"/>
    <w:rsid w:val="001358F9"/>
    <w:rsid w:val="00140790"/>
    <w:rsid w:val="00141543"/>
    <w:rsid w:val="00151941"/>
    <w:rsid w:val="00152FF8"/>
    <w:rsid w:val="001649BF"/>
    <w:rsid w:val="0017749E"/>
    <w:rsid w:val="00190E5B"/>
    <w:rsid w:val="001A090B"/>
    <w:rsid w:val="001C2290"/>
    <w:rsid w:val="001D1161"/>
    <w:rsid w:val="001D2048"/>
    <w:rsid w:val="001E5C4A"/>
    <w:rsid w:val="00205870"/>
    <w:rsid w:val="00210793"/>
    <w:rsid w:val="00211792"/>
    <w:rsid w:val="002171FF"/>
    <w:rsid w:val="00217447"/>
    <w:rsid w:val="0022489E"/>
    <w:rsid w:val="00237D61"/>
    <w:rsid w:val="00240DD2"/>
    <w:rsid w:val="00242A02"/>
    <w:rsid w:val="002460F5"/>
    <w:rsid w:val="00246443"/>
    <w:rsid w:val="0025496A"/>
    <w:rsid w:val="00263920"/>
    <w:rsid w:val="002742DA"/>
    <w:rsid w:val="00277E64"/>
    <w:rsid w:val="00280923"/>
    <w:rsid w:val="002834F3"/>
    <w:rsid w:val="002907AD"/>
    <w:rsid w:val="002931A5"/>
    <w:rsid w:val="002A0979"/>
    <w:rsid w:val="002A2291"/>
    <w:rsid w:val="002B38A1"/>
    <w:rsid w:val="002C4A1B"/>
    <w:rsid w:val="002C79DC"/>
    <w:rsid w:val="002D1C87"/>
    <w:rsid w:val="002D6620"/>
    <w:rsid w:val="002D762E"/>
    <w:rsid w:val="002E015E"/>
    <w:rsid w:val="002E2A52"/>
    <w:rsid w:val="002F3E7B"/>
    <w:rsid w:val="002F7771"/>
    <w:rsid w:val="00301D15"/>
    <w:rsid w:val="00302D18"/>
    <w:rsid w:val="00306F3F"/>
    <w:rsid w:val="00312C32"/>
    <w:rsid w:val="00317BC6"/>
    <w:rsid w:val="00321E2F"/>
    <w:rsid w:val="00323F83"/>
    <w:rsid w:val="00335AF5"/>
    <w:rsid w:val="0035071A"/>
    <w:rsid w:val="00362A9C"/>
    <w:rsid w:val="00364EDE"/>
    <w:rsid w:val="00366EB2"/>
    <w:rsid w:val="003753CE"/>
    <w:rsid w:val="00381F84"/>
    <w:rsid w:val="0038240D"/>
    <w:rsid w:val="00396F6B"/>
    <w:rsid w:val="003A4F59"/>
    <w:rsid w:val="003B305B"/>
    <w:rsid w:val="003B4A17"/>
    <w:rsid w:val="003C26FE"/>
    <w:rsid w:val="003C7981"/>
    <w:rsid w:val="003D46C1"/>
    <w:rsid w:val="003E46A1"/>
    <w:rsid w:val="003F0EE1"/>
    <w:rsid w:val="003F193A"/>
    <w:rsid w:val="003F1E43"/>
    <w:rsid w:val="00407A6D"/>
    <w:rsid w:val="0041008D"/>
    <w:rsid w:val="004175FE"/>
    <w:rsid w:val="00421F33"/>
    <w:rsid w:val="00430988"/>
    <w:rsid w:val="0043117B"/>
    <w:rsid w:val="004363B9"/>
    <w:rsid w:val="00441329"/>
    <w:rsid w:val="00442803"/>
    <w:rsid w:val="0044369A"/>
    <w:rsid w:val="00446D73"/>
    <w:rsid w:val="004539A5"/>
    <w:rsid w:val="0048300A"/>
    <w:rsid w:val="004862F5"/>
    <w:rsid w:val="00494817"/>
    <w:rsid w:val="00497FBB"/>
    <w:rsid w:val="004A2B81"/>
    <w:rsid w:val="004B0F7B"/>
    <w:rsid w:val="004B0FD2"/>
    <w:rsid w:val="004B3CA8"/>
    <w:rsid w:val="004D0E23"/>
    <w:rsid w:val="004D34FE"/>
    <w:rsid w:val="004D6107"/>
    <w:rsid w:val="004D71ED"/>
    <w:rsid w:val="004E27B2"/>
    <w:rsid w:val="004E4A1E"/>
    <w:rsid w:val="004E76E1"/>
    <w:rsid w:val="004F12BB"/>
    <w:rsid w:val="004F4883"/>
    <w:rsid w:val="004F53CA"/>
    <w:rsid w:val="004F6954"/>
    <w:rsid w:val="005037BE"/>
    <w:rsid w:val="00503C42"/>
    <w:rsid w:val="0051742B"/>
    <w:rsid w:val="00531AF0"/>
    <w:rsid w:val="0053290E"/>
    <w:rsid w:val="00533BC9"/>
    <w:rsid w:val="00534863"/>
    <w:rsid w:val="00541BD6"/>
    <w:rsid w:val="00547AF5"/>
    <w:rsid w:val="00550031"/>
    <w:rsid w:val="00553AAF"/>
    <w:rsid w:val="0055440F"/>
    <w:rsid w:val="00557922"/>
    <w:rsid w:val="00570C43"/>
    <w:rsid w:val="00571D86"/>
    <w:rsid w:val="00572615"/>
    <w:rsid w:val="00575055"/>
    <w:rsid w:val="00576422"/>
    <w:rsid w:val="0057708E"/>
    <w:rsid w:val="005822F9"/>
    <w:rsid w:val="00593357"/>
    <w:rsid w:val="005A19F5"/>
    <w:rsid w:val="005C0321"/>
    <w:rsid w:val="005C29B6"/>
    <w:rsid w:val="005C2F19"/>
    <w:rsid w:val="005C75CE"/>
    <w:rsid w:val="005D53EC"/>
    <w:rsid w:val="005D5610"/>
    <w:rsid w:val="005D70DD"/>
    <w:rsid w:val="005D7739"/>
    <w:rsid w:val="005F05B5"/>
    <w:rsid w:val="005F4D18"/>
    <w:rsid w:val="005F6D8C"/>
    <w:rsid w:val="0060109F"/>
    <w:rsid w:val="0060247B"/>
    <w:rsid w:val="00610658"/>
    <w:rsid w:val="0061582F"/>
    <w:rsid w:val="006215BA"/>
    <w:rsid w:val="00622F86"/>
    <w:rsid w:val="0063072B"/>
    <w:rsid w:val="00632552"/>
    <w:rsid w:val="00646BC6"/>
    <w:rsid w:val="0065429B"/>
    <w:rsid w:val="0065530C"/>
    <w:rsid w:val="0066085C"/>
    <w:rsid w:val="00672495"/>
    <w:rsid w:val="00672562"/>
    <w:rsid w:val="00673F95"/>
    <w:rsid w:val="00676228"/>
    <w:rsid w:val="00676F30"/>
    <w:rsid w:val="0068046B"/>
    <w:rsid w:val="00690D2E"/>
    <w:rsid w:val="0069169D"/>
    <w:rsid w:val="00692906"/>
    <w:rsid w:val="00694471"/>
    <w:rsid w:val="006A2ED0"/>
    <w:rsid w:val="006C327F"/>
    <w:rsid w:val="006C392D"/>
    <w:rsid w:val="006C5A5A"/>
    <w:rsid w:val="006D1E34"/>
    <w:rsid w:val="006D6F70"/>
    <w:rsid w:val="006E12F6"/>
    <w:rsid w:val="006E3F25"/>
    <w:rsid w:val="006E4277"/>
    <w:rsid w:val="006F3609"/>
    <w:rsid w:val="006F7337"/>
    <w:rsid w:val="0070074D"/>
    <w:rsid w:val="00701D41"/>
    <w:rsid w:val="007129A8"/>
    <w:rsid w:val="007141BA"/>
    <w:rsid w:val="0071755B"/>
    <w:rsid w:val="00730FF8"/>
    <w:rsid w:val="00736463"/>
    <w:rsid w:val="007407C5"/>
    <w:rsid w:val="00750877"/>
    <w:rsid w:val="00751B22"/>
    <w:rsid w:val="0075249B"/>
    <w:rsid w:val="00752A3F"/>
    <w:rsid w:val="00757F6C"/>
    <w:rsid w:val="00763F64"/>
    <w:rsid w:val="00764860"/>
    <w:rsid w:val="00777DEE"/>
    <w:rsid w:val="00781019"/>
    <w:rsid w:val="00781A07"/>
    <w:rsid w:val="00791EE1"/>
    <w:rsid w:val="007A3CEC"/>
    <w:rsid w:val="007B2A98"/>
    <w:rsid w:val="007B651B"/>
    <w:rsid w:val="007B6F02"/>
    <w:rsid w:val="007C4097"/>
    <w:rsid w:val="007D341C"/>
    <w:rsid w:val="007E059F"/>
    <w:rsid w:val="007E4914"/>
    <w:rsid w:val="007F3144"/>
    <w:rsid w:val="00801F17"/>
    <w:rsid w:val="00803903"/>
    <w:rsid w:val="008073EB"/>
    <w:rsid w:val="00807EB3"/>
    <w:rsid w:val="008121EC"/>
    <w:rsid w:val="008160D2"/>
    <w:rsid w:val="0082370A"/>
    <w:rsid w:val="008256D4"/>
    <w:rsid w:val="008314D2"/>
    <w:rsid w:val="008414B0"/>
    <w:rsid w:val="0085262F"/>
    <w:rsid w:val="00852AB7"/>
    <w:rsid w:val="0085433D"/>
    <w:rsid w:val="00863D30"/>
    <w:rsid w:val="00866AA3"/>
    <w:rsid w:val="008674FA"/>
    <w:rsid w:val="008704F6"/>
    <w:rsid w:val="00871A92"/>
    <w:rsid w:val="0087648D"/>
    <w:rsid w:val="00885D5E"/>
    <w:rsid w:val="00895D9B"/>
    <w:rsid w:val="008A28E9"/>
    <w:rsid w:val="008B07F4"/>
    <w:rsid w:val="008B24DD"/>
    <w:rsid w:val="008C1DFE"/>
    <w:rsid w:val="008D664A"/>
    <w:rsid w:val="008E132A"/>
    <w:rsid w:val="008E22A5"/>
    <w:rsid w:val="008F1F49"/>
    <w:rsid w:val="00900DED"/>
    <w:rsid w:val="00901FB1"/>
    <w:rsid w:val="00912793"/>
    <w:rsid w:val="009128BD"/>
    <w:rsid w:val="009370DF"/>
    <w:rsid w:val="0094287B"/>
    <w:rsid w:val="009432E8"/>
    <w:rsid w:val="00950C77"/>
    <w:rsid w:val="00953A6D"/>
    <w:rsid w:val="0095797B"/>
    <w:rsid w:val="00961700"/>
    <w:rsid w:val="00964E57"/>
    <w:rsid w:val="00965E9C"/>
    <w:rsid w:val="009761DF"/>
    <w:rsid w:val="009876A7"/>
    <w:rsid w:val="009A6773"/>
    <w:rsid w:val="009B6B2E"/>
    <w:rsid w:val="009C0F5A"/>
    <w:rsid w:val="009C5825"/>
    <w:rsid w:val="009D5470"/>
    <w:rsid w:val="009D7C15"/>
    <w:rsid w:val="009E7774"/>
    <w:rsid w:val="009E7DF8"/>
    <w:rsid w:val="009F79CC"/>
    <w:rsid w:val="00A032CD"/>
    <w:rsid w:val="00A13372"/>
    <w:rsid w:val="00A255A4"/>
    <w:rsid w:val="00A30EDA"/>
    <w:rsid w:val="00A31942"/>
    <w:rsid w:val="00A35B55"/>
    <w:rsid w:val="00A3785B"/>
    <w:rsid w:val="00A45350"/>
    <w:rsid w:val="00A539E4"/>
    <w:rsid w:val="00A60385"/>
    <w:rsid w:val="00A635D9"/>
    <w:rsid w:val="00A63654"/>
    <w:rsid w:val="00A66F45"/>
    <w:rsid w:val="00A8633F"/>
    <w:rsid w:val="00A870BE"/>
    <w:rsid w:val="00A87F74"/>
    <w:rsid w:val="00A9001E"/>
    <w:rsid w:val="00AA1B9E"/>
    <w:rsid w:val="00AA31BE"/>
    <w:rsid w:val="00AA7D72"/>
    <w:rsid w:val="00AB468E"/>
    <w:rsid w:val="00AC677F"/>
    <w:rsid w:val="00AD6844"/>
    <w:rsid w:val="00AE0314"/>
    <w:rsid w:val="00AE15F6"/>
    <w:rsid w:val="00AE286F"/>
    <w:rsid w:val="00AF7BD6"/>
    <w:rsid w:val="00B024B9"/>
    <w:rsid w:val="00B02A92"/>
    <w:rsid w:val="00B0712F"/>
    <w:rsid w:val="00B17351"/>
    <w:rsid w:val="00B21BCD"/>
    <w:rsid w:val="00B2243D"/>
    <w:rsid w:val="00B22B5A"/>
    <w:rsid w:val="00B272D8"/>
    <w:rsid w:val="00B3002D"/>
    <w:rsid w:val="00B3212F"/>
    <w:rsid w:val="00B35E86"/>
    <w:rsid w:val="00B378DD"/>
    <w:rsid w:val="00B434F5"/>
    <w:rsid w:val="00B4755E"/>
    <w:rsid w:val="00B51E3F"/>
    <w:rsid w:val="00B60109"/>
    <w:rsid w:val="00B65100"/>
    <w:rsid w:val="00B654C9"/>
    <w:rsid w:val="00B66961"/>
    <w:rsid w:val="00B67A06"/>
    <w:rsid w:val="00B7070A"/>
    <w:rsid w:val="00B7076D"/>
    <w:rsid w:val="00B73210"/>
    <w:rsid w:val="00B76D79"/>
    <w:rsid w:val="00B95272"/>
    <w:rsid w:val="00B95608"/>
    <w:rsid w:val="00BA0C14"/>
    <w:rsid w:val="00BB25AA"/>
    <w:rsid w:val="00BB2AF5"/>
    <w:rsid w:val="00BB3388"/>
    <w:rsid w:val="00BB38C4"/>
    <w:rsid w:val="00BB731B"/>
    <w:rsid w:val="00BC02FD"/>
    <w:rsid w:val="00BC0F94"/>
    <w:rsid w:val="00BC6839"/>
    <w:rsid w:val="00BC7D48"/>
    <w:rsid w:val="00BD1D57"/>
    <w:rsid w:val="00BD24EB"/>
    <w:rsid w:val="00BD4E62"/>
    <w:rsid w:val="00BD6CBF"/>
    <w:rsid w:val="00C0284F"/>
    <w:rsid w:val="00C06D55"/>
    <w:rsid w:val="00C105DB"/>
    <w:rsid w:val="00C10B62"/>
    <w:rsid w:val="00C10C0E"/>
    <w:rsid w:val="00C24852"/>
    <w:rsid w:val="00C25616"/>
    <w:rsid w:val="00C4554A"/>
    <w:rsid w:val="00C478E0"/>
    <w:rsid w:val="00C5021D"/>
    <w:rsid w:val="00C56CCF"/>
    <w:rsid w:val="00C60365"/>
    <w:rsid w:val="00C65721"/>
    <w:rsid w:val="00C7757D"/>
    <w:rsid w:val="00C80AFB"/>
    <w:rsid w:val="00C81924"/>
    <w:rsid w:val="00CA073A"/>
    <w:rsid w:val="00CA26C6"/>
    <w:rsid w:val="00CB33FF"/>
    <w:rsid w:val="00CC3ECE"/>
    <w:rsid w:val="00CC48FF"/>
    <w:rsid w:val="00CC6F57"/>
    <w:rsid w:val="00CD401A"/>
    <w:rsid w:val="00CD41B5"/>
    <w:rsid w:val="00CE243C"/>
    <w:rsid w:val="00CE4028"/>
    <w:rsid w:val="00CE6084"/>
    <w:rsid w:val="00CF0C70"/>
    <w:rsid w:val="00CF4347"/>
    <w:rsid w:val="00CF43BF"/>
    <w:rsid w:val="00CF4A90"/>
    <w:rsid w:val="00CF50BB"/>
    <w:rsid w:val="00D0033C"/>
    <w:rsid w:val="00D06B2D"/>
    <w:rsid w:val="00D11092"/>
    <w:rsid w:val="00D11242"/>
    <w:rsid w:val="00D134E0"/>
    <w:rsid w:val="00D31374"/>
    <w:rsid w:val="00D3655C"/>
    <w:rsid w:val="00D422B3"/>
    <w:rsid w:val="00D46B56"/>
    <w:rsid w:val="00D470EE"/>
    <w:rsid w:val="00D5397C"/>
    <w:rsid w:val="00D73316"/>
    <w:rsid w:val="00D735A5"/>
    <w:rsid w:val="00D863BE"/>
    <w:rsid w:val="00D8762D"/>
    <w:rsid w:val="00DA0D10"/>
    <w:rsid w:val="00DB254C"/>
    <w:rsid w:val="00DB5692"/>
    <w:rsid w:val="00DC1B75"/>
    <w:rsid w:val="00DC560A"/>
    <w:rsid w:val="00DC7930"/>
    <w:rsid w:val="00DF2E73"/>
    <w:rsid w:val="00DF6637"/>
    <w:rsid w:val="00DF720B"/>
    <w:rsid w:val="00E02C0F"/>
    <w:rsid w:val="00E03192"/>
    <w:rsid w:val="00E0519E"/>
    <w:rsid w:val="00E06D4C"/>
    <w:rsid w:val="00E11667"/>
    <w:rsid w:val="00E13826"/>
    <w:rsid w:val="00E177AA"/>
    <w:rsid w:val="00E21D2C"/>
    <w:rsid w:val="00E346DE"/>
    <w:rsid w:val="00E40982"/>
    <w:rsid w:val="00E44A87"/>
    <w:rsid w:val="00E73067"/>
    <w:rsid w:val="00E771BA"/>
    <w:rsid w:val="00E771DB"/>
    <w:rsid w:val="00E8224F"/>
    <w:rsid w:val="00E904CB"/>
    <w:rsid w:val="00E90AC4"/>
    <w:rsid w:val="00E96C29"/>
    <w:rsid w:val="00EB45B7"/>
    <w:rsid w:val="00EB4649"/>
    <w:rsid w:val="00EC6563"/>
    <w:rsid w:val="00EC69B0"/>
    <w:rsid w:val="00EC6DC6"/>
    <w:rsid w:val="00ED180D"/>
    <w:rsid w:val="00ED35AD"/>
    <w:rsid w:val="00ED4B20"/>
    <w:rsid w:val="00EF3555"/>
    <w:rsid w:val="00EF7D61"/>
    <w:rsid w:val="00F00168"/>
    <w:rsid w:val="00F01D02"/>
    <w:rsid w:val="00F01D50"/>
    <w:rsid w:val="00F0230F"/>
    <w:rsid w:val="00F06BFA"/>
    <w:rsid w:val="00F120B2"/>
    <w:rsid w:val="00F12679"/>
    <w:rsid w:val="00F14B91"/>
    <w:rsid w:val="00F3310C"/>
    <w:rsid w:val="00F4208A"/>
    <w:rsid w:val="00F447B3"/>
    <w:rsid w:val="00F479AB"/>
    <w:rsid w:val="00F7050E"/>
    <w:rsid w:val="00F858CC"/>
    <w:rsid w:val="00F92EF0"/>
    <w:rsid w:val="00F94339"/>
    <w:rsid w:val="00FB07A0"/>
    <w:rsid w:val="00FB454B"/>
    <w:rsid w:val="00FB7ABC"/>
    <w:rsid w:val="00FC02AC"/>
    <w:rsid w:val="00FD04CD"/>
    <w:rsid w:val="00FD0E12"/>
    <w:rsid w:val="00FE3F37"/>
    <w:rsid w:val="00FE7253"/>
    <w:rsid w:val="00FE7348"/>
    <w:rsid w:val="00FF406D"/>
    <w:rsid w:val="00FF6A05"/>
    <w:rsid w:val="010136E5"/>
    <w:rsid w:val="01093B04"/>
    <w:rsid w:val="013963C4"/>
    <w:rsid w:val="013F77F9"/>
    <w:rsid w:val="01457570"/>
    <w:rsid w:val="014C58FC"/>
    <w:rsid w:val="018140A2"/>
    <w:rsid w:val="01C64D9E"/>
    <w:rsid w:val="01D47C4B"/>
    <w:rsid w:val="01F178BE"/>
    <w:rsid w:val="021716AC"/>
    <w:rsid w:val="022E73C5"/>
    <w:rsid w:val="0239317A"/>
    <w:rsid w:val="023F3810"/>
    <w:rsid w:val="025431CD"/>
    <w:rsid w:val="02844960"/>
    <w:rsid w:val="02854787"/>
    <w:rsid w:val="028C11CF"/>
    <w:rsid w:val="02902A6D"/>
    <w:rsid w:val="02A04CCC"/>
    <w:rsid w:val="02CE29EB"/>
    <w:rsid w:val="02FD0397"/>
    <w:rsid w:val="03140261"/>
    <w:rsid w:val="032D26B9"/>
    <w:rsid w:val="033D795F"/>
    <w:rsid w:val="034436BF"/>
    <w:rsid w:val="0386710D"/>
    <w:rsid w:val="03AC7D7B"/>
    <w:rsid w:val="03AE265E"/>
    <w:rsid w:val="03B16165"/>
    <w:rsid w:val="03BF4AF2"/>
    <w:rsid w:val="03D570C1"/>
    <w:rsid w:val="03DC64A7"/>
    <w:rsid w:val="03F27CA5"/>
    <w:rsid w:val="03F40644"/>
    <w:rsid w:val="03FA07F1"/>
    <w:rsid w:val="040947E8"/>
    <w:rsid w:val="04233C24"/>
    <w:rsid w:val="044D70CF"/>
    <w:rsid w:val="045D2E23"/>
    <w:rsid w:val="0490044D"/>
    <w:rsid w:val="04B84C48"/>
    <w:rsid w:val="04C61382"/>
    <w:rsid w:val="05023A2C"/>
    <w:rsid w:val="051F37F2"/>
    <w:rsid w:val="0533606E"/>
    <w:rsid w:val="054001D4"/>
    <w:rsid w:val="0549354B"/>
    <w:rsid w:val="05611787"/>
    <w:rsid w:val="057B3BD4"/>
    <w:rsid w:val="05810053"/>
    <w:rsid w:val="05914C99"/>
    <w:rsid w:val="05AE605F"/>
    <w:rsid w:val="05B358E1"/>
    <w:rsid w:val="05BD68A3"/>
    <w:rsid w:val="05C57529"/>
    <w:rsid w:val="06053772"/>
    <w:rsid w:val="06112117"/>
    <w:rsid w:val="06175062"/>
    <w:rsid w:val="061A04E2"/>
    <w:rsid w:val="06345E06"/>
    <w:rsid w:val="067E2D8E"/>
    <w:rsid w:val="06B7622E"/>
    <w:rsid w:val="06FC215A"/>
    <w:rsid w:val="072A27EA"/>
    <w:rsid w:val="074847CC"/>
    <w:rsid w:val="07A011BF"/>
    <w:rsid w:val="07C01FDB"/>
    <w:rsid w:val="07C71AB7"/>
    <w:rsid w:val="07ED5ED3"/>
    <w:rsid w:val="08210711"/>
    <w:rsid w:val="084303D1"/>
    <w:rsid w:val="085D56CD"/>
    <w:rsid w:val="085E458D"/>
    <w:rsid w:val="086C1E32"/>
    <w:rsid w:val="08973053"/>
    <w:rsid w:val="08BF37D8"/>
    <w:rsid w:val="08D538D0"/>
    <w:rsid w:val="08F50C0F"/>
    <w:rsid w:val="08FD5BB5"/>
    <w:rsid w:val="09131BC8"/>
    <w:rsid w:val="09D75426"/>
    <w:rsid w:val="09FB45DE"/>
    <w:rsid w:val="0A1246B0"/>
    <w:rsid w:val="0A1E0328"/>
    <w:rsid w:val="0A1E7616"/>
    <w:rsid w:val="0A2E173F"/>
    <w:rsid w:val="0A474C47"/>
    <w:rsid w:val="0A560A40"/>
    <w:rsid w:val="0A6417D9"/>
    <w:rsid w:val="0A80786B"/>
    <w:rsid w:val="0A914248"/>
    <w:rsid w:val="0AD96E7C"/>
    <w:rsid w:val="0ADD2F10"/>
    <w:rsid w:val="0AE528C1"/>
    <w:rsid w:val="0AF65D7F"/>
    <w:rsid w:val="0B137D59"/>
    <w:rsid w:val="0B174008"/>
    <w:rsid w:val="0B3F14D4"/>
    <w:rsid w:val="0B610F40"/>
    <w:rsid w:val="0B923EC8"/>
    <w:rsid w:val="0B9A0515"/>
    <w:rsid w:val="0B9E0194"/>
    <w:rsid w:val="0BAF35AE"/>
    <w:rsid w:val="0BD9091B"/>
    <w:rsid w:val="0BE14F5F"/>
    <w:rsid w:val="0BEE6D79"/>
    <w:rsid w:val="0BF16386"/>
    <w:rsid w:val="0C034B57"/>
    <w:rsid w:val="0C0B50B6"/>
    <w:rsid w:val="0C366727"/>
    <w:rsid w:val="0C3A4D7D"/>
    <w:rsid w:val="0C814FA5"/>
    <w:rsid w:val="0C9040A9"/>
    <w:rsid w:val="0C9E13B3"/>
    <w:rsid w:val="0CA27616"/>
    <w:rsid w:val="0CC442D7"/>
    <w:rsid w:val="0CCC6D98"/>
    <w:rsid w:val="0CD66CF7"/>
    <w:rsid w:val="0CEC092A"/>
    <w:rsid w:val="0CF62067"/>
    <w:rsid w:val="0D3945D5"/>
    <w:rsid w:val="0D3C216F"/>
    <w:rsid w:val="0D4234FE"/>
    <w:rsid w:val="0D4D0AF9"/>
    <w:rsid w:val="0D5D4163"/>
    <w:rsid w:val="0D900586"/>
    <w:rsid w:val="0DF26469"/>
    <w:rsid w:val="0E2C1D5E"/>
    <w:rsid w:val="0E2E5089"/>
    <w:rsid w:val="0E490011"/>
    <w:rsid w:val="0E68518B"/>
    <w:rsid w:val="0E6D7A2A"/>
    <w:rsid w:val="0E786FF3"/>
    <w:rsid w:val="0EB93D1B"/>
    <w:rsid w:val="0ED11E9F"/>
    <w:rsid w:val="0F0569E4"/>
    <w:rsid w:val="0F0617B7"/>
    <w:rsid w:val="0F615969"/>
    <w:rsid w:val="0F955B67"/>
    <w:rsid w:val="0FA1275E"/>
    <w:rsid w:val="0FD91EF8"/>
    <w:rsid w:val="0FFB6F69"/>
    <w:rsid w:val="0FFC514B"/>
    <w:rsid w:val="0FFF618A"/>
    <w:rsid w:val="10253F95"/>
    <w:rsid w:val="10466E69"/>
    <w:rsid w:val="104B0030"/>
    <w:rsid w:val="106272E9"/>
    <w:rsid w:val="10855BDB"/>
    <w:rsid w:val="10B0262C"/>
    <w:rsid w:val="10B97383"/>
    <w:rsid w:val="10C2298C"/>
    <w:rsid w:val="10D76103"/>
    <w:rsid w:val="10F7015B"/>
    <w:rsid w:val="110B7BF5"/>
    <w:rsid w:val="111616F3"/>
    <w:rsid w:val="11264990"/>
    <w:rsid w:val="11500281"/>
    <w:rsid w:val="118906F7"/>
    <w:rsid w:val="11AB4475"/>
    <w:rsid w:val="11D101EE"/>
    <w:rsid w:val="11FA1C9C"/>
    <w:rsid w:val="12117D8F"/>
    <w:rsid w:val="121A2E99"/>
    <w:rsid w:val="12400D96"/>
    <w:rsid w:val="12525F91"/>
    <w:rsid w:val="127E0B34"/>
    <w:rsid w:val="12870CB0"/>
    <w:rsid w:val="12AE6A32"/>
    <w:rsid w:val="12B33BA8"/>
    <w:rsid w:val="12E52506"/>
    <w:rsid w:val="130265BC"/>
    <w:rsid w:val="1323348A"/>
    <w:rsid w:val="134275A5"/>
    <w:rsid w:val="13482EF0"/>
    <w:rsid w:val="13622204"/>
    <w:rsid w:val="13C27393"/>
    <w:rsid w:val="13C80442"/>
    <w:rsid w:val="13D630FB"/>
    <w:rsid w:val="13E963DC"/>
    <w:rsid w:val="13F97879"/>
    <w:rsid w:val="14037D5A"/>
    <w:rsid w:val="14045568"/>
    <w:rsid w:val="14213E6D"/>
    <w:rsid w:val="143C0CA7"/>
    <w:rsid w:val="144E4A79"/>
    <w:rsid w:val="14C86057"/>
    <w:rsid w:val="14CC39DF"/>
    <w:rsid w:val="14DC5FE6"/>
    <w:rsid w:val="14E35FF0"/>
    <w:rsid w:val="14EE72CB"/>
    <w:rsid w:val="14EF57E0"/>
    <w:rsid w:val="14F14328"/>
    <w:rsid w:val="1500562E"/>
    <w:rsid w:val="15145348"/>
    <w:rsid w:val="152A795D"/>
    <w:rsid w:val="1538512D"/>
    <w:rsid w:val="15462231"/>
    <w:rsid w:val="15995CFB"/>
    <w:rsid w:val="15C026A8"/>
    <w:rsid w:val="15FB70AD"/>
    <w:rsid w:val="161A5018"/>
    <w:rsid w:val="161F063E"/>
    <w:rsid w:val="16424E3B"/>
    <w:rsid w:val="164863B3"/>
    <w:rsid w:val="1651030E"/>
    <w:rsid w:val="16614A43"/>
    <w:rsid w:val="169E3974"/>
    <w:rsid w:val="16AE0D1D"/>
    <w:rsid w:val="16BF0C68"/>
    <w:rsid w:val="16DC5F4C"/>
    <w:rsid w:val="17046594"/>
    <w:rsid w:val="171F47AE"/>
    <w:rsid w:val="17396E8F"/>
    <w:rsid w:val="177C5C52"/>
    <w:rsid w:val="17871D41"/>
    <w:rsid w:val="17C0574B"/>
    <w:rsid w:val="17C84600"/>
    <w:rsid w:val="17E25150"/>
    <w:rsid w:val="17EF28C2"/>
    <w:rsid w:val="17FF2717"/>
    <w:rsid w:val="180561C7"/>
    <w:rsid w:val="180E64B6"/>
    <w:rsid w:val="18506C08"/>
    <w:rsid w:val="1856208B"/>
    <w:rsid w:val="186D1464"/>
    <w:rsid w:val="18747971"/>
    <w:rsid w:val="187A13C0"/>
    <w:rsid w:val="188B347D"/>
    <w:rsid w:val="189A41EE"/>
    <w:rsid w:val="18C069F5"/>
    <w:rsid w:val="18D436C7"/>
    <w:rsid w:val="18DB5F9C"/>
    <w:rsid w:val="19024052"/>
    <w:rsid w:val="191D27E4"/>
    <w:rsid w:val="193C0062"/>
    <w:rsid w:val="1973044E"/>
    <w:rsid w:val="19782D58"/>
    <w:rsid w:val="19960E59"/>
    <w:rsid w:val="19D674A8"/>
    <w:rsid w:val="19F64A80"/>
    <w:rsid w:val="19FF1285"/>
    <w:rsid w:val="1A071EB4"/>
    <w:rsid w:val="1A1401D9"/>
    <w:rsid w:val="1A5A090E"/>
    <w:rsid w:val="1A6F39D0"/>
    <w:rsid w:val="1AA82C77"/>
    <w:rsid w:val="1AA90ECC"/>
    <w:rsid w:val="1AA94BBE"/>
    <w:rsid w:val="1ABF551B"/>
    <w:rsid w:val="1AC216A6"/>
    <w:rsid w:val="1AD17C72"/>
    <w:rsid w:val="1AD42C55"/>
    <w:rsid w:val="1B027E29"/>
    <w:rsid w:val="1B252BAB"/>
    <w:rsid w:val="1B256D6C"/>
    <w:rsid w:val="1B383951"/>
    <w:rsid w:val="1B4D5548"/>
    <w:rsid w:val="1B5B5FC5"/>
    <w:rsid w:val="1B781073"/>
    <w:rsid w:val="1B7E7DF7"/>
    <w:rsid w:val="1B804ED5"/>
    <w:rsid w:val="1B8B11CF"/>
    <w:rsid w:val="1BA3289E"/>
    <w:rsid w:val="1BCF3AA0"/>
    <w:rsid w:val="1BDB41C0"/>
    <w:rsid w:val="1BF37FC4"/>
    <w:rsid w:val="1C4247F3"/>
    <w:rsid w:val="1C442942"/>
    <w:rsid w:val="1C6634CC"/>
    <w:rsid w:val="1C7F4030"/>
    <w:rsid w:val="1CA94A00"/>
    <w:rsid w:val="1CB10719"/>
    <w:rsid w:val="1CBE3E3B"/>
    <w:rsid w:val="1CCB0B73"/>
    <w:rsid w:val="1D17619B"/>
    <w:rsid w:val="1D334A9D"/>
    <w:rsid w:val="1D34630C"/>
    <w:rsid w:val="1D410307"/>
    <w:rsid w:val="1D4D519E"/>
    <w:rsid w:val="1D7274E7"/>
    <w:rsid w:val="1DCE2499"/>
    <w:rsid w:val="1DE06B47"/>
    <w:rsid w:val="1DEE2FE7"/>
    <w:rsid w:val="1E2F7B14"/>
    <w:rsid w:val="1E5643DA"/>
    <w:rsid w:val="1E6D6AE7"/>
    <w:rsid w:val="1E775256"/>
    <w:rsid w:val="1E850FCE"/>
    <w:rsid w:val="1EAC6A29"/>
    <w:rsid w:val="1EBB7721"/>
    <w:rsid w:val="1EC52E28"/>
    <w:rsid w:val="1EEA5137"/>
    <w:rsid w:val="1EF8115B"/>
    <w:rsid w:val="1EF82641"/>
    <w:rsid w:val="1EFA5449"/>
    <w:rsid w:val="1F3367B6"/>
    <w:rsid w:val="1F5453B1"/>
    <w:rsid w:val="1F5A349A"/>
    <w:rsid w:val="1F775289"/>
    <w:rsid w:val="1F7C2F3A"/>
    <w:rsid w:val="1F886294"/>
    <w:rsid w:val="1FAF670B"/>
    <w:rsid w:val="1FCC5EE2"/>
    <w:rsid w:val="1FE21A71"/>
    <w:rsid w:val="203565E4"/>
    <w:rsid w:val="20561532"/>
    <w:rsid w:val="205B5145"/>
    <w:rsid w:val="207442AA"/>
    <w:rsid w:val="207D2F38"/>
    <w:rsid w:val="208838AF"/>
    <w:rsid w:val="20932EAB"/>
    <w:rsid w:val="209E76AB"/>
    <w:rsid w:val="20AC33B0"/>
    <w:rsid w:val="20BE5572"/>
    <w:rsid w:val="20C33555"/>
    <w:rsid w:val="20F2162B"/>
    <w:rsid w:val="20FE602D"/>
    <w:rsid w:val="21004E58"/>
    <w:rsid w:val="21050A76"/>
    <w:rsid w:val="211F1C26"/>
    <w:rsid w:val="214E76C3"/>
    <w:rsid w:val="21554DCC"/>
    <w:rsid w:val="215D400B"/>
    <w:rsid w:val="216A5107"/>
    <w:rsid w:val="21817CF9"/>
    <w:rsid w:val="21BB3EAA"/>
    <w:rsid w:val="21E77C8A"/>
    <w:rsid w:val="21EA1F43"/>
    <w:rsid w:val="222372B4"/>
    <w:rsid w:val="22515A59"/>
    <w:rsid w:val="226A4C6C"/>
    <w:rsid w:val="22781D83"/>
    <w:rsid w:val="228C547B"/>
    <w:rsid w:val="22B967CD"/>
    <w:rsid w:val="22DF3955"/>
    <w:rsid w:val="23114117"/>
    <w:rsid w:val="23225693"/>
    <w:rsid w:val="23447230"/>
    <w:rsid w:val="23483CF2"/>
    <w:rsid w:val="236C5411"/>
    <w:rsid w:val="237A07B4"/>
    <w:rsid w:val="237B7324"/>
    <w:rsid w:val="23810BE7"/>
    <w:rsid w:val="23B55DAE"/>
    <w:rsid w:val="23C25CB5"/>
    <w:rsid w:val="2424126C"/>
    <w:rsid w:val="243946D8"/>
    <w:rsid w:val="24692809"/>
    <w:rsid w:val="24C06D54"/>
    <w:rsid w:val="24CC1F3A"/>
    <w:rsid w:val="24F93948"/>
    <w:rsid w:val="251A2000"/>
    <w:rsid w:val="25404A75"/>
    <w:rsid w:val="254104DF"/>
    <w:rsid w:val="25504061"/>
    <w:rsid w:val="25524FEF"/>
    <w:rsid w:val="25AD6677"/>
    <w:rsid w:val="25CB511A"/>
    <w:rsid w:val="25D738C6"/>
    <w:rsid w:val="25F76954"/>
    <w:rsid w:val="25F909D8"/>
    <w:rsid w:val="25FF1B34"/>
    <w:rsid w:val="268F1252"/>
    <w:rsid w:val="26C07516"/>
    <w:rsid w:val="26D7172C"/>
    <w:rsid w:val="26E1630F"/>
    <w:rsid w:val="26E25A8D"/>
    <w:rsid w:val="26E5175C"/>
    <w:rsid w:val="26E85FF8"/>
    <w:rsid w:val="26FB054E"/>
    <w:rsid w:val="270B6C75"/>
    <w:rsid w:val="270E6119"/>
    <w:rsid w:val="27175E99"/>
    <w:rsid w:val="27200C69"/>
    <w:rsid w:val="274673D6"/>
    <w:rsid w:val="27555E87"/>
    <w:rsid w:val="27635019"/>
    <w:rsid w:val="27696033"/>
    <w:rsid w:val="277B51EB"/>
    <w:rsid w:val="27884C7A"/>
    <w:rsid w:val="28213FE4"/>
    <w:rsid w:val="282916BA"/>
    <w:rsid w:val="282E3934"/>
    <w:rsid w:val="285F6F83"/>
    <w:rsid w:val="28AD4154"/>
    <w:rsid w:val="28B37A5E"/>
    <w:rsid w:val="28C332ED"/>
    <w:rsid w:val="28D463C1"/>
    <w:rsid w:val="28DC7F0B"/>
    <w:rsid w:val="28E42977"/>
    <w:rsid w:val="28F41FD5"/>
    <w:rsid w:val="29002F8B"/>
    <w:rsid w:val="29585436"/>
    <w:rsid w:val="29FE3164"/>
    <w:rsid w:val="2A082718"/>
    <w:rsid w:val="2A202079"/>
    <w:rsid w:val="2A2B4192"/>
    <w:rsid w:val="2A415E87"/>
    <w:rsid w:val="2A44045E"/>
    <w:rsid w:val="2A5D7C8E"/>
    <w:rsid w:val="2A9E6EED"/>
    <w:rsid w:val="2AA73585"/>
    <w:rsid w:val="2AA831E5"/>
    <w:rsid w:val="2AB06E6A"/>
    <w:rsid w:val="2B091443"/>
    <w:rsid w:val="2B18248E"/>
    <w:rsid w:val="2B190002"/>
    <w:rsid w:val="2B203D75"/>
    <w:rsid w:val="2B513774"/>
    <w:rsid w:val="2B7A28AC"/>
    <w:rsid w:val="2B97486B"/>
    <w:rsid w:val="2BAC15CB"/>
    <w:rsid w:val="2BC12B6B"/>
    <w:rsid w:val="2BD575BF"/>
    <w:rsid w:val="2C001BF6"/>
    <w:rsid w:val="2C1A28FB"/>
    <w:rsid w:val="2C265048"/>
    <w:rsid w:val="2C367F7E"/>
    <w:rsid w:val="2C552CEC"/>
    <w:rsid w:val="2C717B03"/>
    <w:rsid w:val="2C8B478B"/>
    <w:rsid w:val="2C9A4BDD"/>
    <w:rsid w:val="2CAF3CD6"/>
    <w:rsid w:val="2CFD5A53"/>
    <w:rsid w:val="2D26209C"/>
    <w:rsid w:val="2D6B1749"/>
    <w:rsid w:val="2D742E08"/>
    <w:rsid w:val="2D7A4D28"/>
    <w:rsid w:val="2D950D76"/>
    <w:rsid w:val="2D9D77C0"/>
    <w:rsid w:val="2DCC2C44"/>
    <w:rsid w:val="2DD01A31"/>
    <w:rsid w:val="2DD40E81"/>
    <w:rsid w:val="2DEB3987"/>
    <w:rsid w:val="2E2064F4"/>
    <w:rsid w:val="2E5371F9"/>
    <w:rsid w:val="2E547B86"/>
    <w:rsid w:val="2E6028A0"/>
    <w:rsid w:val="2E681A1B"/>
    <w:rsid w:val="2E7A5191"/>
    <w:rsid w:val="2E8013E7"/>
    <w:rsid w:val="2E8B0409"/>
    <w:rsid w:val="2EA66FF1"/>
    <w:rsid w:val="2ED56D13"/>
    <w:rsid w:val="2F4265F9"/>
    <w:rsid w:val="2F436812"/>
    <w:rsid w:val="2F53196A"/>
    <w:rsid w:val="2FB92FCB"/>
    <w:rsid w:val="2FC710B8"/>
    <w:rsid w:val="2FE0269D"/>
    <w:rsid w:val="2FE211B0"/>
    <w:rsid w:val="300B186C"/>
    <w:rsid w:val="30146D72"/>
    <w:rsid w:val="301D7AE1"/>
    <w:rsid w:val="3038170D"/>
    <w:rsid w:val="30831BB9"/>
    <w:rsid w:val="309129E9"/>
    <w:rsid w:val="30944265"/>
    <w:rsid w:val="30BC6051"/>
    <w:rsid w:val="30E3273D"/>
    <w:rsid w:val="314C266A"/>
    <w:rsid w:val="315B54ED"/>
    <w:rsid w:val="316800B6"/>
    <w:rsid w:val="319F3DD8"/>
    <w:rsid w:val="31AE767E"/>
    <w:rsid w:val="31B9528D"/>
    <w:rsid w:val="31BB525A"/>
    <w:rsid w:val="31C658D2"/>
    <w:rsid w:val="31DE4E60"/>
    <w:rsid w:val="31F2254D"/>
    <w:rsid w:val="322A2424"/>
    <w:rsid w:val="32834ADD"/>
    <w:rsid w:val="329B0E37"/>
    <w:rsid w:val="329B3BA5"/>
    <w:rsid w:val="32DB72D9"/>
    <w:rsid w:val="33165BD0"/>
    <w:rsid w:val="336F7D45"/>
    <w:rsid w:val="337705FD"/>
    <w:rsid w:val="33784CD4"/>
    <w:rsid w:val="33995376"/>
    <w:rsid w:val="33B326A5"/>
    <w:rsid w:val="33B757FC"/>
    <w:rsid w:val="33CA24AE"/>
    <w:rsid w:val="33CE72AF"/>
    <w:rsid w:val="33D303AB"/>
    <w:rsid w:val="340846A1"/>
    <w:rsid w:val="343F7F85"/>
    <w:rsid w:val="34426DD3"/>
    <w:rsid w:val="3462363B"/>
    <w:rsid w:val="34695E46"/>
    <w:rsid w:val="34956190"/>
    <w:rsid w:val="34A05CCE"/>
    <w:rsid w:val="34D42C8E"/>
    <w:rsid w:val="34E801CD"/>
    <w:rsid w:val="34F860CC"/>
    <w:rsid w:val="35040292"/>
    <w:rsid w:val="35522499"/>
    <w:rsid w:val="35590A79"/>
    <w:rsid w:val="355A28E3"/>
    <w:rsid w:val="355E6AF0"/>
    <w:rsid w:val="35602A90"/>
    <w:rsid w:val="35957CD7"/>
    <w:rsid w:val="35A15988"/>
    <w:rsid w:val="35C3472F"/>
    <w:rsid w:val="35D65F39"/>
    <w:rsid w:val="35FF4DD2"/>
    <w:rsid w:val="360517A3"/>
    <w:rsid w:val="361548B8"/>
    <w:rsid w:val="36211653"/>
    <w:rsid w:val="362F0E3F"/>
    <w:rsid w:val="364E7611"/>
    <w:rsid w:val="3651018A"/>
    <w:rsid w:val="366F47BE"/>
    <w:rsid w:val="3681538F"/>
    <w:rsid w:val="369342FF"/>
    <w:rsid w:val="36A02914"/>
    <w:rsid w:val="36CC15BF"/>
    <w:rsid w:val="36CC4733"/>
    <w:rsid w:val="36D65946"/>
    <w:rsid w:val="36F2592D"/>
    <w:rsid w:val="3709636F"/>
    <w:rsid w:val="37266708"/>
    <w:rsid w:val="373D526A"/>
    <w:rsid w:val="3748231F"/>
    <w:rsid w:val="3782242F"/>
    <w:rsid w:val="37902503"/>
    <w:rsid w:val="37BD7ECE"/>
    <w:rsid w:val="37FF2A9B"/>
    <w:rsid w:val="38194E02"/>
    <w:rsid w:val="381A4397"/>
    <w:rsid w:val="381B4894"/>
    <w:rsid w:val="38215D96"/>
    <w:rsid w:val="382F72EE"/>
    <w:rsid w:val="38380467"/>
    <w:rsid w:val="38496EF2"/>
    <w:rsid w:val="389127CA"/>
    <w:rsid w:val="389346E3"/>
    <w:rsid w:val="389F5AD3"/>
    <w:rsid w:val="38A44AA5"/>
    <w:rsid w:val="38A75A46"/>
    <w:rsid w:val="38C07A38"/>
    <w:rsid w:val="38E645DF"/>
    <w:rsid w:val="393C4091"/>
    <w:rsid w:val="3944527F"/>
    <w:rsid w:val="394C2EA6"/>
    <w:rsid w:val="397B299E"/>
    <w:rsid w:val="398F1444"/>
    <w:rsid w:val="39B40D22"/>
    <w:rsid w:val="39D41354"/>
    <w:rsid w:val="39DC1592"/>
    <w:rsid w:val="3A092020"/>
    <w:rsid w:val="3A245C97"/>
    <w:rsid w:val="3A302BC7"/>
    <w:rsid w:val="3A650D67"/>
    <w:rsid w:val="3A744447"/>
    <w:rsid w:val="3A870B56"/>
    <w:rsid w:val="3A886145"/>
    <w:rsid w:val="3A943DC6"/>
    <w:rsid w:val="3AFF058E"/>
    <w:rsid w:val="3B1D7F9C"/>
    <w:rsid w:val="3B323D87"/>
    <w:rsid w:val="3B392F9B"/>
    <w:rsid w:val="3B4E4C98"/>
    <w:rsid w:val="3B661A92"/>
    <w:rsid w:val="3BA849E3"/>
    <w:rsid w:val="3BCD3F79"/>
    <w:rsid w:val="3BE94C5B"/>
    <w:rsid w:val="3BEC3969"/>
    <w:rsid w:val="3C59737F"/>
    <w:rsid w:val="3C6A4571"/>
    <w:rsid w:val="3C737DA2"/>
    <w:rsid w:val="3C86638A"/>
    <w:rsid w:val="3C946E5D"/>
    <w:rsid w:val="3CA61BAE"/>
    <w:rsid w:val="3CAE7667"/>
    <w:rsid w:val="3CE968BC"/>
    <w:rsid w:val="3D032C48"/>
    <w:rsid w:val="3D193084"/>
    <w:rsid w:val="3D6702CB"/>
    <w:rsid w:val="3D9F075F"/>
    <w:rsid w:val="3DAE797D"/>
    <w:rsid w:val="3DDA34AA"/>
    <w:rsid w:val="3E0C2040"/>
    <w:rsid w:val="3E285C74"/>
    <w:rsid w:val="3E392D90"/>
    <w:rsid w:val="3E6C45EE"/>
    <w:rsid w:val="3E865BD4"/>
    <w:rsid w:val="3E905B72"/>
    <w:rsid w:val="3E983026"/>
    <w:rsid w:val="3E99018A"/>
    <w:rsid w:val="3EA22F9B"/>
    <w:rsid w:val="3EAA6689"/>
    <w:rsid w:val="3EB83517"/>
    <w:rsid w:val="3EDA6843"/>
    <w:rsid w:val="3EDE362C"/>
    <w:rsid w:val="3EED47C8"/>
    <w:rsid w:val="3F0471CD"/>
    <w:rsid w:val="3F263AD1"/>
    <w:rsid w:val="3F2A1578"/>
    <w:rsid w:val="3F427DD3"/>
    <w:rsid w:val="3F4C0C28"/>
    <w:rsid w:val="3F583B53"/>
    <w:rsid w:val="3F702906"/>
    <w:rsid w:val="3F7A0E56"/>
    <w:rsid w:val="3F897AD6"/>
    <w:rsid w:val="3F8B66EF"/>
    <w:rsid w:val="3FAA4467"/>
    <w:rsid w:val="3FCF3ECE"/>
    <w:rsid w:val="3FEE0662"/>
    <w:rsid w:val="40055FCB"/>
    <w:rsid w:val="402E19C4"/>
    <w:rsid w:val="402E5098"/>
    <w:rsid w:val="404F4FBB"/>
    <w:rsid w:val="4062799B"/>
    <w:rsid w:val="407D1FF3"/>
    <w:rsid w:val="40C07226"/>
    <w:rsid w:val="40C809A9"/>
    <w:rsid w:val="40D76629"/>
    <w:rsid w:val="40D923D6"/>
    <w:rsid w:val="40DE5DDB"/>
    <w:rsid w:val="40E80888"/>
    <w:rsid w:val="40FE0222"/>
    <w:rsid w:val="410E7A96"/>
    <w:rsid w:val="41171636"/>
    <w:rsid w:val="411D4BEA"/>
    <w:rsid w:val="41374D7D"/>
    <w:rsid w:val="41432DC5"/>
    <w:rsid w:val="41657097"/>
    <w:rsid w:val="41670888"/>
    <w:rsid w:val="416A01C5"/>
    <w:rsid w:val="417D0085"/>
    <w:rsid w:val="41C67C76"/>
    <w:rsid w:val="41CD240B"/>
    <w:rsid w:val="41DB1998"/>
    <w:rsid w:val="420F6E74"/>
    <w:rsid w:val="42164A64"/>
    <w:rsid w:val="422926E8"/>
    <w:rsid w:val="422931B7"/>
    <w:rsid w:val="423E2823"/>
    <w:rsid w:val="425C0339"/>
    <w:rsid w:val="4286740D"/>
    <w:rsid w:val="428B7B59"/>
    <w:rsid w:val="42DF7208"/>
    <w:rsid w:val="42E163F2"/>
    <w:rsid w:val="42E60A49"/>
    <w:rsid w:val="42F965F2"/>
    <w:rsid w:val="430B346F"/>
    <w:rsid w:val="43300570"/>
    <w:rsid w:val="43320C1A"/>
    <w:rsid w:val="435117C9"/>
    <w:rsid w:val="435B5FA0"/>
    <w:rsid w:val="43957818"/>
    <w:rsid w:val="43EE526A"/>
    <w:rsid w:val="43FE6A09"/>
    <w:rsid w:val="445E4335"/>
    <w:rsid w:val="448242F3"/>
    <w:rsid w:val="44966128"/>
    <w:rsid w:val="449A10C5"/>
    <w:rsid w:val="44C7147B"/>
    <w:rsid w:val="44FA75A6"/>
    <w:rsid w:val="4508235C"/>
    <w:rsid w:val="450C4F89"/>
    <w:rsid w:val="45285A9D"/>
    <w:rsid w:val="454632AB"/>
    <w:rsid w:val="454716C0"/>
    <w:rsid w:val="454B473F"/>
    <w:rsid w:val="45634B52"/>
    <w:rsid w:val="458748A4"/>
    <w:rsid w:val="45BC5068"/>
    <w:rsid w:val="45E216A1"/>
    <w:rsid w:val="45E26F29"/>
    <w:rsid w:val="465B470D"/>
    <w:rsid w:val="466312C3"/>
    <w:rsid w:val="466504F7"/>
    <w:rsid w:val="46715CDF"/>
    <w:rsid w:val="46750B97"/>
    <w:rsid w:val="46932DB1"/>
    <w:rsid w:val="469F1F27"/>
    <w:rsid w:val="46B517DD"/>
    <w:rsid w:val="46B83F75"/>
    <w:rsid w:val="46CB563B"/>
    <w:rsid w:val="46E04C21"/>
    <w:rsid w:val="4701596E"/>
    <w:rsid w:val="470644FA"/>
    <w:rsid w:val="473625AB"/>
    <w:rsid w:val="47414CB1"/>
    <w:rsid w:val="475573AE"/>
    <w:rsid w:val="47575BA3"/>
    <w:rsid w:val="479E0163"/>
    <w:rsid w:val="47AD2EC0"/>
    <w:rsid w:val="47B20B12"/>
    <w:rsid w:val="47BE4B87"/>
    <w:rsid w:val="47D557C9"/>
    <w:rsid w:val="47EA7AF7"/>
    <w:rsid w:val="47EF143D"/>
    <w:rsid w:val="47F6293F"/>
    <w:rsid w:val="480A77CA"/>
    <w:rsid w:val="481039F9"/>
    <w:rsid w:val="481F1B00"/>
    <w:rsid w:val="485E2406"/>
    <w:rsid w:val="486D4F16"/>
    <w:rsid w:val="48717189"/>
    <w:rsid w:val="489E5C2C"/>
    <w:rsid w:val="491D766A"/>
    <w:rsid w:val="493C6926"/>
    <w:rsid w:val="49423D6F"/>
    <w:rsid w:val="496C019A"/>
    <w:rsid w:val="49743672"/>
    <w:rsid w:val="49753881"/>
    <w:rsid w:val="498819E1"/>
    <w:rsid w:val="498C6693"/>
    <w:rsid w:val="499D7063"/>
    <w:rsid w:val="49D812D9"/>
    <w:rsid w:val="49DD5379"/>
    <w:rsid w:val="49EF575D"/>
    <w:rsid w:val="49F876F8"/>
    <w:rsid w:val="4A01267D"/>
    <w:rsid w:val="4A0C2FB9"/>
    <w:rsid w:val="4A14705F"/>
    <w:rsid w:val="4A612BBC"/>
    <w:rsid w:val="4A6504DB"/>
    <w:rsid w:val="4A802A91"/>
    <w:rsid w:val="4ABF5671"/>
    <w:rsid w:val="4AF40480"/>
    <w:rsid w:val="4B0166B4"/>
    <w:rsid w:val="4B102BA0"/>
    <w:rsid w:val="4B142950"/>
    <w:rsid w:val="4B466B11"/>
    <w:rsid w:val="4B5005D9"/>
    <w:rsid w:val="4B662845"/>
    <w:rsid w:val="4B863275"/>
    <w:rsid w:val="4B8F38AC"/>
    <w:rsid w:val="4B932F68"/>
    <w:rsid w:val="4BA460D0"/>
    <w:rsid w:val="4BC0573E"/>
    <w:rsid w:val="4BE57EC5"/>
    <w:rsid w:val="4C122540"/>
    <w:rsid w:val="4C173F5D"/>
    <w:rsid w:val="4C243A0B"/>
    <w:rsid w:val="4C2B6F44"/>
    <w:rsid w:val="4C373312"/>
    <w:rsid w:val="4C3E67D2"/>
    <w:rsid w:val="4C5152C1"/>
    <w:rsid w:val="4C560717"/>
    <w:rsid w:val="4C6318A7"/>
    <w:rsid w:val="4C724C4A"/>
    <w:rsid w:val="4C7D53DD"/>
    <w:rsid w:val="4C8D3001"/>
    <w:rsid w:val="4C9923D8"/>
    <w:rsid w:val="4CAA55D5"/>
    <w:rsid w:val="4CBD3CFA"/>
    <w:rsid w:val="4CCA7EF7"/>
    <w:rsid w:val="4D0E7086"/>
    <w:rsid w:val="4D311494"/>
    <w:rsid w:val="4D617082"/>
    <w:rsid w:val="4D7E33D7"/>
    <w:rsid w:val="4DC94652"/>
    <w:rsid w:val="4E061402"/>
    <w:rsid w:val="4E444E98"/>
    <w:rsid w:val="4E4C0CEF"/>
    <w:rsid w:val="4E5D267A"/>
    <w:rsid w:val="4E684B53"/>
    <w:rsid w:val="4E883004"/>
    <w:rsid w:val="4E9843F7"/>
    <w:rsid w:val="4E987C6F"/>
    <w:rsid w:val="4EBC24C6"/>
    <w:rsid w:val="4EC51148"/>
    <w:rsid w:val="4F060CD3"/>
    <w:rsid w:val="4F0F6D2A"/>
    <w:rsid w:val="4F164E1A"/>
    <w:rsid w:val="4F2F4C41"/>
    <w:rsid w:val="4F5C321A"/>
    <w:rsid w:val="4FC72C67"/>
    <w:rsid w:val="4FE40F72"/>
    <w:rsid w:val="50235A92"/>
    <w:rsid w:val="5048609D"/>
    <w:rsid w:val="50680152"/>
    <w:rsid w:val="506F6CB9"/>
    <w:rsid w:val="508C6920"/>
    <w:rsid w:val="509E35AF"/>
    <w:rsid w:val="50B53614"/>
    <w:rsid w:val="50C013A6"/>
    <w:rsid w:val="50CC2DF1"/>
    <w:rsid w:val="50EC4BCC"/>
    <w:rsid w:val="514A216C"/>
    <w:rsid w:val="51774366"/>
    <w:rsid w:val="517F39A6"/>
    <w:rsid w:val="51844524"/>
    <w:rsid w:val="51901CA0"/>
    <w:rsid w:val="51B37099"/>
    <w:rsid w:val="51B805DA"/>
    <w:rsid w:val="51C35021"/>
    <w:rsid w:val="51C74395"/>
    <w:rsid w:val="51E15AC7"/>
    <w:rsid w:val="51E90E1F"/>
    <w:rsid w:val="51FB499D"/>
    <w:rsid w:val="52043B7F"/>
    <w:rsid w:val="520A15E2"/>
    <w:rsid w:val="5239683C"/>
    <w:rsid w:val="524D641D"/>
    <w:rsid w:val="52505342"/>
    <w:rsid w:val="526B0E22"/>
    <w:rsid w:val="529B7DC2"/>
    <w:rsid w:val="52C75B32"/>
    <w:rsid w:val="53046EBA"/>
    <w:rsid w:val="53146370"/>
    <w:rsid w:val="537B019D"/>
    <w:rsid w:val="537E7606"/>
    <w:rsid w:val="53D33607"/>
    <w:rsid w:val="53ED0E02"/>
    <w:rsid w:val="53FA073C"/>
    <w:rsid w:val="540548B5"/>
    <w:rsid w:val="543C5B7E"/>
    <w:rsid w:val="545D63C5"/>
    <w:rsid w:val="54625916"/>
    <w:rsid w:val="547367BC"/>
    <w:rsid w:val="547538B2"/>
    <w:rsid w:val="547911B9"/>
    <w:rsid w:val="548C7FA5"/>
    <w:rsid w:val="549D65FB"/>
    <w:rsid w:val="54AA7BA4"/>
    <w:rsid w:val="54AE4B1F"/>
    <w:rsid w:val="54CD0F2E"/>
    <w:rsid w:val="54D20BB2"/>
    <w:rsid w:val="54D472B0"/>
    <w:rsid w:val="54E02441"/>
    <w:rsid w:val="54ED319A"/>
    <w:rsid w:val="550C2C82"/>
    <w:rsid w:val="551F0154"/>
    <w:rsid w:val="55602708"/>
    <w:rsid w:val="55627D0A"/>
    <w:rsid w:val="55957979"/>
    <w:rsid w:val="55A2370B"/>
    <w:rsid w:val="55B73D7B"/>
    <w:rsid w:val="55DC7607"/>
    <w:rsid w:val="55E232DA"/>
    <w:rsid w:val="5626646A"/>
    <w:rsid w:val="563C64C0"/>
    <w:rsid w:val="564D4DE6"/>
    <w:rsid w:val="56593530"/>
    <w:rsid w:val="567F6DD8"/>
    <w:rsid w:val="568C1FA2"/>
    <w:rsid w:val="56A3485A"/>
    <w:rsid w:val="56DF6C95"/>
    <w:rsid w:val="56E10EA8"/>
    <w:rsid w:val="56E81055"/>
    <w:rsid w:val="56E86198"/>
    <w:rsid w:val="56F037C9"/>
    <w:rsid w:val="56FF760A"/>
    <w:rsid w:val="57022298"/>
    <w:rsid w:val="57085C52"/>
    <w:rsid w:val="571549AA"/>
    <w:rsid w:val="571B00C2"/>
    <w:rsid w:val="57363121"/>
    <w:rsid w:val="57412E89"/>
    <w:rsid w:val="57414501"/>
    <w:rsid w:val="574F4ADF"/>
    <w:rsid w:val="578D7B7C"/>
    <w:rsid w:val="578F2469"/>
    <w:rsid w:val="57A852D8"/>
    <w:rsid w:val="57AF656B"/>
    <w:rsid w:val="57E346DB"/>
    <w:rsid w:val="57EB6DC4"/>
    <w:rsid w:val="57FB7A3D"/>
    <w:rsid w:val="58140590"/>
    <w:rsid w:val="582C20C4"/>
    <w:rsid w:val="583012BA"/>
    <w:rsid w:val="58394A57"/>
    <w:rsid w:val="584511C0"/>
    <w:rsid w:val="584E7C2E"/>
    <w:rsid w:val="58707408"/>
    <w:rsid w:val="5875165E"/>
    <w:rsid w:val="58940E7A"/>
    <w:rsid w:val="58C541CA"/>
    <w:rsid w:val="58E53C9F"/>
    <w:rsid w:val="58EE32A9"/>
    <w:rsid w:val="58F15FF1"/>
    <w:rsid w:val="590A1CEB"/>
    <w:rsid w:val="5914523B"/>
    <w:rsid w:val="593A7D6D"/>
    <w:rsid w:val="596110D1"/>
    <w:rsid w:val="59624336"/>
    <w:rsid w:val="599B50F5"/>
    <w:rsid w:val="59A04CCE"/>
    <w:rsid w:val="59E24004"/>
    <w:rsid w:val="5A211258"/>
    <w:rsid w:val="5A2F2F32"/>
    <w:rsid w:val="5A322B7F"/>
    <w:rsid w:val="5A3E700A"/>
    <w:rsid w:val="5A6B0563"/>
    <w:rsid w:val="5A971D60"/>
    <w:rsid w:val="5AC727D6"/>
    <w:rsid w:val="5AC93C88"/>
    <w:rsid w:val="5AC97A40"/>
    <w:rsid w:val="5ACB1A0A"/>
    <w:rsid w:val="5AD43284"/>
    <w:rsid w:val="5ADF3707"/>
    <w:rsid w:val="5B83679E"/>
    <w:rsid w:val="5B8A2D2C"/>
    <w:rsid w:val="5BB63E9C"/>
    <w:rsid w:val="5C4C6B7A"/>
    <w:rsid w:val="5C4E28F2"/>
    <w:rsid w:val="5C712531"/>
    <w:rsid w:val="5C761E49"/>
    <w:rsid w:val="5C8E77CF"/>
    <w:rsid w:val="5CA01740"/>
    <w:rsid w:val="5CB117CD"/>
    <w:rsid w:val="5CB62F45"/>
    <w:rsid w:val="5CB65CF2"/>
    <w:rsid w:val="5D057255"/>
    <w:rsid w:val="5D0D6309"/>
    <w:rsid w:val="5D315433"/>
    <w:rsid w:val="5D3665F9"/>
    <w:rsid w:val="5D4B6D34"/>
    <w:rsid w:val="5D6F75DE"/>
    <w:rsid w:val="5D963448"/>
    <w:rsid w:val="5DB06344"/>
    <w:rsid w:val="5DB12B5B"/>
    <w:rsid w:val="5DCF186A"/>
    <w:rsid w:val="5DD95ED2"/>
    <w:rsid w:val="5DE40ED1"/>
    <w:rsid w:val="5DF95BED"/>
    <w:rsid w:val="5E017386"/>
    <w:rsid w:val="5E0510B8"/>
    <w:rsid w:val="5E406FD4"/>
    <w:rsid w:val="5E8D6E87"/>
    <w:rsid w:val="5EB009F1"/>
    <w:rsid w:val="5EBD7C71"/>
    <w:rsid w:val="5EC325D5"/>
    <w:rsid w:val="5EC32908"/>
    <w:rsid w:val="5EC32C90"/>
    <w:rsid w:val="5F750196"/>
    <w:rsid w:val="5F7C55A9"/>
    <w:rsid w:val="5F9846EC"/>
    <w:rsid w:val="5FB6478B"/>
    <w:rsid w:val="5FB82903"/>
    <w:rsid w:val="5FB9611A"/>
    <w:rsid w:val="5FCC28EF"/>
    <w:rsid w:val="5FCE76A6"/>
    <w:rsid w:val="5FDE290E"/>
    <w:rsid w:val="5FE34700"/>
    <w:rsid w:val="5FF824FD"/>
    <w:rsid w:val="5FFFD944"/>
    <w:rsid w:val="60275F41"/>
    <w:rsid w:val="60397415"/>
    <w:rsid w:val="603C0CB4"/>
    <w:rsid w:val="604F4E8B"/>
    <w:rsid w:val="605C5D55"/>
    <w:rsid w:val="60634A76"/>
    <w:rsid w:val="60B03285"/>
    <w:rsid w:val="60BC2E73"/>
    <w:rsid w:val="61111455"/>
    <w:rsid w:val="61166780"/>
    <w:rsid w:val="611C2F36"/>
    <w:rsid w:val="61297EF1"/>
    <w:rsid w:val="612F70BF"/>
    <w:rsid w:val="61400F2C"/>
    <w:rsid w:val="617D7CEC"/>
    <w:rsid w:val="61990635"/>
    <w:rsid w:val="61997D23"/>
    <w:rsid w:val="61B2747F"/>
    <w:rsid w:val="61C349A0"/>
    <w:rsid w:val="62220842"/>
    <w:rsid w:val="624C242C"/>
    <w:rsid w:val="62610C5F"/>
    <w:rsid w:val="626223EA"/>
    <w:rsid w:val="627F17FD"/>
    <w:rsid w:val="62800C5F"/>
    <w:rsid w:val="6282392C"/>
    <w:rsid w:val="62950F73"/>
    <w:rsid w:val="62A5297F"/>
    <w:rsid w:val="62A656B7"/>
    <w:rsid w:val="62D765E1"/>
    <w:rsid w:val="62E747A6"/>
    <w:rsid w:val="631657EC"/>
    <w:rsid w:val="634855E1"/>
    <w:rsid w:val="63782963"/>
    <w:rsid w:val="63A220EC"/>
    <w:rsid w:val="63A300AB"/>
    <w:rsid w:val="63AB062A"/>
    <w:rsid w:val="63B9287D"/>
    <w:rsid w:val="63BA4C2B"/>
    <w:rsid w:val="63BD3DCC"/>
    <w:rsid w:val="63DB1968"/>
    <w:rsid w:val="63E47698"/>
    <w:rsid w:val="63E80DAE"/>
    <w:rsid w:val="640D6AAD"/>
    <w:rsid w:val="64184044"/>
    <w:rsid w:val="641B05A3"/>
    <w:rsid w:val="64412D3D"/>
    <w:rsid w:val="645002AB"/>
    <w:rsid w:val="64637A73"/>
    <w:rsid w:val="64744EC0"/>
    <w:rsid w:val="647A77B3"/>
    <w:rsid w:val="648B5E5E"/>
    <w:rsid w:val="64B03C3F"/>
    <w:rsid w:val="64C02268"/>
    <w:rsid w:val="64D77000"/>
    <w:rsid w:val="64DE10BC"/>
    <w:rsid w:val="65257F68"/>
    <w:rsid w:val="655457F3"/>
    <w:rsid w:val="65614357"/>
    <w:rsid w:val="657B09C5"/>
    <w:rsid w:val="65A802C3"/>
    <w:rsid w:val="65CC38EE"/>
    <w:rsid w:val="65DE0CDA"/>
    <w:rsid w:val="65E676BD"/>
    <w:rsid w:val="65ED6CD8"/>
    <w:rsid w:val="6616088B"/>
    <w:rsid w:val="661A2785"/>
    <w:rsid w:val="662B0C58"/>
    <w:rsid w:val="66586254"/>
    <w:rsid w:val="666B6B5D"/>
    <w:rsid w:val="666D524A"/>
    <w:rsid w:val="66777068"/>
    <w:rsid w:val="669110B4"/>
    <w:rsid w:val="66A852F5"/>
    <w:rsid w:val="66CF6F74"/>
    <w:rsid w:val="66D5172B"/>
    <w:rsid w:val="673F5FA5"/>
    <w:rsid w:val="67741253"/>
    <w:rsid w:val="67760D1A"/>
    <w:rsid w:val="678E1F28"/>
    <w:rsid w:val="678F1749"/>
    <w:rsid w:val="67AF7FBD"/>
    <w:rsid w:val="67C96476"/>
    <w:rsid w:val="6816379F"/>
    <w:rsid w:val="68200845"/>
    <w:rsid w:val="684814B4"/>
    <w:rsid w:val="68832557"/>
    <w:rsid w:val="68C03768"/>
    <w:rsid w:val="69036DDF"/>
    <w:rsid w:val="69194543"/>
    <w:rsid w:val="692E38EB"/>
    <w:rsid w:val="69366686"/>
    <w:rsid w:val="695B664F"/>
    <w:rsid w:val="696F5841"/>
    <w:rsid w:val="6974326C"/>
    <w:rsid w:val="69D3114B"/>
    <w:rsid w:val="6A3C4858"/>
    <w:rsid w:val="6A440E91"/>
    <w:rsid w:val="6A480E85"/>
    <w:rsid w:val="6AD42062"/>
    <w:rsid w:val="6AFF6EE3"/>
    <w:rsid w:val="6B105EB6"/>
    <w:rsid w:val="6B25428A"/>
    <w:rsid w:val="6B441250"/>
    <w:rsid w:val="6B485271"/>
    <w:rsid w:val="6B487674"/>
    <w:rsid w:val="6B5C609D"/>
    <w:rsid w:val="6B5E15A0"/>
    <w:rsid w:val="6B6E19E9"/>
    <w:rsid w:val="6B793D65"/>
    <w:rsid w:val="6B7D6E77"/>
    <w:rsid w:val="6B8005EE"/>
    <w:rsid w:val="6BA2393D"/>
    <w:rsid w:val="6BBADF10"/>
    <w:rsid w:val="6BBD3D32"/>
    <w:rsid w:val="6BC44906"/>
    <w:rsid w:val="6BCF2E21"/>
    <w:rsid w:val="6BE7051D"/>
    <w:rsid w:val="6BF04B47"/>
    <w:rsid w:val="6BF25B97"/>
    <w:rsid w:val="6BF57AA1"/>
    <w:rsid w:val="6C0D46C0"/>
    <w:rsid w:val="6C120DA2"/>
    <w:rsid w:val="6C1A0AD1"/>
    <w:rsid w:val="6C3A69EF"/>
    <w:rsid w:val="6C7D39EF"/>
    <w:rsid w:val="6C8422AB"/>
    <w:rsid w:val="6CA566A0"/>
    <w:rsid w:val="6CED328C"/>
    <w:rsid w:val="6D0337BC"/>
    <w:rsid w:val="6D1E3C1B"/>
    <w:rsid w:val="6D3450DB"/>
    <w:rsid w:val="6D3C22F3"/>
    <w:rsid w:val="6D585A43"/>
    <w:rsid w:val="6D7B3FE8"/>
    <w:rsid w:val="6D8F4B19"/>
    <w:rsid w:val="6D8F6931"/>
    <w:rsid w:val="6DC81303"/>
    <w:rsid w:val="6DDB3675"/>
    <w:rsid w:val="6DE1719F"/>
    <w:rsid w:val="6DEE4DF9"/>
    <w:rsid w:val="6E057EDE"/>
    <w:rsid w:val="6E147F0B"/>
    <w:rsid w:val="6E365A49"/>
    <w:rsid w:val="6E3A48AD"/>
    <w:rsid w:val="6E531FEA"/>
    <w:rsid w:val="6E5B24BC"/>
    <w:rsid w:val="6E5B4A69"/>
    <w:rsid w:val="6E605517"/>
    <w:rsid w:val="6E71306F"/>
    <w:rsid w:val="6E8D3D27"/>
    <w:rsid w:val="6E92447D"/>
    <w:rsid w:val="6E925745"/>
    <w:rsid w:val="6ED241B4"/>
    <w:rsid w:val="6EED1AF7"/>
    <w:rsid w:val="6F094884"/>
    <w:rsid w:val="6F5D5D2C"/>
    <w:rsid w:val="6F966DF6"/>
    <w:rsid w:val="6F9722D5"/>
    <w:rsid w:val="6FB5351B"/>
    <w:rsid w:val="6FB8103A"/>
    <w:rsid w:val="6FB92C57"/>
    <w:rsid w:val="6FDE345A"/>
    <w:rsid w:val="6FE97F06"/>
    <w:rsid w:val="70192B5D"/>
    <w:rsid w:val="70385A2E"/>
    <w:rsid w:val="70396AE3"/>
    <w:rsid w:val="705A140E"/>
    <w:rsid w:val="706E47B8"/>
    <w:rsid w:val="70C70904"/>
    <w:rsid w:val="70D403D3"/>
    <w:rsid w:val="70F27898"/>
    <w:rsid w:val="70F522BC"/>
    <w:rsid w:val="71122318"/>
    <w:rsid w:val="711F61B4"/>
    <w:rsid w:val="713341DF"/>
    <w:rsid w:val="71604DA7"/>
    <w:rsid w:val="716B5794"/>
    <w:rsid w:val="717619C3"/>
    <w:rsid w:val="71796C76"/>
    <w:rsid w:val="71AA0F82"/>
    <w:rsid w:val="71AF3F00"/>
    <w:rsid w:val="71E3268F"/>
    <w:rsid w:val="71F70F3D"/>
    <w:rsid w:val="721C7622"/>
    <w:rsid w:val="72284242"/>
    <w:rsid w:val="72351862"/>
    <w:rsid w:val="72697840"/>
    <w:rsid w:val="7270425A"/>
    <w:rsid w:val="728C1627"/>
    <w:rsid w:val="72A829E5"/>
    <w:rsid w:val="72CA6BE1"/>
    <w:rsid w:val="731C6E18"/>
    <w:rsid w:val="731F431B"/>
    <w:rsid w:val="7330460D"/>
    <w:rsid w:val="73427BD6"/>
    <w:rsid w:val="73470EE1"/>
    <w:rsid w:val="73A17354"/>
    <w:rsid w:val="73C117A4"/>
    <w:rsid w:val="73C33AE4"/>
    <w:rsid w:val="73E23154"/>
    <w:rsid w:val="73F15F3F"/>
    <w:rsid w:val="73F345A4"/>
    <w:rsid w:val="74083497"/>
    <w:rsid w:val="74113365"/>
    <w:rsid w:val="74266FDD"/>
    <w:rsid w:val="744E5B24"/>
    <w:rsid w:val="7454015A"/>
    <w:rsid w:val="746873AF"/>
    <w:rsid w:val="7482683C"/>
    <w:rsid w:val="74953575"/>
    <w:rsid w:val="749C2889"/>
    <w:rsid w:val="74A05A7F"/>
    <w:rsid w:val="74E4107E"/>
    <w:rsid w:val="74E90FB2"/>
    <w:rsid w:val="750008C6"/>
    <w:rsid w:val="750462F3"/>
    <w:rsid w:val="755632D2"/>
    <w:rsid w:val="756F2491"/>
    <w:rsid w:val="757A4300"/>
    <w:rsid w:val="763042EE"/>
    <w:rsid w:val="76450DD5"/>
    <w:rsid w:val="764E10B0"/>
    <w:rsid w:val="765362F6"/>
    <w:rsid w:val="766B55F3"/>
    <w:rsid w:val="7676585E"/>
    <w:rsid w:val="76817468"/>
    <w:rsid w:val="76945895"/>
    <w:rsid w:val="769F401E"/>
    <w:rsid w:val="76A43C4B"/>
    <w:rsid w:val="76B57304"/>
    <w:rsid w:val="76C866CC"/>
    <w:rsid w:val="76CB6D8E"/>
    <w:rsid w:val="76F64856"/>
    <w:rsid w:val="76F83E8C"/>
    <w:rsid w:val="76F95218"/>
    <w:rsid w:val="77324723"/>
    <w:rsid w:val="773C5370"/>
    <w:rsid w:val="774963C9"/>
    <w:rsid w:val="7766473C"/>
    <w:rsid w:val="778B45A3"/>
    <w:rsid w:val="77980D9A"/>
    <w:rsid w:val="77A52F18"/>
    <w:rsid w:val="77AD5A29"/>
    <w:rsid w:val="77BC3A18"/>
    <w:rsid w:val="77DA1F3B"/>
    <w:rsid w:val="77DD5E41"/>
    <w:rsid w:val="77E54B3A"/>
    <w:rsid w:val="78295334"/>
    <w:rsid w:val="782A3530"/>
    <w:rsid w:val="785215E0"/>
    <w:rsid w:val="78537310"/>
    <w:rsid w:val="787B79C5"/>
    <w:rsid w:val="78811EAA"/>
    <w:rsid w:val="788E4B46"/>
    <w:rsid w:val="789470BD"/>
    <w:rsid w:val="789F4190"/>
    <w:rsid w:val="78D2705B"/>
    <w:rsid w:val="790A05A0"/>
    <w:rsid w:val="791C61EF"/>
    <w:rsid w:val="79573BF5"/>
    <w:rsid w:val="796F05E0"/>
    <w:rsid w:val="79914AC1"/>
    <w:rsid w:val="799811D2"/>
    <w:rsid w:val="79A25232"/>
    <w:rsid w:val="79A42017"/>
    <w:rsid w:val="79CA06D6"/>
    <w:rsid w:val="79F842AA"/>
    <w:rsid w:val="7A2D54BD"/>
    <w:rsid w:val="7A414C68"/>
    <w:rsid w:val="7A4778AC"/>
    <w:rsid w:val="7A482BB0"/>
    <w:rsid w:val="7A7031DE"/>
    <w:rsid w:val="7A877901"/>
    <w:rsid w:val="7A8E13F5"/>
    <w:rsid w:val="7AAB3047"/>
    <w:rsid w:val="7ACE74DC"/>
    <w:rsid w:val="7ADE14E1"/>
    <w:rsid w:val="7AE45ADC"/>
    <w:rsid w:val="7AE83E46"/>
    <w:rsid w:val="7AEF081F"/>
    <w:rsid w:val="7AF1471D"/>
    <w:rsid w:val="7B055127"/>
    <w:rsid w:val="7B197F69"/>
    <w:rsid w:val="7B230DC1"/>
    <w:rsid w:val="7B871069"/>
    <w:rsid w:val="7CAE6B7A"/>
    <w:rsid w:val="7CCE0BC2"/>
    <w:rsid w:val="7CFF15ED"/>
    <w:rsid w:val="7D460D84"/>
    <w:rsid w:val="7D5947FB"/>
    <w:rsid w:val="7D66199A"/>
    <w:rsid w:val="7D6E6B48"/>
    <w:rsid w:val="7D821FA4"/>
    <w:rsid w:val="7D827C31"/>
    <w:rsid w:val="7D8C348B"/>
    <w:rsid w:val="7DDE7A40"/>
    <w:rsid w:val="7DE9671E"/>
    <w:rsid w:val="7DEA5A15"/>
    <w:rsid w:val="7E1C4CDA"/>
    <w:rsid w:val="7E293F7B"/>
    <w:rsid w:val="7E643773"/>
    <w:rsid w:val="7E712102"/>
    <w:rsid w:val="7E976035"/>
    <w:rsid w:val="7ECA45D2"/>
    <w:rsid w:val="7ECC31F5"/>
    <w:rsid w:val="7EDD10F9"/>
    <w:rsid w:val="7F025E79"/>
    <w:rsid w:val="7F052E8D"/>
    <w:rsid w:val="7F222401"/>
    <w:rsid w:val="7F5248B7"/>
    <w:rsid w:val="7F77F977"/>
    <w:rsid w:val="7F87223B"/>
    <w:rsid w:val="7F8C5645"/>
    <w:rsid w:val="7FF73CE7"/>
    <w:rsid w:val="7FFE168C"/>
    <w:rsid w:val="9FF05660"/>
    <w:rsid w:val="AFFF2E5D"/>
    <w:rsid w:val="BE0F23B0"/>
    <w:rsid w:val="C3D5B3A5"/>
    <w:rsid w:val="DE7F37D5"/>
    <w:rsid w:val="DF8FB553"/>
    <w:rsid w:val="E3FDC2D8"/>
    <w:rsid w:val="F6BF12A3"/>
    <w:rsid w:val="FBAA2EE0"/>
    <w:rsid w:val="FCFE6FCC"/>
    <w:rsid w:val="FF5FED8F"/>
  </w:rsids>
  <m:mathPr>
    <m:mathFont m:val="Cambria Math"/>
    <m:brkBin m:val="before"/>
    <m:brkBinSub m:val="--"/>
    <m:smallFrac m:val="1"/>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autoRedefine/>
    <w:qFormat/>
    <w:uiPriority w:val="0"/>
    <w:pPr>
      <w:widowControl/>
      <w:jc w:val="left"/>
      <w:outlineLvl w:val="1"/>
    </w:pPr>
    <w:rPr>
      <w:rFonts w:ascii="宋体" w:hAnsi="宋体" w:cs="宋体"/>
      <w:b/>
      <w:bCs/>
      <w:color w:val="BB0000"/>
      <w:kern w:val="0"/>
      <w:szCs w:val="21"/>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4">
    <w:name w:val="Normal Indent"/>
    <w:basedOn w:val="1"/>
    <w:next w:val="1"/>
    <w:autoRedefine/>
    <w:qFormat/>
    <w:uiPriority w:val="0"/>
    <w:pPr>
      <w:ind w:firstLine="420" w:firstLineChars="200"/>
    </w:pPr>
  </w:style>
  <w:style w:type="paragraph" w:styleId="5">
    <w:name w:val="annotation text"/>
    <w:basedOn w:val="1"/>
    <w:link w:val="35"/>
    <w:autoRedefine/>
    <w:qFormat/>
    <w:uiPriority w:val="0"/>
    <w:pPr>
      <w:jc w:val="left"/>
    </w:pPr>
  </w:style>
  <w:style w:type="paragraph" w:styleId="6">
    <w:name w:val="Body Text"/>
    <w:basedOn w:val="1"/>
    <w:next w:val="7"/>
    <w:autoRedefine/>
    <w:qFormat/>
    <w:uiPriority w:val="0"/>
    <w:pPr>
      <w:spacing w:after="120"/>
    </w:pPr>
  </w:style>
  <w:style w:type="paragraph" w:styleId="7">
    <w:name w:val="Body Text First Indent"/>
    <w:basedOn w:val="6"/>
    <w:next w:val="8"/>
    <w:autoRedefine/>
    <w:qFormat/>
    <w:uiPriority w:val="0"/>
    <w:pPr>
      <w:ind w:firstLine="420"/>
    </w:pPr>
  </w:style>
  <w:style w:type="paragraph" w:styleId="8">
    <w:name w:val="toc 6"/>
    <w:basedOn w:val="1"/>
    <w:next w:val="1"/>
    <w:autoRedefine/>
    <w:qFormat/>
    <w:uiPriority w:val="0"/>
    <w:pPr>
      <w:ind w:left="2100" w:leftChars="1000"/>
    </w:pPr>
    <w:rPr>
      <w:szCs w:val="22"/>
    </w:rPr>
  </w:style>
  <w:style w:type="paragraph" w:styleId="9">
    <w:name w:val="Body Text Indent"/>
    <w:basedOn w:val="1"/>
    <w:autoRedefine/>
    <w:qFormat/>
    <w:uiPriority w:val="0"/>
    <w:pPr>
      <w:ind w:firstLine="570"/>
    </w:pPr>
    <w:rPr>
      <w:rFonts w:ascii="宋体" w:hAnsi="宋体"/>
      <w:sz w:val="28"/>
    </w:rPr>
  </w:style>
  <w:style w:type="paragraph" w:styleId="10">
    <w:name w:val="Plain Text"/>
    <w:basedOn w:val="1"/>
    <w:link w:val="33"/>
    <w:autoRedefine/>
    <w:qFormat/>
    <w:uiPriority w:val="0"/>
    <w:rPr>
      <w:rFonts w:ascii="宋体" w:hAnsi="Courier New" w:cs="Courier New"/>
      <w:szCs w:val="21"/>
    </w:rPr>
  </w:style>
  <w:style w:type="paragraph" w:styleId="11">
    <w:name w:val="Date"/>
    <w:basedOn w:val="1"/>
    <w:next w:val="1"/>
    <w:autoRedefine/>
    <w:qFormat/>
    <w:uiPriority w:val="0"/>
    <w:pPr>
      <w:ind w:left="100" w:leftChars="2500"/>
    </w:pPr>
  </w:style>
  <w:style w:type="paragraph" w:styleId="12">
    <w:name w:val="Balloon Text"/>
    <w:basedOn w:val="1"/>
    <w:link w:val="40"/>
    <w:autoRedefine/>
    <w:qFormat/>
    <w:uiPriority w:val="0"/>
    <w:rPr>
      <w:sz w:val="18"/>
      <w:szCs w:val="18"/>
    </w:rPr>
  </w:style>
  <w:style w:type="paragraph" w:styleId="13">
    <w:name w:val="footer"/>
    <w:basedOn w:val="1"/>
    <w:autoRedefine/>
    <w:qFormat/>
    <w:uiPriority w:val="0"/>
    <w:pPr>
      <w:tabs>
        <w:tab w:val="center" w:pos="4153"/>
        <w:tab w:val="right" w:pos="8306"/>
      </w:tabs>
      <w:snapToGrid w:val="0"/>
      <w:jc w:val="left"/>
    </w:pPr>
    <w:rPr>
      <w:sz w:val="18"/>
      <w:szCs w:val="18"/>
    </w:rPr>
  </w:style>
  <w:style w:type="paragraph" w:styleId="14">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5">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styleId="16">
    <w:name w:val="annotation subject"/>
    <w:basedOn w:val="5"/>
    <w:next w:val="5"/>
    <w:link w:val="34"/>
    <w:autoRedefine/>
    <w:qFormat/>
    <w:uiPriority w:val="0"/>
    <w:rPr>
      <w:b/>
      <w:bCs/>
    </w:rPr>
  </w:style>
  <w:style w:type="table" w:styleId="18">
    <w:name w:val="Table Grid"/>
    <w:basedOn w:val="17"/>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page number"/>
    <w:basedOn w:val="19"/>
    <w:autoRedefine/>
    <w:qFormat/>
    <w:uiPriority w:val="0"/>
  </w:style>
  <w:style w:type="character" w:styleId="21">
    <w:name w:val="Hyperlink"/>
    <w:basedOn w:val="19"/>
    <w:autoRedefine/>
    <w:qFormat/>
    <w:uiPriority w:val="0"/>
    <w:rPr>
      <w:color w:val="0000FF"/>
      <w:u w:val="single"/>
    </w:rPr>
  </w:style>
  <w:style w:type="character" w:styleId="22">
    <w:name w:val="annotation reference"/>
    <w:basedOn w:val="19"/>
    <w:qFormat/>
    <w:uiPriority w:val="0"/>
    <w:rPr>
      <w:sz w:val="21"/>
      <w:szCs w:val="21"/>
    </w:rPr>
  </w:style>
  <w:style w:type="paragraph" w:customStyle="1" w:styleId="23">
    <w:name w:val="Char2"/>
    <w:basedOn w:val="1"/>
    <w:autoRedefine/>
    <w:qFormat/>
    <w:uiPriority w:val="0"/>
    <w:rPr>
      <w:szCs w:val="20"/>
    </w:rPr>
  </w:style>
  <w:style w:type="paragraph" w:customStyle="1" w:styleId="24">
    <w:name w:val="BH5K0L"/>
    <w:basedOn w:val="1"/>
    <w:autoRedefine/>
    <w:qFormat/>
    <w:uiPriority w:val="0"/>
    <w:pPr>
      <w:spacing w:beforeLines="50" w:line="312" w:lineRule="auto"/>
    </w:pPr>
    <w:rPr>
      <w:rFonts w:ascii="仿宋" w:hAnsi="仿宋" w:eastAsia="仿宋"/>
    </w:rPr>
  </w:style>
  <w:style w:type="paragraph" w:customStyle="1" w:styleId="25">
    <w:name w:val="ZW5K2L"/>
    <w:basedOn w:val="24"/>
    <w:autoRedefine/>
    <w:qFormat/>
    <w:uiPriority w:val="0"/>
    <w:pPr>
      <w:ind w:firstLine="200" w:firstLineChars="200"/>
    </w:pPr>
    <w:rPr>
      <w:rFonts w:ascii="宋体" w:hAnsi="宋体" w:eastAsia="宋体"/>
      <w:szCs w:val="21"/>
    </w:rPr>
  </w:style>
  <w:style w:type="paragraph" w:customStyle="1" w:styleId="26">
    <w:name w:val="BG5K0L"/>
    <w:basedOn w:val="25"/>
    <w:autoRedefine/>
    <w:qFormat/>
    <w:uiPriority w:val="0"/>
    <w:pPr>
      <w:spacing w:beforeLines="0" w:line="240" w:lineRule="auto"/>
      <w:ind w:firstLine="0" w:firstLineChars="0"/>
    </w:pPr>
    <w:rPr>
      <w:rFonts w:eastAsia="仿宋"/>
    </w:rPr>
  </w:style>
  <w:style w:type="paragraph" w:customStyle="1" w:styleId="27">
    <w:name w:val="内文"/>
    <w:link w:val="37"/>
    <w:autoRedefine/>
    <w:qFormat/>
    <w:uiPriority w:val="0"/>
    <w:pPr>
      <w:adjustRightInd w:val="0"/>
      <w:snapToGrid w:val="0"/>
      <w:spacing w:line="400" w:lineRule="exact"/>
      <w:ind w:firstLine="200" w:firstLineChars="200"/>
      <w:jc w:val="both"/>
    </w:pPr>
    <w:rPr>
      <w:rFonts w:ascii="Arial" w:hAnsi="Arial" w:eastAsia="宋体" w:cs="Times New Roman"/>
      <w:kern w:val="2"/>
      <w:sz w:val="21"/>
      <w:lang w:val="en-US" w:eastAsia="zh-CN" w:bidi="ar-SA"/>
    </w:rPr>
  </w:style>
  <w:style w:type="paragraph" w:customStyle="1" w:styleId="28">
    <w:name w:val="Char Char Char Char1 Char"/>
    <w:basedOn w:val="1"/>
    <w:autoRedefine/>
    <w:qFormat/>
    <w:uiPriority w:val="0"/>
    <w:rPr>
      <w:rFonts w:ascii="仿宋_GB2312" w:eastAsia="仿宋_GB2312"/>
      <w:b/>
      <w:sz w:val="32"/>
      <w:szCs w:val="32"/>
    </w:rPr>
  </w:style>
  <w:style w:type="paragraph" w:customStyle="1" w:styleId="29">
    <w:name w:val="Char1"/>
    <w:basedOn w:val="1"/>
    <w:autoRedefine/>
    <w:qFormat/>
    <w:uiPriority w:val="0"/>
    <w:pPr>
      <w:spacing w:line="360" w:lineRule="auto"/>
      <w:ind w:firstLine="200" w:firstLineChars="200"/>
    </w:pPr>
    <w:rPr>
      <w:rFonts w:eastAsia="Times New Roman"/>
      <w:kern w:val="0"/>
      <w:sz w:val="20"/>
      <w:szCs w:val="20"/>
    </w:rPr>
  </w:style>
  <w:style w:type="paragraph" w:customStyle="1" w:styleId="30">
    <w:name w:val="列出段落1"/>
    <w:autoRedefine/>
    <w:qFormat/>
    <w:uiPriority w:val="34"/>
    <w:pPr>
      <w:ind w:firstLine="420" w:firstLineChars="200"/>
    </w:pPr>
    <w:rPr>
      <w:rFonts w:ascii="Times New Roman" w:hAnsi="Times New Roman" w:eastAsia="宋体" w:cs="Times New Roman"/>
      <w:lang w:val="en-US" w:eastAsia="zh-CN" w:bidi="ar-SA"/>
    </w:rPr>
  </w:style>
  <w:style w:type="paragraph" w:customStyle="1" w:styleId="31">
    <w:name w:val="Char"/>
    <w:basedOn w:val="1"/>
    <w:autoRedefine/>
    <w:qFormat/>
    <w:uiPriority w:val="0"/>
    <w:rPr>
      <w:szCs w:val="20"/>
    </w:rPr>
  </w:style>
  <w:style w:type="paragraph" w:customStyle="1" w:styleId="32">
    <w:name w:val="样式3"/>
    <w:basedOn w:val="1"/>
    <w:autoRedefine/>
    <w:qFormat/>
    <w:uiPriority w:val="0"/>
    <w:pPr>
      <w:spacing w:line="440" w:lineRule="exact"/>
      <w:ind w:firstLine="416" w:firstLineChars="198"/>
    </w:pPr>
    <w:rPr>
      <w:rFonts w:ascii="宋体" w:hAnsi="宋体"/>
      <w:bCs/>
      <w:szCs w:val="21"/>
    </w:rPr>
  </w:style>
  <w:style w:type="character" w:customStyle="1" w:styleId="33">
    <w:name w:val="纯文本 Char"/>
    <w:basedOn w:val="19"/>
    <w:link w:val="10"/>
    <w:autoRedefine/>
    <w:qFormat/>
    <w:uiPriority w:val="0"/>
    <w:rPr>
      <w:rFonts w:ascii="宋体" w:hAnsi="Courier New" w:eastAsia="宋体" w:cs="Courier New"/>
      <w:kern w:val="2"/>
      <w:sz w:val="21"/>
      <w:szCs w:val="21"/>
      <w:lang w:val="en-US" w:eastAsia="zh-CN" w:bidi="ar-SA"/>
    </w:rPr>
  </w:style>
  <w:style w:type="character" w:customStyle="1" w:styleId="34">
    <w:name w:val="批注主题 Char"/>
    <w:basedOn w:val="35"/>
    <w:link w:val="16"/>
    <w:autoRedefine/>
    <w:qFormat/>
    <w:uiPriority w:val="0"/>
  </w:style>
  <w:style w:type="character" w:customStyle="1" w:styleId="35">
    <w:name w:val="批注文字 Char"/>
    <w:basedOn w:val="19"/>
    <w:link w:val="5"/>
    <w:autoRedefine/>
    <w:qFormat/>
    <w:uiPriority w:val="0"/>
    <w:rPr>
      <w:kern w:val="2"/>
      <w:sz w:val="21"/>
      <w:szCs w:val="24"/>
    </w:rPr>
  </w:style>
  <w:style w:type="character" w:customStyle="1" w:styleId="36">
    <w:name w:val="style11"/>
    <w:basedOn w:val="19"/>
    <w:autoRedefine/>
    <w:qFormat/>
    <w:uiPriority w:val="0"/>
    <w:rPr>
      <w:b/>
      <w:bCs/>
      <w:color w:val="D54F2B"/>
      <w:sz w:val="21"/>
      <w:szCs w:val="21"/>
    </w:rPr>
  </w:style>
  <w:style w:type="character" w:customStyle="1" w:styleId="37">
    <w:name w:val="内文 Char"/>
    <w:basedOn w:val="19"/>
    <w:link w:val="27"/>
    <w:autoRedefine/>
    <w:qFormat/>
    <w:uiPriority w:val="0"/>
    <w:rPr>
      <w:rFonts w:ascii="Arial" w:hAnsi="Arial"/>
      <w:kern w:val="2"/>
      <w:sz w:val="21"/>
      <w:lang w:val="en-US" w:eastAsia="zh-CN" w:bidi="ar-SA"/>
    </w:rPr>
  </w:style>
  <w:style w:type="character" w:customStyle="1" w:styleId="38">
    <w:name w:val="dz1"/>
    <w:basedOn w:val="19"/>
    <w:autoRedefine/>
    <w:qFormat/>
    <w:uiPriority w:val="0"/>
  </w:style>
  <w:style w:type="character" w:customStyle="1" w:styleId="39">
    <w:name w:val="bulletintext"/>
    <w:basedOn w:val="19"/>
    <w:autoRedefine/>
    <w:qFormat/>
    <w:uiPriority w:val="0"/>
  </w:style>
  <w:style w:type="character" w:customStyle="1" w:styleId="40">
    <w:name w:val="批注框文本 Char"/>
    <w:basedOn w:val="19"/>
    <w:link w:val="12"/>
    <w:autoRedefine/>
    <w:qFormat/>
    <w:uiPriority w:val="0"/>
    <w:rPr>
      <w:kern w:val="2"/>
      <w:sz w:val="18"/>
      <w:szCs w:val="18"/>
    </w:rPr>
  </w:style>
  <w:style w:type="character" w:customStyle="1" w:styleId="41">
    <w:name w:val="textcontents"/>
    <w:basedOn w:val="19"/>
    <w:autoRedefine/>
    <w:qFormat/>
    <w:uiPriority w:val="0"/>
  </w:style>
  <w:style w:type="character" w:customStyle="1" w:styleId="42">
    <w:name w:val="style9"/>
    <w:basedOn w:val="19"/>
    <w:autoRedefine/>
    <w:qFormat/>
    <w:uiPriority w:val="0"/>
  </w:style>
  <w:style w:type="paragraph" w:styleId="43">
    <w:name w:val="List Paragraph"/>
    <w:basedOn w:val="1"/>
    <w:autoRedefine/>
    <w:qFormat/>
    <w:uiPriority w:val="34"/>
    <w:pPr>
      <w:ind w:firstLine="420" w:firstLineChars="200"/>
    </w:pPr>
  </w:style>
  <w:style w:type="paragraph" w:customStyle="1" w:styleId="44">
    <w:name w:val="正文_0_2_0"/>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3302</Words>
  <Characters>3500</Characters>
  <Lines>25</Lines>
  <Paragraphs>7</Paragraphs>
  <TotalTime>0</TotalTime>
  <ScaleCrop>false</ScaleCrop>
  <LinksUpToDate>false</LinksUpToDate>
  <CharactersWithSpaces>3703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2020-06-19T05:41:00Z</dcterms:created>
  <dc:creator>高</dc:creator>
  <cp:lastModifiedBy>ようきんい</cp:lastModifiedBy>
  <cp:lastPrinted>2025-10-21T04:35:00Z</cp:lastPrinted>
  <dcterms:modified xsi:type="dcterms:W3CDTF">2026-06-12T07:04:58Z</dcterms:modified>
  <dc:title>杭州东部创智天地工程招标工程量清单编制说明</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49ADA6D5467D4167B0FFC1BD144D859F_13</vt:lpwstr>
  </property>
  <property fmtid="{D5CDD505-2E9C-101B-9397-08002B2CF9AE}" pid="4" name="KSOTemplateDocerSaveRecord">
    <vt:lpwstr>eyJoZGlkIjoiMjdiNzkzMjAxNmVmYjgxMzY0ZjI2ZmMxNzk2ZGUwOGQiLCJ1c2VySWQiOiI0NDcwMzQwODcifQ==</vt:lpwstr>
  </property>
</Properties>
</file>