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68D0C6">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5A70B79F">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F97F787">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杭州电子科技大学</w:t>
      </w:r>
    </w:p>
    <w:p w14:paraId="2D90E67B">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芯粒多场耦合模型工程化开发</w:t>
      </w:r>
    </w:p>
    <w:p w14:paraId="01988337">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4E6F3AD3">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8AFDA2C">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36"/>
          <w:szCs w:val="36"/>
          <w:highlight w:val="none"/>
          <w:lang w:val="en-US" w:eastAsia="zh-CN" w:bidi="ar"/>
        </w:rPr>
        <w:t>磋商文件</w:t>
      </w:r>
    </w:p>
    <w:p w14:paraId="67A68663">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36"/>
          <w:szCs w:val="36"/>
          <w:highlight w:val="none"/>
          <w:lang w:val="en-US" w:eastAsia="zh-CN" w:bidi="ar"/>
        </w:rPr>
        <w:t>（线上电子交易）</w:t>
      </w:r>
    </w:p>
    <w:p w14:paraId="73F1C77F">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3E4AD61">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573DB9B6">
      <w:pPr>
        <w:keepNext w:val="0"/>
        <w:keepLines w:val="0"/>
        <w:widowControl/>
        <w:suppressLineNumbers w:val="0"/>
        <w:spacing w:after="210" w:afterAutospacing="0" w:line="288" w:lineRule="auto"/>
        <w:jc w:val="left"/>
        <w:rPr>
          <w:rFonts w:hint="eastAsia" w:ascii="宋体" w:hAnsi="宋体" w:eastAsia="宋体" w:cs="宋体"/>
          <w:color w:val="auto"/>
          <w:sz w:val="21"/>
          <w:szCs w:val="21"/>
          <w:highlight w:val="none"/>
        </w:rPr>
      </w:pP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85"/>
        <w:gridCol w:w="7711"/>
      </w:tblGrid>
      <w:tr w14:paraId="2C44EAC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5DB3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采购方式</w:t>
            </w:r>
          </w:p>
        </w:tc>
        <w:tc>
          <w:tcPr>
            <w:tcW w:w="530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C9F5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竞争性磋商</w:t>
            </w:r>
          </w:p>
        </w:tc>
      </w:tr>
      <w:tr w14:paraId="14241C2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6835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交易方式</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02E3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电子交易</w:t>
            </w:r>
          </w:p>
        </w:tc>
      </w:tr>
      <w:tr w14:paraId="1CC23DF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C297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交易平台</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6B68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政府采购云平台（www.zcygov.cn）</w:t>
            </w:r>
          </w:p>
        </w:tc>
      </w:tr>
      <w:tr w14:paraId="5A7CDBB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2754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项目名称</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A666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芯粒多场耦合模型工程化开发</w:t>
            </w:r>
          </w:p>
        </w:tc>
      </w:tr>
      <w:tr w14:paraId="42A52F0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70E2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项目编号</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A35D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330000263030150000532-QSZBB260324ZFCS</w:t>
            </w:r>
          </w:p>
        </w:tc>
      </w:tr>
      <w:tr w14:paraId="4C6DAD1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6552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 购 人</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1463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杭州电子科技大学</w:t>
            </w:r>
          </w:p>
        </w:tc>
      </w:tr>
      <w:tr w14:paraId="4021971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873F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代理机构</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B86B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浙江求是招标代理有限公司</w:t>
            </w:r>
          </w:p>
        </w:tc>
      </w:tr>
      <w:tr w14:paraId="29B9FAE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8C5E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采购计划书</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27F1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[2026]39509号</w:t>
            </w:r>
          </w:p>
        </w:tc>
      </w:tr>
    </w:tbl>
    <w:p w14:paraId="1848F69C">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b/>
          <w:bCs/>
          <w:color w:val="auto"/>
          <w:sz w:val="30"/>
          <w:szCs w:val="30"/>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30"/>
          <w:szCs w:val="30"/>
          <w:highlight w:val="none"/>
        </w:rPr>
        <w:t>目录</w:t>
      </w:r>
    </w:p>
    <w:p w14:paraId="4C015E7C">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left"/>
        <w:textAlignment w:val="auto"/>
        <w:rPr>
          <w:rFonts w:hint="eastAsia" w:ascii="宋体" w:hAnsi="宋体" w:eastAsia="宋体" w:cs="宋体"/>
          <w:color w:val="auto"/>
          <w:sz w:val="30"/>
          <w:szCs w:val="30"/>
          <w:highlight w:val="none"/>
        </w:rPr>
      </w:pPr>
    </w:p>
    <w:p w14:paraId="30A5079B">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第一章  采购邀请</w:t>
      </w:r>
    </w:p>
    <w:p w14:paraId="2A9BB332">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第二章  采购需求</w:t>
      </w:r>
    </w:p>
    <w:p w14:paraId="263B5A6C">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第三章  供应商须知</w:t>
      </w:r>
    </w:p>
    <w:p w14:paraId="5C359732">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第四章  评审方法和评审标准</w:t>
      </w:r>
    </w:p>
    <w:p w14:paraId="0359320F">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第五章  拟签订的合同文本</w:t>
      </w:r>
    </w:p>
    <w:p w14:paraId="41771D9A">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30"/>
          <w:szCs w:val="30"/>
          <w:highlight w:val="none"/>
          <w:lang w:val="en-US" w:eastAsia="zh-CN" w:bidi="ar"/>
        </w:rPr>
        <w:t>第六章  响应文件格式</w:t>
      </w:r>
    </w:p>
    <w:p w14:paraId="5831D816">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sectPr>
          <w:headerReference r:id="rId3" w:type="default"/>
          <w:pgSz w:w="12240" w:h="15840"/>
          <w:pgMar w:top="1247" w:right="1247" w:bottom="1247" w:left="1247" w:header="0" w:footer="692" w:gutter="0"/>
          <w:pgBorders>
            <w:top w:val="none" w:sz="0" w:space="0"/>
            <w:left w:val="none" w:sz="0" w:space="0"/>
            <w:bottom w:val="none" w:sz="0" w:space="0"/>
            <w:right w:val="none" w:sz="0" w:space="0"/>
          </w:pgBorders>
          <w:cols w:space="720" w:num="1"/>
        </w:sectPr>
      </w:pPr>
    </w:p>
    <w:p w14:paraId="7DF551C8">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color w:val="auto"/>
          <w:sz w:val="28"/>
          <w:highlight w:val="none"/>
        </w:rPr>
        <w:pict>
          <v:rect id="_x0000_s1026" o:spid="_x0000_s1026" o:spt="1" style="position:absolute;left:0pt;margin-left:-3.1pt;margin-top:18.35pt;height:52.55pt;width:493.85pt;z-index:251660288;mso-width-relative:page;mso-height-relative:page;" filled="f" stroked="t" coordsize="21600,21600">
            <v:path/>
            <v:fill on="f" focussize="0,0"/>
            <v:stroke weight="1pt" color="#000000"/>
            <v:imagedata o:title=""/>
            <o:lock v:ext="edit" aspectratio="f"/>
          </v:rect>
        </w:pict>
      </w:r>
      <w:r>
        <w:rPr>
          <w:rFonts w:hint="eastAsia" w:ascii="宋体" w:hAnsi="宋体" w:eastAsia="宋体" w:cs="宋体"/>
          <w:b/>
          <w:bCs/>
          <w:color w:val="auto"/>
          <w:sz w:val="28"/>
          <w:szCs w:val="28"/>
          <w:highlight w:val="none"/>
        </w:rPr>
        <w:t>第一章 采购邀请</w:t>
      </w:r>
    </w:p>
    <w:p w14:paraId="7ED7A828">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项目概况</w:t>
      </w:r>
    </w:p>
    <w:p w14:paraId="066961B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u w:val="single"/>
          <w:lang w:val="en-US" w:eastAsia="zh-CN" w:bidi="ar"/>
        </w:rPr>
        <w:t>芯粒多场耦合模型工程化开发</w:t>
      </w:r>
      <w:r>
        <w:rPr>
          <w:rFonts w:hint="eastAsia" w:ascii="宋体" w:hAnsi="宋体" w:eastAsia="宋体" w:cs="宋体"/>
          <w:color w:val="auto"/>
          <w:kern w:val="0"/>
          <w:sz w:val="21"/>
          <w:szCs w:val="21"/>
          <w:highlight w:val="none"/>
          <w:lang w:val="en-US" w:eastAsia="zh-CN" w:bidi="ar"/>
        </w:rPr>
        <w:t>采购项目的潜在供应商应在政采云平台线上获取（下载）采购文件，并于2026年</w:t>
      </w:r>
      <w:r>
        <w:rPr>
          <w:rFonts w:hint="eastAsia" w:ascii="宋体" w:hAnsi="宋体" w:cs="宋体"/>
          <w:color w:val="auto"/>
          <w:kern w:val="0"/>
          <w:sz w:val="21"/>
          <w:szCs w:val="21"/>
          <w:highlight w:val="none"/>
          <w:lang w:val="en-US" w:eastAsia="zh-CN" w:bidi="ar"/>
        </w:rPr>
        <w:t>8月19日</w:t>
      </w:r>
      <w:r>
        <w:rPr>
          <w:rFonts w:hint="eastAsia" w:ascii="宋体" w:hAnsi="宋体" w:eastAsia="宋体" w:cs="宋体"/>
          <w:color w:val="auto"/>
          <w:kern w:val="0"/>
          <w:sz w:val="21"/>
          <w:szCs w:val="21"/>
          <w:highlight w:val="none"/>
          <w:lang w:val="en-US" w:eastAsia="zh-CN" w:bidi="ar"/>
        </w:rPr>
        <w:t>9:00:00（北京时间）前提交（上传）响应文件。</w:t>
      </w:r>
    </w:p>
    <w:p w14:paraId="4A580B49">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一、项目基本情况</w:t>
      </w:r>
    </w:p>
    <w:p w14:paraId="7D21883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1.项目编号：</w:t>
      </w:r>
      <w:r>
        <w:rPr>
          <w:rFonts w:hint="eastAsia" w:ascii="宋体" w:hAnsi="宋体" w:cs="宋体"/>
          <w:i w:val="0"/>
          <w:iCs w:val="0"/>
          <w:color w:val="auto"/>
          <w:kern w:val="0"/>
          <w:sz w:val="21"/>
          <w:szCs w:val="21"/>
          <w:highlight w:val="none"/>
          <w:lang w:val="en-US" w:eastAsia="zh-CN" w:bidi="ar"/>
        </w:rPr>
        <w:t>330000263030150000532-QSZBB260324ZFCS</w:t>
      </w:r>
    </w:p>
    <w:p w14:paraId="09074DF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2.项目名称：</w:t>
      </w:r>
      <w:r>
        <w:rPr>
          <w:rFonts w:hint="eastAsia" w:ascii="宋体" w:hAnsi="宋体" w:cs="宋体"/>
          <w:i w:val="0"/>
          <w:iCs w:val="0"/>
          <w:color w:val="auto"/>
          <w:kern w:val="0"/>
          <w:sz w:val="21"/>
          <w:szCs w:val="21"/>
          <w:highlight w:val="none"/>
          <w:lang w:val="en-US" w:eastAsia="zh-CN" w:bidi="ar"/>
        </w:rPr>
        <w:t>芯粒多场耦合模型工程化开发</w:t>
      </w:r>
    </w:p>
    <w:p w14:paraId="7D01A05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3.采购方式：</w:t>
      </w:r>
      <w:r>
        <w:rPr>
          <w:rFonts w:hint="eastAsia" w:ascii="宋体" w:hAnsi="宋体" w:eastAsia="宋体" w:cs="宋体"/>
          <w:i w:val="0"/>
          <w:iCs w:val="0"/>
          <w:color w:val="auto"/>
          <w:kern w:val="0"/>
          <w:sz w:val="21"/>
          <w:szCs w:val="21"/>
          <w:highlight w:val="none"/>
          <w:lang w:val="en-US" w:eastAsia="zh-CN" w:bidi="ar"/>
        </w:rPr>
        <w:t>竞争性磋商</w:t>
      </w:r>
    </w:p>
    <w:p w14:paraId="29F52132">
      <w:pPr>
        <w:keepNext w:val="0"/>
        <w:keepLines w:val="0"/>
        <w:widowControl/>
        <w:suppressLineNumbers w:val="0"/>
        <w:autoSpaceDE w:val="0"/>
        <w:autoSpaceDN/>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4.预算金额（元）：</w:t>
      </w:r>
      <w:r>
        <w:rPr>
          <w:rFonts w:hint="eastAsia" w:ascii="宋体" w:hAnsi="宋体" w:cs="宋体"/>
          <w:color w:val="auto"/>
          <w:kern w:val="0"/>
          <w:sz w:val="21"/>
          <w:szCs w:val="21"/>
          <w:highlight w:val="none"/>
          <w:lang w:val="en-US" w:eastAsia="zh-CN" w:bidi="ar"/>
        </w:rPr>
        <w:t>910000</w:t>
      </w:r>
    </w:p>
    <w:p w14:paraId="15F0373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5.最高限价（元）：</w:t>
      </w:r>
      <w:r>
        <w:rPr>
          <w:rFonts w:hint="eastAsia" w:ascii="宋体" w:hAnsi="宋体" w:cs="宋体"/>
          <w:color w:val="auto"/>
          <w:kern w:val="0"/>
          <w:sz w:val="21"/>
          <w:szCs w:val="21"/>
          <w:highlight w:val="none"/>
          <w:lang w:val="en-US" w:eastAsia="zh-CN" w:bidi="ar"/>
        </w:rPr>
        <w:t>910000</w:t>
      </w:r>
    </w:p>
    <w:p w14:paraId="3E12869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6.采购需求：</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990"/>
        <w:gridCol w:w="1979"/>
        <w:gridCol w:w="1484"/>
        <w:gridCol w:w="1484"/>
        <w:gridCol w:w="2969"/>
        <w:gridCol w:w="990"/>
      </w:tblGrid>
      <w:tr w14:paraId="29338C6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CB87CB">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标项号</w:t>
            </w:r>
          </w:p>
        </w:tc>
        <w:tc>
          <w:tcPr>
            <w:tcW w:w="10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4DB5CD">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标项名称</w:t>
            </w:r>
          </w:p>
        </w:tc>
        <w:tc>
          <w:tcPr>
            <w:tcW w:w="7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F7A5E99">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标项预算(元)</w:t>
            </w:r>
          </w:p>
        </w:tc>
        <w:tc>
          <w:tcPr>
            <w:tcW w:w="7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25E952">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标项限价(元)</w:t>
            </w:r>
          </w:p>
        </w:tc>
        <w:tc>
          <w:tcPr>
            <w:tcW w:w="1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2C5A20A">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简要技术需求或服务要求</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2B87275">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备注</w:t>
            </w:r>
          </w:p>
        </w:tc>
      </w:tr>
      <w:tr w14:paraId="1499F54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66A0B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一</w:t>
            </w:r>
          </w:p>
        </w:tc>
        <w:tc>
          <w:tcPr>
            <w:tcW w:w="10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5232E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芯粒多场耦合模型工程化开发</w:t>
            </w:r>
          </w:p>
        </w:tc>
        <w:tc>
          <w:tcPr>
            <w:tcW w:w="7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3E276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910000</w:t>
            </w:r>
          </w:p>
        </w:tc>
        <w:tc>
          <w:tcPr>
            <w:tcW w:w="7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C3063D">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910000</w:t>
            </w:r>
          </w:p>
        </w:tc>
        <w:tc>
          <w:tcPr>
            <w:tcW w:w="1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FFB0656">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详见第二章 采购需求</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87B73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p>
        </w:tc>
      </w:tr>
    </w:tbl>
    <w:p w14:paraId="1C48676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7.合同履行期限：</w:t>
      </w:r>
      <w:r>
        <w:rPr>
          <w:rFonts w:hint="eastAsia" w:ascii="宋体" w:hAnsi="宋体" w:cs="宋体"/>
          <w:color w:val="auto"/>
          <w:kern w:val="0"/>
          <w:sz w:val="21"/>
          <w:szCs w:val="21"/>
          <w:highlight w:val="none"/>
          <w:lang w:val="en-US" w:eastAsia="zh-CN" w:bidi="ar"/>
        </w:rPr>
        <w:t>自合同签订之日起30日内交付</w:t>
      </w:r>
      <w:r>
        <w:rPr>
          <w:rFonts w:hint="eastAsia" w:ascii="宋体" w:hAnsi="宋体" w:eastAsia="宋体" w:cs="宋体"/>
          <w:color w:val="auto"/>
          <w:kern w:val="0"/>
          <w:sz w:val="21"/>
          <w:szCs w:val="21"/>
          <w:highlight w:val="none"/>
          <w:lang w:val="en-US" w:eastAsia="zh-CN" w:bidi="ar"/>
        </w:rPr>
        <w:t>。</w:t>
      </w:r>
    </w:p>
    <w:p w14:paraId="1C29B47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8.本项目是否接受联合体投标：是</w:t>
      </w:r>
    </w:p>
    <w:p w14:paraId="0415A772">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二、申请人的资格要求：</w:t>
      </w:r>
    </w:p>
    <w:p w14:paraId="7E027AC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满足《中华人民共和国政府采购法》第二十二条规定；未被“信用中国”（www.creditchina.gov.cn)、中国政府采购网（www.ccgp.gov.cn）列入失信被执行人、重大税收违法案件当事人名单（重大税收违法失信主体名单）、政府采购严重违法失信行为记录名单。</w:t>
      </w:r>
    </w:p>
    <w:p w14:paraId="0397302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2.落实政府采购政策需满足的资格要求：</w:t>
      </w:r>
      <w:r>
        <w:rPr>
          <w:rFonts w:hint="eastAsia" w:ascii="宋体" w:hAnsi="宋体" w:cs="宋体"/>
          <w:color w:val="auto"/>
          <w:kern w:val="0"/>
          <w:sz w:val="21"/>
          <w:szCs w:val="21"/>
          <w:highlight w:val="none"/>
          <w:lang w:val="en-US" w:eastAsia="zh-CN" w:bidi="ar"/>
        </w:rPr>
        <w:t>无</w:t>
      </w:r>
      <w:r>
        <w:rPr>
          <w:rFonts w:hint="eastAsia" w:ascii="宋体" w:hAnsi="宋体" w:eastAsia="宋体" w:cs="宋体"/>
          <w:color w:val="auto"/>
          <w:kern w:val="0"/>
          <w:sz w:val="21"/>
          <w:szCs w:val="21"/>
          <w:highlight w:val="none"/>
          <w:lang w:val="en-US" w:eastAsia="zh-CN" w:bidi="ar"/>
        </w:rPr>
        <w:t>。</w:t>
      </w:r>
    </w:p>
    <w:p w14:paraId="6074447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3.本项目的特定资格要求：无</w:t>
      </w:r>
      <w:r>
        <w:rPr>
          <w:rFonts w:hint="eastAsia" w:ascii="宋体" w:hAnsi="宋体" w:cs="宋体"/>
          <w:color w:val="auto"/>
          <w:kern w:val="0"/>
          <w:sz w:val="21"/>
          <w:szCs w:val="21"/>
          <w:highlight w:val="none"/>
          <w:lang w:val="en-US" w:eastAsia="zh-CN" w:bidi="ar"/>
        </w:rPr>
        <w:t>。</w:t>
      </w:r>
    </w:p>
    <w:p w14:paraId="673CD16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4.其他：</w:t>
      </w:r>
    </w:p>
    <w:p w14:paraId="2A3CA8B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（1）单位负责人为同一人或者存在直接控股、管理关</w:t>
      </w:r>
      <w:bookmarkStart w:id="5" w:name="_GoBack"/>
      <w:bookmarkEnd w:id="5"/>
      <w:r>
        <w:rPr>
          <w:rFonts w:hint="eastAsia" w:ascii="宋体" w:hAnsi="宋体" w:eastAsia="宋体" w:cs="宋体"/>
          <w:color w:val="auto"/>
          <w:kern w:val="0"/>
          <w:sz w:val="21"/>
          <w:szCs w:val="21"/>
          <w:highlight w:val="none"/>
          <w:lang w:val="en-US" w:eastAsia="zh-CN" w:bidi="ar"/>
        </w:rPr>
        <w:t>系的不同供应商，不得参加同一合同项下的政府采购活动。</w:t>
      </w:r>
    </w:p>
    <w:p w14:paraId="62AF977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（2）为本项目提供整体设计、规范编制或者项目管理、监理、检测等服务的供应商，不得再参加本项目的其他采购活动。</w:t>
      </w:r>
    </w:p>
    <w:p w14:paraId="2E22261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（3）以联合体形式响应的，响应文件中提供《联合协议》。</w:t>
      </w:r>
    </w:p>
    <w:p w14:paraId="6C8A4825">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三、获取（下载）采购文件</w:t>
      </w:r>
    </w:p>
    <w:p w14:paraId="66AF563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时间：2026年</w:t>
      </w:r>
      <w:r>
        <w:rPr>
          <w:rFonts w:hint="eastAsia" w:ascii="宋体" w:hAnsi="宋体" w:cs="宋体"/>
          <w:color w:val="auto"/>
          <w:kern w:val="0"/>
          <w:sz w:val="21"/>
          <w:szCs w:val="21"/>
          <w:highlight w:val="none"/>
          <w:lang w:val="en-US" w:eastAsia="zh-CN" w:bidi="ar"/>
        </w:rPr>
        <w:t>8</w:t>
      </w:r>
      <w:r>
        <w:rPr>
          <w:rFonts w:hint="eastAsia" w:ascii="宋体" w:hAnsi="宋体" w:eastAsia="宋体" w:cs="宋体"/>
          <w:color w:val="auto"/>
          <w:kern w:val="0"/>
          <w:sz w:val="21"/>
          <w:szCs w:val="21"/>
          <w:highlight w:val="none"/>
          <w:lang w:val="en-US" w:eastAsia="zh-CN" w:bidi="ar"/>
        </w:rPr>
        <w:t>月</w:t>
      </w:r>
      <w:r>
        <w:rPr>
          <w:rFonts w:hint="eastAsia" w:ascii="宋体" w:hAnsi="宋体" w:cs="宋体"/>
          <w:color w:val="auto"/>
          <w:kern w:val="0"/>
          <w:sz w:val="21"/>
          <w:szCs w:val="21"/>
          <w:highlight w:val="none"/>
          <w:lang w:val="en-US" w:eastAsia="zh-CN" w:bidi="ar"/>
        </w:rPr>
        <w:t>7</w:t>
      </w:r>
      <w:r>
        <w:rPr>
          <w:rFonts w:hint="eastAsia" w:ascii="宋体" w:hAnsi="宋体" w:eastAsia="宋体" w:cs="宋体"/>
          <w:color w:val="auto"/>
          <w:kern w:val="0"/>
          <w:sz w:val="21"/>
          <w:szCs w:val="21"/>
          <w:highlight w:val="none"/>
          <w:lang w:val="en-US" w:eastAsia="zh-CN" w:bidi="ar"/>
        </w:rPr>
        <w:t>日至2026年</w:t>
      </w:r>
      <w:r>
        <w:rPr>
          <w:rFonts w:hint="eastAsia" w:ascii="宋体" w:hAnsi="宋体" w:cs="宋体"/>
          <w:color w:val="auto"/>
          <w:kern w:val="0"/>
          <w:sz w:val="21"/>
          <w:szCs w:val="21"/>
          <w:highlight w:val="none"/>
          <w:lang w:val="en-US" w:eastAsia="zh-CN" w:bidi="ar"/>
        </w:rPr>
        <w:t>8月19日</w:t>
      </w:r>
      <w:r>
        <w:rPr>
          <w:rFonts w:hint="eastAsia" w:ascii="宋体" w:hAnsi="宋体" w:eastAsia="宋体" w:cs="宋体"/>
          <w:color w:val="auto"/>
          <w:kern w:val="0"/>
          <w:sz w:val="21"/>
          <w:szCs w:val="21"/>
          <w:highlight w:val="none"/>
          <w:lang w:val="en-US" w:eastAsia="zh-CN" w:bidi="ar"/>
        </w:rPr>
        <w:t>，每天上午00:00至12:00，下午12:00至23:59（北京时间，线上获取法定节假日均可，线下获取文件法定节假日除外）</w:t>
      </w:r>
    </w:p>
    <w:p w14:paraId="406A8F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地点（网址）：政采云平台线上获取</w:t>
      </w:r>
    </w:p>
    <w:p w14:paraId="48D4E02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方式：供应商登录政府采购云平台（https://www.zcygov.cn）在线申请获取采购文件（进入“项目采购”应用，在获取采购文件菜单中选择项目，申请获取采购文件）</w:t>
      </w:r>
    </w:p>
    <w:p w14:paraId="37256C0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售价（元）：0</w:t>
      </w:r>
    </w:p>
    <w:p w14:paraId="71CD3D98">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四、响应文件提交（上传）</w:t>
      </w:r>
    </w:p>
    <w:p w14:paraId="40A8C9B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截止时间：2026年</w:t>
      </w:r>
      <w:r>
        <w:rPr>
          <w:rFonts w:hint="eastAsia" w:ascii="宋体" w:hAnsi="宋体" w:cs="宋体"/>
          <w:color w:val="auto"/>
          <w:kern w:val="0"/>
          <w:sz w:val="21"/>
          <w:szCs w:val="21"/>
          <w:highlight w:val="none"/>
          <w:lang w:val="en-US" w:eastAsia="zh-CN" w:bidi="ar"/>
        </w:rPr>
        <w:t>8月19日</w:t>
      </w:r>
      <w:r>
        <w:rPr>
          <w:rFonts w:hint="eastAsia" w:ascii="宋体" w:hAnsi="宋体" w:eastAsia="宋体" w:cs="宋体"/>
          <w:color w:val="auto"/>
          <w:kern w:val="0"/>
          <w:sz w:val="21"/>
          <w:szCs w:val="21"/>
          <w:highlight w:val="none"/>
          <w:lang w:val="en-US" w:eastAsia="zh-CN" w:bidi="ar"/>
        </w:rPr>
        <w:t>9:00:00（北京时间）</w:t>
      </w:r>
    </w:p>
    <w:p w14:paraId="5D5BBFC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地点（网址）：请登录政采云投标客户端投标</w:t>
      </w:r>
    </w:p>
    <w:p w14:paraId="07F79996">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五、响应文件开启</w:t>
      </w:r>
    </w:p>
    <w:p w14:paraId="18FDADD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开启时间：2026年</w:t>
      </w:r>
      <w:r>
        <w:rPr>
          <w:rFonts w:hint="eastAsia" w:ascii="宋体" w:hAnsi="宋体" w:cs="宋体"/>
          <w:color w:val="auto"/>
          <w:kern w:val="0"/>
          <w:sz w:val="21"/>
          <w:szCs w:val="21"/>
          <w:highlight w:val="none"/>
          <w:lang w:val="en-US" w:eastAsia="zh-CN" w:bidi="ar"/>
        </w:rPr>
        <w:t>8月19日</w:t>
      </w:r>
      <w:r>
        <w:rPr>
          <w:rFonts w:hint="eastAsia" w:ascii="宋体" w:hAnsi="宋体" w:eastAsia="宋体" w:cs="宋体"/>
          <w:color w:val="auto"/>
          <w:kern w:val="0"/>
          <w:sz w:val="21"/>
          <w:szCs w:val="21"/>
          <w:highlight w:val="none"/>
          <w:lang w:val="en-US" w:eastAsia="zh-CN" w:bidi="ar"/>
        </w:rPr>
        <w:t>9:00:00（北京时间）</w:t>
      </w:r>
    </w:p>
    <w:p w14:paraId="327C708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地点（网址）：政府采购云平台（www.zcygov.cn）/杭州市西湖区玉古路173号中田大厦21楼（求是招标会议室</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w:t>
      </w:r>
    </w:p>
    <w:p w14:paraId="08748F3C">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六、公告期限：</w:t>
      </w:r>
      <w:r>
        <w:rPr>
          <w:rFonts w:hint="eastAsia" w:ascii="宋体" w:hAnsi="宋体" w:eastAsia="宋体" w:cs="宋体"/>
          <w:color w:val="auto"/>
          <w:kern w:val="0"/>
          <w:sz w:val="21"/>
          <w:szCs w:val="21"/>
          <w:highlight w:val="none"/>
          <w:lang w:val="en-US" w:eastAsia="zh-CN" w:bidi="ar"/>
        </w:rPr>
        <w:t>自本公告发布之日起3个工作日。</w:t>
      </w:r>
    </w:p>
    <w:p w14:paraId="16B59ECC">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七、其他补充事宜</w:t>
      </w:r>
    </w:p>
    <w:p w14:paraId="766F4AA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4919538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务服务网-政府采购投诉处理-在线办理。</w:t>
      </w:r>
    </w:p>
    <w:p w14:paraId="73A8AAA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5EB7EF0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4.其他事项：需要落实的政府采购政策：包括促进中小企业发展等。详见采购文件的第三章-采购项目需要落实的政府采购政策。</w:t>
      </w:r>
    </w:p>
    <w:p w14:paraId="5D7E536E">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八、凡对本次采购提出询问、质疑、投诉，请按以下方式联系</w:t>
      </w:r>
    </w:p>
    <w:p w14:paraId="3921C3B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1.采购人信息</w:t>
      </w:r>
    </w:p>
    <w:p w14:paraId="3B149B0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名称：杭州电子科技大学</w:t>
      </w:r>
    </w:p>
    <w:p w14:paraId="287F0E6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地址：杭州市钱塘区白杨街道2号大街1158号</w:t>
      </w:r>
    </w:p>
    <w:p w14:paraId="0335992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传真：/</w:t>
      </w:r>
    </w:p>
    <w:p w14:paraId="4E1DCD8A">
      <w:pPr>
        <w:keepNext w:val="0"/>
        <w:keepLines w:val="0"/>
        <w:widowControl/>
        <w:suppressLineNumbers w:val="0"/>
        <w:autoSpaceDE w:val="0"/>
        <w:autoSpaceDN/>
        <w:spacing w:line="288" w:lineRule="auto"/>
        <w:ind w:left="0" w:firstLine="420"/>
        <w:jc w:val="left"/>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项目联系人（询问）：</w:t>
      </w:r>
      <w:r>
        <w:rPr>
          <w:rFonts w:hint="eastAsia" w:ascii="宋体" w:hAnsi="宋体" w:cs="宋体"/>
          <w:color w:val="auto"/>
          <w:kern w:val="0"/>
          <w:sz w:val="21"/>
          <w:szCs w:val="21"/>
          <w:highlight w:val="none"/>
          <w:lang w:val="en-US" w:eastAsia="zh-CN" w:bidi="ar"/>
        </w:rPr>
        <w:t>王老师</w:t>
      </w:r>
    </w:p>
    <w:p w14:paraId="102D521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项目联系方式（询问）：</w:t>
      </w:r>
      <w:r>
        <w:rPr>
          <w:rFonts w:hint="eastAsia" w:ascii="宋体" w:hAnsi="宋体" w:cs="宋体"/>
          <w:color w:val="auto"/>
          <w:kern w:val="0"/>
          <w:sz w:val="21"/>
          <w:szCs w:val="21"/>
          <w:highlight w:val="none"/>
          <w:lang w:val="en-US" w:eastAsia="zh-CN" w:bidi="ar"/>
        </w:rPr>
        <w:t>13588036392</w:t>
      </w:r>
    </w:p>
    <w:p w14:paraId="51C5378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质疑联系人：李老师</w:t>
      </w:r>
    </w:p>
    <w:p w14:paraId="5EBBFD6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质疑联系方式：0571-86915026</w:t>
      </w:r>
    </w:p>
    <w:p w14:paraId="0150AF7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5CCC73E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2.采购代理机构信息</w:t>
      </w:r>
    </w:p>
    <w:p w14:paraId="776060D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名称：</w:t>
      </w:r>
      <w:r>
        <w:rPr>
          <w:rFonts w:hint="eastAsia" w:ascii="宋体" w:hAnsi="宋体" w:eastAsia="宋体" w:cs="宋体"/>
          <w:i w:val="0"/>
          <w:iCs w:val="0"/>
          <w:color w:val="auto"/>
          <w:kern w:val="0"/>
          <w:sz w:val="21"/>
          <w:szCs w:val="21"/>
          <w:highlight w:val="none"/>
          <w:lang w:val="en-US" w:eastAsia="zh-CN" w:bidi="ar"/>
        </w:rPr>
        <w:t>浙江求是招标代理有限公司</w:t>
      </w:r>
    </w:p>
    <w:p w14:paraId="0DF66A5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w:t>
      </w:r>
      <w:r>
        <w:rPr>
          <w:rFonts w:hint="eastAsia" w:ascii="宋体" w:hAnsi="宋体" w:eastAsia="宋体" w:cs="宋体"/>
          <w:i w:val="0"/>
          <w:iCs w:val="0"/>
          <w:color w:val="auto"/>
          <w:kern w:val="0"/>
          <w:sz w:val="21"/>
          <w:szCs w:val="21"/>
          <w:highlight w:val="none"/>
          <w:lang w:val="en-US" w:eastAsia="zh-CN" w:bidi="ar"/>
        </w:rPr>
        <w:t>杭州市西湖区玉古路173号中田大厦21楼</w:t>
      </w:r>
    </w:p>
    <w:p w14:paraId="7F68363E">
      <w:pPr>
        <w:keepNext w:val="0"/>
        <w:keepLines w:val="0"/>
        <w:widowControl/>
        <w:suppressLineNumbers w:val="0"/>
        <w:autoSpaceDE w:val="0"/>
        <w:autoSpaceDN/>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项目联系人（询问）：陈应俭、</w:t>
      </w:r>
      <w:r>
        <w:rPr>
          <w:rFonts w:hint="eastAsia" w:ascii="宋体" w:hAnsi="宋体" w:eastAsia="宋体" w:cs="宋体"/>
          <w:i w:val="0"/>
          <w:iCs w:val="0"/>
          <w:color w:val="auto"/>
          <w:kern w:val="0"/>
          <w:sz w:val="21"/>
          <w:szCs w:val="21"/>
          <w:highlight w:val="none"/>
          <w:lang w:val="en-US" w:eastAsia="zh-CN" w:bidi="ar"/>
        </w:rPr>
        <w:t>俞炳</w:t>
      </w:r>
      <w:r>
        <w:rPr>
          <w:rFonts w:hint="eastAsia" w:ascii="宋体" w:hAnsi="宋体" w:cs="宋体"/>
          <w:i w:val="0"/>
          <w:iCs w:val="0"/>
          <w:color w:val="auto"/>
          <w:kern w:val="0"/>
          <w:sz w:val="21"/>
          <w:szCs w:val="21"/>
          <w:highlight w:val="none"/>
          <w:lang w:val="en-US" w:eastAsia="zh-CN" w:bidi="ar"/>
        </w:rPr>
        <w:t>、朱建飞</w:t>
      </w:r>
    </w:p>
    <w:p w14:paraId="19349B8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项目联系方式（询问）：</w:t>
      </w:r>
      <w:r>
        <w:rPr>
          <w:rFonts w:hint="eastAsia" w:ascii="宋体" w:hAnsi="宋体" w:eastAsia="宋体" w:cs="宋体"/>
          <w:i w:val="0"/>
          <w:iCs w:val="0"/>
          <w:color w:val="auto"/>
          <w:kern w:val="0"/>
          <w:sz w:val="21"/>
          <w:szCs w:val="21"/>
          <w:highlight w:val="none"/>
          <w:lang w:val="en-US" w:eastAsia="zh-CN" w:bidi="ar"/>
        </w:rPr>
        <w:t>0571-87670302</w:t>
      </w:r>
    </w:p>
    <w:p w14:paraId="4B157CF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质疑联系人：</w:t>
      </w:r>
      <w:r>
        <w:rPr>
          <w:rFonts w:hint="eastAsia" w:ascii="宋体" w:hAnsi="宋体" w:eastAsia="宋体" w:cs="宋体"/>
          <w:i w:val="0"/>
          <w:iCs w:val="0"/>
          <w:color w:val="auto"/>
          <w:kern w:val="0"/>
          <w:sz w:val="21"/>
          <w:szCs w:val="21"/>
          <w:highlight w:val="none"/>
          <w:lang w:val="en-US" w:eastAsia="zh-CN" w:bidi="ar"/>
        </w:rPr>
        <w:t>周安琪</w:t>
      </w:r>
    </w:p>
    <w:p w14:paraId="685B524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质疑联系方式：</w:t>
      </w:r>
      <w:r>
        <w:rPr>
          <w:rFonts w:hint="eastAsia" w:ascii="宋体" w:hAnsi="宋体" w:eastAsia="宋体" w:cs="宋体"/>
          <w:i w:val="0"/>
          <w:iCs w:val="0"/>
          <w:color w:val="auto"/>
          <w:kern w:val="0"/>
          <w:sz w:val="21"/>
          <w:szCs w:val="21"/>
          <w:highlight w:val="none"/>
          <w:lang w:val="en-US" w:eastAsia="zh-CN" w:bidi="ar"/>
        </w:rPr>
        <w:t>0571-81110356</w:t>
      </w:r>
    </w:p>
    <w:p w14:paraId="20939AF1">
      <w:pPr>
        <w:keepNext w:val="0"/>
        <w:keepLines w:val="0"/>
        <w:widowControl/>
        <w:suppressLineNumbers w:val="0"/>
        <w:autoSpaceDE w:val="0"/>
        <w:autoSpaceDN/>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质疑邮箱：</w:t>
      </w:r>
      <w:r>
        <w:rPr>
          <w:rFonts w:hint="eastAsia" w:ascii="宋体" w:hAnsi="宋体" w:eastAsia="宋体" w:cs="宋体"/>
          <w:i w:val="0"/>
          <w:iCs w:val="0"/>
          <w:color w:val="auto"/>
          <w:kern w:val="0"/>
          <w:sz w:val="21"/>
          <w:szCs w:val="21"/>
          <w:highlight w:val="none"/>
          <w:lang w:val="en-US" w:eastAsia="zh-CN" w:bidi="ar"/>
        </w:rPr>
        <w:t>jdkh@qszb.net</w:t>
      </w:r>
    </w:p>
    <w:p w14:paraId="169B7AF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2A26052D">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3.同级政府采购监督管理部门</w:t>
      </w:r>
    </w:p>
    <w:p w14:paraId="1C9363D0">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名称：杭州电子科技大学国有资产与实验室管理处</w:t>
      </w:r>
    </w:p>
    <w:p w14:paraId="06358165">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地址：杭州市钱塘区白杨街道2号大街1158号</w:t>
      </w:r>
    </w:p>
    <w:p w14:paraId="623A5BE4">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传真：/</w:t>
      </w:r>
    </w:p>
    <w:p w14:paraId="6624FBF9">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联系人：亓老师</w:t>
      </w:r>
    </w:p>
    <w:p w14:paraId="25387D71">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监督投诉电话：0571-87713574</w:t>
      </w:r>
    </w:p>
    <w:p w14:paraId="7B75653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3969179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政策咨询：何一平、冯华，0571-87058424、87055741</w:t>
      </w:r>
    </w:p>
    <w:p w14:paraId="39BF8EE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预算金额未达100万元的采购项目，由采购人处理采购争议。</w:t>
      </w:r>
    </w:p>
    <w:p w14:paraId="713A916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0DD0471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若对项目采购电子交易系统操作有疑问，可登录政采云（https://www.zcygov.cn/），点击右侧咨询小采，获取采小蜜智能服务管家帮助，或拨打政采云服务热线95763获取热线服务帮助。</w:t>
      </w:r>
    </w:p>
    <w:p w14:paraId="4DBD965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CA问题联系电话（人工）：汇信CA400-888-4636；天谷CA400-087-8198。</w:t>
      </w:r>
    </w:p>
    <w:p w14:paraId="5A825893">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第二章 采购需求</w:t>
      </w:r>
    </w:p>
    <w:p w14:paraId="1A50DE2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一、采购需求概况</w:t>
      </w:r>
    </w:p>
    <w:p w14:paraId="0570082F">
      <w:pPr>
        <w:keepNext w:val="0"/>
        <w:keepLines w:val="0"/>
        <w:widowControl/>
        <w:suppressLineNumbers w:val="0"/>
        <w:spacing w:line="288"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1.本项目属性为</w:t>
      </w: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服务</w:t>
      </w:r>
    </w:p>
    <w:p w14:paraId="34C5B34F">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是否政府购买服务：否</w:t>
      </w:r>
    </w:p>
    <w:p w14:paraId="6CB2E80C">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01355FD6">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2.采购标的：</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3"/>
        <w:gridCol w:w="2476"/>
        <w:gridCol w:w="990"/>
        <w:gridCol w:w="990"/>
        <w:gridCol w:w="990"/>
        <w:gridCol w:w="990"/>
        <w:gridCol w:w="1483"/>
        <w:gridCol w:w="1484"/>
      </w:tblGrid>
      <w:tr w14:paraId="55578C6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PrEx>
        <w:trPr>
          <w:tblHeader/>
        </w:trPr>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1A0A4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1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C3A3C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标的名称</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472B0C">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允许进口</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390FB0">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强制节能</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A157DD">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优先节能</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7C2FF8">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优先环保</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041584">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标的限价(元)</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CE9AB1">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所属行业</w:t>
            </w:r>
          </w:p>
        </w:tc>
      </w:tr>
      <w:tr w14:paraId="62C1274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C53CF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1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58222">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芯粒多场耦合模型工程化开发</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237C0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F9B565">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6C117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DB499A">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不适用</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480D0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910000</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B64383">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其他未列明行业</w:t>
            </w:r>
          </w:p>
        </w:tc>
      </w:tr>
    </w:tbl>
    <w:p w14:paraId="2C310D8B">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55602BB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二、为落实政府采购政策需满足的要求</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46"/>
        <w:gridCol w:w="2448"/>
        <w:gridCol w:w="6702"/>
      </w:tblGrid>
      <w:tr w14:paraId="6586B82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69F0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232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CEB8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政策名称</w:t>
            </w:r>
          </w:p>
        </w:tc>
        <w:tc>
          <w:tcPr>
            <w:tcW w:w="63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4EFF4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本项目约定及享受政策需提供的材料</w:t>
            </w:r>
          </w:p>
        </w:tc>
      </w:tr>
      <w:tr w14:paraId="3F70C7E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8797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1</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10BE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支持本国产品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E5EDF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不适用</w:t>
            </w:r>
          </w:p>
        </w:tc>
      </w:tr>
      <w:tr w14:paraId="0DCBFAF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1136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9585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支持绿色发展</w:t>
            </w:r>
          </w:p>
          <w:p w14:paraId="775399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（强制采购节能产品）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8121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不适用</w:t>
            </w:r>
          </w:p>
        </w:tc>
      </w:tr>
      <w:tr w14:paraId="5DFD67E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DEC4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4262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支持绿色发展</w:t>
            </w:r>
          </w:p>
          <w:p w14:paraId="2CF342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（优先采购节能）</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5BAF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不适用</w:t>
            </w:r>
          </w:p>
        </w:tc>
      </w:tr>
      <w:tr w14:paraId="043E472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79B8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FBC8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支持绿色发展</w:t>
            </w:r>
          </w:p>
          <w:p w14:paraId="5E8A69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（优先采购环保产品）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B583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不适用</w:t>
            </w:r>
          </w:p>
        </w:tc>
      </w:tr>
      <w:tr w14:paraId="207BFBA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4C68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5</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33AA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支持创新</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8DDC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不适用</w:t>
            </w:r>
          </w:p>
        </w:tc>
      </w:tr>
      <w:tr w14:paraId="2372B2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7362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6</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BE4D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促进中小企业发展</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D809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1.本项目未预留份额专门面向【中小】企业采购。享受【小微】企业扶持政策的供应商，提供符合要求的《中小企业声明函》。</w:t>
            </w:r>
          </w:p>
          <w:p w14:paraId="76FE4A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2.说明：在服务采购项目中，服务由【中小】企业承接，即提供服务的人员为【中小】企业依照《中华人民共和国劳动合同法》订立劳动合同的从业人员。</w:t>
            </w:r>
          </w:p>
          <w:p w14:paraId="6201DD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与大企业的负责人为同一人，或者与大企业存在直接控股、管理关系的中小企业不得享受中小企业扶持政策。</w:t>
            </w:r>
          </w:p>
          <w:p w14:paraId="4A934C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▲可以享受中小企业扶持政策的供应商应按照采购文件格式要求提供《中小企业声明函》。《中小企业声明函》填写企业类型错误，以致该供应商享受本不能享受的中小企业扶持政策的，</w:t>
            </w:r>
            <w:r>
              <w:rPr>
                <w:rFonts w:hint="eastAsia" w:ascii="宋体" w:hAnsi="宋体" w:eastAsia="宋体" w:cs="宋体"/>
                <w:i w:val="0"/>
                <w:iCs w:val="0"/>
                <w:color w:val="auto"/>
                <w:kern w:val="0"/>
                <w:sz w:val="21"/>
                <w:szCs w:val="21"/>
                <w:highlight w:val="none"/>
                <w:lang w:val="en-US" w:eastAsia="zh-CN" w:bidi="ar"/>
              </w:rPr>
              <w:t>响应</w:t>
            </w:r>
            <w:r>
              <w:rPr>
                <w:rFonts w:hint="eastAsia" w:ascii="宋体" w:hAnsi="宋体" w:eastAsia="宋体" w:cs="宋体"/>
                <w:color w:val="auto"/>
                <w:kern w:val="0"/>
                <w:sz w:val="21"/>
                <w:szCs w:val="21"/>
                <w:highlight w:val="none"/>
                <w:lang w:val="en-US" w:eastAsia="zh-CN" w:bidi="ar"/>
              </w:rPr>
              <w:t>无效并依法承担法律责任。</w:t>
            </w:r>
          </w:p>
          <w:p w14:paraId="71210899">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（工业和信息化部中小企业局）中小企业规模类型自测小程序：http://baosong.miit.gov.cn/ScaleTest。</w:t>
            </w:r>
          </w:p>
        </w:tc>
      </w:tr>
      <w:tr w14:paraId="5F75C49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F25A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7</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6DE0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支持监狱企业发展</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9023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监狱企业视同小型、微型企业。符合条件的供应商提供：属于监狱企业的证明文件。</w:t>
            </w:r>
          </w:p>
        </w:tc>
      </w:tr>
      <w:tr w14:paraId="73A1641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55FB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8</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BB0C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促进残疾人就业</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B072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残疾人福利性单位视同小型、微型企业。符合条件的供应商提供：《残疾人福利性单位声明函》。</w:t>
            </w:r>
          </w:p>
        </w:tc>
      </w:tr>
      <w:tr w14:paraId="733A806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2445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9</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44B8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其他说明</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866C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相关政策详见【第三章  供应商须知】。</w:t>
            </w:r>
          </w:p>
        </w:tc>
      </w:tr>
    </w:tbl>
    <w:p w14:paraId="0B73DC50">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425DA60B">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三、商务要求</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519"/>
        <w:gridCol w:w="7377"/>
      </w:tblGrid>
      <w:tr w14:paraId="54D9EC6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7BE1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服务</w:t>
            </w:r>
            <w:r>
              <w:rPr>
                <w:rFonts w:hint="eastAsia" w:ascii="宋体" w:hAnsi="宋体" w:eastAsia="宋体" w:cs="宋体"/>
                <w:i w:val="0"/>
                <w:iCs w:val="0"/>
                <w:color w:val="auto"/>
                <w:kern w:val="0"/>
                <w:sz w:val="21"/>
                <w:szCs w:val="21"/>
                <w:highlight w:val="none"/>
                <w:lang w:val="en-US" w:eastAsia="zh-CN" w:bidi="ar"/>
              </w:rPr>
              <w:t>时间</w:t>
            </w:r>
          </w:p>
        </w:tc>
        <w:tc>
          <w:tcPr>
            <w:tcW w:w="7377"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073E8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自合同签订之日起30日内交付</w:t>
            </w:r>
            <w:r>
              <w:rPr>
                <w:rFonts w:hint="eastAsia" w:ascii="宋体" w:hAnsi="宋体" w:cs="宋体"/>
                <w:color w:val="auto"/>
                <w:sz w:val="21"/>
                <w:szCs w:val="21"/>
                <w:highlight w:val="none"/>
                <w:lang w:eastAsia="zh-CN"/>
              </w:rPr>
              <w:t>。</w:t>
            </w:r>
          </w:p>
        </w:tc>
      </w:tr>
      <w:tr w14:paraId="2E6F818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DB74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服务地点</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61C929">
            <w:pPr>
              <w:keepNext w:val="0"/>
              <w:keepLines w:val="0"/>
              <w:suppressLineNumbers w:val="0"/>
              <w:spacing w:before="0" w:beforeAutospacing="0" w:after="0" w:afterAutospacing="0"/>
              <w:ind w:left="0" w:right="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采购人指定地点。</w:t>
            </w:r>
          </w:p>
        </w:tc>
      </w:tr>
      <w:tr w14:paraId="08D844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33B8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履约保证金</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F055E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1.合同签订后5个工作日内，供应商向采购人提交合同总价1%的履约保证金，履约保证金在合同履约期间无违约情形的，项目验收结束后，于7个工作日内退还（不计息）；</w:t>
            </w:r>
          </w:p>
          <w:p w14:paraId="12DD7D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14:paraId="38453D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14:paraId="72A8AB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收款单位（户名）：杭州电子科技大学</w:t>
            </w:r>
          </w:p>
          <w:p w14:paraId="6C3207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开户银行：工行高新支行</w:t>
            </w:r>
          </w:p>
          <w:p w14:paraId="7ABD9B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tr w14:paraId="43A8A81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9A93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付款方式</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19EB7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1.合同生效以及具备实施条件且</w:t>
            </w:r>
            <w:r>
              <w:rPr>
                <w:rFonts w:hint="eastAsia" w:ascii="宋体" w:hAnsi="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已向采购人提交银行、保险公司等金融机构出具的预付款保函后，7个工作日内，采购人向</w:t>
            </w:r>
            <w:r>
              <w:rPr>
                <w:rFonts w:hint="eastAsia" w:ascii="宋体" w:hAnsi="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支付合同总价的</w:t>
            </w:r>
            <w:r>
              <w:rPr>
                <w:rFonts w:hint="eastAsia" w:ascii="宋体" w:hAnsi="宋体" w:cs="宋体"/>
                <w:i w:val="0"/>
                <w:iCs w:val="0"/>
                <w:color w:val="auto"/>
                <w:spacing w:val="-6"/>
                <w:kern w:val="0"/>
                <w:sz w:val="21"/>
                <w:szCs w:val="21"/>
                <w:highlight w:val="none"/>
                <w:lang w:val="en-US" w:eastAsia="zh-CN" w:bidi="ar"/>
              </w:rPr>
              <w:t>7</w:t>
            </w:r>
            <w:r>
              <w:rPr>
                <w:rFonts w:hint="eastAsia" w:ascii="宋体" w:hAnsi="宋体" w:eastAsia="宋体" w:cs="宋体"/>
                <w:i w:val="0"/>
                <w:iCs w:val="0"/>
                <w:color w:val="auto"/>
                <w:spacing w:val="-6"/>
                <w:kern w:val="0"/>
                <w:sz w:val="21"/>
                <w:szCs w:val="21"/>
                <w:highlight w:val="none"/>
                <w:lang w:val="en-US" w:eastAsia="zh-CN" w:bidi="ar"/>
              </w:rPr>
              <w:t>0%；</w:t>
            </w:r>
            <w:r>
              <w:rPr>
                <w:rFonts w:hint="eastAsia" w:ascii="宋体" w:hAnsi="宋体" w:cs="宋体"/>
                <w:i w:val="0"/>
                <w:iCs w:val="0"/>
                <w:color w:val="auto"/>
                <w:spacing w:val="-6"/>
                <w:kern w:val="0"/>
                <w:sz w:val="21"/>
                <w:szCs w:val="21"/>
                <w:highlight w:val="none"/>
                <w:lang w:val="en-US" w:eastAsia="zh-CN" w:bidi="ar"/>
              </w:rPr>
              <w:t>服务完成</w:t>
            </w:r>
            <w:r>
              <w:rPr>
                <w:rFonts w:hint="eastAsia" w:ascii="宋体" w:hAnsi="宋体" w:eastAsia="宋体" w:cs="宋体"/>
                <w:i w:val="0"/>
                <w:iCs w:val="0"/>
                <w:color w:val="auto"/>
                <w:spacing w:val="-6"/>
                <w:kern w:val="0"/>
                <w:sz w:val="21"/>
                <w:szCs w:val="21"/>
                <w:highlight w:val="none"/>
                <w:lang w:val="en-US" w:eastAsia="zh-CN" w:bidi="ar"/>
              </w:rPr>
              <w:t>，经采购人验收合格并收到发票后7个工作日内，向</w:t>
            </w:r>
            <w:r>
              <w:rPr>
                <w:rFonts w:hint="eastAsia" w:ascii="宋体" w:hAnsi="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支付合同总价的</w:t>
            </w:r>
            <w:r>
              <w:rPr>
                <w:rFonts w:hint="eastAsia" w:ascii="宋体" w:hAnsi="宋体" w:cs="宋体"/>
                <w:i w:val="0"/>
                <w:iCs w:val="0"/>
                <w:color w:val="auto"/>
                <w:spacing w:val="-6"/>
                <w:kern w:val="0"/>
                <w:sz w:val="21"/>
                <w:szCs w:val="21"/>
                <w:highlight w:val="none"/>
                <w:lang w:val="en-US" w:eastAsia="zh-CN" w:bidi="ar"/>
              </w:rPr>
              <w:t>3</w:t>
            </w:r>
            <w:r>
              <w:rPr>
                <w:rFonts w:hint="eastAsia" w:ascii="宋体" w:hAnsi="宋体" w:eastAsia="宋体" w:cs="宋体"/>
                <w:i w:val="0"/>
                <w:iCs w:val="0"/>
                <w:color w:val="auto"/>
                <w:spacing w:val="-6"/>
                <w:kern w:val="0"/>
                <w:sz w:val="21"/>
                <w:szCs w:val="21"/>
                <w:highlight w:val="none"/>
                <w:lang w:val="en-US" w:eastAsia="zh-CN" w:bidi="ar"/>
              </w:rPr>
              <w:t>0%。</w:t>
            </w:r>
          </w:p>
          <w:p w14:paraId="3FB6E0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2.在签订合同时，供应商明确表示无需预付款或者主动要求降低预付款比例的，可降低预付款比例（预付款保函同步调整）。</w:t>
            </w:r>
          </w:p>
          <w:p w14:paraId="0CB053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3.若供应商收取预付款，要求预付款保函有效期覆盖</w:t>
            </w:r>
            <w:r>
              <w:rPr>
                <w:rFonts w:hint="eastAsia" w:ascii="宋体" w:hAnsi="宋体" w:cs="宋体"/>
                <w:i w:val="0"/>
                <w:iCs w:val="0"/>
                <w:color w:val="auto"/>
                <w:spacing w:val="-6"/>
                <w:kern w:val="0"/>
                <w:sz w:val="21"/>
                <w:szCs w:val="21"/>
                <w:highlight w:val="none"/>
                <w:lang w:val="en-US" w:eastAsia="zh-CN" w:bidi="ar"/>
              </w:rPr>
              <w:t>项目履约</w:t>
            </w:r>
            <w:r>
              <w:rPr>
                <w:rFonts w:hint="eastAsia" w:ascii="宋体" w:hAnsi="宋体" w:eastAsia="宋体" w:cs="宋体"/>
                <w:i w:val="0"/>
                <w:iCs w:val="0"/>
                <w:color w:val="auto"/>
                <w:spacing w:val="-6"/>
                <w:kern w:val="0"/>
                <w:sz w:val="21"/>
                <w:szCs w:val="21"/>
                <w:highlight w:val="none"/>
                <w:lang w:val="en-US" w:eastAsia="zh-CN" w:bidi="ar"/>
              </w:rPr>
              <w:t>时间；提供了预付款保函则供应商无需再缴纳履约保证金。</w:t>
            </w:r>
          </w:p>
          <w:p w14:paraId="5D5E33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4.签订合同时</w:t>
            </w:r>
            <w:r>
              <w:rPr>
                <w:rFonts w:hint="eastAsia" w:ascii="宋体" w:hAnsi="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明确表示无需预付款的，可以采用以下付款方式：</w:t>
            </w:r>
          </w:p>
          <w:p w14:paraId="0AE925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①一次性付款：服务完成，采购人验收合格并收到发票后10个工作日内，采购人向</w:t>
            </w:r>
            <w:r>
              <w:rPr>
                <w:rFonts w:hint="eastAsia" w:ascii="宋体" w:hAnsi="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支付全部合同价款。</w:t>
            </w:r>
          </w:p>
          <w:p w14:paraId="2CADAE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②按期结算：每（月\季度\半年\年）</w:t>
            </w:r>
            <w:r>
              <w:rPr>
                <w:rFonts w:hint="eastAsia" w:ascii="宋体" w:hAnsi="宋体" w:cs="宋体"/>
                <w:i w:val="0"/>
                <w:iCs w:val="0"/>
                <w:color w:val="auto"/>
                <w:spacing w:val="-6"/>
                <w:kern w:val="0"/>
                <w:sz w:val="21"/>
                <w:szCs w:val="21"/>
                <w:highlight w:val="none"/>
                <w:lang w:val="en-US" w:eastAsia="zh-CN" w:bidi="ar"/>
              </w:rPr>
              <w:t>末</w:t>
            </w:r>
            <w:r>
              <w:rPr>
                <w:rFonts w:hint="eastAsia" w:ascii="宋体" w:hAnsi="宋体" w:eastAsia="宋体" w:cs="宋体"/>
                <w:i w:val="0"/>
                <w:iCs w:val="0"/>
                <w:color w:val="auto"/>
                <w:spacing w:val="-6"/>
                <w:kern w:val="0"/>
                <w:sz w:val="21"/>
                <w:szCs w:val="21"/>
                <w:highlight w:val="none"/>
                <w:lang w:val="en-US" w:eastAsia="zh-CN" w:bidi="ar"/>
              </w:rPr>
              <w:t>，合同生效、具备使用条件并经</w:t>
            </w:r>
            <w:r>
              <w:rPr>
                <w:rFonts w:hint="eastAsia" w:ascii="宋体" w:hAnsi="宋体" w:cs="宋体"/>
                <w:i w:val="0"/>
                <w:iCs w:val="0"/>
                <w:color w:val="auto"/>
                <w:spacing w:val="-6"/>
                <w:kern w:val="0"/>
                <w:sz w:val="21"/>
                <w:szCs w:val="21"/>
                <w:highlight w:val="none"/>
                <w:lang w:val="en-US" w:eastAsia="zh-CN" w:bidi="ar"/>
              </w:rPr>
              <w:t>采购人</w:t>
            </w:r>
            <w:r>
              <w:rPr>
                <w:rFonts w:hint="eastAsia" w:ascii="宋体" w:hAnsi="宋体" w:eastAsia="宋体" w:cs="宋体"/>
                <w:i w:val="0"/>
                <w:iCs w:val="0"/>
                <w:color w:val="auto"/>
                <w:spacing w:val="-6"/>
                <w:kern w:val="0"/>
                <w:sz w:val="21"/>
                <w:szCs w:val="21"/>
                <w:highlight w:val="none"/>
                <w:lang w:val="en-US" w:eastAsia="zh-CN" w:bidi="ar"/>
              </w:rPr>
              <w:t>验收合格并收到发票后10个工作日内，</w:t>
            </w:r>
            <w:r>
              <w:rPr>
                <w:rFonts w:hint="eastAsia" w:ascii="宋体" w:hAnsi="宋体" w:cs="宋体"/>
                <w:i w:val="0"/>
                <w:iCs w:val="0"/>
                <w:color w:val="auto"/>
                <w:spacing w:val="-6"/>
                <w:kern w:val="0"/>
                <w:sz w:val="21"/>
                <w:szCs w:val="21"/>
                <w:highlight w:val="none"/>
                <w:lang w:val="en-US" w:eastAsia="zh-CN" w:bidi="ar"/>
              </w:rPr>
              <w:t>采购人</w:t>
            </w:r>
            <w:r>
              <w:rPr>
                <w:rFonts w:hint="eastAsia" w:ascii="宋体" w:hAnsi="宋体" w:eastAsia="宋体" w:cs="宋体"/>
                <w:i w:val="0"/>
                <w:iCs w:val="0"/>
                <w:color w:val="auto"/>
                <w:spacing w:val="-6"/>
                <w:kern w:val="0"/>
                <w:sz w:val="21"/>
                <w:szCs w:val="21"/>
                <w:highlight w:val="none"/>
                <w:lang w:val="en-US" w:eastAsia="zh-CN" w:bidi="ar"/>
              </w:rPr>
              <w:t>向</w:t>
            </w:r>
            <w:r>
              <w:rPr>
                <w:rFonts w:hint="eastAsia" w:ascii="宋体" w:hAnsi="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支付本期款项。</w:t>
            </w:r>
          </w:p>
          <w:p w14:paraId="0DCAAE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③按进度付款：每个进度节点，</w:t>
            </w:r>
            <w:r>
              <w:rPr>
                <w:rFonts w:hint="eastAsia" w:ascii="宋体" w:hAnsi="宋体" w:cs="宋体"/>
                <w:i w:val="0"/>
                <w:iCs w:val="0"/>
                <w:color w:val="auto"/>
                <w:spacing w:val="-6"/>
                <w:kern w:val="0"/>
                <w:sz w:val="21"/>
                <w:szCs w:val="21"/>
                <w:highlight w:val="none"/>
                <w:lang w:val="en-US" w:eastAsia="zh-CN" w:bidi="ar"/>
              </w:rPr>
              <w:t>采购人</w:t>
            </w:r>
            <w:r>
              <w:rPr>
                <w:rFonts w:hint="eastAsia" w:ascii="宋体" w:hAnsi="宋体" w:eastAsia="宋体" w:cs="宋体"/>
                <w:i w:val="0"/>
                <w:iCs w:val="0"/>
                <w:color w:val="auto"/>
                <w:spacing w:val="-6"/>
                <w:kern w:val="0"/>
                <w:sz w:val="21"/>
                <w:szCs w:val="21"/>
                <w:highlight w:val="none"/>
                <w:lang w:val="en-US" w:eastAsia="zh-CN" w:bidi="ar"/>
              </w:rPr>
              <w:t>验收合格并收到发票后10个工作日内，采购人向供应商支付对应款项，具体结点及付款额度</w:t>
            </w:r>
            <w:r>
              <w:rPr>
                <w:rFonts w:hint="eastAsia" w:ascii="宋体" w:hAnsi="宋体" w:cs="宋体"/>
                <w:i w:val="0"/>
                <w:iCs w:val="0"/>
                <w:color w:val="auto"/>
                <w:spacing w:val="-6"/>
                <w:kern w:val="0"/>
                <w:sz w:val="21"/>
                <w:szCs w:val="21"/>
                <w:highlight w:val="none"/>
                <w:lang w:val="en-US" w:eastAsia="zh-CN" w:bidi="ar"/>
              </w:rPr>
              <w:t>成交后由采购人和供应商另行商定</w:t>
            </w:r>
            <w:r>
              <w:rPr>
                <w:rFonts w:hint="eastAsia" w:ascii="宋体" w:hAnsi="宋体" w:eastAsia="宋体" w:cs="宋体"/>
                <w:i w:val="0"/>
                <w:iCs w:val="0"/>
                <w:color w:val="auto"/>
                <w:spacing w:val="-6"/>
                <w:kern w:val="0"/>
                <w:sz w:val="21"/>
                <w:szCs w:val="21"/>
                <w:highlight w:val="none"/>
                <w:lang w:val="en-US" w:eastAsia="zh-CN" w:bidi="ar"/>
              </w:rPr>
              <w:t>。</w:t>
            </w:r>
          </w:p>
          <w:p w14:paraId="624D5C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④其它支付形式（双方协商一致，需符合采购法规</w:t>
            </w:r>
            <w:r>
              <w:rPr>
                <w:rFonts w:hint="eastAsia" w:ascii="宋体" w:hAnsi="宋体" w:cs="宋体"/>
                <w:i w:val="0"/>
                <w:iCs w:val="0"/>
                <w:color w:val="auto"/>
                <w:spacing w:val="-6"/>
                <w:kern w:val="0"/>
                <w:sz w:val="21"/>
                <w:szCs w:val="21"/>
                <w:highlight w:val="none"/>
                <w:lang w:val="en-US" w:eastAsia="zh-CN" w:bidi="ar"/>
              </w:rPr>
              <w:t>，成交后由采购人和供应商另行商定</w:t>
            </w:r>
            <w:r>
              <w:rPr>
                <w:rFonts w:hint="eastAsia" w:ascii="宋体" w:hAnsi="宋体" w:eastAsia="宋体" w:cs="宋体"/>
                <w:i w:val="0"/>
                <w:iCs w:val="0"/>
                <w:color w:val="auto"/>
                <w:spacing w:val="-6"/>
                <w:kern w:val="0"/>
                <w:sz w:val="21"/>
                <w:szCs w:val="21"/>
                <w:highlight w:val="none"/>
                <w:lang w:val="en-US" w:eastAsia="zh-CN" w:bidi="ar"/>
              </w:rPr>
              <w:t>）。</w:t>
            </w:r>
          </w:p>
          <w:p w14:paraId="241F6C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注：付款前，</w:t>
            </w:r>
            <w:r>
              <w:rPr>
                <w:rFonts w:hint="eastAsia" w:ascii="宋体" w:hAnsi="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须交纳合同约定的履约保证金（如有）并提供采购人财务处开具的履约保证金收据，</w:t>
            </w:r>
            <w:r>
              <w:rPr>
                <w:rFonts w:hint="eastAsia" w:ascii="宋体" w:hAnsi="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向采购人开具等额有效的合格发票。采购人开票信息如下：</w:t>
            </w:r>
          </w:p>
          <w:p w14:paraId="114B39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单位名称：杭州电子科技大学。税号：12330000470009026T</w:t>
            </w:r>
          </w:p>
          <w:p w14:paraId="283FE4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开户银行：工行杭州高新支行。账号：1202026209008806216</w:t>
            </w:r>
          </w:p>
        </w:tc>
      </w:tr>
      <w:tr w14:paraId="49495BC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322A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宋体" w:hAnsi="宋体" w:eastAsia="宋体" w:cs="宋体"/>
                <w:i w:val="0"/>
                <w:iCs w:val="0"/>
                <w:color w:val="auto"/>
                <w:kern w:val="0"/>
                <w:sz w:val="21"/>
                <w:szCs w:val="21"/>
                <w:highlight w:val="none"/>
                <w:lang w:val="en-US" w:eastAsia="zh-CN" w:bidi="ar"/>
              </w:rPr>
            </w:pPr>
            <w:r>
              <w:rPr>
                <w:rFonts w:hint="eastAsia" w:ascii="宋体" w:hAnsi="宋体" w:cs="宋体"/>
                <w:i w:val="0"/>
                <w:iCs w:val="0"/>
                <w:color w:val="auto"/>
                <w:kern w:val="0"/>
                <w:sz w:val="21"/>
                <w:szCs w:val="21"/>
                <w:highlight w:val="none"/>
                <w:lang w:val="en-US" w:eastAsia="zh-CN" w:bidi="ar"/>
              </w:rPr>
              <w:t>售后服务</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D7699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w:t>
            </w:r>
            <w:r>
              <w:rPr>
                <w:rFonts w:hint="eastAsia" w:ascii="宋体" w:hAnsi="宋体" w:cs="宋体"/>
                <w:i w:val="0"/>
                <w:iCs w:val="0"/>
                <w:color w:val="auto"/>
                <w:kern w:val="0"/>
                <w:sz w:val="21"/>
                <w:szCs w:val="21"/>
                <w:highlight w:val="none"/>
                <w:lang w:val="en-US" w:eastAsia="zh-CN" w:bidi="ar"/>
              </w:rPr>
              <w:t>1.质保期：自项目验收合格之日起2年。</w:t>
            </w:r>
          </w:p>
          <w:p w14:paraId="32F6D5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cs="宋体"/>
                <w:i w:val="0"/>
                <w:iCs w:val="0"/>
                <w:color w:val="auto"/>
                <w:kern w:val="0"/>
                <w:sz w:val="21"/>
                <w:szCs w:val="21"/>
                <w:highlight w:val="none"/>
                <w:lang w:val="en-US" w:eastAsia="zh-CN" w:bidi="ar"/>
              </w:rPr>
            </w:pPr>
            <w:r>
              <w:rPr>
                <w:rFonts w:hint="eastAsia" w:ascii="宋体" w:hAnsi="宋体" w:cs="宋体"/>
                <w:i w:val="0"/>
                <w:iCs w:val="0"/>
                <w:color w:val="auto"/>
                <w:kern w:val="0"/>
                <w:sz w:val="21"/>
                <w:szCs w:val="21"/>
                <w:highlight w:val="none"/>
                <w:lang w:val="en-US" w:eastAsia="zh-CN" w:bidi="ar"/>
              </w:rPr>
              <w:t>2.提供不少于2年质量保证与技术支持。</w:t>
            </w:r>
          </w:p>
          <w:p w14:paraId="50A996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cs="宋体"/>
                <w:i w:val="0"/>
                <w:iCs w:val="0"/>
                <w:color w:val="auto"/>
                <w:kern w:val="0"/>
                <w:sz w:val="21"/>
                <w:szCs w:val="21"/>
                <w:highlight w:val="none"/>
                <w:lang w:val="en-US" w:eastAsia="zh-CN" w:bidi="ar"/>
              </w:rPr>
              <w:t>3.</w:t>
            </w:r>
            <w:r>
              <w:rPr>
                <w:rFonts w:hint="eastAsia" w:ascii="宋体" w:hAnsi="宋体" w:eastAsia="宋体" w:cs="宋体"/>
                <w:i w:val="0"/>
                <w:iCs w:val="0"/>
                <w:color w:val="auto"/>
                <w:kern w:val="0"/>
                <w:sz w:val="21"/>
                <w:szCs w:val="21"/>
                <w:highlight w:val="none"/>
                <w:lang w:val="en-US" w:eastAsia="zh-CN" w:bidi="ar"/>
              </w:rPr>
              <w:t>供应商应提供详细的售后服务方案、售后服务承诺、售后服务保障措施。</w:t>
            </w:r>
          </w:p>
        </w:tc>
      </w:tr>
      <w:tr w14:paraId="5F7D008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12D567">
            <w:pPr>
              <w:keepNext w:val="0"/>
              <w:keepLines w:val="0"/>
              <w:widowControl/>
              <w:suppressLineNumbers w:val="0"/>
              <w:spacing w:before="0" w:beforeAutospacing="0" w:after="0" w:afterAutospacing="0"/>
              <w:ind w:left="0" w:leftChars="0" w:right="0" w:rightChars="0"/>
              <w:jc w:val="center"/>
              <w:rPr>
                <w:rFonts w:hint="eastAsia" w:ascii="宋体" w:hAnsi="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服务标准、期限、效率</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5F871D">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1.在服务期内，供应商应对服务内容出现的质量及安全问题负责处理解决并承担一切费用。</w:t>
            </w:r>
          </w:p>
          <w:p w14:paraId="3B2B9FDC">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2.如在使用过程中发生服务问题，供应商维修响应时间：1小时以内；</w:t>
            </w:r>
          </w:p>
          <w:p w14:paraId="448415AB">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电话技术支持时间：2小时以内；</w:t>
            </w:r>
          </w:p>
          <w:p w14:paraId="65AA84EC">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对于通过电话、邮件等远程技术支持不能解决的问题，供应商应在8小时内派遣相关人员赶赴现场，72小时内</w:t>
            </w:r>
            <w:r>
              <w:rPr>
                <w:rFonts w:hint="eastAsia" w:ascii="宋体" w:hAnsi="宋体" w:cs="宋体"/>
                <w:i w:val="0"/>
                <w:iCs w:val="0"/>
                <w:color w:val="auto"/>
                <w:kern w:val="0"/>
                <w:sz w:val="21"/>
                <w:szCs w:val="21"/>
                <w:highlight w:val="none"/>
                <w:lang w:val="en-US" w:eastAsia="zh-CN" w:bidi="ar"/>
              </w:rPr>
              <w:t>处理</w:t>
            </w:r>
            <w:r>
              <w:rPr>
                <w:rFonts w:hint="eastAsia" w:ascii="宋体" w:hAnsi="宋体" w:eastAsia="宋体" w:cs="宋体"/>
                <w:i w:val="0"/>
                <w:iCs w:val="0"/>
                <w:color w:val="auto"/>
                <w:kern w:val="0"/>
                <w:sz w:val="21"/>
                <w:szCs w:val="21"/>
                <w:highlight w:val="none"/>
                <w:lang w:val="en-US" w:eastAsia="zh-CN" w:bidi="ar"/>
              </w:rPr>
              <w:t>完毕；发生紧急事故的，供应商应在接到采购人通知后8小时内到达现场</w:t>
            </w:r>
            <w:r>
              <w:rPr>
                <w:rFonts w:hint="eastAsia" w:ascii="宋体" w:hAnsi="宋体" w:cs="宋体"/>
                <w:i w:val="0"/>
                <w:iCs w:val="0"/>
                <w:color w:val="auto"/>
                <w:kern w:val="0"/>
                <w:sz w:val="21"/>
                <w:szCs w:val="21"/>
                <w:highlight w:val="none"/>
                <w:lang w:val="en-US" w:eastAsia="zh-CN" w:bidi="ar"/>
              </w:rPr>
              <w:t>处理</w:t>
            </w:r>
            <w:r>
              <w:rPr>
                <w:rFonts w:hint="eastAsia" w:ascii="宋体" w:hAnsi="宋体" w:eastAsia="宋体" w:cs="宋体"/>
                <w:i w:val="0"/>
                <w:iCs w:val="0"/>
                <w:color w:val="auto"/>
                <w:kern w:val="0"/>
                <w:sz w:val="21"/>
                <w:szCs w:val="21"/>
                <w:highlight w:val="none"/>
                <w:lang w:val="en-US" w:eastAsia="zh-CN" w:bidi="ar"/>
              </w:rPr>
              <w:t>，并于到达现场24小时之内排除故障。</w:t>
            </w:r>
          </w:p>
        </w:tc>
      </w:tr>
      <w:tr w14:paraId="53F2AD6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79E2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验收标准</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5254E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按“第五章  拟签订的合同文本”相关验收要求执行。</w:t>
            </w:r>
          </w:p>
        </w:tc>
      </w:tr>
      <w:tr w14:paraId="30B44A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0F43C1">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违约责任</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385AE8B">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按“第五章  拟签订的合同文本”相关违约责任及争议解决方式内容。</w:t>
            </w:r>
          </w:p>
        </w:tc>
      </w:tr>
      <w:tr w14:paraId="35600DB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4611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其他技术、服务要求</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D9A30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1.供应商应提供有关的全套技术文件。</w:t>
            </w:r>
          </w:p>
          <w:p w14:paraId="37D86E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2.培训：</w:t>
            </w:r>
          </w:p>
          <w:p w14:paraId="740A0D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（1）供应商应对采购人的操作人员免费进行培训；</w:t>
            </w:r>
          </w:p>
          <w:p w14:paraId="65F361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（2）培训实现方式、时间、地点、人数应在响应文件中详细说明；</w:t>
            </w:r>
          </w:p>
          <w:p w14:paraId="17B075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（3）供应商应提供相应的培训计划、培训范围，实施方案</w:t>
            </w:r>
            <w:r>
              <w:rPr>
                <w:rFonts w:hint="eastAsia" w:ascii="宋体" w:hAnsi="宋体" w:cs="宋体"/>
                <w:i w:val="0"/>
                <w:iCs w:val="0"/>
                <w:color w:val="auto"/>
                <w:kern w:val="0"/>
                <w:sz w:val="21"/>
                <w:szCs w:val="21"/>
                <w:highlight w:val="none"/>
                <w:lang w:val="en-US" w:eastAsia="zh-CN" w:bidi="ar"/>
              </w:rPr>
              <w:t>；</w:t>
            </w:r>
          </w:p>
          <w:p w14:paraId="7F0109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eastAsia" w:ascii="宋体" w:hAnsi="宋体" w:cs="宋体"/>
                <w:i w:val="0"/>
                <w:iCs w:val="0"/>
                <w:color w:val="auto"/>
                <w:kern w:val="0"/>
                <w:sz w:val="21"/>
                <w:szCs w:val="21"/>
                <w:highlight w:val="none"/>
                <w:lang w:val="en-US" w:eastAsia="zh-CN" w:bidi="ar"/>
              </w:rPr>
              <w:t>（4）提供总体设计、详细设计、接口、部署、测试、用户及模型说明文档；提供不少于2次使用/开发培训及不少于1次验收演示。</w:t>
            </w:r>
          </w:p>
        </w:tc>
      </w:tr>
    </w:tbl>
    <w:p w14:paraId="555D32BA">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3C634F80">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四、</w:t>
      </w:r>
      <w:r>
        <w:rPr>
          <w:rFonts w:hint="eastAsia" w:ascii="宋体" w:hAnsi="宋体" w:cs="宋体"/>
          <w:b/>
          <w:bCs/>
          <w:i w:val="0"/>
          <w:iCs w:val="0"/>
          <w:color w:val="auto"/>
          <w:kern w:val="0"/>
          <w:sz w:val="21"/>
          <w:szCs w:val="21"/>
          <w:highlight w:val="none"/>
          <w:lang w:val="en-US" w:eastAsia="zh-CN" w:bidi="ar"/>
        </w:rPr>
        <w:t>服务</w:t>
      </w:r>
      <w:r>
        <w:rPr>
          <w:rFonts w:hint="eastAsia" w:ascii="宋体" w:hAnsi="宋体" w:eastAsia="宋体" w:cs="宋体"/>
          <w:b/>
          <w:bCs/>
          <w:i w:val="0"/>
          <w:iCs w:val="0"/>
          <w:color w:val="auto"/>
          <w:kern w:val="0"/>
          <w:sz w:val="21"/>
          <w:szCs w:val="21"/>
          <w:highlight w:val="none"/>
          <w:lang w:val="en-US" w:eastAsia="zh-CN" w:bidi="ar"/>
        </w:rPr>
        <w:t>要求</w:t>
      </w:r>
    </w:p>
    <w:tbl>
      <w:tblPr>
        <w:tblStyle w:val="10"/>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3"/>
        <w:gridCol w:w="1322"/>
        <w:gridCol w:w="1593"/>
        <w:gridCol w:w="720"/>
        <w:gridCol w:w="670"/>
        <w:gridCol w:w="5068"/>
      </w:tblGrid>
      <w:tr w14:paraId="3256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83" w:type="pct"/>
            <w:vAlign w:val="center"/>
          </w:tcPr>
          <w:p w14:paraId="373587DA">
            <w:pPr>
              <w:keepNext w:val="0"/>
              <w:keepLines w:val="0"/>
              <w:suppressLineNumbers w:val="0"/>
              <w:spacing w:before="0" w:beforeAutospacing="0" w:after="0" w:afterAutospacing="0"/>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序号</w:t>
            </w:r>
          </w:p>
        </w:tc>
        <w:tc>
          <w:tcPr>
            <w:tcW w:w="665" w:type="pct"/>
            <w:vAlign w:val="center"/>
          </w:tcPr>
          <w:p w14:paraId="1BA9748A">
            <w:pPr>
              <w:keepNext w:val="0"/>
              <w:keepLines w:val="0"/>
              <w:suppressLineNumbers w:val="0"/>
              <w:spacing w:before="0" w:beforeAutospacing="0" w:after="0" w:afterAutospacing="0"/>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名称</w:t>
            </w:r>
          </w:p>
        </w:tc>
        <w:tc>
          <w:tcPr>
            <w:tcW w:w="801" w:type="pct"/>
            <w:vAlign w:val="center"/>
          </w:tcPr>
          <w:p w14:paraId="4EE88A67">
            <w:pPr>
              <w:keepNext w:val="0"/>
              <w:keepLines w:val="0"/>
              <w:suppressLineNumbers w:val="0"/>
              <w:spacing w:before="0" w:beforeAutospacing="0" w:after="0" w:afterAutospacing="0"/>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分项名称</w:t>
            </w:r>
          </w:p>
        </w:tc>
        <w:tc>
          <w:tcPr>
            <w:tcW w:w="362" w:type="pct"/>
            <w:vAlign w:val="center"/>
          </w:tcPr>
          <w:p w14:paraId="4208195C">
            <w:pPr>
              <w:keepNext w:val="0"/>
              <w:keepLines w:val="0"/>
              <w:suppressLineNumbers w:val="0"/>
              <w:spacing w:before="0" w:beforeAutospacing="0" w:after="0" w:afterAutospacing="0"/>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单位</w:t>
            </w:r>
          </w:p>
        </w:tc>
        <w:tc>
          <w:tcPr>
            <w:tcW w:w="337" w:type="pct"/>
            <w:vAlign w:val="center"/>
          </w:tcPr>
          <w:p w14:paraId="4BC1C4A0">
            <w:pPr>
              <w:keepNext w:val="0"/>
              <w:keepLines w:val="0"/>
              <w:suppressLineNumbers w:val="0"/>
              <w:spacing w:before="0" w:beforeAutospacing="0" w:after="0" w:afterAutospacing="0"/>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数量</w:t>
            </w:r>
          </w:p>
        </w:tc>
        <w:tc>
          <w:tcPr>
            <w:tcW w:w="2549" w:type="pct"/>
            <w:vAlign w:val="center"/>
          </w:tcPr>
          <w:p w14:paraId="63A0FEAC">
            <w:pPr>
              <w:keepNext w:val="0"/>
              <w:keepLines w:val="0"/>
              <w:suppressLineNumbers w:val="0"/>
              <w:spacing w:before="0" w:beforeAutospacing="0" w:after="0" w:afterAutospacing="0"/>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技术指标</w:t>
            </w:r>
          </w:p>
        </w:tc>
      </w:tr>
      <w:tr w14:paraId="55E8D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83" w:type="pct"/>
            <w:vMerge w:val="restart"/>
            <w:vAlign w:val="center"/>
          </w:tcPr>
          <w:p w14:paraId="4C52DE5D">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p>
        </w:tc>
        <w:tc>
          <w:tcPr>
            <w:tcW w:w="665" w:type="pct"/>
            <w:vMerge w:val="restart"/>
            <w:vAlign w:val="center"/>
          </w:tcPr>
          <w:p w14:paraId="22298249">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芯粒多场耦合仿真建模模块（CLI或GUI）</w:t>
            </w:r>
          </w:p>
        </w:tc>
        <w:tc>
          <w:tcPr>
            <w:tcW w:w="801" w:type="pct"/>
            <w:vAlign w:val="center"/>
          </w:tcPr>
          <w:p w14:paraId="2D77DE99">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芯粒多场耦合仿真建模模块</w:t>
            </w:r>
          </w:p>
        </w:tc>
        <w:tc>
          <w:tcPr>
            <w:tcW w:w="362" w:type="pct"/>
            <w:vAlign w:val="center"/>
          </w:tcPr>
          <w:p w14:paraId="6AA35046">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套</w:t>
            </w:r>
          </w:p>
        </w:tc>
        <w:tc>
          <w:tcPr>
            <w:tcW w:w="337" w:type="pct"/>
            <w:vAlign w:val="center"/>
          </w:tcPr>
          <w:p w14:paraId="164B6C38">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p>
        </w:tc>
        <w:tc>
          <w:tcPr>
            <w:tcW w:w="2549" w:type="pct"/>
            <w:vAlign w:val="center"/>
          </w:tcPr>
          <w:p w14:paraId="66834B33">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支持“数据”进、“模型”出自动化芯粒电（磁）-热-力多物理场耦合模型开发能力。</w:t>
            </w:r>
          </w:p>
        </w:tc>
      </w:tr>
      <w:tr w14:paraId="305BC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83" w:type="pct"/>
            <w:vMerge w:val="continue"/>
            <w:vAlign w:val="center"/>
          </w:tcPr>
          <w:p w14:paraId="61DFD554">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665" w:type="pct"/>
            <w:vMerge w:val="continue"/>
            <w:vAlign w:val="center"/>
          </w:tcPr>
          <w:p w14:paraId="6307E762">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801" w:type="pct"/>
            <w:vAlign w:val="center"/>
          </w:tcPr>
          <w:p w14:paraId="41447BB5">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多源数据导入与预处理</w:t>
            </w:r>
          </w:p>
        </w:tc>
        <w:tc>
          <w:tcPr>
            <w:tcW w:w="362" w:type="pct"/>
            <w:vAlign w:val="center"/>
          </w:tcPr>
          <w:p w14:paraId="7B4AB82D">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套</w:t>
            </w:r>
          </w:p>
        </w:tc>
        <w:tc>
          <w:tcPr>
            <w:tcW w:w="337" w:type="pct"/>
            <w:vAlign w:val="center"/>
          </w:tcPr>
          <w:p w14:paraId="7C8885FD">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p>
        </w:tc>
        <w:tc>
          <w:tcPr>
            <w:tcW w:w="2549" w:type="pct"/>
            <w:vAlign w:val="center"/>
          </w:tcPr>
          <w:p w14:paraId="1C892DA1">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1.支持STEP、STL、GDSII、ODB++等不少于4类常用格式。</w:t>
            </w:r>
          </w:p>
          <w:p w14:paraId="55A8308F">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2.支持批量导入、数据模板校验、异常定位及日志导出。</w:t>
            </w:r>
          </w:p>
        </w:tc>
      </w:tr>
      <w:tr w14:paraId="3E94E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83" w:type="pct"/>
            <w:vMerge w:val="continue"/>
            <w:vAlign w:val="center"/>
          </w:tcPr>
          <w:p w14:paraId="4C8F108F">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665" w:type="pct"/>
            <w:vMerge w:val="continue"/>
            <w:vAlign w:val="center"/>
          </w:tcPr>
          <w:p w14:paraId="277B1E29">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801" w:type="pct"/>
            <w:vAlign w:val="center"/>
          </w:tcPr>
          <w:p w14:paraId="3940C710">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参数换建模模块</w:t>
            </w:r>
          </w:p>
        </w:tc>
        <w:tc>
          <w:tcPr>
            <w:tcW w:w="362" w:type="pct"/>
            <w:vAlign w:val="center"/>
          </w:tcPr>
          <w:p w14:paraId="05218530">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套</w:t>
            </w:r>
          </w:p>
        </w:tc>
        <w:tc>
          <w:tcPr>
            <w:tcW w:w="337" w:type="pct"/>
            <w:vAlign w:val="center"/>
          </w:tcPr>
          <w:p w14:paraId="71FF23C7">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p>
        </w:tc>
        <w:tc>
          <w:tcPr>
            <w:tcW w:w="2549" w:type="pct"/>
            <w:vAlign w:val="center"/>
          </w:tcPr>
          <w:p w14:paraId="640C82FA">
            <w:pPr>
              <w:keepNext w:val="0"/>
              <w:keepLines w:val="0"/>
              <w:widowControl w:val="0"/>
              <w:numPr>
                <w:ilvl w:val="0"/>
                <w:numId w:val="0"/>
              </w:numPr>
              <w:suppressLineNumbers w:val="0"/>
              <w:spacing w:before="0" w:beforeAutospacing="0" w:after="0" w:afterAutospacing="0"/>
              <w:ind w:left="0" w:leftChars="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1.支持凸点、微凸点、TSV、RDL、焊球、走线、硅桥/中介层及封装层叠的参数化建模.</w:t>
            </w:r>
          </w:p>
          <w:p w14:paraId="4F098A0F">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2.几何尺寸标量参数化覆盖长度、宽度、厚度、间距、直径、材料及边界条件等参数。</w:t>
            </w:r>
          </w:p>
          <w:p w14:paraId="3C02481A">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3.支持集总端口、波端口、电流/电压端子、热源/热通量及结构约束自动创建。</w:t>
            </w:r>
          </w:p>
        </w:tc>
      </w:tr>
      <w:tr w14:paraId="517D0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83" w:type="pct"/>
            <w:vMerge w:val="continue"/>
            <w:vAlign w:val="center"/>
          </w:tcPr>
          <w:p w14:paraId="70997747">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665" w:type="pct"/>
            <w:vMerge w:val="continue"/>
            <w:vAlign w:val="center"/>
          </w:tcPr>
          <w:p w14:paraId="4A81C6B8">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801" w:type="pct"/>
            <w:vAlign w:val="center"/>
          </w:tcPr>
          <w:p w14:paraId="6FB15848">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多学科仿真工具调度模块</w:t>
            </w:r>
          </w:p>
        </w:tc>
        <w:tc>
          <w:tcPr>
            <w:tcW w:w="362" w:type="pct"/>
            <w:vAlign w:val="center"/>
          </w:tcPr>
          <w:p w14:paraId="0194C163">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套</w:t>
            </w:r>
          </w:p>
        </w:tc>
        <w:tc>
          <w:tcPr>
            <w:tcW w:w="337" w:type="pct"/>
            <w:vAlign w:val="center"/>
          </w:tcPr>
          <w:p w14:paraId="42CBB6ED">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p>
        </w:tc>
        <w:tc>
          <w:tcPr>
            <w:tcW w:w="2549" w:type="pct"/>
            <w:vAlign w:val="center"/>
          </w:tcPr>
          <w:p w14:paraId="1C357246">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1.支持HFSS、COMSOL、ANSYS Workbench等多场仿真工具。</w:t>
            </w:r>
          </w:p>
          <w:p w14:paraId="496DB402">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2.支持单向与双向迭代耦合，至少覆盖稳态电-热、瞬态电-热和稳态电-热-力3类分析流程。</w:t>
            </w:r>
          </w:p>
          <w:p w14:paraId="109F7CA2">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3.支持材料库、边界条件库及求解模板配置，材料温度依赖参数不少于电导率、热导率、比热、弹性模量、热膨胀系数5类。</w:t>
            </w:r>
          </w:p>
        </w:tc>
      </w:tr>
      <w:tr w14:paraId="22938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83" w:type="pct"/>
            <w:vMerge w:val="continue"/>
            <w:vAlign w:val="center"/>
          </w:tcPr>
          <w:p w14:paraId="446B760F">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665" w:type="pct"/>
            <w:vMerge w:val="continue"/>
            <w:vAlign w:val="center"/>
          </w:tcPr>
          <w:p w14:paraId="699CF2B7">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801" w:type="pct"/>
            <w:vAlign w:val="center"/>
          </w:tcPr>
          <w:p w14:paraId="45184B72">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软件工程化与接口</w:t>
            </w:r>
          </w:p>
        </w:tc>
        <w:tc>
          <w:tcPr>
            <w:tcW w:w="362" w:type="pct"/>
            <w:vAlign w:val="center"/>
          </w:tcPr>
          <w:p w14:paraId="50131CA5">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套</w:t>
            </w:r>
          </w:p>
        </w:tc>
        <w:tc>
          <w:tcPr>
            <w:tcW w:w="337" w:type="pct"/>
            <w:vAlign w:val="center"/>
          </w:tcPr>
          <w:p w14:paraId="083EC3AE">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p>
        </w:tc>
        <w:tc>
          <w:tcPr>
            <w:tcW w:w="2549" w:type="pct"/>
            <w:vAlign w:val="center"/>
          </w:tcPr>
          <w:p w14:paraId="6AE5A69A">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1.提供CLI或GUI一种主交互形态，并提供Python API或REST API至少一种二次开发接口。</w:t>
            </w:r>
          </w:p>
          <w:p w14:paraId="07354B39">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2.提供安装包、用户手册、接口文档、示例工程和自动化测试用例。</w:t>
            </w:r>
          </w:p>
        </w:tc>
      </w:tr>
      <w:tr w14:paraId="54EEF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83" w:type="pct"/>
            <w:vMerge w:val="restart"/>
            <w:vAlign w:val="center"/>
          </w:tcPr>
          <w:p w14:paraId="1066F80A">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p>
        </w:tc>
        <w:tc>
          <w:tcPr>
            <w:tcW w:w="665" w:type="pct"/>
            <w:vMerge w:val="restart"/>
            <w:vAlign w:val="center"/>
          </w:tcPr>
          <w:p w14:paraId="5946622F">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GaAs/GaN功率晶体管管芯级电热耦合数值仿真模型</w:t>
            </w:r>
          </w:p>
        </w:tc>
        <w:tc>
          <w:tcPr>
            <w:tcW w:w="801" w:type="pct"/>
            <w:vAlign w:val="center"/>
          </w:tcPr>
          <w:p w14:paraId="7C319B02">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功率晶体管管芯级电热耦合数值仿真模型</w:t>
            </w:r>
          </w:p>
        </w:tc>
        <w:tc>
          <w:tcPr>
            <w:tcW w:w="362" w:type="pct"/>
            <w:vAlign w:val="center"/>
          </w:tcPr>
          <w:p w14:paraId="1614982F">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款</w:t>
            </w:r>
          </w:p>
        </w:tc>
        <w:tc>
          <w:tcPr>
            <w:tcW w:w="337" w:type="pct"/>
            <w:vAlign w:val="center"/>
          </w:tcPr>
          <w:p w14:paraId="2F1F11AD">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p>
        </w:tc>
        <w:tc>
          <w:tcPr>
            <w:tcW w:w="2549" w:type="pct"/>
            <w:vAlign w:val="center"/>
          </w:tcPr>
          <w:p w14:paraId="55F5E214">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对GaN、GaAs功率晶体管电热耦合数值仿真模型2款。</w:t>
            </w:r>
          </w:p>
        </w:tc>
      </w:tr>
      <w:tr w14:paraId="685EC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83" w:type="pct"/>
            <w:vMerge w:val="continue"/>
            <w:vAlign w:val="center"/>
          </w:tcPr>
          <w:p w14:paraId="6E869DC1">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665" w:type="pct"/>
            <w:vMerge w:val="continue"/>
            <w:vAlign w:val="center"/>
          </w:tcPr>
          <w:p w14:paraId="3D5EDE63">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801" w:type="pct"/>
            <w:vAlign w:val="center"/>
          </w:tcPr>
          <w:p w14:paraId="7B865DBE">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器件结构与物理机制</w:t>
            </w:r>
          </w:p>
        </w:tc>
        <w:tc>
          <w:tcPr>
            <w:tcW w:w="362" w:type="pct"/>
            <w:vAlign w:val="center"/>
          </w:tcPr>
          <w:p w14:paraId="6CC743CC">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款</w:t>
            </w:r>
          </w:p>
        </w:tc>
        <w:tc>
          <w:tcPr>
            <w:tcW w:w="337" w:type="pct"/>
            <w:vAlign w:val="center"/>
          </w:tcPr>
          <w:p w14:paraId="3380DA07">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p>
        </w:tc>
        <w:tc>
          <w:tcPr>
            <w:tcW w:w="2549" w:type="pct"/>
          </w:tcPr>
          <w:p w14:paraId="71390E30">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1.支持典型GaAs/GaN管芯结构及栅、源、漏、缓冲层、衬底参数化。</w:t>
            </w:r>
          </w:p>
          <w:p w14:paraId="34E24ADD">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2.可配置迁移率、速度饱和、自热、陷阱/表面态、接触电阻及温度相关材料参数。</w:t>
            </w:r>
          </w:p>
        </w:tc>
      </w:tr>
      <w:tr w14:paraId="7A2AE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83" w:type="pct"/>
            <w:vMerge w:val="continue"/>
            <w:vAlign w:val="center"/>
          </w:tcPr>
          <w:p w14:paraId="179869AF">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665" w:type="pct"/>
            <w:vMerge w:val="continue"/>
            <w:vAlign w:val="center"/>
          </w:tcPr>
          <w:p w14:paraId="4D1B0E4E">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801" w:type="pct"/>
            <w:vAlign w:val="center"/>
          </w:tcPr>
          <w:p w14:paraId="220094DD">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电学与电热输出能力</w:t>
            </w:r>
          </w:p>
        </w:tc>
        <w:tc>
          <w:tcPr>
            <w:tcW w:w="362" w:type="pct"/>
            <w:vAlign w:val="center"/>
          </w:tcPr>
          <w:p w14:paraId="0B5BA38D">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款</w:t>
            </w:r>
          </w:p>
        </w:tc>
        <w:tc>
          <w:tcPr>
            <w:tcW w:w="337" w:type="pct"/>
            <w:vAlign w:val="center"/>
          </w:tcPr>
          <w:p w14:paraId="559E13B7">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p>
        </w:tc>
        <w:tc>
          <w:tcPr>
            <w:tcW w:w="2549" w:type="pct"/>
          </w:tcPr>
          <w:p w14:paraId="2C6735DD">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1.输出转移特性Id-Vg和输出特性Id-Vd曲线，支持直流与温度扫描。</w:t>
            </w:r>
          </w:p>
          <w:p w14:paraId="0E8A25B9">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2.支持结温、阈值电压Vth、峰值跨导gm、截止频率fT、导通电阻Ron等指标提取。</w:t>
            </w:r>
          </w:p>
          <w:p w14:paraId="64D5D3CA">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3.结温、Vth、gm、fT、Ron及特性曲线关键采样点的典型相对误差≤10%。</w:t>
            </w:r>
          </w:p>
        </w:tc>
      </w:tr>
      <w:tr w14:paraId="46F35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83" w:type="pct"/>
            <w:vMerge w:val="continue"/>
            <w:vAlign w:val="center"/>
          </w:tcPr>
          <w:p w14:paraId="5AAC34B5">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665" w:type="pct"/>
            <w:vMerge w:val="continue"/>
            <w:vAlign w:val="center"/>
          </w:tcPr>
          <w:p w14:paraId="1B6EED55">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801" w:type="pct"/>
            <w:vAlign w:val="center"/>
          </w:tcPr>
          <w:p w14:paraId="099386BC">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参数扫描与计算能力</w:t>
            </w:r>
          </w:p>
        </w:tc>
        <w:tc>
          <w:tcPr>
            <w:tcW w:w="362" w:type="pct"/>
            <w:vAlign w:val="center"/>
          </w:tcPr>
          <w:p w14:paraId="7BA49E41">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款</w:t>
            </w:r>
          </w:p>
        </w:tc>
        <w:tc>
          <w:tcPr>
            <w:tcW w:w="337" w:type="pct"/>
            <w:vAlign w:val="center"/>
          </w:tcPr>
          <w:p w14:paraId="75581A26">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p>
        </w:tc>
        <w:tc>
          <w:tcPr>
            <w:tcW w:w="2549" w:type="pct"/>
          </w:tcPr>
          <w:p w14:paraId="4FF00B6E">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支持栅长、栅宽、沟道/势垒层厚度、源漏间距、衬底厚度和边界温度等参数扫描。</w:t>
            </w:r>
          </w:p>
        </w:tc>
      </w:tr>
      <w:tr w14:paraId="5A5F8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83" w:type="pct"/>
            <w:vMerge w:val="restart"/>
            <w:vAlign w:val="center"/>
          </w:tcPr>
          <w:p w14:paraId="013F802E">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p>
        </w:tc>
        <w:tc>
          <w:tcPr>
            <w:tcW w:w="665" w:type="pct"/>
            <w:vMerge w:val="restart"/>
            <w:vAlign w:val="center"/>
          </w:tcPr>
          <w:p w14:paraId="7C252705">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电路级多芯粒集成电-热-力耦合仿真模型</w:t>
            </w:r>
          </w:p>
          <w:p w14:paraId="3856E181">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801" w:type="pct"/>
            <w:vAlign w:val="center"/>
          </w:tcPr>
          <w:p w14:paraId="7815EC73">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跨层级电热耦合模型</w:t>
            </w:r>
          </w:p>
        </w:tc>
        <w:tc>
          <w:tcPr>
            <w:tcW w:w="362" w:type="pct"/>
            <w:vAlign w:val="center"/>
          </w:tcPr>
          <w:p w14:paraId="7C1CE8C4">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款</w:t>
            </w:r>
          </w:p>
        </w:tc>
        <w:tc>
          <w:tcPr>
            <w:tcW w:w="337" w:type="pct"/>
            <w:vAlign w:val="center"/>
          </w:tcPr>
          <w:p w14:paraId="7C1AA41B">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p>
        </w:tc>
        <w:tc>
          <w:tcPr>
            <w:tcW w:w="2549" w:type="pct"/>
            <w:vAlign w:val="center"/>
          </w:tcPr>
          <w:p w14:paraId="25169838">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1.支持器件紧凑模型/损耗模型、电路网络与三维封装热模型联合仿真。</w:t>
            </w:r>
          </w:p>
          <w:p w14:paraId="6EDA7249">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2.覆盖不少于2颗有源芯粒、基板/中介层、TIM、散热器等主要结构。</w:t>
            </w:r>
          </w:p>
          <w:p w14:paraId="4D5F4178">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3.支持稳态及瞬态热分析。</w:t>
            </w:r>
          </w:p>
        </w:tc>
      </w:tr>
      <w:tr w14:paraId="5E707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83" w:type="pct"/>
            <w:vMerge w:val="continue"/>
            <w:vAlign w:val="center"/>
          </w:tcPr>
          <w:p w14:paraId="1E08B7B8">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665" w:type="pct"/>
            <w:vMerge w:val="continue"/>
            <w:vAlign w:val="center"/>
          </w:tcPr>
          <w:p w14:paraId="4F7CC8A9">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801" w:type="pct"/>
            <w:vAlign w:val="center"/>
          </w:tcPr>
          <w:p w14:paraId="012AEBCB">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热分布等效与快速仿真</w:t>
            </w:r>
          </w:p>
        </w:tc>
        <w:tc>
          <w:tcPr>
            <w:tcW w:w="362" w:type="pct"/>
            <w:vAlign w:val="center"/>
          </w:tcPr>
          <w:p w14:paraId="66A4698A">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款</w:t>
            </w:r>
          </w:p>
        </w:tc>
        <w:tc>
          <w:tcPr>
            <w:tcW w:w="337" w:type="pct"/>
            <w:vAlign w:val="center"/>
          </w:tcPr>
          <w:p w14:paraId="4C71C613">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p>
        </w:tc>
        <w:tc>
          <w:tcPr>
            <w:tcW w:w="2549" w:type="pct"/>
            <w:vAlign w:val="center"/>
          </w:tcPr>
          <w:p w14:paraId="43C89E45">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1.构建降阶模型或代理模型，实现结温与热耦合快速求解。</w:t>
            </w:r>
          </w:p>
          <w:p w14:paraId="026C8EF8">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2.相对三维高保真基准模型，典型工况求解加速比≥10倍。</w:t>
            </w:r>
          </w:p>
          <w:p w14:paraId="19B561AA">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3.关键结温及热点温度误差≤10%，热阻/热时间常数误差≤10%。</w:t>
            </w:r>
          </w:p>
        </w:tc>
      </w:tr>
      <w:tr w14:paraId="2C4EC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83" w:type="pct"/>
            <w:vMerge w:val="continue"/>
            <w:vAlign w:val="center"/>
          </w:tcPr>
          <w:p w14:paraId="1BD04FA5">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665" w:type="pct"/>
            <w:vMerge w:val="continue"/>
            <w:vAlign w:val="center"/>
          </w:tcPr>
          <w:p w14:paraId="218C254A">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801" w:type="pct"/>
            <w:vAlign w:val="center"/>
          </w:tcPr>
          <w:p w14:paraId="187F5224">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热力场重构与可靠性指标</w:t>
            </w:r>
          </w:p>
        </w:tc>
        <w:tc>
          <w:tcPr>
            <w:tcW w:w="362" w:type="pct"/>
            <w:vAlign w:val="center"/>
          </w:tcPr>
          <w:p w14:paraId="677EE2C7">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款</w:t>
            </w:r>
          </w:p>
        </w:tc>
        <w:tc>
          <w:tcPr>
            <w:tcW w:w="337" w:type="pct"/>
            <w:vAlign w:val="center"/>
          </w:tcPr>
          <w:p w14:paraId="09CED2E0">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p>
        </w:tc>
        <w:tc>
          <w:tcPr>
            <w:tcW w:w="2549" w:type="pct"/>
            <w:vAlign w:val="center"/>
          </w:tcPr>
          <w:p w14:paraId="5E7C8209">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1.支持由稀疏温度/功耗数据快速重构三维温度、位移、等效应力/应变场。</w:t>
            </w:r>
          </w:p>
          <w:p w14:paraId="699588FB">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2.单工况三维场重构时间≤60s（约定硬件及模型规模条件下）。</w:t>
            </w:r>
          </w:p>
          <w:p w14:paraId="3FEAC32F">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3.温度、电势、位移/应力等典型指标误差≤10%。</w:t>
            </w:r>
          </w:p>
        </w:tc>
      </w:tr>
      <w:tr w14:paraId="58CB0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83" w:type="pct"/>
            <w:vMerge w:val="restart"/>
            <w:vAlign w:val="center"/>
          </w:tcPr>
          <w:p w14:paraId="65719BD2">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w:t>
            </w:r>
          </w:p>
        </w:tc>
        <w:tc>
          <w:tcPr>
            <w:tcW w:w="665" w:type="pct"/>
            <w:vMerge w:val="restart"/>
            <w:vAlign w:val="center"/>
          </w:tcPr>
          <w:p w14:paraId="5273C11F">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芯粒层级耦合仿真模型1：电磁-热耦合互连模型</w:t>
            </w:r>
          </w:p>
        </w:tc>
        <w:tc>
          <w:tcPr>
            <w:tcW w:w="801" w:type="pct"/>
            <w:vAlign w:val="center"/>
          </w:tcPr>
          <w:p w14:paraId="3DC4A970">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模型范围与参数化</w:t>
            </w:r>
          </w:p>
        </w:tc>
        <w:tc>
          <w:tcPr>
            <w:tcW w:w="362" w:type="pct"/>
            <w:vAlign w:val="center"/>
          </w:tcPr>
          <w:p w14:paraId="3CA50C19">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款</w:t>
            </w:r>
          </w:p>
        </w:tc>
        <w:tc>
          <w:tcPr>
            <w:tcW w:w="337" w:type="pct"/>
            <w:vAlign w:val="center"/>
          </w:tcPr>
          <w:p w14:paraId="22CDEFD4">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p>
        </w:tc>
        <w:tc>
          <w:tcPr>
            <w:tcW w:w="2549" w:type="pct"/>
            <w:vAlign w:val="center"/>
          </w:tcPr>
          <w:p w14:paraId="51765C33">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1.覆盖芯粒I/O、微凸点/TSV、RDL、硅桥/中介层及局部封装结构。</w:t>
            </w:r>
          </w:p>
          <w:p w14:paraId="44BBF59B">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2.支持互连尺寸、材料、电导率/介电参数、端口和热边界参数化，参数数量≥10项。</w:t>
            </w:r>
          </w:p>
          <w:p w14:paraId="79CA166B">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3.支持频域电磁损耗向稳态/瞬态热场映射。</w:t>
            </w:r>
          </w:p>
        </w:tc>
      </w:tr>
      <w:tr w14:paraId="350D2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83" w:type="pct"/>
            <w:vMerge w:val="continue"/>
            <w:vAlign w:val="center"/>
          </w:tcPr>
          <w:p w14:paraId="7F233DEC">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665" w:type="pct"/>
            <w:vMerge w:val="continue"/>
            <w:vAlign w:val="center"/>
          </w:tcPr>
          <w:p w14:paraId="060B88AA">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801" w:type="pct"/>
            <w:vAlign w:val="center"/>
          </w:tcPr>
          <w:p w14:paraId="0386940A">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模型功能与技术指标</w:t>
            </w:r>
          </w:p>
        </w:tc>
        <w:tc>
          <w:tcPr>
            <w:tcW w:w="362" w:type="pct"/>
            <w:vAlign w:val="center"/>
          </w:tcPr>
          <w:p w14:paraId="5CE9F289">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款</w:t>
            </w:r>
          </w:p>
        </w:tc>
        <w:tc>
          <w:tcPr>
            <w:tcW w:w="337" w:type="pct"/>
            <w:vAlign w:val="center"/>
          </w:tcPr>
          <w:p w14:paraId="160A66BC">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p>
        </w:tc>
        <w:tc>
          <w:tcPr>
            <w:tcW w:w="2549" w:type="pct"/>
            <w:vAlign w:val="center"/>
          </w:tcPr>
          <w:p w14:paraId="28140288">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1.输出S参数、插入损耗、回波损耗、串扰、阻抗、电流密度、损耗密度及温度场。</w:t>
            </w:r>
          </w:p>
          <w:p w14:paraId="22B1D2C8">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2.支持热点温度、温升、热阻、互连电阻及关键频点指标自动提取。</w:t>
            </w:r>
          </w:p>
          <w:p w14:paraId="1AEFFF0D">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3.支持Touchstone、CSV及三维场数据导出。</w:t>
            </w:r>
          </w:p>
          <w:p w14:paraId="041858A3">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4.与高保真模型或测试数据对比，S参数幅度、互连电阻、热点温度等典型指标误差≤10%。</w:t>
            </w:r>
          </w:p>
        </w:tc>
      </w:tr>
      <w:tr w14:paraId="583AC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83" w:type="pct"/>
            <w:vMerge w:val="restart"/>
            <w:vAlign w:val="center"/>
          </w:tcPr>
          <w:p w14:paraId="53A6E264">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w:t>
            </w:r>
          </w:p>
        </w:tc>
        <w:tc>
          <w:tcPr>
            <w:tcW w:w="665" w:type="pct"/>
            <w:vMerge w:val="restart"/>
            <w:vAlign w:val="center"/>
          </w:tcPr>
          <w:p w14:paraId="1AE8E45A">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芯粒层级耦合仿真模型2：电-热-力耦合封装模型</w:t>
            </w:r>
          </w:p>
        </w:tc>
        <w:tc>
          <w:tcPr>
            <w:tcW w:w="801" w:type="pct"/>
            <w:vAlign w:val="center"/>
          </w:tcPr>
          <w:p w14:paraId="738D03F2">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模型范围与参数化</w:t>
            </w:r>
          </w:p>
        </w:tc>
        <w:tc>
          <w:tcPr>
            <w:tcW w:w="362" w:type="pct"/>
            <w:vAlign w:val="center"/>
          </w:tcPr>
          <w:p w14:paraId="03DD3E0C">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款</w:t>
            </w:r>
          </w:p>
        </w:tc>
        <w:tc>
          <w:tcPr>
            <w:tcW w:w="337" w:type="pct"/>
            <w:vAlign w:val="center"/>
          </w:tcPr>
          <w:p w14:paraId="59A211D3">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p>
        </w:tc>
        <w:tc>
          <w:tcPr>
            <w:tcW w:w="2549" w:type="pct"/>
            <w:vAlign w:val="center"/>
          </w:tcPr>
          <w:p w14:paraId="39929FB9">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1.覆盖芯粒、微凸点/焊点、RDL、中介层/基板、TIM及局部散热结构。</w:t>
            </w:r>
          </w:p>
          <w:p w14:paraId="49064E67">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2.支持几何、材料、功耗、热边界、预紧/约束和参考温度参数化，参数数量≥10项。</w:t>
            </w:r>
          </w:p>
          <w:p w14:paraId="11FAA93A">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3.支持焦耳热/功耗-温度-热应力顺序或迭代耦合。</w:t>
            </w:r>
          </w:p>
        </w:tc>
      </w:tr>
      <w:tr w14:paraId="4F921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83" w:type="pct"/>
            <w:vMerge w:val="continue"/>
            <w:vAlign w:val="center"/>
          </w:tcPr>
          <w:p w14:paraId="62025527">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665" w:type="pct"/>
            <w:vMerge w:val="continue"/>
            <w:vAlign w:val="center"/>
          </w:tcPr>
          <w:p w14:paraId="0E8992DC">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801" w:type="pct"/>
            <w:vAlign w:val="center"/>
          </w:tcPr>
          <w:p w14:paraId="4ED3C5A8">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模型功能与技术指标</w:t>
            </w:r>
          </w:p>
        </w:tc>
        <w:tc>
          <w:tcPr>
            <w:tcW w:w="362" w:type="pct"/>
            <w:vAlign w:val="center"/>
          </w:tcPr>
          <w:p w14:paraId="2D529FAA">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款</w:t>
            </w:r>
          </w:p>
        </w:tc>
        <w:tc>
          <w:tcPr>
            <w:tcW w:w="337" w:type="pct"/>
            <w:vAlign w:val="center"/>
          </w:tcPr>
          <w:p w14:paraId="55C40A3C">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p>
        </w:tc>
        <w:tc>
          <w:tcPr>
            <w:tcW w:w="2549" w:type="pct"/>
            <w:vAlign w:val="center"/>
          </w:tcPr>
          <w:p w14:paraId="5CC97297">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1.输出电势、电流密度、温度、热流、位移、翘曲、等效应力和等效应变场。</w:t>
            </w:r>
          </w:p>
          <w:p w14:paraId="373E000B">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2.支持最大结温、最大温差、最大翘曲及界面/焊点峰值应力自动提取。</w:t>
            </w:r>
          </w:p>
          <w:p w14:paraId="60948321">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3.支持稳态工况及至少1类功率循环/热循环瞬态工况。</w:t>
            </w:r>
          </w:p>
          <w:p w14:paraId="3C7780B9">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4.与高保真模型或测试数据对比，温度、电势、位移/翘曲、应力等典型指标误差≤10%。</w:t>
            </w:r>
          </w:p>
        </w:tc>
      </w:tr>
      <w:tr w14:paraId="55F2B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83" w:type="pct"/>
            <w:vAlign w:val="center"/>
          </w:tcPr>
          <w:p w14:paraId="3372B3B4">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w:t>
            </w:r>
          </w:p>
        </w:tc>
        <w:tc>
          <w:tcPr>
            <w:tcW w:w="665" w:type="pct"/>
            <w:vAlign w:val="center"/>
          </w:tcPr>
          <w:p w14:paraId="5264CAA5">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模型验证、数据集与技术支持</w:t>
            </w:r>
          </w:p>
        </w:tc>
        <w:tc>
          <w:tcPr>
            <w:tcW w:w="801" w:type="pct"/>
            <w:vAlign w:val="center"/>
          </w:tcPr>
          <w:p w14:paraId="7FBEF600">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基准数据集与验收用例</w:t>
            </w:r>
          </w:p>
        </w:tc>
        <w:tc>
          <w:tcPr>
            <w:tcW w:w="362" w:type="pct"/>
            <w:vAlign w:val="center"/>
          </w:tcPr>
          <w:p w14:paraId="5BF06AF0">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套</w:t>
            </w:r>
          </w:p>
        </w:tc>
        <w:tc>
          <w:tcPr>
            <w:tcW w:w="337" w:type="pct"/>
            <w:vAlign w:val="center"/>
          </w:tcPr>
          <w:p w14:paraId="31436CA7">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p>
        </w:tc>
        <w:tc>
          <w:tcPr>
            <w:tcW w:w="2549" w:type="pct"/>
            <w:vAlign w:val="center"/>
          </w:tcPr>
          <w:p w14:paraId="02AC18FD">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1.为2款管芯级、2款电路级和2款芯粒级模型分别提供基准数据及验收用例。</w:t>
            </w:r>
          </w:p>
          <w:p w14:paraId="1F475EFB">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2.每款模型验证工况不少于4组。</w:t>
            </w:r>
          </w:p>
          <w:p w14:paraId="10137817">
            <w:pPr>
              <w:keepNext w:val="0"/>
              <w:keepLines w:val="0"/>
              <w:widowControl w:val="0"/>
              <w:numPr>
                <w:ilvl w:val="0"/>
                <w:numId w:val="0"/>
              </w:numPr>
              <w:suppressLineNumbers w:val="0"/>
              <w:spacing w:before="0" w:beforeAutospacing="0" w:after="0" w:afterAutospacing="0"/>
              <w:ind w:left="0" w:leftChars="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3.提供输入、基准结果、误差计算脚本、误差统计表及复现实验说明。</w:t>
            </w:r>
          </w:p>
        </w:tc>
      </w:tr>
    </w:tbl>
    <w:p w14:paraId="3B376BCD">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第三章 供应商须知</w:t>
      </w:r>
    </w:p>
    <w:p w14:paraId="49EFE05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前附表</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179"/>
        <w:gridCol w:w="1774"/>
        <w:gridCol w:w="6943"/>
      </w:tblGrid>
      <w:tr w14:paraId="5157090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E33D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条款号</w:t>
            </w:r>
          </w:p>
        </w:tc>
        <w:tc>
          <w:tcPr>
            <w:tcW w:w="16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9794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内容</w:t>
            </w:r>
          </w:p>
        </w:tc>
        <w:tc>
          <w:tcPr>
            <w:tcW w:w="660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AE29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说明与要求</w:t>
            </w:r>
          </w:p>
        </w:tc>
      </w:tr>
      <w:tr w14:paraId="58E290C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AC77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A7CB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EC5C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竞争性磋商</w:t>
            </w:r>
            <w:r>
              <w:rPr>
                <w:rFonts w:hint="eastAsia" w:ascii="宋体" w:hAnsi="宋体" w:eastAsia="宋体" w:cs="宋体"/>
                <w:color w:val="auto"/>
                <w:spacing w:val="0"/>
                <w:kern w:val="0"/>
                <w:sz w:val="21"/>
                <w:szCs w:val="21"/>
                <w:highlight w:val="none"/>
                <w:lang w:val="en-US" w:eastAsia="zh-CN" w:bidi="ar"/>
              </w:rPr>
              <w:t>，</w:t>
            </w:r>
            <w:r>
              <w:rPr>
                <w:rFonts w:hint="eastAsia" w:ascii="宋体" w:hAnsi="宋体" w:eastAsia="宋体" w:cs="宋体"/>
                <w:i w:val="0"/>
                <w:iCs w:val="0"/>
                <w:color w:val="auto"/>
                <w:spacing w:val="0"/>
                <w:kern w:val="0"/>
                <w:sz w:val="21"/>
                <w:szCs w:val="21"/>
                <w:highlight w:val="none"/>
                <w:lang w:val="en-US" w:eastAsia="zh-CN" w:bidi="ar"/>
              </w:rPr>
              <w:t>磋商文件</w:t>
            </w:r>
            <w:r>
              <w:rPr>
                <w:rFonts w:hint="eastAsia" w:ascii="宋体" w:hAnsi="宋体" w:eastAsia="宋体" w:cs="宋体"/>
                <w:color w:val="auto"/>
                <w:spacing w:val="0"/>
                <w:kern w:val="0"/>
                <w:sz w:val="21"/>
                <w:szCs w:val="21"/>
                <w:highlight w:val="none"/>
                <w:lang w:val="en-US" w:eastAsia="zh-CN" w:bidi="ar"/>
              </w:rPr>
              <w:t>即采购文件</w:t>
            </w:r>
          </w:p>
        </w:tc>
      </w:tr>
      <w:tr w14:paraId="55A2F99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3F16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0FAA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响应保证金</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5455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无</w:t>
            </w:r>
          </w:p>
        </w:tc>
      </w:tr>
      <w:tr w14:paraId="37AD7B9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6C01F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（三）</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BE42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A124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1.成交供应商在成交通知书发出之日起七个工作日内，向采购代理机构交纳代理服务费；</w:t>
            </w:r>
          </w:p>
          <w:p w14:paraId="68F0AC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成交供应商逾期支付代理服务费，须承担代理服务费每日百分之三的违约金，逾期十日未支付的，采购代理机构有权向杭州仲裁委员会对成交供应商提起仲裁，仲裁费用（包括仲裁受理费、仲裁处理费、律师费、保全保险费、差旅费、文印费等费用）均由成交供应商承担。</w:t>
            </w:r>
          </w:p>
          <w:p w14:paraId="7FB5F0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3.代理服务费收费标准（差额累进）：参照发改价格[2011]534号文件规定代理服务收费标准的【</w:t>
            </w:r>
            <w:r>
              <w:rPr>
                <w:rFonts w:hint="eastAsia" w:ascii="宋体" w:hAnsi="宋体" w:cs="宋体"/>
                <w:color w:val="auto"/>
                <w:spacing w:val="0"/>
                <w:kern w:val="0"/>
                <w:sz w:val="21"/>
                <w:szCs w:val="21"/>
                <w:highlight w:val="none"/>
                <w:lang w:val="en-US" w:eastAsia="zh-CN" w:bidi="ar"/>
              </w:rPr>
              <w:t>70</w:t>
            </w:r>
            <w:r>
              <w:rPr>
                <w:rFonts w:hint="eastAsia" w:ascii="宋体" w:hAnsi="宋体" w:eastAsia="宋体" w:cs="宋体"/>
                <w:color w:val="auto"/>
                <w:spacing w:val="0"/>
                <w:kern w:val="0"/>
                <w:sz w:val="21"/>
                <w:szCs w:val="21"/>
                <w:highlight w:val="none"/>
                <w:lang w:val="en-US" w:eastAsia="zh-CN" w:bidi="ar"/>
              </w:rPr>
              <w:t>%】计取（不足3000元的按3000元计）。</w:t>
            </w:r>
          </w:p>
        </w:tc>
      </w:tr>
      <w:tr w14:paraId="12AA3C0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5F32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（四）</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4ADF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响应委托</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096D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▲1.供应商代表是法定代表人（单位负责人、自然人本人）的，须提供本人身份证明。</w:t>
            </w:r>
          </w:p>
          <w:p w14:paraId="6902EA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▲2.供应商代表不是法定代表人（单位负责人、自然人本人）的，须提供授权委托书和授权代表社保缴纳证明（响应截止时间前【6】个月内任意一月）；</w:t>
            </w:r>
          </w:p>
          <w:p w14:paraId="14E1FF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▲3.供应商委派不在本单位缴纳社保的人员作为授权代表的，应当在响应文件中，说明具体原因、授权代表缴纳社保的单位，并附列该授权代表缴纳社保清单。</w:t>
            </w:r>
          </w:p>
        </w:tc>
      </w:tr>
      <w:tr w14:paraId="7DF2F98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585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（五）</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1B274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联合体响应</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CA42F6">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1.本项目是否接受联合体响应：是</w:t>
            </w:r>
          </w:p>
          <w:p w14:paraId="4AA8CD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auto"/>
                <w:spacing w:val="0"/>
                <w:kern w:val="0"/>
                <w:sz w:val="21"/>
                <w:szCs w:val="21"/>
                <w:highlight w:val="none"/>
                <w:lang w:val="en-US" w:eastAsia="zh-CN" w:bidi="ar"/>
              </w:rPr>
            </w:pPr>
            <w:r>
              <w:rPr>
                <w:rFonts w:hint="eastAsia" w:ascii="宋体" w:hAnsi="宋体" w:eastAsia="宋体" w:cs="宋体"/>
                <w:i w:val="0"/>
                <w:iCs w:val="0"/>
                <w:caps w:val="0"/>
                <w:color w:val="auto"/>
                <w:spacing w:val="0"/>
                <w:kern w:val="0"/>
                <w:sz w:val="21"/>
                <w:szCs w:val="21"/>
                <w:highlight w:val="none"/>
                <w:lang w:val="en-US" w:eastAsia="zh-CN" w:bidi="ar"/>
              </w:rPr>
              <w:t>2.两个以上的自然人、法人或者其他组织可以组成一个联合体，以一个供应商的身份共同参加采购；</w:t>
            </w:r>
          </w:p>
          <w:p w14:paraId="30C5D6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auto"/>
                <w:spacing w:val="0"/>
                <w:kern w:val="0"/>
                <w:sz w:val="21"/>
                <w:szCs w:val="21"/>
                <w:highlight w:val="none"/>
                <w:lang w:val="en-US" w:eastAsia="zh-CN" w:bidi="ar"/>
              </w:rPr>
            </w:pPr>
            <w:r>
              <w:rPr>
                <w:rFonts w:hint="eastAsia" w:ascii="宋体" w:hAnsi="宋体" w:eastAsia="宋体" w:cs="宋体"/>
                <w:i w:val="0"/>
                <w:iCs w:val="0"/>
                <w:caps w:val="0"/>
                <w:color w:val="auto"/>
                <w:spacing w:val="0"/>
                <w:kern w:val="0"/>
                <w:sz w:val="21"/>
                <w:szCs w:val="21"/>
                <w:highlight w:val="none"/>
                <w:lang w:val="en-US" w:eastAsia="zh-CN" w:bidi="ar"/>
              </w:rPr>
              <w:t>3.以联合体形式进行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5C7BB6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auto"/>
                <w:spacing w:val="0"/>
                <w:kern w:val="0"/>
                <w:sz w:val="21"/>
                <w:szCs w:val="21"/>
                <w:highlight w:val="none"/>
                <w:lang w:val="en-US" w:eastAsia="zh-CN" w:bidi="ar"/>
              </w:rPr>
            </w:pPr>
            <w:r>
              <w:rPr>
                <w:rFonts w:hint="eastAsia" w:ascii="宋体" w:hAnsi="宋体" w:eastAsia="宋体" w:cs="宋体"/>
                <w:i w:val="0"/>
                <w:iCs w:val="0"/>
                <w:caps w:val="0"/>
                <w:color w:val="auto"/>
                <w:spacing w:val="0"/>
                <w:kern w:val="0"/>
                <w:sz w:val="21"/>
                <w:szCs w:val="21"/>
                <w:highlight w:val="none"/>
                <w:lang w:val="en-US" w:eastAsia="zh-CN" w:bidi="ar"/>
              </w:rPr>
              <w:t>4.联合体中有同类资质的供应商按照联合体分工承担相同工作的，应当按照资质等级较低的供应商确定资质等级；</w:t>
            </w:r>
          </w:p>
          <w:p w14:paraId="7D6813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cs="宋体"/>
                <w:i w:val="0"/>
                <w:iCs w:val="0"/>
                <w:caps w:val="0"/>
                <w:color w:val="auto"/>
                <w:spacing w:val="0"/>
                <w:kern w:val="0"/>
                <w:sz w:val="21"/>
                <w:szCs w:val="21"/>
                <w:highlight w:val="none"/>
                <w:lang w:val="en-US" w:eastAsia="zh-CN" w:bidi="ar"/>
              </w:rPr>
            </w:pPr>
            <w:r>
              <w:rPr>
                <w:rFonts w:hint="eastAsia" w:ascii="宋体" w:hAnsi="宋体" w:eastAsia="宋体" w:cs="宋体"/>
                <w:i w:val="0"/>
                <w:iCs w:val="0"/>
                <w:caps w:val="0"/>
                <w:color w:val="auto"/>
                <w:spacing w:val="0"/>
                <w:kern w:val="0"/>
                <w:sz w:val="21"/>
                <w:szCs w:val="21"/>
                <w:highlight w:val="none"/>
                <w:lang w:val="en-US" w:eastAsia="zh-CN" w:bidi="ar"/>
              </w:rPr>
              <w:t>5.以联合体形式参加采购活动的，联合体各方不得再单独参加或者与其他供应商另外组成联合体参加同一合同项下的采购活动</w:t>
            </w:r>
            <w:r>
              <w:rPr>
                <w:rFonts w:hint="eastAsia" w:ascii="宋体" w:hAnsi="宋体" w:cs="宋体"/>
                <w:i w:val="0"/>
                <w:iCs w:val="0"/>
                <w:caps w:val="0"/>
                <w:color w:val="auto"/>
                <w:spacing w:val="0"/>
                <w:kern w:val="0"/>
                <w:sz w:val="21"/>
                <w:szCs w:val="21"/>
                <w:highlight w:val="none"/>
                <w:lang w:val="en-US" w:eastAsia="zh-CN" w:bidi="ar"/>
              </w:rPr>
              <w:t>；</w:t>
            </w:r>
          </w:p>
          <w:p w14:paraId="5C9574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cs="宋体"/>
                <w:i w:val="0"/>
                <w:iCs w:val="0"/>
                <w:caps w:val="0"/>
                <w:color w:val="auto"/>
                <w:spacing w:val="0"/>
                <w:kern w:val="0"/>
                <w:sz w:val="21"/>
                <w:szCs w:val="21"/>
                <w:highlight w:val="none"/>
                <w:lang w:val="en-US" w:eastAsia="zh-CN" w:bidi="ar"/>
              </w:rPr>
            </w:pPr>
            <w:r>
              <w:rPr>
                <w:rFonts w:hint="eastAsia" w:ascii="宋体" w:hAnsi="宋体" w:cs="宋体"/>
                <w:i w:val="0"/>
                <w:iCs w:val="0"/>
                <w:caps w:val="0"/>
                <w:color w:val="auto"/>
                <w:spacing w:val="0"/>
                <w:kern w:val="0"/>
                <w:sz w:val="21"/>
                <w:szCs w:val="21"/>
                <w:highlight w:val="none"/>
                <w:lang w:val="en-US" w:eastAsia="zh-CN" w:bidi="ar"/>
              </w:rPr>
              <w:t>6.联合体其他有关说明：</w:t>
            </w:r>
          </w:p>
          <w:p w14:paraId="287CDE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cs="宋体"/>
                <w:i w:val="0"/>
                <w:iCs w:val="0"/>
                <w:caps w:val="0"/>
                <w:color w:val="auto"/>
                <w:spacing w:val="0"/>
                <w:kern w:val="0"/>
                <w:sz w:val="21"/>
                <w:szCs w:val="21"/>
                <w:highlight w:val="none"/>
                <w:lang w:val="en-US" w:eastAsia="zh-CN" w:bidi="ar"/>
              </w:rPr>
            </w:pPr>
            <w:r>
              <w:rPr>
                <w:rFonts w:hint="eastAsia" w:ascii="宋体" w:hAnsi="宋体" w:cs="宋体"/>
                <w:i w:val="0"/>
                <w:iCs w:val="0"/>
                <w:caps w:val="0"/>
                <w:color w:val="auto"/>
                <w:spacing w:val="0"/>
                <w:kern w:val="0"/>
                <w:sz w:val="21"/>
                <w:szCs w:val="21"/>
                <w:highlight w:val="none"/>
                <w:lang w:val="en-US" w:eastAsia="zh-CN" w:bidi="ar"/>
              </w:rPr>
              <w:t>（1）联合体的特定资格要求：联合体成员中有一方具备即为符合要求；</w:t>
            </w:r>
          </w:p>
          <w:p w14:paraId="41B741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auto"/>
                <w:spacing w:val="0"/>
                <w:sz w:val="21"/>
                <w:szCs w:val="21"/>
                <w:highlight w:val="none"/>
              </w:rPr>
            </w:pPr>
            <w:r>
              <w:rPr>
                <w:rFonts w:hint="eastAsia" w:ascii="宋体" w:hAnsi="宋体" w:cs="宋体"/>
                <w:i w:val="0"/>
                <w:iCs w:val="0"/>
                <w:caps w:val="0"/>
                <w:color w:val="auto"/>
                <w:spacing w:val="0"/>
                <w:kern w:val="0"/>
                <w:sz w:val="21"/>
                <w:szCs w:val="21"/>
                <w:highlight w:val="none"/>
                <w:lang w:val="en-US" w:eastAsia="zh-CN" w:bidi="ar"/>
              </w:rPr>
              <w:t>（2）联合体的商务技术资料：联合体成员中有一方具备即为符合要求。</w:t>
            </w:r>
          </w:p>
        </w:tc>
      </w:tr>
      <w:tr w14:paraId="44D896E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452B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（六）</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A492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转包与分包</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BEBC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1.本项目不允许转包；</w:t>
            </w:r>
          </w:p>
          <w:p w14:paraId="428E31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eastAsia" w:ascii="宋体" w:hAnsi="宋体" w:eastAsia="宋体" w:cs="宋体"/>
                <w:color w:val="auto"/>
                <w:spacing w:val="0"/>
                <w:kern w:val="0"/>
                <w:sz w:val="21"/>
                <w:szCs w:val="21"/>
                <w:highlight w:val="none"/>
                <w:lang w:val="en-US" w:eastAsia="zh-CN" w:bidi="ar"/>
              </w:rPr>
              <w:t>2.本项目不允许分包，不适宜分包的理由是：</w:t>
            </w:r>
            <w:r>
              <w:rPr>
                <w:rFonts w:hint="eastAsia" w:ascii="宋体" w:hAnsi="宋体" w:cs="宋体"/>
                <w:color w:val="auto"/>
                <w:spacing w:val="0"/>
                <w:kern w:val="0"/>
                <w:sz w:val="21"/>
                <w:szCs w:val="21"/>
                <w:highlight w:val="none"/>
                <w:lang w:val="en-US" w:eastAsia="zh-CN" w:bidi="ar"/>
              </w:rPr>
              <w:t>服务内容整体不可分割。</w:t>
            </w:r>
          </w:p>
        </w:tc>
      </w:tr>
      <w:tr w14:paraId="254DC7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80BA3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（七）</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D56C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文件资料邮寄信息</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039F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电子备份响应文件等资料（如有）邮寄信息：</w:t>
            </w:r>
          </w:p>
          <w:p w14:paraId="75DC74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aps w:val="0"/>
                <w:color w:val="auto"/>
                <w:spacing w:val="0"/>
                <w:kern w:val="0"/>
                <w:sz w:val="21"/>
                <w:szCs w:val="21"/>
                <w:highlight w:val="none"/>
                <w:lang w:val="en-US" w:eastAsia="zh-CN" w:bidi="ar"/>
              </w:rPr>
              <w:t>资料外包装或封签应标明：</w:t>
            </w:r>
            <w:r>
              <w:rPr>
                <w:rFonts w:hint="eastAsia" w:ascii="宋体" w:hAnsi="宋体" w:eastAsia="宋体" w:cs="宋体"/>
                <w:b w:val="0"/>
                <w:bCs w:val="0"/>
                <w:i w:val="0"/>
                <w:iCs w:val="0"/>
                <w:caps w:val="0"/>
                <w:color w:val="auto"/>
                <w:spacing w:val="0"/>
                <w:kern w:val="0"/>
                <w:sz w:val="21"/>
                <w:szCs w:val="21"/>
                <w:highlight w:val="none"/>
                <w:u w:val="single"/>
                <w:lang w:val="en-US" w:eastAsia="zh-CN" w:bidi="ar"/>
              </w:rPr>
              <w:t>资料内容、项目名称、项目编号、标项、供应商名称</w:t>
            </w:r>
            <w:r>
              <w:rPr>
                <w:rFonts w:hint="eastAsia" w:ascii="宋体" w:hAnsi="宋体" w:eastAsia="宋体" w:cs="宋体"/>
                <w:i w:val="0"/>
                <w:iCs w:val="0"/>
                <w:caps w:val="0"/>
                <w:color w:val="auto"/>
                <w:spacing w:val="0"/>
                <w:kern w:val="0"/>
                <w:sz w:val="21"/>
                <w:szCs w:val="21"/>
                <w:highlight w:val="none"/>
                <w:u w:val="single"/>
                <w:lang w:val="en-US" w:eastAsia="zh-CN" w:bidi="ar"/>
              </w:rPr>
              <w:t>并加盖公章。</w:t>
            </w:r>
          </w:p>
          <w:p w14:paraId="54078A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邮寄地址：</w:t>
            </w:r>
            <w:r>
              <w:rPr>
                <w:rFonts w:hint="eastAsia" w:ascii="宋体" w:hAnsi="宋体" w:eastAsia="宋体" w:cs="宋体"/>
                <w:i w:val="0"/>
                <w:iCs w:val="0"/>
                <w:color w:val="auto"/>
                <w:spacing w:val="0"/>
                <w:kern w:val="0"/>
                <w:sz w:val="21"/>
                <w:szCs w:val="21"/>
                <w:highlight w:val="none"/>
                <w:lang w:val="en-US" w:eastAsia="zh-CN" w:bidi="ar"/>
              </w:rPr>
              <w:t>杭州市西湖区玉古路173号中田大厦21楼</w:t>
            </w:r>
            <w:r>
              <w:rPr>
                <w:rFonts w:hint="eastAsia" w:ascii="宋体" w:hAnsi="宋体" w:eastAsia="宋体" w:cs="宋体"/>
                <w:color w:val="auto"/>
                <w:spacing w:val="0"/>
                <w:kern w:val="0"/>
                <w:sz w:val="21"/>
                <w:szCs w:val="21"/>
                <w:highlight w:val="none"/>
                <w:lang w:val="en-US" w:eastAsia="zh-CN" w:bidi="ar"/>
              </w:rPr>
              <w:t>，</w:t>
            </w:r>
            <w:r>
              <w:rPr>
                <w:rFonts w:hint="eastAsia" w:ascii="宋体" w:hAnsi="宋体" w:eastAsia="宋体" w:cs="宋体"/>
                <w:i w:val="0"/>
                <w:iCs w:val="0"/>
                <w:color w:val="auto"/>
                <w:spacing w:val="0"/>
                <w:kern w:val="0"/>
                <w:sz w:val="21"/>
                <w:szCs w:val="21"/>
                <w:highlight w:val="none"/>
                <w:lang w:val="en-US" w:eastAsia="zh-CN" w:bidi="ar"/>
              </w:rPr>
              <w:t>浙江求是招标代理有限公司</w:t>
            </w:r>
            <w:r>
              <w:rPr>
                <w:rFonts w:hint="eastAsia" w:ascii="宋体" w:hAnsi="宋体" w:eastAsia="宋体" w:cs="宋体"/>
                <w:color w:val="auto"/>
                <w:spacing w:val="0"/>
                <w:kern w:val="0"/>
                <w:sz w:val="21"/>
                <w:szCs w:val="21"/>
                <w:highlight w:val="none"/>
                <w:lang w:val="en-US" w:eastAsia="zh-CN" w:bidi="ar"/>
              </w:rPr>
              <w:t>，收件人：</w:t>
            </w:r>
            <w:r>
              <w:rPr>
                <w:rFonts w:hint="eastAsia" w:ascii="宋体" w:hAnsi="宋体" w:eastAsia="宋体" w:cs="宋体"/>
                <w:i w:val="0"/>
                <w:iCs w:val="0"/>
                <w:color w:val="auto"/>
                <w:spacing w:val="0"/>
                <w:kern w:val="0"/>
                <w:sz w:val="21"/>
                <w:szCs w:val="21"/>
                <w:highlight w:val="none"/>
                <w:lang w:val="en-US" w:eastAsia="zh-CN" w:bidi="ar"/>
              </w:rPr>
              <w:t>俞炳</w:t>
            </w:r>
            <w:r>
              <w:rPr>
                <w:rFonts w:hint="eastAsia" w:ascii="宋体" w:hAnsi="宋体" w:eastAsia="宋体" w:cs="宋体"/>
                <w:color w:val="auto"/>
                <w:spacing w:val="0"/>
                <w:kern w:val="0"/>
                <w:sz w:val="21"/>
                <w:szCs w:val="21"/>
                <w:highlight w:val="none"/>
                <w:lang w:val="en-US" w:eastAsia="zh-CN" w:bidi="ar"/>
              </w:rPr>
              <w:t>，电话：</w:t>
            </w:r>
            <w:r>
              <w:rPr>
                <w:rFonts w:hint="eastAsia" w:ascii="宋体" w:hAnsi="宋体" w:eastAsia="宋体" w:cs="宋体"/>
                <w:i w:val="0"/>
                <w:iCs w:val="0"/>
                <w:color w:val="auto"/>
                <w:spacing w:val="0"/>
                <w:kern w:val="0"/>
                <w:sz w:val="21"/>
                <w:szCs w:val="21"/>
                <w:highlight w:val="none"/>
                <w:lang w:val="en-US" w:eastAsia="zh-CN" w:bidi="ar"/>
              </w:rPr>
              <w:t>0571-87670302</w:t>
            </w:r>
            <w:r>
              <w:rPr>
                <w:rFonts w:hint="eastAsia" w:ascii="宋体" w:hAnsi="宋体" w:eastAsia="宋体" w:cs="宋体"/>
                <w:color w:val="auto"/>
                <w:spacing w:val="0"/>
                <w:kern w:val="0"/>
                <w:sz w:val="21"/>
                <w:szCs w:val="21"/>
                <w:highlight w:val="none"/>
                <w:lang w:val="en-US" w:eastAsia="zh-CN" w:bidi="ar"/>
              </w:rPr>
              <w:t>，电子邮箱：</w:t>
            </w:r>
            <w:r>
              <w:rPr>
                <w:rFonts w:hint="eastAsia" w:ascii="宋体" w:hAnsi="宋体" w:eastAsia="宋体" w:cs="宋体"/>
                <w:i w:val="0"/>
                <w:iCs w:val="0"/>
                <w:color w:val="auto"/>
                <w:spacing w:val="0"/>
                <w:kern w:val="0"/>
                <w:sz w:val="21"/>
                <w:szCs w:val="21"/>
                <w:highlight w:val="none"/>
                <w:lang w:val="en-US" w:eastAsia="zh-CN" w:bidi="ar"/>
              </w:rPr>
              <w:t>zb02@qszb.net</w:t>
            </w:r>
            <w:r>
              <w:rPr>
                <w:rFonts w:hint="eastAsia" w:ascii="宋体" w:hAnsi="宋体" w:eastAsia="宋体" w:cs="宋体"/>
                <w:color w:val="auto"/>
                <w:spacing w:val="0"/>
                <w:kern w:val="0"/>
                <w:sz w:val="21"/>
                <w:szCs w:val="21"/>
                <w:highlight w:val="none"/>
                <w:lang w:val="en-US" w:eastAsia="zh-CN" w:bidi="ar"/>
              </w:rPr>
              <w:t>。</w:t>
            </w:r>
          </w:p>
          <w:p w14:paraId="2D47A3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特别说明：建议使用EMS或顺丰邮寄。寄出后将：快递单号、项目名称、项目编号、供应商名称、联系方式等相关信息发送至电子邮箱，以便查收。双休日和法定节假日不收件，供应商人自行承担邮寄风险。</w:t>
            </w:r>
          </w:p>
        </w:tc>
      </w:tr>
      <w:tr w14:paraId="608FBD8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2A2B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（八）</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2566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报价</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56DE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1.报价应按采购文件要求的格式编制、填写报价内容（可自行增行），未按采购文件要求编制、填写的响应文件可能被拒绝；</w:t>
            </w:r>
          </w:p>
          <w:p w14:paraId="15A958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2.本次采购采用人民币报价；</w:t>
            </w:r>
          </w:p>
          <w:p w14:paraId="51A8E3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3.最后报价是履行合同的最终价格，有关本项目实施所涉及的一切费用均计入报价。总价不为零，分项报价中部分产品、服务单价为零的，视作已包含在总价中。</w:t>
            </w:r>
          </w:p>
          <w:p w14:paraId="09BDDB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▲4.采购人将以合同形式有偿取得货物、工程和服务，不接受供应商给予的赠品、回扣或者与采购无关的其他商品、服务。</w:t>
            </w:r>
          </w:p>
        </w:tc>
      </w:tr>
      <w:tr w14:paraId="08D9815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5EA9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（九）</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6F07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响应有效期</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1012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▲从提交响应文件的截止之日起90天。在原响应有效期满之前，如果出现特殊情况，采购人或采购代理机构以书面形式通知供应商延长响应有效期。</w:t>
            </w:r>
          </w:p>
        </w:tc>
      </w:tr>
      <w:tr w14:paraId="5841AC6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E05C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83AD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信用记录</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7666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根据财库[2016]125号《关于在政府采购活动中查询及使用信用记录有关问题的通知》要求，采购代理机构会对供应商信用记录进行查询并甄别，信用信息查询的截止时点：响应截止时间。</w:t>
            </w:r>
          </w:p>
          <w:p w14:paraId="2FEF80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（1）查询渠道：“信用中国”（www.creditchina.gov.cn）、“中国政府采购网”（www.ccgp.gov.cn）；</w:t>
            </w:r>
          </w:p>
          <w:p w14:paraId="38B303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（2）信用信息查询记录和证据留存具体方式：采购代理机构经办人和监督人员将查询网页打印、签名与其他采购文件一并保存；</w:t>
            </w:r>
          </w:p>
          <w:p w14:paraId="4627CE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（3）信用信息的使用规则：供应商被列入失信被执行人、重大税收违法案件当事人名单、政府采购严重违法失信行为记录名单的，拒绝其参与采购活动。</w:t>
            </w:r>
          </w:p>
          <w:p w14:paraId="15BF84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联合体信用信息查询：两个以上的自然人、法人或者其他组织组成一个联合体，以一个供应商的身份共同参加采购活动的，应当对所有联合体成员进行信用记录查询，联合体成员存在不良信用记录的，视同联合体存在不良信用记录。</w:t>
            </w:r>
          </w:p>
        </w:tc>
      </w:tr>
      <w:tr w14:paraId="600ABEB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E37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63B4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磋商</w:t>
            </w:r>
            <w:r>
              <w:rPr>
                <w:rFonts w:hint="eastAsia" w:ascii="宋体" w:hAnsi="宋体" w:eastAsia="宋体" w:cs="宋体"/>
                <w:b w:val="0"/>
                <w:bCs w:val="0"/>
                <w:color w:val="auto"/>
                <w:spacing w:val="0"/>
                <w:kern w:val="0"/>
                <w:sz w:val="21"/>
                <w:szCs w:val="21"/>
                <w:highlight w:val="none"/>
                <w:lang w:val="en-US" w:eastAsia="zh-CN" w:bidi="ar"/>
              </w:rPr>
              <w:t>说明</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E386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供应商的磋商内容或最后报价应当在规定时间内（不少于30分钟）通过指定的方式提交。供应商超过规定时间未提交磋商记录或最后报价的，视为退出磋商。</w:t>
            </w:r>
          </w:p>
        </w:tc>
      </w:tr>
      <w:tr w14:paraId="17481AC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3E4B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A486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评审结果公示</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07C7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评审结果公示媒体：浙江政府采购网（zfcg.czt.zj.gov.cn）</w:t>
            </w:r>
          </w:p>
        </w:tc>
      </w:tr>
    </w:tbl>
    <w:p w14:paraId="49144CBD">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供应商须知</w:t>
      </w:r>
    </w:p>
    <w:p w14:paraId="72C952FE">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一、总则</w:t>
      </w:r>
    </w:p>
    <w:p w14:paraId="43B1D4C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572C0E9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供应商应仔细阅读磋商文件的所有内容，按照磋商文件的要求提交响应文件，并对所提供的全部资料的真实性承担法律责任。</w:t>
      </w:r>
    </w:p>
    <w:p w14:paraId="7E9E885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（一）适用范围</w:t>
      </w:r>
    </w:p>
    <w:p w14:paraId="1A4C15C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本磋商文件适用于本项目的磋商、评审、成交、验收、合同履约、付款等（法律、法规另有规定的，从其规定）。</w:t>
      </w:r>
    </w:p>
    <w:p w14:paraId="1F5EA4A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（二）定义</w:t>
      </w:r>
    </w:p>
    <w:p w14:paraId="64169D7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1.“采购人”系指采购公告中载明的本项目的采购人；</w:t>
      </w:r>
    </w:p>
    <w:p w14:paraId="40E901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2.“采购代理机构”系指组织本次竞争性磋商的浙江求是招标代理有限公司；</w:t>
      </w:r>
    </w:p>
    <w:p w14:paraId="58BFAA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3.“供应商”系指响应磋商、参加竞争的法人、其他组织或者自然人；</w:t>
      </w:r>
    </w:p>
    <w:p w14:paraId="30B72F7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4.“书面形式”包括合同书、信件和数据电文(包括电报、电传、传真、电子数据交换和电子邮件)等可以有形地表现所载内容的形式；</w:t>
      </w:r>
    </w:p>
    <w:p w14:paraId="0A77841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电子加密响应文件”系指通过电子交易客户端（响应客户端）完成响应文件编制后生成并加密的数据电文形式的响应文件；“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p>
    <w:p w14:paraId="1267DEA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磋商文件对响应文件签署、盖章的要求适用于电子签名。</w:t>
      </w:r>
    </w:p>
    <w:p w14:paraId="1879A1F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6.“▲”系指实质性要求条款，供应商应当做出实质性响应。</w:t>
      </w:r>
    </w:p>
    <w:p w14:paraId="269661D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（三）采购方式</w:t>
      </w:r>
    </w:p>
    <w:p w14:paraId="46554EA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采购方式：详见【第三章  供应商须知  前附表】。</w:t>
      </w:r>
    </w:p>
    <w:p w14:paraId="20690368">
      <w:pPr>
        <w:keepNext w:val="0"/>
        <w:keepLines w:val="0"/>
        <w:widowControl/>
        <w:suppressLineNumbers w:val="0"/>
        <w:spacing w:line="288" w:lineRule="auto"/>
        <w:ind w:left="0" w:firstLine="42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（四）磋商费用</w:t>
      </w:r>
    </w:p>
    <w:p w14:paraId="0ACCD56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磋商保证金：详见【第三章  供应商须知  前附表】。</w:t>
      </w:r>
    </w:p>
    <w:p w14:paraId="169006B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代理服务费：详见【第三章  供应商须知  前附表】。</w:t>
      </w:r>
    </w:p>
    <w:p w14:paraId="33C98937">
      <w:pPr>
        <w:keepNext w:val="0"/>
        <w:keepLines w:val="0"/>
        <w:widowControl/>
        <w:suppressLineNumbers w:val="0"/>
        <w:spacing w:line="288" w:lineRule="auto"/>
        <w:ind w:left="0" w:firstLine="42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（五）竞争性磋商委托</w:t>
      </w:r>
    </w:p>
    <w:p w14:paraId="6CCC4A0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供应商须知  前附表】。</w:t>
      </w:r>
    </w:p>
    <w:p w14:paraId="7E25F01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（六）联合体响应</w:t>
      </w:r>
    </w:p>
    <w:p w14:paraId="6505142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详见【第三章  供应商须知  前附表】。</w:t>
      </w:r>
    </w:p>
    <w:p w14:paraId="16FDAFD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（七）转包与分包</w:t>
      </w:r>
    </w:p>
    <w:p w14:paraId="6CFF673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供应商须知  前附表】。</w:t>
      </w:r>
    </w:p>
    <w:p w14:paraId="2D474DC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（八）质疑和投诉</w:t>
      </w:r>
    </w:p>
    <w:p w14:paraId="7BAE6D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认为采购文件、采购过程、中标或者成交结果使自己的权益受到损害的，可以在知道或者应知其权益受到损害之日起7个工作日内，以书面形式向采购人、采购代理机构提出质疑。采购人、采购代理机构在收到供应商的书面质疑后七个工作日内作出答复。</w:t>
      </w:r>
    </w:p>
    <w:p w14:paraId="2C40782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质疑供应商对采购人、采购代理机构的答复不满意，或者采购人、采购代理机构未在规定时间内作出答复的，可以在答复期满后15个工作日内向本级财政部门提起投诉。</w:t>
      </w:r>
    </w:p>
    <w:p w14:paraId="4B0E452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2.供应商提出质疑应当提交质疑函和必要的证明材料，质疑函范本、投诉书范本请到浙江政府采购网下载专区下载。质疑函应当包括下列内容：</w:t>
      </w:r>
    </w:p>
    <w:p w14:paraId="59B347D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（1）供应商的姓名或者名称、地址、邮编、联系人及联系电话；</w:t>
      </w:r>
    </w:p>
    <w:p w14:paraId="5253F84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（2）质疑项目的名称、编号；</w:t>
      </w:r>
    </w:p>
    <w:p w14:paraId="466AB0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（3）具体、明确的质疑事项和与质疑事项相关的请求；</w:t>
      </w:r>
    </w:p>
    <w:p w14:paraId="7847945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（4）事实依据；</w:t>
      </w:r>
    </w:p>
    <w:p w14:paraId="36A842E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（5）必要的法律依据；</w:t>
      </w:r>
    </w:p>
    <w:p w14:paraId="58CBF02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（6）提出质疑的日期。</w:t>
      </w:r>
    </w:p>
    <w:p w14:paraId="5443CA5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供应商为自然人的，应当由本人签名；供应商为法人或者其他组织的，应当由法定代表人、主要负责人，或者其授权代表签名或者盖章，并加盖公章。</w:t>
      </w:r>
    </w:p>
    <w:p w14:paraId="6C8F0AA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3.提出质疑的供应商应当是参与本项目磋商响应活动的供应商。</w:t>
      </w:r>
      <w:r>
        <w:rPr>
          <w:rFonts w:hint="eastAsia" w:ascii="宋体" w:hAnsi="宋体" w:eastAsia="宋体" w:cs="宋体"/>
          <w:b/>
          <w:bCs/>
          <w:color w:val="auto"/>
          <w:spacing w:val="0"/>
          <w:kern w:val="0"/>
          <w:sz w:val="21"/>
          <w:szCs w:val="21"/>
          <w:highlight w:val="none"/>
          <w:lang w:val="en-US" w:eastAsia="zh-CN" w:bidi="ar"/>
        </w:rPr>
        <w:t>供应商在法定质疑期内应一次性提出针对同一采购程序环节的质疑。</w:t>
      </w:r>
    </w:p>
    <w:p w14:paraId="0BC42DC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4.根据《政府采购质疑和投诉办法》第三十七条的规定，投诉人在全国范围12个月内三次以上投诉查无实据的，由财政部门列入不良行为记录名单。</w:t>
      </w:r>
    </w:p>
    <w:p w14:paraId="0901754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投诉人有下列行为之一的，属于虚假、恶意投诉，由财政部门列入不良行为记录名单，禁止其1至3年内参加政府采购活动：</w:t>
      </w:r>
    </w:p>
    <w:p w14:paraId="4C0F576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（1）捏造事实；</w:t>
      </w:r>
    </w:p>
    <w:p w14:paraId="4151583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（2）提供虚假材料；</w:t>
      </w:r>
    </w:p>
    <w:p w14:paraId="46907C0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（3）以非法手段取得证明材料。证据来源的合法性存在明显疑问，投诉人无法证明其取得方式合法的，视为以非法手段取得证明材料。</w:t>
      </w:r>
    </w:p>
    <w:p w14:paraId="6AAD5AE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（九）采购项目需要落实的政府采购政策</w:t>
      </w:r>
    </w:p>
    <w:p w14:paraId="6F76DA1B">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color w:val="auto"/>
          <w:spacing w:val="0"/>
          <w:kern w:val="0"/>
          <w:sz w:val="21"/>
          <w:szCs w:val="21"/>
          <w:highlight w:val="none"/>
          <w:lang w:val="en-US" w:eastAsia="zh-CN" w:bidi="ar"/>
        </w:rPr>
        <w:t>1</w:t>
      </w:r>
      <w:r>
        <w:rPr>
          <w:rFonts w:hint="eastAsia" w:ascii="宋体" w:hAnsi="宋体" w:eastAsia="宋体" w:cs="宋体"/>
          <w:b/>
          <w:bCs/>
          <w:color w:val="auto"/>
          <w:spacing w:val="0"/>
          <w:kern w:val="0"/>
          <w:sz w:val="21"/>
          <w:szCs w:val="21"/>
          <w:highlight w:val="none"/>
          <w:lang w:val="en-US" w:eastAsia="zh-CN" w:bidi="ar"/>
        </w:rPr>
        <w:t>.支持中小企业发展</w:t>
      </w:r>
    </w:p>
    <w:p w14:paraId="26B234BD">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8376E1E">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1.2 在政府采购活动中，供应商提供的货物或者服务符合下列情形的，享受中小企业扶持政策：</w:t>
      </w:r>
    </w:p>
    <w:p w14:paraId="326082AF">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在货物采购项目中，货物由中小企业制造，即货物由</w:t>
      </w:r>
      <w:r>
        <w:rPr>
          <w:rFonts w:hint="eastAsia" w:ascii="宋体" w:hAnsi="宋体" w:eastAsia="宋体" w:cs="宋体"/>
          <w:color w:val="auto"/>
          <w:spacing w:val="0"/>
          <w:kern w:val="0"/>
          <w:sz w:val="21"/>
          <w:szCs w:val="21"/>
          <w:highlight w:val="none"/>
          <w:u w:val="single"/>
          <w:lang w:val="en-US" w:eastAsia="zh-CN" w:bidi="ar"/>
        </w:rPr>
        <w:t>中小企业生产且使用该中小企业商号或者注册商标</w:t>
      </w:r>
      <w:r>
        <w:rPr>
          <w:rFonts w:hint="eastAsia" w:ascii="宋体" w:hAnsi="宋体" w:eastAsia="宋体" w:cs="宋体"/>
          <w:color w:val="auto"/>
          <w:spacing w:val="0"/>
          <w:kern w:val="0"/>
          <w:sz w:val="21"/>
          <w:szCs w:val="21"/>
          <w:highlight w:val="none"/>
          <w:lang w:val="en-US" w:eastAsia="zh-CN" w:bidi="ar"/>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24B94680">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57C2CEF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中小企业享受扶持政策获得政府采购合同的，小微企业不得将合同分包给大中型企业，中型企业不得将合同分包给大型企业。</w:t>
      </w:r>
    </w:p>
    <w:p w14:paraId="2FAAB5C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1.4 以联合体形式参加政府采购活动，联合体各方均为中小企业的，联合体视同中小企业。其中，联合体各方均为小微企业的，联合体视同小微企业。</w:t>
      </w:r>
    </w:p>
    <w:p w14:paraId="400571F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365CB3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组成联合体或者接受分包合同的中小企业与联合体内其他企业、分包企业之间不得存在直接控股、管理关系。</w:t>
      </w:r>
    </w:p>
    <w:p w14:paraId="0A293A6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专门面向中小企业采购的项目或者采购包，不再执行价格评审优惠的扶持政策。</w:t>
      </w:r>
    </w:p>
    <w:p w14:paraId="6E5B847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03FCFEC6">
      <w:pPr>
        <w:keepNext w:val="0"/>
        <w:keepLines w:val="0"/>
        <w:widowControl/>
        <w:suppressLineNumbers w:val="0"/>
        <w:spacing w:line="288"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1.7 中小企业参加政府采购活动，应当出具本办法规定的《中小企业声明函》，否则不得享受相关中小企业扶持政策。</w:t>
      </w:r>
    </w:p>
    <w:p w14:paraId="1C2EAE4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《中小企业声明函》由参加政府采购活动的供应商出具。以联合体形式参加政府采购活动或者合同分包的，《中小企业声明函》中需填写联合体中的中小企业或签订分包意向协议的中小企业相关信息。</w:t>
      </w:r>
    </w:p>
    <w:p w14:paraId="55530FE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1.8 供应商提供《中小企业声明函》内容不实的，属于提供虚假材料谋取中标、成交，依照《中华人民共和国政府采购法》等国家有关规定追究相应责任。</w:t>
      </w:r>
    </w:p>
    <w:p w14:paraId="6A0AFDCC">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pacing w:val="0"/>
          <w:kern w:val="0"/>
          <w:sz w:val="21"/>
          <w:szCs w:val="21"/>
          <w:highlight w:val="none"/>
          <w:u w:val="single"/>
          <w:lang w:val="en-US" w:eastAsia="zh-CN" w:bidi="ar"/>
        </w:rPr>
      </w:pPr>
      <w:r>
        <w:rPr>
          <w:rFonts w:hint="eastAsia" w:ascii="宋体" w:hAnsi="宋体" w:eastAsia="宋体" w:cs="宋体"/>
          <w:color w:val="auto"/>
          <w:spacing w:val="0"/>
          <w:kern w:val="0"/>
          <w:sz w:val="21"/>
          <w:szCs w:val="21"/>
          <w:highlight w:val="none"/>
          <w:u w:val="single"/>
          <w:lang w:val="en-US" w:eastAsia="zh-CN" w:bidi="ar"/>
        </w:rPr>
        <w:t>1.9 《中小企业声明函》填写要求与认定标准详见【第二章  采购需求】。</w:t>
      </w:r>
    </w:p>
    <w:p w14:paraId="7401DD81">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color w:val="auto"/>
          <w:spacing w:val="0"/>
          <w:kern w:val="0"/>
          <w:sz w:val="21"/>
          <w:szCs w:val="21"/>
          <w:highlight w:val="none"/>
          <w:lang w:val="en-US" w:eastAsia="zh-CN" w:bidi="ar"/>
        </w:rPr>
        <w:t>2</w:t>
      </w:r>
      <w:r>
        <w:rPr>
          <w:rFonts w:hint="eastAsia" w:ascii="宋体" w:hAnsi="宋体" w:eastAsia="宋体" w:cs="宋体"/>
          <w:b/>
          <w:bCs/>
          <w:color w:val="auto"/>
          <w:spacing w:val="0"/>
          <w:kern w:val="0"/>
          <w:sz w:val="21"/>
          <w:szCs w:val="21"/>
          <w:highlight w:val="none"/>
          <w:lang w:val="en-US" w:eastAsia="zh-CN" w:bidi="ar"/>
        </w:rPr>
        <w:t>.支持监狱企业发展</w:t>
      </w:r>
    </w:p>
    <w:p w14:paraId="431B64D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31707F3B">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color w:val="auto"/>
          <w:spacing w:val="0"/>
          <w:kern w:val="0"/>
          <w:sz w:val="21"/>
          <w:szCs w:val="21"/>
          <w:highlight w:val="none"/>
          <w:lang w:val="en-US" w:eastAsia="zh-CN" w:bidi="ar"/>
        </w:rPr>
        <w:t>3</w:t>
      </w:r>
      <w:r>
        <w:rPr>
          <w:rFonts w:hint="eastAsia" w:ascii="宋体" w:hAnsi="宋体" w:eastAsia="宋体" w:cs="宋体"/>
          <w:b/>
          <w:bCs/>
          <w:color w:val="auto"/>
          <w:spacing w:val="0"/>
          <w:kern w:val="0"/>
          <w:sz w:val="21"/>
          <w:szCs w:val="21"/>
          <w:highlight w:val="none"/>
          <w:lang w:val="en-US" w:eastAsia="zh-CN" w:bidi="ar"/>
        </w:rPr>
        <w:t>.促进残疾人就业</w:t>
      </w:r>
    </w:p>
    <w:p w14:paraId="04D7959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符合《关于促进残疾人就业政府采购政策的通知》（财库[2017]141号）规定的条件并提供《残疾人福利性单位声明函》的残疾人福利性单位视同小型、微型企业。</w:t>
      </w:r>
    </w:p>
    <w:p w14:paraId="5F3EA6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6A3AF3AF">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二、电子交易活动</w:t>
      </w:r>
    </w:p>
    <w:p w14:paraId="4D2A5CC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（一）</w:t>
      </w:r>
      <w:r>
        <w:rPr>
          <w:rFonts w:hint="eastAsia" w:ascii="宋体" w:hAnsi="宋体" w:eastAsia="宋体" w:cs="宋体"/>
          <w:b/>
          <w:bCs/>
          <w:i w:val="0"/>
          <w:iCs w:val="0"/>
          <w:color w:val="auto"/>
          <w:spacing w:val="0"/>
          <w:kern w:val="0"/>
          <w:sz w:val="21"/>
          <w:szCs w:val="21"/>
          <w:highlight w:val="none"/>
          <w:lang w:val="en-US" w:eastAsia="zh-CN" w:bidi="ar"/>
        </w:rPr>
        <w:t>采购邀请</w:t>
      </w:r>
    </w:p>
    <w:p w14:paraId="17133C4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本项目采用发布公告方式邀请供应商，同时上传磋商文件至电子交易平台，供社会公众查阅和潜在供应商获取。</w:t>
      </w:r>
    </w:p>
    <w:p w14:paraId="3438A5C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（二）</w:t>
      </w:r>
      <w:r>
        <w:rPr>
          <w:rFonts w:hint="eastAsia" w:ascii="宋体" w:hAnsi="宋体" w:eastAsia="宋体" w:cs="宋体"/>
          <w:b/>
          <w:bCs/>
          <w:i w:val="0"/>
          <w:iCs w:val="0"/>
          <w:color w:val="auto"/>
          <w:spacing w:val="0"/>
          <w:kern w:val="0"/>
          <w:sz w:val="21"/>
          <w:szCs w:val="21"/>
          <w:highlight w:val="none"/>
          <w:lang w:val="en-US" w:eastAsia="zh-CN" w:bidi="ar"/>
        </w:rPr>
        <w:t>澄清或修改</w:t>
      </w:r>
    </w:p>
    <w:p w14:paraId="6F8068F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采购组织机构对磋商文件进行澄清或修改的，以公告形式发布，并通过电子交易平台通知已获取磋商文件的潜在供应商，供应商应及时关注公告信息及电子交易平台发出的通知消息。</w:t>
      </w:r>
    </w:p>
    <w:p w14:paraId="4634B19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（三）</w:t>
      </w:r>
      <w:r>
        <w:rPr>
          <w:rFonts w:hint="eastAsia" w:ascii="宋体" w:hAnsi="宋体" w:eastAsia="宋体" w:cs="宋体"/>
          <w:b/>
          <w:bCs/>
          <w:i w:val="0"/>
          <w:iCs w:val="0"/>
          <w:color w:val="auto"/>
          <w:spacing w:val="0"/>
          <w:kern w:val="0"/>
          <w:sz w:val="21"/>
          <w:szCs w:val="21"/>
          <w:highlight w:val="none"/>
          <w:lang w:val="en-US" w:eastAsia="zh-CN" w:bidi="ar"/>
        </w:rPr>
        <w:t>供应商响应</w:t>
      </w:r>
    </w:p>
    <w:p w14:paraId="2C01500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潜在供应商获取磋商文件前应当在电子交易平台上注册账号并登录。注册及客户端操作详见电子交易平台相关介绍。</w:t>
      </w:r>
    </w:p>
    <w:p w14:paraId="3465832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供应商进行电子交易应安装客户端软件，并按照磋商文件和电子交易平台的要求编制并加密响应文件。供应商未按规定加密的响应文件，电子交易平台将拒收并提示。</w:t>
      </w:r>
    </w:p>
    <w:p w14:paraId="7FC2C9A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应当在响应截止时间前完成响应文件的传输递交，并可以补充、修改或者撤回响应文件。补充或者修改响应文件的，应当先行撤回原文件，补充、修改后重新传输递交。响应截止时间前未完成传输的，视为撤回响应文件。响应截止时间后递交的响应文件，电子交易平台将拒收。</w:t>
      </w:r>
    </w:p>
    <w:p w14:paraId="56D45A7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电子交易平台收到响应文件，向供应商发出确认回执通知。在响应截止时间前，除供应商补充、修改或者撤回响应文件外，任何单位和个人不得解密或提取响应文件。</w:t>
      </w:r>
    </w:p>
    <w:p w14:paraId="089D950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供应商在电子交易平台传输递交响应文件后，还可以在响应截止时间前提交以介质存储的数据电文形式的备份响应文件，采购组织机构不强制要求供应商提交备份响应文件。</w:t>
      </w:r>
    </w:p>
    <w:p w14:paraId="2AE5981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提交备份响应文件应按电子交易平台设定制作、下载。</w:t>
      </w:r>
    </w:p>
    <w:p w14:paraId="20FB443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▲供应商仅提交备份响应文件但未按要求在电子交易平台传输递交响应文件的，响应将被拒绝。</w:t>
      </w:r>
    </w:p>
    <w:p w14:paraId="5F5174C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（四）</w:t>
      </w:r>
      <w:r>
        <w:rPr>
          <w:rFonts w:hint="eastAsia" w:ascii="宋体" w:hAnsi="宋体" w:eastAsia="宋体" w:cs="宋体"/>
          <w:b/>
          <w:bCs/>
          <w:i w:val="0"/>
          <w:iCs w:val="0"/>
          <w:color w:val="auto"/>
          <w:spacing w:val="0"/>
          <w:kern w:val="0"/>
          <w:sz w:val="21"/>
          <w:szCs w:val="21"/>
          <w:highlight w:val="none"/>
          <w:lang w:val="en-US" w:eastAsia="zh-CN" w:bidi="ar"/>
        </w:rPr>
        <w:t>线上开标</w:t>
      </w:r>
    </w:p>
    <w:p w14:paraId="66E525D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按照磋商文件规定的时间通过电子交易平台组织开标、开启响应文件，所有供应商均应当准时在线参加。供应商未在线参加开标、开启响应文件的，视同认可开标、开启结果。供应商在评标结束前离线的，存在对评标过程中发出的澄清、说明或者补正未按时回复的风险。</w:t>
      </w:r>
    </w:p>
    <w:p w14:paraId="0967DCC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开标、开启响应文件时，电子交易平台自动提取所有响应文件，提示采购组织机构和供应商按磋商文件规定的方式和时间在线解密。给予供应商在线解密的时间由磋商文件规定，但不少于30分钟。</w:t>
      </w:r>
    </w:p>
    <w:p w14:paraId="517C2A4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特别提示：响应文件未按时解密，供应商提供了备份响应文件的，以备份响应文件作为依据，否则视为响应文件撤回。响应文件已按时解密的，备份响应文件自动失效。</w:t>
      </w:r>
    </w:p>
    <w:p w14:paraId="0F2E449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采购组织机构对开标、开启响应文件和评审现场进行全程录音录像并存档。</w:t>
      </w:r>
    </w:p>
    <w:p w14:paraId="141CE04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（五）</w:t>
      </w:r>
      <w:r>
        <w:rPr>
          <w:rFonts w:hint="eastAsia" w:ascii="宋体" w:hAnsi="宋体" w:eastAsia="宋体" w:cs="宋体"/>
          <w:b/>
          <w:bCs/>
          <w:i w:val="0"/>
          <w:iCs w:val="0"/>
          <w:color w:val="auto"/>
          <w:spacing w:val="0"/>
          <w:kern w:val="0"/>
          <w:sz w:val="21"/>
          <w:szCs w:val="21"/>
          <w:highlight w:val="none"/>
          <w:lang w:val="en-US" w:eastAsia="zh-CN" w:bidi="ar"/>
        </w:rPr>
        <w:t>评审与数据交换</w:t>
      </w:r>
    </w:p>
    <w:p w14:paraId="3A93992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审中需要供应商对响应文件作出澄清、说明或者补正的，评标委员会和供应商应当通过电子交易平台交换数据电文。给予供应商提交澄清说明或补正的时间不少于30分钟，供应商已经明确表示澄清说明或补正完毕的除外。供应商未按规定时间回复澄清、说明或者补正的，视为拒绝澄清、说明或者补正。</w:t>
      </w:r>
    </w:p>
    <w:p w14:paraId="4EB2FAC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评标委员会完成评审后，通过电子交易平台向采购组织机构提交评标报告。</w:t>
      </w:r>
    </w:p>
    <w:p w14:paraId="14BCB05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采购人通过电子交易平台确认成交候选供应商。</w:t>
      </w:r>
    </w:p>
    <w:p w14:paraId="2350BFA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（六）</w:t>
      </w:r>
      <w:r>
        <w:rPr>
          <w:rFonts w:hint="eastAsia" w:ascii="宋体" w:hAnsi="宋体" w:eastAsia="宋体" w:cs="宋体"/>
          <w:b/>
          <w:bCs/>
          <w:i w:val="0"/>
          <w:iCs w:val="0"/>
          <w:color w:val="auto"/>
          <w:spacing w:val="0"/>
          <w:kern w:val="0"/>
          <w:sz w:val="21"/>
          <w:szCs w:val="21"/>
          <w:highlight w:val="none"/>
          <w:lang w:val="en-US" w:eastAsia="zh-CN" w:bidi="ar"/>
        </w:rPr>
        <w:t>交易中止</w:t>
      </w:r>
    </w:p>
    <w:p w14:paraId="2B8A0E2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采购过程中出现以下情形，导致电子交易平台无法正常运行，或者无法保证电子交易的公平、公正和安全时，采购组织机构可中止电子交易活动：</w:t>
      </w:r>
    </w:p>
    <w:p w14:paraId="5D3DEC2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1.</w:t>
      </w:r>
      <w:r>
        <w:rPr>
          <w:rFonts w:hint="eastAsia" w:ascii="宋体" w:hAnsi="宋体" w:eastAsia="宋体" w:cs="宋体"/>
          <w:i w:val="0"/>
          <w:iCs w:val="0"/>
          <w:color w:val="auto"/>
          <w:spacing w:val="0"/>
          <w:kern w:val="0"/>
          <w:sz w:val="21"/>
          <w:szCs w:val="21"/>
          <w:highlight w:val="none"/>
          <w:lang w:val="en-US" w:eastAsia="zh-CN" w:bidi="ar"/>
        </w:rPr>
        <w:t>电子交易平台发生故障而无法登录访问的；</w:t>
      </w:r>
    </w:p>
    <w:p w14:paraId="52066DA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2.</w:t>
      </w:r>
      <w:r>
        <w:rPr>
          <w:rFonts w:hint="eastAsia" w:ascii="宋体" w:hAnsi="宋体" w:eastAsia="宋体" w:cs="宋体"/>
          <w:i w:val="0"/>
          <w:iCs w:val="0"/>
          <w:color w:val="auto"/>
          <w:spacing w:val="0"/>
          <w:kern w:val="0"/>
          <w:sz w:val="21"/>
          <w:szCs w:val="21"/>
          <w:highlight w:val="none"/>
          <w:lang w:val="en-US" w:eastAsia="zh-CN" w:bidi="ar"/>
        </w:rPr>
        <w:t>电子交易平台应用或数据库出现错误，不能进行正常操作的；</w:t>
      </w:r>
    </w:p>
    <w:p w14:paraId="524D42C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3.</w:t>
      </w:r>
      <w:r>
        <w:rPr>
          <w:rFonts w:hint="eastAsia" w:ascii="宋体" w:hAnsi="宋体" w:eastAsia="宋体" w:cs="宋体"/>
          <w:i w:val="0"/>
          <w:iCs w:val="0"/>
          <w:color w:val="auto"/>
          <w:spacing w:val="0"/>
          <w:kern w:val="0"/>
          <w:sz w:val="21"/>
          <w:szCs w:val="21"/>
          <w:highlight w:val="none"/>
          <w:lang w:val="en-US" w:eastAsia="zh-CN" w:bidi="ar"/>
        </w:rPr>
        <w:t>电子交易平台发现严重安全漏洞，有潜在泄密危险的；</w:t>
      </w:r>
    </w:p>
    <w:p w14:paraId="0B1EF76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4.</w:t>
      </w:r>
      <w:r>
        <w:rPr>
          <w:rFonts w:hint="eastAsia" w:ascii="宋体" w:hAnsi="宋体" w:eastAsia="宋体" w:cs="宋体"/>
          <w:i w:val="0"/>
          <w:iCs w:val="0"/>
          <w:color w:val="auto"/>
          <w:spacing w:val="0"/>
          <w:kern w:val="0"/>
          <w:sz w:val="21"/>
          <w:szCs w:val="21"/>
          <w:highlight w:val="none"/>
          <w:lang w:val="en-US" w:eastAsia="zh-CN" w:bidi="ar"/>
        </w:rPr>
        <w:t>病毒发作导致不能进行正常操作的；</w:t>
      </w:r>
    </w:p>
    <w:p w14:paraId="7632245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5.</w:t>
      </w:r>
      <w:r>
        <w:rPr>
          <w:rFonts w:hint="eastAsia" w:ascii="宋体" w:hAnsi="宋体" w:eastAsia="宋体" w:cs="宋体"/>
          <w:i w:val="0"/>
          <w:iCs w:val="0"/>
          <w:color w:val="auto"/>
          <w:spacing w:val="0"/>
          <w:kern w:val="0"/>
          <w:sz w:val="21"/>
          <w:szCs w:val="21"/>
          <w:highlight w:val="none"/>
          <w:lang w:val="en-US" w:eastAsia="zh-CN" w:bidi="ar"/>
        </w:rPr>
        <w:t>其他无法保证电子交易的公平、公正和安全的情况。</w:t>
      </w:r>
    </w:p>
    <w:p w14:paraId="20B9571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出现前款规定情形，不影响采购公平、公正性的，采购组织机构可以待上述情形消除后继续组织电子交易活动，也可以决定某些环节以纸质形式进行；影响或可能影响采购公平、公正性的，应当重新采购。</w:t>
      </w:r>
    </w:p>
    <w:p w14:paraId="407C219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7E88F23C">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三、磋商文件</w:t>
      </w:r>
    </w:p>
    <w:p w14:paraId="62A4B39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（一）磋商文件的构成</w:t>
      </w:r>
    </w:p>
    <w:p w14:paraId="7BE22FA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本磋商文件由以下部分组成：</w:t>
      </w:r>
    </w:p>
    <w:p w14:paraId="59B371E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1.采购邀请</w:t>
      </w:r>
    </w:p>
    <w:p w14:paraId="038B959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2.采购需求</w:t>
      </w:r>
    </w:p>
    <w:p w14:paraId="22074E1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3.供应商须知</w:t>
      </w:r>
    </w:p>
    <w:p w14:paraId="665E56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4.评审方法和评审标准</w:t>
      </w:r>
    </w:p>
    <w:p w14:paraId="3158091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5.拟签订的合同文本</w:t>
      </w:r>
    </w:p>
    <w:p w14:paraId="16D858D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6.响应文件格式</w:t>
      </w:r>
    </w:p>
    <w:p w14:paraId="4A9CFAA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7.本项目磋商文件的澄清、答复、修改、补充的内容</w:t>
      </w:r>
    </w:p>
    <w:p w14:paraId="1C33225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（二）供应商的风险</w:t>
      </w:r>
    </w:p>
    <w:p w14:paraId="59A3895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供应商没有按照磋商文件要求提供全部资料，或者供应商没有对磋商文件在各方面作出实质性响应是供应商的风险，并可能导致其响应被拒绝。</w:t>
      </w:r>
    </w:p>
    <w:p w14:paraId="73EE97F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（三）磋商文件的澄清与修改</w:t>
      </w:r>
    </w:p>
    <w:p w14:paraId="0F4CCDD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1.提交首次响应文件截止之日前，采购人、采购代理机构可以对已发出的磋商文件进行必要的澄清或者修改，澄清或者修改的内容作为磋商文件的组成部分。</w:t>
      </w:r>
    </w:p>
    <w:p w14:paraId="6A0F8E1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14:paraId="37AD7E7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14:paraId="211EA91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3.磋商文件澄清、答复、修改、补充的内容为磋商文件的组成部分。当磋商文件与磋商文件的答复、澄清、修改、补充通知就同一内容的表述不一致时，以最后发出的书面形式文件为准。</w:t>
      </w:r>
    </w:p>
    <w:p w14:paraId="1658FE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4.磋商文件的澄清、答复、修改或补充都应该通过本采购代理机构以法定形式发布，采购人非通过本机构，不得擅自澄清、答复、修改或补充磋商文件。</w:t>
      </w:r>
    </w:p>
    <w:p w14:paraId="66A63F0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76D6347B">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四、响应文件的编制</w:t>
      </w:r>
    </w:p>
    <w:p w14:paraId="13772A4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（一）响应文件的组成</w:t>
      </w:r>
    </w:p>
    <w:p w14:paraId="046D8B8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响应文件组成：详见【第六章  响应文件格式】。</w:t>
      </w:r>
    </w:p>
    <w:p w14:paraId="36692806">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（二）响应文件的编制</w:t>
      </w:r>
    </w:p>
    <w:p w14:paraId="3445D581">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供应商应按照磋商文件和电子交易平台的要求，根据响应文件的组成规定的内容及顺序通过电子交易客户端（投标客户端）编制加密响应文件，响应文件内容不完整、编排混乱导致响应文件被误读、漏读或者查找不到相关内容的，是供应商的责任。</w:t>
      </w:r>
    </w:p>
    <w:p w14:paraId="2433D74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2.响应文件须由供应商在规定位置加盖公章，供应商应写全称。</w:t>
      </w:r>
    </w:p>
    <w:p w14:paraId="3B94E468">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3.响应文件不得涂改，若有修改错漏处，须由供应商加盖公章，或者由供应商代表签名。响应文件因字迹潦草或表达不清所引起的后果由供应商承担。</w:t>
      </w:r>
    </w:p>
    <w:p w14:paraId="09B2F389">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（三）响应文件提交</w:t>
      </w:r>
    </w:p>
    <w:p w14:paraId="33545F04">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1.供应商应当在磋商文件要求在响应文件提交截止时间前，将“电子加密响应文件”各部分</w:t>
      </w:r>
      <w:r>
        <w:rPr>
          <w:rFonts w:hint="eastAsia" w:ascii="宋体" w:hAnsi="宋体" w:eastAsia="宋体" w:cs="宋体"/>
          <w:b/>
          <w:bCs/>
          <w:color w:val="auto"/>
          <w:spacing w:val="0"/>
          <w:kern w:val="0"/>
          <w:sz w:val="21"/>
          <w:szCs w:val="21"/>
          <w:highlight w:val="none"/>
          <w:lang w:val="en-US" w:eastAsia="zh-CN" w:bidi="ar"/>
        </w:rPr>
        <w:t>分别上传</w:t>
      </w:r>
      <w:r>
        <w:rPr>
          <w:rFonts w:hint="eastAsia" w:ascii="宋体" w:hAnsi="宋体" w:eastAsia="宋体" w:cs="宋体"/>
          <w:color w:val="auto"/>
          <w:spacing w:val="0"/>
          <w:kern w:val="0"/>
          <w:sz w:val="21"/>
          <w:szCs w:val="21"/>
          <w:highlight w:val="none"/>
          <w:lang w:val="en-US" w:eastAsia="zh-CN" w:bidi="ar"/>
        </w:rPr>
        <w:t>至电子交易平台指定位置。</w:t>
      </w:r>
    </w:p>
    <w:p w14:paraId="6D5C56E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备份响应文件：</w:t>
      </w:r>
      <w:r>
        <w:rPr>
          <w:rFonts w:hint="eastAsia" w:ascii="宋体" w:hAnsi="宋体" w:eastAsia="宋体" w:cs="宋体"/>
          <w:i w:val="0"/>
          <w:iCs w:val="0"/>
          <w:caps w:val="0"/>
          <w:color w:val="auto"/>
          <w:spacing w:val="0"/>
          <w:kern w:val="0"/>
          <w:sz w:val="21"/>
          <w:szCs w:val="21"/>
          <w:highlight w:val="none"/>
          <w:lang w:val="en-US" w:eastAsia="zh-CN" w:bidi="ar"/>
        </w:rPr>
        <w:t>供应商可自行决定是否提交备份响应文件。提交备份响应文件的，应在响应文件提交截止时间前，密封提交给本项目采购组织机构。存储方式：移动存储介质（如：U盘等）。密封包装应标明：</w:t>
      </w:r>
      <w:r>
        <w:rPr>
          <w:rFonts w:hint="eastAsia" w:ascii="宋体" w:hAnsi="宋体" w:eastAsia="宋体" w:cs="宋体"/>
          <w:b w:val="0"/>
          <w:bCs w:val="0"/>
          <w:i w:val="0"/>
          <w:iCs w:val="0"/>
          <w:caps w:val="0"/>
          <w:color w:val="auto"/>
          <w:spacing w:val="0"/>
          <w:kern w:val="0"/>
          <w:sz w:val="21"/>
          <w:szCs w:val="21"/>
          <w:highlight w:val="none"/>
          <w:lang w:val="en-US" w:eastAsia="zh-CN" w:bidi="ar"/>
        </w:rPr>
        <w:t>项目名称、项目编号、标项、供应商名称</w:t>
      </w:r>
      <w:r>
        <w:rPr>
          <w:rFonts w:hint="eastAsia" w:ascii="宋体" w:hAnsi="宋体" w:eastAsia="宋体" w:cs="宋体"/>
          <w:color w:val="auto"/>
          <w:spacing w:val="0"/>
          <w:kern w:val="0"/>
          <w:sz w:val="21"/>
          <w:szCs w:val="21"/>
          <w:highlight w:val="none"/>
          <w:lang w:val="en-US" w:eastAsia="zh-CN" w:bidi="ar"/>
        </w:rPr>
        <w:t>并加盖公章。</w:t>
      </w:r>
    </w:p>
    <w:p w14:paraId="2ED6A5E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w:t>
      </w:r>
      <w:r>
        <w:rPr>
          <w:rFonts w:hint="eastAsia" w:ascii="宋体" w:hAnsi="宋体" w:eastAsia="宋体" w:cs="宋体"/>
          <w:color w:val="auto"/>
          <w:spacing w:val="0"/>
          <w:kern w:val="0"/>
          <w:sz w:val="21"/>
          <w:szCs w:val="21"/>
          <w:highlight w:val="none"/>
          <w:u w:val="single"/>
          <w:lang w:val="en-US" w:eastAsia="zh-CN" w:bidi="ar"/>
        </w:rPr>
        <w:t>供应商</w:t>
      </w:r>
      <w:r>
        <w:rPr>
          <w:rFonts w:hint="eastAsia" w:ascii="宋体" w:hAnsi="宋体" w:eastAsia="宋体" w:cs="宋体"/>
          <w:b/>
          <w:bCs/>
          <w:color w:val="auto"/>
          <w:spacing w:val="0"/>
          <w:kern w:val="0"/>
          <w:sz w:val="21"/>
          <w:szCs w:val="21"/>
          <w:highlight w:val="none"/>
          <w:u w:val="single"/>
          <w:lang w:val="en-US" w:eastAsia="zh-CN" w:bidi="ar"/>
        </w:rPr>
        <w:t>可以</w:t>
      </w:r>
      <w:r>
        <w:rPr>
          <w:rFonts w:hint="eastAsia" w:ascii="宋体" w:hAnsi="宋体" w:eastAsia="宋体" w:cs="宋体"/>
          <w:color w:val="auto"/>
          <w:spacing w:val="0"/>
          <w:kern w:val="0"/>
          <w:sz w:val="21"/>
          <w:szCs w:val="21"/>
          <w:highlight w:val="none"/>
          <w:u w:val="single"/>
          <w:lang w:val="en-US" w:eastAsia="zh-CN" w:bidi="ar"/>
        </w:rPr>
        <w:t>通过邮寄的方式提交备份响应文件</w:t>
      </w:r>
      <w:r>
        <w:rPr>
          <w:rFonts w:hint="eastAsia" w:ascii="宋体" w:hAnsi="宋体" w:eastAsia="宋体" w:cs="宋体"/>
          <w:color w:val="auto"/>
          <w:spacing w:val="0"/>
          <w:kern w:val="0"/>
          <w:sz w:val="21"/>
          <w:szCs w:val="21"/>
          <w:highlight w:val="none"/>
          <w:lang w:val="en-US" w:eastAsia="zh-CN" w:bidi="ar"/>
        </w:rPr>
        <w:t>。供应商应考虑物流等相关因素，合理计划邮寄时间，尽量在开标截止时间前一个工作日前送到指定地点。在响应文件提交截止时间后送达的，将被视为“逾期送达”，采购组织机构将予以拒收。</w:t>
      </w:r>
    </w:p>
    <w:p w14:paraId="1BCFC68A">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3.备份响应文件邮寄信息：详见【第三章  供应商须知  前附表】。</w:t>
      </w:r>
    </w:p>
    <w:p w14:paraId="7051ADDB">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4.备份响应文件未按要求密封或标记导致被误投或提前泄露，</w:t>
      </w:r>
      <w:r>
        <w:rPr>
          <w:rFonts w:hint="eastAsia" w:ascii="宋体" w:hAnsi="宋体" w:eastAsia="宋体" w:cs="宋体"/>
          <w:b w:val="0"/>
          <w:bCs w:val="0"/>
          <w:color w:val="auto"/>
          <w:spacing w:val="0"/>
          <w:kern w:val="0"/>
          <w:sz w:val="21"/>
          <w:szCs w:val="21"/>
          <w:highlight w:val="none"/>
          <w:lang w:val="en-US" w:eastAsia="zh-CN" w:bidi="ar"/>
        </w:rPr>
        <w:t>供应商自行承担相关责任。</w:t>
      </w:r>
    </w:p>
    <w:p w14:paraId="7CBB514C">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（四）响应文件的修改和撤回</w:t>
      </w:r>
    </w:p>
    <w:p w14:paraId="5181DA49">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响应文件的修改和撤回详见</w:t>
      </w:r>
      <w:r>
        <w:rPr>
          <w:rFonts w:hint="eastAsia" w:ascii="宋体" w:hAnsi="宋体" w:eastAsia="宋体" w:cs="宋体"/>
          <w:color w:val="auto"/>
          <w:spacing w:val="0"/>
          <w:kern w:val="0"/>
          <w:sz w:val="21"/>
          <w:szCs w:val="21"/>
          <w:highlight w:val="none"/>
          <w:lang w:val="en-US" w:eastAsia="zh-CN" w:bidi="ar"/>
        </w:rPr>
        <w:t xml:space="preserve">【第三章  供应商须知  </w:t>
      </w:r>
      <w:r>
        <w:rPr>
          <w:rFonts w:hint="eastAsia" w:ascii="宋体" w:hAnsi="宋体" w:eastAsia="宋体" w:cs="宋体"/>
          <w:b w:val="0"/>
          <w:bCs w:val="0"/>
          <w:color w:val="auto"/>
          <w:spacing w:val="0"/>
          <w:kern w:val="0"/>
          <w:sz w:val="21"/>
          <w:szCs w:val="21"/>
          <w:highlight w:val="none"/>
          <w:lang w:val="en-US" w:eastAsia="zh-CN" w:bidi="ar"/>
        </w:rPr>
        <w:t>二、电子交易活动</w:t>
      </w:r>
      <w:r>
        <w:rPr>
          <w:rFonts w:hint="eastAsia" w:ascii="宋体" w:hAnsi="宋体" w:eastAsia="宋体" w:cs="宋体"/>
          <w:color w:val="auto"/>
          <w:spacing w:val="0"/>
          <w:kern w:val="0"/>
          <w:sz w:val="21"/>
          <w:szCs w:val="21"/>
          <w:highlight w:val="none"/>
          <w:lang w:val="en-US" w:eastAsia="zh-CN" w:bidi="ar"/>
        </w:rPr>
        <w:t>】。</w:t>
      </w:r>
    </w:p>
    <w:p w14:paraId="5ADE45E8">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（五）响应文件的语言及计量</w:t>
      </w:r>
    </w:p>
    <w:p w14:paraId="4B146F2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响应文件以及供应商与采购人或采购代理机构就有关磋商事宜的所有来往函电，均应以中文汉语书写。除签名、盖章、专用名称等特殊情形外，以中文汉语以外的文字表述的响应文件视同未提供（有中文汉语说明的除外）。</w:t>
      </w:r>
    </w:p>
    <w:p w14:paraId="579B493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（六）响应报价</w:t>
      </w:r>
    </w:p>
    <w:p w14:paraId="2A29D6D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供应商须知  前附表】。</w:t>
      </w:r>
    </w:p>
    <w:p w14:paraId="0DB7B732">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（七）响应有效期</w:t>
      </w:r>
    </w:p>
    <w:p w14:paraId="6FDDFC5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供应商须知  前附表】。</w:t>
      </w:r>
    </w:p>
    <w:p w14:paraId="7D15035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0F5632C1">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五、响应无效的情形</w:t>
      </w:r>
    </w:p>
    <w:p w14:paraId="5AF27DC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u w:val="single"/>
          <w:lang w:val="en-US" w:eastAsia="zh-CN" w:bidi="ar"/>
        </w:rPr>
        <w:t>详见【第四章  评审方法和评审标准】。</w:t>
      </w:r>
    </w:p>
    <w:p w14:paraId="24583E0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77629274">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六、响应文件开启</w:t>
      </w:r>
    </w:p>
    <w:p w14:paraId="58D269F6">
      <w:pPr>
        <w:keepNext w:val="0"/>
        <w:keepLines w:val="0"/>
        <w:widowControl/>
        <w:suppressLineNumbers w:val="0"/>
        <w:autoSpaceDE w:val="0"/>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采购代理机构按照磋商文件规定的时间通过电子交易平台组织开启，所有供应商均应当准时在线参加。供应商不足3家的，不得开启。</w:t>
      </w:r>
    </w:p>
    <w:p w14:paraId="13263DE5">
      <w:pPr>
        <w:keepNext w:val="0"/>
        <w:keepLines w:val="0"/>
        <w:widowControl/>
        <w:suppressLineNumbers w:val="0"/>
        <w:autoSpaceDE w:val="0"/>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开启时，电子交易平台按开启时间自动提取所有响应文件。采购人或代理机构依托电子交易平台发起开始解密指令，供应商按照平台提示和磋商文件的规定在半小时内完成在线解密。</w:t>
      </w:r>
    </w:p>
    <w:p w14:paraId="7AF492B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响应文件未按时解密，供应商提供了备份响应文件的，以备份响应文件作为依据，否则视为响应文件撤回。响应文件已按时解密的，备份响应文件自动失效。</w:t>
      </w:r>
    </w:p>
    <w:p w14:paraId="5909030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488656C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特别说明：如遇电子交易平台电子化开启或评审程序调整的，按调整后程序执行。</w:t>
      </w:r>
    </w:p>
    <w:p w14:paraId="4C82130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162CBF94">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七、评审程序</w:t>
      </w:r>
    </w:p>
    <w:p w14:paraId="732721D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29F20C5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磋商文件内容违反国家有关强制性规定的，磋商小组应当停止评审并向采购人或者采购代理机构说明情况。</w:t>
      </w:r>
    </w:p>
    <w:p w14:paraId="5AB6684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（一）资格审查</w:t>
      </w:r>
    </w:p>
    <w:p w14:paraId="2984E4C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开启后，磋商小组依据法律法规和磋商文件的规定，对供应商的资格条件进行审查。</w:t>
      </w:r>
    </w:p>
    <w:p w14:paraId="2A6D506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对未通过资格审查的供应商，磋商小组告知其未通过的原因。</w:t>
      </w:r>
    </w:p>
    <w:p w14:paraId="17D60BA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通过资格审查的供应商不足3家的，不再评审。</w:t>
      </w:r>
    </w:p>
    <w:p w14:paraId="5A60E9A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（二）信用信息查询</w:t>
      </w:r>
    </w:p>
    <w:p w14:paraId="48E2FDB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供应商须知  前附表】。</w:t>
      </w:r>
    </w:p>
    <w:p w14:paraId="140A476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（三）符合性审查</w:t>
      </w:r>
    </w:p>
    <w:p w14:paraId="31E13F8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磋商小组对符合资格的供应商的响应文件进行符合性审查，以确定其是否满足磋商文件的实质性要求。</w:t>
      </w:r>
    </w:p>
    <w:p w14:paraId="027F078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（四）磋商</w:t>
      </w:r>
    </w:p>
    <w:p w14:paraId="14AC25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磋商小组所有成员应当集中与单一供应商分别进行磋商，并给予所有参加磋商的供应商平等的磋商机会。</w:t>
      </w:r>
    </w:p>
    <w:p w14:paraId="58908EB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在磋商过程中，磋商小组可以根据磋商文件和磋商情况实质性变动采购需求中的技术、服务要求以及合同草案条款，但不得变动磋商文件中的其他内容。实质性变动的内容，须经采购人代表确认。</w:t>
      </w:r>
    </w:p>
    <w:p w14:paraId="18C55A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对磋商文件作出的实质性变动是磋商文件的有效组成部分，磋商小组通过电子交易平台以书面形式同时通知所有参加磋商的供应商。</w:t>
      </w:r>
    </w:p>
    <w:p w14:paraId="05F7198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供应商应当按照磋商文件的变动情况和磋商小组的要求通过电子交易平台提交磋商记录，并由供应商代表签名或者加盖公章。</w:t>
      </w:r>
    </w:p>
    <w:p w14:paraId="76E2FA4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磋商说明：详见【第三章  供应商须知  前附表】。</w:t>
      </w:r>
    </w:p>
    <w:p w14:paraId="234D3C5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（五）最后报价</w:t>
      </w:r>
    </w:p>
    <w:p w14:paraId="7538D80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磋商文件能够详细列明采购标的的技术、服务要求的，磋商结束后，磋商小组应当要求所有实质性响应的供应商在规定时间内提交最后报价，提交最后报价的供应商不得少于3家。</w:t>
      </w:r>
    </w:p>
    <w:p w14:paraId="1DD0B76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75E548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最后报价是供应商响应文件的有效组成部分。符合《政府采购竞争性磋商采购方式管理暂行办法》（财库〔2014〕214号）第三条第四项情形的，提交最后报价的供应商可以为2家。</w:t>
      </w:r>
    </w:p>
    <w:p w14:paraId="4F8D740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最后报价出现前后不一致的，按照下列规定修正：</w:t>
      </w:r>
    </w:p>
    <w:p w14:paraId="65FF57A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（1）最后报价内容与响应文件中相应内容不一致的，以最后报价为准；</w:t>
      </w:r>
    </w:p>
    <w:p w14:paraId="3C955D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（2）大写金额和小写金额不一致的，以大写金额为准；</w:t>
      </w:r>
    </w:p>
    <w:p w14:paraId="6AEAD5E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（3）单价金额小数点或者百分比有明显错位的，以最后报价的总价为准，并修改单价；</w:t>
      </w:r>
    </w:p>
    <w:p w14:paraId="7F8D1C1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（4）总价金额与按单价汇总金额不一致的，以单价金额计算结果为准。</w:t>
      </w:r>
    </w:p>
    <w:p w14:paraId="310F548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同时出现两种以上不一致的，按照前款规定的顺序修正。修正后的报价经供应商电子签名（加盖公章）、法定代表人或授权代表签字确认后产生约束力，供应商不确认的，其响应无效。</w:t>
      </w:r>
    </w:p>
    <w:p w14:paraId="4572B14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2"/>
        <w:jc w:val="both"/>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评审中出现下列情形之一的，磋商应当启动异常低价响应审查程序：</w:t>
      </w:r>
    </w:p>
    <w:p w14:paraId="401C04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（1）最后报价低于全部通过符合性审查供应商最后报价平均值50%的，即最后报价&lt;全部通过符合性审查供应商最后报价平均值×50%；</w:t>
      </w:r>
    </w:p>
    <w:p w14:paraId="7A9DD50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（2）最后报价低于通过符合性审查的次低报价供应商最后报价50%的，即最后报价&lt;通过符合性审查的次低报价供应商最后报价×50%；</w:t>
      </w:r>
    </w:p>
    <w:p w14:paraId="54F82BC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（3）最后报价低于采购项目最高限价45%的，即最后报价&lt;采购项目最高限价×45%；</w:t>
      </w:r>
    </w:p>
    <w:p w14:paraId="1924163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（4）磋商小组基于专业判断，认为供应商报价过低，有可能影响</w:t>
      </w:r>
      <w:r>
        <w:rPr>
          <w:rFonts w:hint="eastAsia" w:ascii="宋体" w:hAnsi="宋体" w:cs="宋体"/>
          <w:color w:val="auto"/>
          <w:kern w:val="0"/>
          <w:sz w:val="21"/>
          <w:szCs w:val="21"/>
          <w:highlight w:val="none"/>
          <w:lang w:val="en-US" w:eastAsia="zh-CN" w:bidi="ar"/>
        </w:rPr>
        <w:t>服务</w:t>
      </w:r>
      <w:r>
        <w:rPr>
          <w:rFonts w:hint="eastAsia" w:ascii="宋体" w:hAnsi="宋体" w:eastAsia="宋体" w:cs="宋体"/>
          <w:color w:val="auto"/>
          <w:kern w:val="0"/>
          <w:sz w:val="21"/>
          <w:szCs w:val="21"/>
          <w:highlight w:val="none"/>
          <w:lang w:val="en-US" w:eastAsia="zh-CN" w:bidi="ar"/>
        </w:rPr>
        <w:t>质量或者不能诚信履约的其他情形。</w:t>
      </w:r>
    </w:p>
    <w:p w14:paraId="467254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磋商小组启动异常低价投标审查后，属于前述第1项至第4项情形的，应当要求相关供应商在评审现场合理的时间内对投标价格作出解释，提供项目具体成本测算等与报价合理性相关的书面说明及必要的证明材料，包括但不限于人工成本、</w:t>
      </w:r>
      <w:r>
        <w:rPr>
          <w:rFonts w:hint="eastAsia" w:ascii="宋体" w:hAnsi="宋体" w:cs="宋体"/>
          <w:color w:val="auto"/>
          <w:kern w:val="0"/>
          <w:sz w:val="21"/>
          <w:szCs w:val="21"/>
          <w:highlight w:val="none"/>
          <w:lang w:val="en-US" w:eastAsia="zh-CN" w:bidi="ar"/>
        </w:rPr>
        <w:t>服务</w:t>
      </w:r>
      <w:r>
        <w:rPr>
          <w:rFonts w:hint="eastAsia" w:ascii="宋体" w:hAnsi="宋体" w:eastAsia="宋体" w:cs="宋体"/>
          <w:color w:val="auto"/>
          <w:kern w:val="0"/>
          <w:sz w:val="21"/>
          <w:szCs w:val="21"/>
          <w:highlight w:val="none"/>
          <w:lang w:val="en-US" w:eastAsia="zh-CN" w:bidi="ar"/>
        </w:rPr>
        <w:t>费用等，给予相关供应商的合理时间一般不少于30分钟。其中，属于第3项情形，供应商已随投标文件一并提交相关书面说明及必要的证明材料的，在评审现场可不再重复提交。</w:t>
      </w:r>
    </w:p>
    <w:p w14:paraId="1DB5C4C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磋商小组依据专业经验，参考同类项目中标（成交）价格、类似</w:t>
      </w:r>
      <w:r>
        <w:rPr>
          <w:rFonts w:hint="eastAsia" w:ascii="宋体" w:hAnsi="宋体" w:cs="宋体"/>
          <w:color w:val="auto"/>
          <w:kern w:val="0"/>
          <w:sz w:val="21"/>
          <w:szCs w:val="21"/>
          <w:highlight w:val="none"/>
          <w:lang w:val="en-US" w:eastAsia="zh-CN" w:bidi="ar"/>
        </w:rPr>
        <w:t>服务</w:t>
      </w:r>
      <w:r>
        <w:rPr>
          <w:rFonts w:hint="eastAsia" w:ascii="宋体" w:hAnsi="宋体" w:eastAsia="宋体" w:cs="宋体"/>
          <w:color w:val="auto"/>
          <w:kern w:val="0"/>
          <w:sz w:val="21"/>
          <w:szCs w:val="21"/>
          <w:highlight w:val="none"/>
          <w:lang w:val="en-US" w:eastAsia="zh-CN" w:bidi="ar"/>
        </w:rPr>
        <w:t>市场价格水平、行业人工费用标准、国家有关部门指导行业协会发布的行业平均成本等情况，对报价合理性进行判断。投标供应商不能提供书面说明、证明材料，或者提供的书面说明、证明材料不能证明其报价合理性的，磋商小组应当将其作为无效投标处理。</w:t>
      </w:r>
    </w:p>
    <w:p w14:paraId="15BDA15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采购人、采购代理机构应当为磋商小组在评审现场及时获取同类项目中标（成交）价格、类似</w:t>
      </w:r>
      <w:r>
        <w:rPr>
          <w:rFonts w:hint="eastAsia" w:ascii="宋体" w:hAnsi="宋体" w:cs="宋体"/>
          <w:color w:val="auto"/>
          <w:kern w:val="0"/>
          <w:sz w:val="21"/>
          <w:szCs w:val="21"/>
          <w:highlight w:val="none"/>
          <w:lang w:val="en-US" w:eastAsia="zh-CN" w:bidi="ar"/>
        </w:rPr>
        <w:t>服务</w:t>
      </w:r>
      <w:r>
        <w:rPr>
          <w:rFonts w:hint="eastAsia" w:ascii="宋体" w:hAnsi="宋体" w:eastAsia="宋体" w:cs="宋体"/>
          <w:color w:val="auto"/>
          <w:kern w:val="0"/>
          <w:sz w:val="21"/>
          <w:szCs w:val="21"/>
          <w:highlight w:val="none"/>
          <w:lang w:val="en-US" w:eastAsia="zh-CN" w:bidi="ar"/>
        </w:rPr>
        <w:t>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5C45B3D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异常低价投标审查的启动原因、审查意见和审查结果应当在评审报告中记录，并随供应商提供的相关书面说明及证明材料，以及磋商小组有关互联网浏览、查询历史一并归档。</w:t>
      </w:r>
    </w:p>
    <w:p w14:paraId="6678443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（六）综合评分</w:t>
      </w:r>
    </w:p>
    <w:p w14:paraId="671A94B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经磋商确定最终采购需求和提交最后报价的供应商后，由磋商小组采用</w:t>
      </w:r>
      <w:r>
        <w:rPr>
          <w:rFonts w:hint="eastAsia" w:ascii="宋体" w:hAnsi="宋体" w:eastAsia="宋体" w:cs="宋体"/>
          <w:b/>
          <w:bCs/>
          <w:color w:val="auto"/>
          <w:spacing w:val="0"/>
          <w:kern w:val="0"/>
          <w:sz w:val="21"/>
          <w:szCs w:val="21"/>
          <w:highlight w:val="none"/>
          <w:lang w:val="en-US" w:eastAsia="zh-CN" w:bidi="ar"/>
        </w:rPr>
        <w:t>综合评分法</w:t>
      </w:r>
      <w:r>
        <w:rPr>
          <w:rFonts w:hint="eastAsia" w:ascii="宋体" w:hAnsi="宋体" w:eastAsia="宋体" w:cs="宋体"/>
          <w:color w:val="auto"/>
          <w:spacing w:val="0"/>
          <w:kern w:val="0"/>
          <w:sz w:val="21"/>
          <w:szCs w:val="21"/>
          <w:highlight w:val="none"/>
          <w:lang w:val="en-US" w:eastAsia="zh-CN" w:bidi="ar"/>
        </w:rPr>
        <w:t>对提交最后报价的供应商的响应文件和最后报价进行综合评分。</w:t>
      </w:r>
    </w:p>
    <w:p w14:paraId="2CF2FAF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综合评分法，是指响应文件满足磋商文件全部实质性要求且按评审因素的量化指标评审得分最高的供应商为成交候选供应商的评审方法。</w:t>
      </w:r>
    </w:p>
    <w:p w14:paraId="3F3DACD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（七）汇总商务技术得分</w:t>
      </w:r>
    </w:p>
    <w:p w14:paraId="5FD4ED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磋商小组各成员独立对进入最后报价的供应商的商务和技术文件进行评价，并汇总商务技术得分情况。</w:t>
      </w:r>
    </w:p>
    <w:p w14:paraId="2D8F0BA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69B20D7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（八）排序与推荐</w:t>
      </w:r>
    </w:p>
    <w:p w14:paraId="6F29D6D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w:t>
      </w:r>
    </w:p>
    <w:p w14:paraId="0B842B8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（九）编写评审报告</w:t>
      </w:r>
    </w:p>
    <w:p w14:paraId="406E1DE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7C5CF92F">
      <w:pPr>
        <w:keepNext w:val="0"/>
        <w:keepLines w:val="0"/>
        <w:widowControl/>
        <w:suppressLineNumbers w:val="0"/>
        <w:spacing w:line="288" w:lineRule="auto"/>
        <w:ind w:left="0" w:firstLine="422"/>
        <w:jc w:val="center"/>
        <w:rPr>
          <w:rFonts w:hint="eastAsia" w:ascii="宋体" w:hAnsi="宋体" w:eastAsia="宋体" w:cs="宋体"/>
          <w:b/>
          <w:bCs/>
          <w:color w:val="auto"/>
          <w:spacing w:val="0"/>
          <w:kern w:val="0"/>
          <w:sz w:val="21"/>
          <w:szCs w:val="21"/>
          <w:highlight w:val="none"/>
          <w:lang w:val="en-US" w:eastAsia="zh-CN" w:bidi="ar"/>
        </w:rPr>
      </w:pPr>
    </w:p>
    <w:p w14:paraId="4B7161DC">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八、成交与合同</w:t>
      </w:r>
    </w:p>
    <w:p w14:paraId="54A8E80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（一）成交</w:t>
      </w:r>
    </w:p>
    <w:p w14:paraId="792F287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2FE1405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2.采购代理机构在成交供应商确定后2个工作日内公告成交结果，同时向成交供应商发出成交通知书，并将磋商文件随成交结果同时公告。</w:t>
      </w:r>
    </w:p>
    <w:p w14:paraId="2FE791C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3.评审结果公示媒体：详见【第三章  供应商须知  前附表】。</w:t>
      </w:r>
    </w:p>
    <w:p w14:paraId="28CEA9F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（二）合同授予</w:t>
      </w:r>
    </w:p>
    <w:p w14:paraId="07B05E6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6393157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061E1D7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15C0E850">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九、验  收</w:t>
      </w:r>
    </w:p>
    <w:p w14:paraId="7046A7FC">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061281DA">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采购人可以邀请参加本项目的其他供应商或者第三方机构参与验收。参与验收的供应商或者第三方机构的意见作为验收书的参考资料一并存档。</w:t>
      </w:r>
    </w:p>
    <w:p w14:paraId="34A91419">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24C23972">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47E9104C">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第四章 评审方法和评审标准</w:t>
      </w:r>
    </w:p>
    <w:p w14:paraId="412C116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一、评审方法</w:t>
      </w:r>
    </w:p>
    <w:p w14:paraId="1162417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本次评审采用综合评分法，总分为100分。评分过程中采用四舍五入法，并保留小数2位。</w:t>
      </w:r>
    </w:p>
    <w:p w14:paraId="04D8CC2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供应商评审综合得分=商务分+技术分+价格分</w:t>
      </w:r>
    </w:p>
    <w:p w14:paraId="0A683E1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45D8E34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小微企业价格扣除优惠：本项目对符合规定的小微企业报价给予【10】%的扣除后计算价格得分。对于联合协议或者分包意向协议约定小微企业的合同份额占到合同总金额30%以上的，对联合体或者大中型企业的报价给予【4】%的扣除，用扣除后的价格参加评审。</w:t>
      </w:r>
    </w:p>
    <w:p w14:paraId="5E59AED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5EEEC5D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二、评审标准</w:t>
      </w:r>
    </w:p>
    <w:tbl>
      <w:tblPr>
        <w:tblStyle w:val="9"/>
        <w:tblW w:w="4997"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850"/>
        <w:gridCol w:w="681"/>
        <w:gridCol w:w="7425"/>
      </w:tblGrid>
      <w:tr w14:paraId="2DFF1EE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283" w:hRule="atLeast"/>
        </w:trPr>
        <w:tc>
          <w:tcPr>
            <w:tcW w:w="929" w:type="pct"/>
            <w:tcBorders>
              <w:tl2br w:val="nil"/>
              <w:tr2bl w:val="nil"/>
            </w:tcBorders>
            <w:vAlign w:val="center"/>
          </w:tcPr>
          <w:p w14:paraId="79F932B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kern w:val="2"/>
                <w:sz w:val="21"/>
                <w:szCs w:val="21"/>
                <w:highlight w:val="none"/>
                <w:lang w:val="en-US" w:eastAsia="zh-CN" w:bidi="ar-SA"/>
              </w:rPr>
            </w:pPr>
            <w:r>
              <w:rPr>
                <w:rFonts w:hint="eastAsia" w:ascii="宋体" w:hAnsi="宋体" w:eastAsia="宋体" w:cs="Times New Roman"/>
                <w:b/>
                <w:bCs/>
                <w:color w:val="auto"/>
                <w:kern w:val="2"/>
                <w:sz w:val="21"/>
                <w:szCs w:val="21"/>
                <w:highlight w:val="none"/>
                <w:lang w:val="en-US" w:eastAsia="zh-CN" w:bidi="ar-SA"/>
              </w:rPr>
              <w:t>评审因素</w:t>
            </w:r>
          </w:p>
        </w:tc>
        <w:tc>
          <w:tcPr>
            <w:tcW w:w="342" w:type="pct"/>
            <w:tcBorders>
              <w:tl2br w:val="nil"/>
              <w:tr2bl w:val="nil"/>
            </w:tcBorders>
            <w:vAlign w:val="center"/>
          </w:tcPr>
          <w:p w14:paraId="2FF1DCE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kern w:val="2"/>
                <w:sz w:val="21"/>
                <w:szCs w:val="21"/>
                <w:highlight w:val="none"/>
                <w:lang w:val="en-US" w:eastAsia="zh-CN" w:bidi="ar-SA"/>
              </w:rPr>
            </w:pPr>
            <w:r>
              <w:rPr>
                <w:rFonts w:hint="eastAsia" w:ascii="宋体" w:hAnsi="宋体" w:eastAsia="宋体" w:cs="Times New Roman"/>
                <w:b/>
                <w:bCs/>
                <w:color w:val="auto"/>
                <w:kern w:val="2"/>
                <w:sz w:val="21"/>
                <w:szCs w:val="21"/>
                <w:highlight w:val="none"/>
                <w:lang w:val="en-US" w:eastAsia="zh-CN" w:bidi="ar-SA"/>
              </w:rPr>
              <w:t>分值</w:t>
            </w:r>
          </w:p>
        </w:tc>
        <w:tc>
          <w:tcPr>
            <w:tcW w:w="3727" w:type="pct"/>
            <w:tcBorders>
              <w:tl2br w:val="nil"/>
              <w:tr2bl w:val="nil"/>
            </w:tcBorders>
            <w:vAlign w:val="center"/>
          </w:tcPr>
          <w:p w14:paraId="4335C00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kern w:val="2"/>
                <w:sz w:val="21"/>
                <w:szCs w:val="21"/>
                <w:highlight w:val="none"/>
                <w:lang w:val="en-US" w:eastAsia="zh-CN" w:bidi="ar-SA"/>
              </w:rPr>
            </w:pPr>
            <w:r>
              <w:rPr>
                <w:rFonts w:hint="default" w:ascii="宋体" w:hAnsi="宋体" w:eastAsia="宋体" w:cs="Times New Roman"/>
                <w:b/>
                <w:bCs/>
                <w:color w:val="auto"/>
                <w:kern w:val="2"/>
                <w:sz w:val="21"/>
                <w:szCs w:val="21"/>
                <w:highlight w:val="none"/>
                <w:lang w:val="en-US" w:eastAsia="zh-CN" w:bidi="ar-SA"/>
              </w:rPr>
              <w:t>评分标准</w:t>
            </w:r>
          </w:p>
        </w:tc>
      </w:tr>
      <w:tr w14:paraId="654086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5000" w:type="pct"/>
            <w:gridSpan w:val="3"/>
            <w:tcBorders>
              <w:tl2br w:val="nil"/>
              <w:tr2bl w:val="nil"/>
            </w:tcBorders>
            <w:vAlign w:val="center"/>
          </w:tcPr>
          <w:p w14:paraId="2242552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kern w:val="2"/>
                <w:sz w:val="21"/>
                <w:szCs w:val="21"/>
                <w:highlight w:val="none"/>
                <w:lang w:val="en-US" w:eastAsia="zh-CN" w:bidi="ar-SA"/>
              </w:rPr>
            </w:pPr>
            <w:r>
              <w:rPr>
                <w:rFonts w:hint="default" w:ascii="宋体" w:hAnsi="宋体" w:eastAsia="宋体" w:cs="Times New Roman"/>
                <w:b/>
                <w:bCs/>
                <w:color w:val="auto"/>
                <w:kern w:val="2"/>
                <w:sz w:val="21"/>
                <w:szCs w:val="21"/>
                <w:highlight w:val="none"/>
                <w:lang w:val="en-US" w:eastAsia="zh-CN" w:bidi="ar-SA"/>
              </w:rPr>
              <w:t>价格</w:t>
            </w:r>
            <w:r>
              <w:rPr>
                <w:rFonts w:hint="eastAsia" w:ascii="宋体" w:hAnsi="宋体" w:eastAsia="宋体" w:cs="Times New Roman"/>
                <w:b/>
                <w:bCs/>
                <w:color w:val="auto"/>
                <w:kern w:val="2"/>
                <w:sz w:val="21"/>
                <w:szCs w:val="21"/>
                <w:highlight w:val="none"/>
                <w:lang w:val="en-US" w:eastAsia="zh-CN" w:bidi="ar-SA"/>
              </w:rPr>
              <w:t>分（1</w:t>
            </w:r>
            <w:r>
              <w:rPr>
                <w:rFonts w:hint="default" w:ascii="宋体" w:hAnsi="宋体" w:eastAsia="宋体" w:cs="Times New Roman"/>
                <w:b/>
                <w:bCs/>
                <w:color w:val="auto"/>
                <w:kern w:val="2"/>
                <w:sz w:val="21"/>
                <w:szCs w:val="21"/>
                <w:highlight w:val="none"/>
                <w:lang w:val="en-US" w:eastAsia="zh-CN" w:bidi="ar-SA"/>
              </w:rPr>
              <w:t>0</w:t>
            </w:r>
            <w:r>
              <w:rPr>
                <w:rFonts w:hint="eastAsia" w:ascii="宋体" w:hAnsi="宋体" w:eastAsia="宋体" w:cs="Times New Roman"/>
                <w:b/>
                <w:bCs/>
                <w:color w:val="auto"/>
                <w:kern w:val="2"/>
                <w:sz w:val="21"/>
                <w:szCs w:val="21"/>
                <w:highlight w:val="none"/>
                <w:lang w:val="en-US" w:eastAsia="zh-CN" w:bidi="ar-SA"/>
              </w:rPr>
              <w:t>）</w:t>
            </w:r>
          </w:p>
        </w:tc>
      </w:tr>
      <w:tr w14:paraId="004CAA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929" w:type="pct"/>
            <w:tcBorders>
              <w:tl2br w:val="nil"/>
              <w:tr2bl w:val="nil"/>
            </w:tcBorders>
            <w:vAlign w:val="center"/>
          </w:tcPr>
          <w:p w14:paraId="26C9DDEB">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
              </w:rPr>
              <w:t>最后磋商报价</w:t>
            </w:r>
          </w:p>
        </w:tc>
        <w:tc>
          <w:tcPr>
            <w:tcW w:w="342" w:type="pct"/>
            <w:tcBorders>
              <w:tl2br w:val="nil"/>
              <w:tr2bl w:val="nil"/>
            </w:tcBorders>
            <w:vAlign w:val="center"/>
          </w:tcPr>
          <w:p w14:paraId="5BE5A24D">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0"/>
                <w:sz w:val="21"/>
                <w:szCs w:val="21"/>
                <w:highlight w:val="none"/>
                <w:lang w:val="en-US" w:eastAsia="zh-CN" w:bidi="ar"/>
              </w:rPr>
              <w:t>1</w:t>
            </w:r>
            <w:r>
              <w:rPr>
                <w:rFonts w:hint="eastAsia" w:ascii="宋体" w:hAnsi="宋体" w:eastAsia="宋体" w:cs="宋体"/>
                <w:b/>
                <w:bCs/>
                <w:color w:val="auto"/>
                <w:kern w:val="0"/>
                <w:sz w:val="21"/>
                <w:szCs w:val="21"/>
                <w:highlight w:val="none"/>
                <w:lang w:val="en-US" w:eastAsia="zh-CN" w:bidi="ar"/>
              </w:rPr>
              <w:t>0</w:t>
            </w:r>
          </w:p>
        </w:tc>
        <w:tc>
          <w:tcPr>
            <w:tcW w:w="3727" w:type="pct"/>
            <w:tcBorders>
              <w:tl2br w:val="nil"/>
              <w:tr2bl w:val="nil"/>
            </w:tcBorders>
            <w:vAlign w:val="center"/>
          </w:tcPr>
          <w:p w14:paraId="01C99FEE">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价格分统一采用低价优先法计算，即满足磋商文件要求且最后报价最低的供应商的价格为磋商基准价，其价格分为满分。其他供应商的价格分统一按照下列公式计算：</w:t>
            </w:r>
          </w:p>
          <w:p w14:paraId="3D5FA7DA">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
              </w:rPr>
              <w:t>磋商报价得分=（磋商基准价/最后磋商报价）×</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0%×100</w:t>
            </w:r>
          </w:p>
        </w:tc>
      </w:tr>
      <w:tr w14:paraId="6C2472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5000" w:type="pct"/>
            <w:gridSpan w:val="3"/>
            <w:tcBorders>
              <w:tl2br w:val="nil"/>
              <w:tr2bl w:val="nil"/>
            </w:tcBorders>
            <w:vAlign w:val="center"/>
          </w:tcPr>
          <w:p w14:paraId="12C8FC5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kern w:val="2"/>
                <w:sz w:val="21"/>
                <w:szCs w:val="21"/>
                <w:highlight w:val="none"/>
                <w:lang w:val="en-US" w:eastAsia="zh-CN" w:bidi="ar-SA"/>
              </w:rPr>
            </w:pPr>
            <w:r>
              <w:rPr>
                <w:rFonts w:hint="default" w:ascii="宋体" w:hAnsi="宋体" w:eastAsia="宋体" w:cs="Times New Roman"/>
                <w:b/>
                <w:bCs/>
                <w:color w:val="auto"/>
                <w:kern w:val="2"/>
                <w:sz w:val="21"/>
                <w:szCs w:val="21"/>
                <w:highlight w:val="none"/>
                <w:lang w:val="en-US" w:eastAsia="zh-CN" w:bidi="ar-SA"/>
              </w:rPr>
              <w:t>商务分</w:t>
            </w:r>
            <w:r>
              <w:rPr>
                <w:rFonts w:hint="eastAsia" w:ascii="宋体" w:hAnsi="宋体" w:eastAsia="宋体" w:cs="Times New Roman"/>
                <w:b/>
                <w:bCs/>
                <w:color w:val="auto"/>
                <w:kern w:val="2"/>
                <w:sz w:val="21"/>
                <w:szCs w:val="21"/>
                <w:highlight w:val="none"/>
                <w:lang w:val="en-US" w:eastAsia="zh-CN" w:bidi="ar-SA"/>
              </w:rPr>
              <w:t>（1）</w:t>
            </w:r>
          </w:p>
        </w:tc>
      </w:tr>
      <w:tr w14:paraId="5EC81C5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929" w:type="pct"/>
            <w:tcBorders>
              <w:tl2br w:val="nil"/>
              <w:tr2bl w:val="nil"/>
            </w:tcBorders>
            <w:vAlign w:val="center"/>
          </w:tcPr>
          <w:p w14:paraId="6BC4BB7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业绩</w:t>
            </w:r>
          </w:p>
        </w:tc>
        <w:tc>
          <w:tcPr>
            <w:tcW w:w="342" w:type="pct"/>
            <w:tcBorders>
              <w:tl2br w:val="nil"/>
              <w:tr2bl w:val="nil"/>
            </w:tcBorders>
            <w:vAlign w:val="center"/>
          </w:tcPr>
          <w:p w14:paraId="7F2F097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w:t>
            </w:r>
          </w:p>
        </w:tc>
        <w:tc>
          <w:tcPr>
            <w:tcW w:w="3727" w:type="pct"/>
            <w:tcBorders>
              <w:tl2br w:val="nil"/>
              <w:tr2bl w:val="nil"/>
            </w:tcBorders>
            <w:vAlign w:val="center"/>
          </w:tcPr>
          <w:p w14:paraId="253278D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【客观分】</w:t>
            </w:r>
            <w:r>
              <w:rPr>
                <w:rFonts w:hint="eastAsia" w:ascii="宋体" w:hAnsi="宋体" w:cs="宋体"/>
                <w:color w:val="auto"/>
                <w:kern w:val="2"/>
                <w:sz w:val="21"/>
                <w:szCs w:val="21"/>
                <w:highlight w:val="none"/>
                <w:lang w:val="en-US" w:eastAsia="zh-CN" w:bidi="ar-SA"/>
              </w:rPr>
              <w:t>供应商</w:t>
            </w:r>
            <w:r>
              <w:rPr>
                <w:rFonts w:hint="eastAsia" w:ascii="宋体" w:hAnsi="宋体" w:eastAsia="宋体" w:cs="宋体"/>
                <w:color w:val="auto"/>
                <w:kern w:val="2"/>
                <w:sz w:val="21"/>
                <w:szCs w:val="21"/>
                <w:highlight w:val="none"/>
                <w:lang w:val="en-US" w:eastAsia="zh-CN" w:bidi="ar-SA"/>
              </w:rPr>
              <w:t>自2023年1月1日以来（以合同签订时间为准）同类合同业绩（以提供的合同扫描件为准）：每提供1份合同业绩得0.5分，最高得1分。</w:t>
            </w:r>
          </w:p>
        </w:tc>
      </w:tr>
      <w:tr w14:paraId="4ADFF8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5000" w:type="pct"/>
            <w:gridSpan w:val="3"/>
            <w:tcBorders>
              <w:tl2br w:val="nil"/>
              <w:tr2bl w:val="nil"/>
            </w:tcBorders>
            <w:vAlign w:val="center"/>
          </w:tcPr>
          <w:p w14:paraId="536050D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kern w:val="2"/>
                <w:sz w:val="21"/>
                <w:szCs w:val="21"/>
                <w:highlight w:val="none"/>
                <w:lang w:val="en-US" w:eastAsia="zh-CN" w:bidi="ar-SA"/>
              </w:rPr>
            </w:pPr>
            <w:r>
              <w:rPr>
                <w:rFonts w:hint="eastAsia" w:ascii="宋体" w:hAnsi="宋体" w:eastAsia="宋体" w:cs="Times New Roman"/>
                <w:b/>
                <w:bCs/>
                <w:color w:val="auto"/>
                <w:kern w:val="2"/>
                <w:sz w:val="21"/>
                <w:szCs w:val="21"/>
                <w:highlight w:val="none"/>
                <w:lang w:val="en-US" w:eastAsia="zh-CN" w:bidi="ar-SA"/>
              </w:rPr>
              <w:t>技术</w:t>
            </w:r>
            <w:r>
              <w:rPr>
                <w:rFonts w:hint="default" w:ascii="宋体" w:hAnsi="宋体" w:eastAsia="宋体" w:cs="Times New Roman"/>
                <w:b/>
                <w:bCs/>
                <w:color w:val="auto"/>
                <w:kern w:val="2"/>
                <w:sz w:val="21"/>
                <w:szCs w:val="21"/>
                <w:highlight w:val="none"/>
                <w:lang w:val="en-US" w:eastAsia="zh-CN" w:bidi="ar-SA"/>
              </w:rPr>
              <w:t>分</w:t>
            </w:r>
            <w:r>
              <w:rPr>
                <w:rFonts w:hint="eastAsia" w:ascii="宋体" w:hAnsi="宋体" w:eastAsia="宋体" w:cs="Times New Roman"/>
                <w:b/>
                <w:bCs/>
                <w:color w:val="auto"/>
                <w:kern w:val="2"/>
                <w:sz w:val="21"/>
                <w:szCs w:val="21"/>
                <w:highlight w:val="none"/>
                <w:lang w:val="en-US" w:eastAsia="zh-CN" w:bidi="ar-SA"/>
              </w:rPr>
              <w:t>（89）</w:t>
            </w:r>
          </w:p>
        </w:tc>
      </w:tr>
      <w:tr w14:paraId="4C1080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929" w:type="pct"/>
            <w:tcBorders>
              <w:tl2br w:val="nil"/>
              <w:tr2bl w:val="nil"/>
            </w:tcBorders>
            <w:vAlign w:val="center"/>
          </w:tcPr>
          <w:p w14:paraId="727487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响应程度</w:t>
            </w:r>
          </w:p>
        </w:tc>
        <w:tc>
          <w:tcPr>
            <w:tcW w:w="342" w:type="pct"/>
            <w:tcBorders>
              <w:tl2br w:val="nil"/>
              <w:tr2bl w:val="nil"/>
            </w:tcBorders>
            <w:vAlign w:val="center"/>
          </w:tcPr>
          <w:p w14:paraId="67DD57C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40</w:t>
            </w:r>
          </w:p>
        </w:tc>
        <w:tc>
          <w:tcPr>
            <w:tcW w:w="3727" w:type="pct"/>
            <w:tcBorders>
              <w:tl2br w:val="nil"/>
              <w:tr2bl w:val="nil"/>
            </w:tcBorders>
            <w:vAlign w:val="center"/>
          </w:tcPr>
          <w:p w14:paraId="7C67A7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【客观分】</w:t>
            </w:r>
          </w:p>
          <w:p w14:paraId="682BD81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不符合（负偏离）技术要求中标注“▲”条款（不可偏离）的</w:t>
            </w:r>
            <w:r>
              <w:rPr>
                <w:rFonts w:hint="eastAsia" w:ascii="宋体" w:hAnsi="宋体" w:cs="宋体"/>
                <w:color w:val="auto"/>
                <w:kern w:val="2"/>
                <w:sz w:val="21"/>
                <w:szCs w:val="21"/>
                <w:highlight w:val="none"/>
                <w:lang w:val="en-US" w:eastAsia="zh-CN" w:bidi="ar-SA"/>
              </w:rPr>
              <w:t>响应</w:t>
            </w:r>
            <w:r>
              <w:rPr>
                <w:rFonts w:hint="eastAsia" w:ascii="宋体" w:hAnsi="宋体" w:eastAsia="宋体" w:cs="宋体"/>
                <w:color w:val="auto"/>
                <w:kern w:val="2"/>
                <w:sz w:val="21"/>
                <w:szCs w:val="21"/>
                <w:highlight w:val="none"/>
                <w:lang w:val="en-US" w:eastAsia="zh-CN" w:bidi="ar-SA"/>
              </w:rPr>
              <w:t>无效；</w:t>
            </w:r>
          </w:p>
          <w:p w14:paraId="3FAB495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满足</w:t>
            </w:r>
            <w:r>
              <w:rPr>
                <w:rFonts w:hint="eastAsia" w:ascii="宋体" w:hAnsi="宋体" w:cs="宋体"/>
                <w:color w:val="auto"/>
                <w:kern w:val="2"/>
                <w:sz w:val="21"/>
                <w:szCs w:val="21"/>
                <w:highlight w:val="none"/>
                <w:lang w:val="en-US" w:eastAsia="zh-CN" w:bidi="ar-SA"/>
              </w:rPr>
              <w:t>磋商</w:t>
            </w:r>
            <w:r>
              <w:rPr>
                <w:rFonts w:hint="eastAsia" w:ascii="宋体" w:hAnsi="宋体" w:eastAsia="宋体" w:cs="宋体"/>
                <w:color w:val="auto"/>
                <w:kern w:val="2"/>
                <w:sz w:val="21"/>
                <w:szCs w:val="21"/>
                <w:highlight w:val="none"/>
                <w:lang w:val="en-US" w:eastAsia="zh-CN" w:bidi="ar-SA"/>
              </w:rPr>
              <w:t>文件明确的全部服务要求的</w:t>
            </w:r>
            <w:r>
              <w:rPr>
                <w:rFonts w:hint="eastAsia" w:ascii="宋体" w:hAnsi="宋体" w:eastAsia="宋体" w:cs="Times New Roman"/>
                <w:color w:val="auto"/>
                <w:kern w:val="2"/>
                <w:sz w:val="21"/>
                <w:szCs w:val="21"/>
                <w:highlight w:val="none"/>
                <w:lang w:val="en-US" w:eastAsia="zh-CN" w:bidi="ar-SA"/>
              </w:rPr>
              <w:t>该项得满分</w:t>
            </w:r>
            <w:r>
              <w:rPr>
                <w:rFonts w:hint="eastAsia" w:ascii="宋体" w:hAnsi="宋体" w:eastAsia="宋体" w:cs="宋体"/>
                <w:color w:val="auto"/>
                <w:kern w:val="2"/>
                <w:sz w:val="21"/>
                <w:szCs w:val="21"/>
                <w:highlight w:val="none"/>
                <w:lang w:val="en-US" w:eastAsia="zh-CN" w:bidi="ar-SA"/>
              </w:rPr>
              <w:t>；</w:t>
            </w:r>
          </w:p>
          <w:p w14:paraId="67E0ADD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响应</w:t>
            </w:r>
            <w:r>
              <w:rPr>
                <w:rFonts w:hint="eastAsia" w:ascii="宋体" w:hAnsi="宋体" w:eastAsia="宋体" w:cs="宋体"/>
                <w:color w:val="auto"/>
                <w:kern w:val="2"/>
                <w:sz w:val="21"/>
                <w:szCs w:val="21"/>
                <w:highlight w:val="none"/>
                <w:lang w:val="en-US" w:eastAsia="zh-CN" w:bidi="ar-SA"/>
              </w:rPr>
              <w:t>条款低于服务要求（负偏离）的每项扣</w:t>
            </w:r>
            <w:r>
              <w:rPr>
                <w:rFonts w:hint="eastAsia" w:ascii="宋体" w:hAnsi="宋体" w:cs="宋体"/>
                <w:color w:val="auto"/>
                <w:kern w:val="2"/>
                <w:sz w:val="21"/>
                <w:szCs w:val="21"/>
                <w:highlight w:val="none"/>
                <w:lang w:val="en-US" w:eastAsia="zh-CN" w:bidi="ar-SA"/>
              </w:rPr>
              <w:t>4</w:t>
            </w:r>
            <w:r>
              <w:rPr>
                <w:rFonts w:hint="eastAsia" w:ascii="宋体" w:hAnsi="宋体" w:eastAsia="宋体" w:cs="宋体"/>
                <w:color w:val="auto"/>
                <w:kern w:val="2"/>
                <w:sz w:val="21"/>
                <w:szCs w:val="21"/>
                <w:highlight w:val="none"/>
                <w:lang w:val="en-US" w:eastAsia="zh-CN" w:bidi="ar-SA"/>
              </w:rPr>
              <w:t>分；</w:t>
            </w:r>
          </w:p>
          <w:p w14:paraId="1B8A66D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负偏离</w:t>
            </w:r>
            <w:r>
              <w:rPr>
                <w:rFonts w:hint="eastAsia" w:ascii="宋体" w:hAnsi="宋体" w:cs="宋体"/>
                <w:color w:val="auto"/>
                <w:kern w:val="2"/>
                <w:sz w:val="21"/>
                <w:szCs w:val="21"/>
                <w:highlight w:val="none"/>
                <w:lang w:val="en-US" w:eastAsia="zh-CN" w:bidi="ar-SA"/>
              </w:rPr>
              <w:t>10</w:t>
            </w:r>
            <w:r>
              <w:rPr>
                <w:rFonts w:hint="default" w:ascii="宋体" w:hAnsi="宋体" w:eastAsia="宋体" w:cs="宋体"/>
                <w:color w:val="auto"/>
                <w:kern w:val="2"/>
                <w:sz w:val="21"/>
                <w:szCs w:val="21"/>
                <w:highlight w:val="none"/>
                <w:lang w:val="en-US" w:eastAsia="zh-CN" w:bidi="ar-SA"/>
              </w:rPr>
              <w:t>项及以上的，视为采购人不能接受的附加条件。</w:t>
            </w:r>
          </w:p>
        </w:tc>
      </w:tr>
      <w:tr w14:paraId="685A12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929" w:type="pct"/>
            <w:vMerge w:val="restart"/>
            <w:tcBorders>
              <w:tl2br w:val="nil"/>
              <w:tr2bl w:val="nil"/>
            </w:tcBorders>
            <w:vAlign w:val="center"/>
          </w:tcPr>
          <w:p w14:paraId="41CAA21C">
            <w:pPr>
              <w:keepNext w:val="0"/>
              <w:keepLines w:val="0"/>
              <w:suppressLineNumbers w:val="0"/>
              <w:spacing w:before="0" w:beforeAutospacing="0" w:after="0" w:afterAutospacing="0"/>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技术</w:t>
            </w:r>
            <w:r>
              <w:rPr>
                <w:rFonts w:hint="eastAsia" w:ascii="宋体" w:hAnsi="宋体" w:eastAsia="宋体" w:cs="宋体"/>
                <w:b/>
                <w:bCs/>
                <w:color w:val="auto"/>
                <w:kern w:val="0"/>
                <w:sz w:val="21"/>
                <w:szCs w:val="21"/>
                <w:highlight w:val="none"/>
                <w:lang w:val="en-US" w:eastAsia="zh-CN" w:bidi="ar-SA"/>
              </w:rPr>
              <w:t>方案</w:t>
            </w:r>
          </w:p>
        </w:tc>
        <w:tc>
          <w:tcPr>
            <w:tcW w:w="342" w:type="pct"/>
            <w:tcBorders>
              <w:tl2br w:val="nil"/>
              <w:tr2bl w:val="nil"/>
            </w:tcBorders>
            <w:vAlign w:val="center"/>
          </w:tcPr>
          <w:p w14:paraId="1906455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5</w:t>
            </w:r>
          </w:p>
        </w:tc>
        <w:tc>
          <w:tcPr>
            <w:tcW w:w="3727" w:type="pct"/>
            <w:tcBorders>
              <w:tl2br w:val="nil"/>
              <w:tr2bl w:val="nil"/>
            </w:tcBorders>
            <w:vAlign w:val="center"/>
          </w:tcPr>
          <w:p w14:paraId="1E87A7A5">
            <w:pPr>
              <w:keepNext w:val="0"/>
              <w:keepLines w:val="0"/>
              <w:suppressLineNumbers w:val="0"/>
              <w:spacing w:before="0" w:beforeAutospacing="0" w:after="0" w:afterAutospacing="0"/>
              <w:ind w:left="0" w:right="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【主观分】供应商针对芯粒多场耦合仿真建模模块（CLI或GUI）提供的开发方案的可行性、针对性、先进性（评分范围：5,4,3,2,1,0）。</w:t>
            </w:r>
          </w:p>
        </w:tc>
      </w:tr>
      <w:tr w14:paraId="6EFB43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929" w:type="pct"/>
            <w:vMerge w:val="continue"/>
            <w:tcBorders>
              <w:tl2br w:val="nil"/>
              <w:tr2bl w:val="nil"/>
            </w:tcBorders>
            <w:vAlign w:val="center"/>
          </w:tcPr>
          <w:p w14:paraId="1CB7DB7A">
            <w:pPr>
              <w:keepNext w:val="0"/>
              <w:keepLines w:val="0"/>
              <w:suppressLineNumbers w:val="0"/>
              <w:spacing w:before="0" w:beforeAutospacing="0" w:after="0" w:afterAutospacing="0"/>
              <w:ind w:left="0" w:right="0"/>
              <w:jc w:val="center"/>
              <w:rPr>
                <w:rFonts w:hint="default" w:ascii="宋体" w:hAnsi="宋体" w:eastAsia="宋体" w:cs="宋体"/>
                <w:b/>
                <w:bCs/>
                <w:color w:val="auto"/>
                <w:kern w:val="2"/>
                <w:sz w:val="21"/>
                <w:szCs w:val="21"/>
                <w:highlight w:val="none"/>
                <w:lang w:val="en-US" w:eastAsia="zh-CN" w:bidi="ar-SA"/>
              </w:rPr>
            </w:pPr>
          </w:p>
        </w:tc>
        <w:tc>
          <w:tcPr>
            <w:tcW w:w="342" w:type="pct"/>
            <w:tcBorders>
              <w:tl2br w:val="nil"/>
              <w:tr2bl w:val="nil"/>
            </w:tcBorders>
            <w:vAlign w:val="center"/>
          </w:tcPr>
          <w:p w14:paraId="77BC1A9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5</w:t>
            </w:r>
          </w:p>
        </w:tc>
        <w:tc>
          <w:tcPr>
            <w:tcW w:w="3727" w:type="pct"/>
            <w:tcBorders>
              <w:tl2br w:val="nil"/>
              <w:tr2bl w:val="nil"/>
            </w:tcBorders>
            <w:vAlign w:val="center"/>
          </w:tcPr>
          <w:p w14:paraId="197EBE35">
            <w:pPr>
              <w:keepNext w:val="0"/>
              <w:keepLines w:val="0"/>
              <w:suppressLineNumbers w:val="0"/>
              <w:spacing w:before="0" w:beforeAutospacing="0" w:after="0" w:afterAutospacing="0"/>
              <w:ind w:left="0" w:right="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【主观分】供应商针对GaAs/GaN功率晶体管管芯级电热耦合数值仿真模型提供的开发方案的可行性、针对性、先进性（评分范围：5,4,3,2,1,0）。</w:t>
            </w:r>
          </w:p>
        </w:tc>
      </w:tr>
      <w:tr w14:paraId="776185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929" w:type="pct"/>
            <w:vMerge w:val="continue"/>
            <w:tcBorders>
              <w:tl2br w:val="nil"/>
              <w:tr2bl w:val="nil"/>
            </w:tcBorders>
            <w:vAlign w:val="center"/>
          </w:tcPr>
          <w:p w14:paraId="733ABF02">
            <w:pPr>
              <w:keepNext w:val="0"/>
              <w:keepLines w:val="0"/>
              <w:suppressLineNumbers w:val="0"/>
              <w:spacing w:before="0" w:beforeAutospacing="0" w:after="0" w:afterAutospacing="0"/>
              <w:ind w:left="0" w:right="0"/>
              <w:jc w:val="center"/>
              <w:rPr>
                <w:rFonts w:hint="default" w:ascii="宋体" w:hAnsi="宋体" w:eastAsia="宋体" w:cs="Times New Roman"/>
                <w:b/>
                <w:bCs/>
                <w:color w:val="auto"/>
                <w:kern w:val="2"/>
                <w:sz w:val="21"/>
                <w:szCs w:val="21"/>
                <w:highlight w:val="none"/>
                <w:lang w:val="en-US" w:eastAsia="zh-CN" w:bidi="ar-SA"/>
              </w:rPr>
            </w:pPr>
          </w:p>
        </w:tc>
        <w:tc>
          <w:tcPr>
            <w:tcW w:w="342" w:type="pct"/>
            <w:tcBorders>
              <w:tl2br w:val="nil"/>
              <w:tr2bl w:val="nil"/>
            </w:tcBorders>
            <w:vAlign w:val="center"/>
          </w:tcPr>
          <w:p w14:paraId="5893AA9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5</w:t>
            </w:r>
          </w:p>
        </w:tc>
        <w:tc>
          <w:tcPr>
            <w:tcW w:w="3727" w:type="pct"/>
            <w:tcBorders>
              <w:tl2br w:val="nil"/>
              <w:tr2bl w:val="nil"/>
            </w:tcBorders>
            <w:vAlign w:val="center"/>
          </w:tcPr>
          <w:p w14:paraId="232CC93F">
            <w:pPr>
              <w:keepNext w:val="0"/>
              <w:keepLines w:val="0"/>
              <w:suppressLineNumbers w:val="0"/>
              <w:spacing w:before="0" w:beforeAutospacing="0" w:after="0" w:afterAutospacing="0"/>
              <w:ind w:left="0" w:right="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【主观分】供应商针对电路级多芯粒集成电-热-力耦合仿真模型提供的开发方案的可行性、针对性、先进性（评分范围：5,4,3,2,1,0）。</w:t>
            </w:r>
          </w:p>
        </w:tc>
      </w:tr>
      <w:tr w14:paraId="55078A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929" w:type="pct"/>
            <w:vMerge w:val="continue"/>
            <w:tcBorders>
              <w:tl2br w:val="nil"/>
              <w:tr2bl w:val="nil"/>
            </w:tcBorders>
            <w:vAlign w:val="center"/>
          </w:tcPr>
          <w:p w14:paraId="7FA5A06B">
            <w:pPr>
              <w:keepNext w:val="0"/>
              <w:keepLines w:val="0"/>
              <w:suppressLineNumbers w:val="0"/>
              <w:spacing w:before="0" w:beforeAutospacing="0" w:after="0" w:afterAutospacing="0"/>
              <w:ind w:left="0" w:right="0"/>
              <w:jc w:val="center"/>
              <w:rPr>
                <w:rFonts w:hint="default" w:ascii="宋体" w:hAnsi="宋体" w:eastAsia="宋体" w:cs="Times New Roman"/>
                <w:b/>
                <w:bCs/>
                <w:color w:val="auto"/>
                <w:kern w:val="2"/>
                <w:sz w:val="21"/>
                <w:szCs w:val="21"/>
                <w:highlight w:val="none"/>
                <w:lang w:val="en-US" w:eastAsia="zh-CN" w:bidi="ar-SA"/>
              </w:rPr>
            </w:pPr>
          </w:p>
        </w:tc>
        <w:tc>
          <w:tcPr>
            <w:tcW w:w="342" w:type="pct"/>
            <w:tcBorders>
              <w:tl2br w:val="nil"/>
              <w:tr2bl w:val="nil"/>
            </w:tcBorders>
            <w:vAlign w:val="center"/>
          </w:tcPr>
          <w:p w14:paraId="14EA2C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5</w:t>
            </w:r>
          </w:p>
        </w:tc>
        <w:tc>
          <w:tcPr>
            <w:tcW w:w="3727" w:type="pct"/>
            <w:tcBorders>
              <w:tl2br w:val="nil"/>
              <w:tr2bl w:val="nil"/>
            </w:tcBorders>
            <w:vAlign w:val="center"/>
          </w:tcPr>
          <w:p w14:paraId="1B6CCC7E">
            <w:pPr>
              <w:keepNext w:val="0"/>
              <w:keepLines w:val="0"/>
              <w:suppressLineNumbers w:val="0"/>
              <w:spacing w:before="0" w:beforeAutospacing="0" w:after="0" w:afterAutospacing="0"/>
              <w:ind w:left="0" w:right="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【主观分】供应商针对芯粒层级耦合仿真模型1：电磁-热耦合互连模型提供的开发方案的可行性、针对性、先进性（评分范围：5,4,3,2,1,0）。</w:t>
            </w:r>
          </w:p>
        </w:tc>
      </w:tr>
      <w:tr w14:paraId="562F979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929" w:type="pct"/>
            <w:vMerge w:val="continue"/>
            <w:tcBorders>
              <w:tl2br w:val="nil"/>
              <w:tr2bl w:val="nil"/>
            </w:tcBorders>
            <w:vAlign w:val="center"/>
          </w:tcPr>
          <w:p w14:paraId="390ED0B1">
            <w:pPr>
              <w:keepNext w:val="0"/>
              <w:keepLines w:val="0"/>
              <w:suppressLineNumbers w:val="0"/>
              <w:spacing w:before="0" w:beforeAutospacing="0" w:after="0" w:afterAutospacing="0"/>
              <w:ind w:left="0" w:right="0"/>
              <w:jc w:val="center"/>
              <w:rPr>
                <w:rFonts w:hint="default" w:ascii="宋体" w:hAnsi="宋体" w:eastAsia="宋体" w:cs="Times New Roman"/>
                <w:b/>
                <w:bCs/>
                <w:color w:val="auto"/>
                <w:kern w:val="2"/>
                <w:sz w:val="21"/>
                <w:szCs w:val="21"/>
                <w:highlight w:val="none"/>
                <w:lang w:val="en-US" w:eastAsia="zh-CN" w:bidi="ar-SA"/>
              </w:rPr>
            </w:pPr>
          </w:p>
        </w:tc>
        <w:tc>
          <w:tcPr>
            <w:tcW w:w="342" w:type="pct"/>
            <w:tcBorders>
              <w:tl2br w:val="nil"/>
              <w:tr2bl w:val="nil"/>
            </w:tcBorders>
            <w:vAlign w:val="center"/>
          </w:tcPr>
          <w:p w14:paraId="0FCB581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5</w:t>
            </w:r>
          </w:p>
        </w:tc>
        <w:tc>
          <w:tcPr>
            <w:tcW w:w="3727" w:type="pct"/>
            <w:tcBorders>
              <w:tl2br w:val="nil"/>
              <w:tr2bl w:val="nil"/>
            </w:tcBorders>
            <w:vAlign w:val="center"/>
          </w:tcPr>
          <w:p w14:paraId="41ADAEA5">
            <w:pPr>
              <w:keepNext w:val="0"/>
              <w:keepLines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【主观分】供应商针对芯粒层级耦合仿真模型2：电-热-力耦合封装模型提供的开发方案的可行性、针对性、先进性（评分范围：5,4,3,2,1,0）。</w:t>
            </w:r>
          </w:p>
        </w:tc>
      </w:tr>
      <w:tr w14:paraId="3781BD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929" w:type="pct"/>
            <w:vMerge w:val="continue"/>
            <w:tcBorders>
              <w:tl2br w:val="nil"/>
              <w:tr2bl w:val="nil"/>
            </w:tcBorders>
            <w:vAlign w:val="center"/>
          </w:tcPr>
          <w:p w14:paraId="0D1C6BBF">
            <w:pPr>
              <w:keepNext w:val="0"/>
              <w:keepLines w:val="0"/>
              <w:suppressLineNumbers w:val="0"/>
              <w:spacing w:before="0" w:beforeAutospacing="0" w:after="0" w:afterAutospacing="0"/>
              <w:ind w:left="0" w:right="0"/>
              <w:jc w:val="center"/>
              <w:rPr>
                <w:rFonts w:hint="default" w:ascii="宋体" w:hAnsi="宋体" w:eastAsia="宋体" w:cs="Times New Roman"/>
                <w:b/>
                <w:bCs/>
                <w:color w:val="auto"/>
                <w:kern w:val="2"/>
                <w:sz w:val="21"/>
                <w:szCs w:val="21"/>
                <w:highlight w:val="none"/>
                <w:lang w:val="en-US" w:eastAsia="zh-CN" w:bidi="ar-SA"/>
              </w:rPr>
            </w:pPr>
          </w:p>
        </w:tc>
        <w:tc>
          <w:tcPr>
            <w:tcW w:w="342" w:type="pct"/>
            <w:tcBorders>
              <w:tl2br w:val="nil"/>
              <w:tr2bl w:val="nil"/>
            </w:tcBorders>
            <w:vAlign w:val="center"/>
          </w:tcPr>
          <w:p w14:paraId="0F7AFBB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5</w:t>
            </w:r>
          </w:p>
        </w:tc>
        <w:tc>
          <w:tcPr>
            <w:tcW w:w="3727" w:type="pct"/>
            <w:tcBorders>
              <w:tl2br w:val="nil"/>
              <w:tr2bl w:val="nil"/>
            </w:tcBorders>
            <w:vAlign w:val="center"/>
          </w:tcPr>
          <w:p w14:paraId="049367DD">
            <w:pPr>
              <w:keepNext w:val="0"/>
              <w:keepLines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【主观分】供应商针对模型验证、数据集与技术支持提供的</w:t>
            </w:r>
            <w:r>
              <w:rPr>
                <w:rFonts w:hint="eastAsia" w:ascii="宋体" w:hAnsi="宋体" w:cs="宋体"/>
                <w:color w:val="auto"/>
                <w:kern w:val="2"/>
                <w:sz w:val="21"/>
                <w:szCs w:val="21"/>
                <w:highlight w:val="none"/>
                <w:lang w:val="en-US" w:eastAsia="zh-CN" w:bidi="ar-SA"/>
              </w:rPr>
              <w:t>技术</w:t>
            </w:r>
            <w:r>
              <w:rPr>
                <w:rFonts w:hint="eastAsia" w:ascii="宋体" w:hAnsi="宋体" w:eastAsia="宋体" w:cs="宋体"/>
                <w:color w:val="auto"/>
                <w:kern w:val="2"/>
                <w:sz w:val="21"/>
                <w:szCs w:val="21"/>
                <w:highlight w:val="none"/>
                <w:lang w:val="en-US" w:eastAsia="zh-CN" w:bidi="ar-SA"/>
              </w:rPr>
              <w:t>方案的可行性、针对性、先进性（评分范围：5,4,3,2,1,0）。</w:t>
            </w:r>
          </w:p>
        </w:tc>
      </w:tr>
      <w:tr w14:paraId="722E4F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929" w:type="pct"/>
            <w:tcBorders>
              <w:tl2br w:val="nil"/>
              <w:tr2bl w:val="nil"/>
            </w:tcBorders>
            <w:shd w:val="clear" w:color="auto" w:fill="auto"/>
            <w:vAlign w:val="center"/>
          </w:tcPr>
          <w:p w14:paraId="7676F029">
            <w:pPr>
              <w:keepNext w:val="0"/>
              <w:keepLines w:val="0"/>
              <w:suppressLineNumbers w:val="0"/>
              <w:spacing w:before="0" w:beforeAutospacing="0" w:after="0" w:afterAutospacing="0"/>
              <w:ind w:left="0" w:right="0"/>
              <w:jc w:val="center"/>
              <w:rPr>
                <w:rFonts w:hint="default" w:ascii="宋体" w:hAnsi="宋体" w:eastAsia="宋体" w:cs="Times New Roman"/>
                <w:b/>
                <w:bCs/>
                <w:color w:val="auto"/>
                <w:kern w:val="2"/>
                <w:sz w:val="21"/>
                <w:szCs w:val="21"/>
                <w:highlight w:val="none"/>
                <w:lang w:val="en-US" w:eastAsia="zh-CN" w:bidi="ar-SA"/>
              </w:rPr>
            </w:pPr>
            <w:r>
              <w:rPr>
                <w:rFonts w:hint="eastAsia" w:ascii="宋体" w:hAnsi="宋体" w:eastAsia="宋体" w:cs="Times New Roman"/>
                <w:b/>
                <w:bCs/>
                <w:color w:val="auto"/>
                <w:kern w:val="2"/>
                <w:sz w:val="21"/>
                <w:szCs w:val="21"/>
                <w:highlight w:val="none"/>
                <w:lang w:val="en-US" w:eastAsia="zh-CN" w:bidi="ar-SA"/>
              </w:rPr>
              <w:t>拟投入人员</w:t>
            </w:r>
          </w:p>
        </w:tc>
        <w:tc>
          <w:tcPr>
            <w:tcW w:w="342" w:type="pct"/>
            <w:tcBorders>
              <w:tl2br w:val="nil"/>
              <w:tr2bl w:val="nil"/>
            </w:tcBorders>
            <w:shd w:val="clear" w:color="auto" w:fill="auto"/>
            <w:vAlign w:val="center"/>
          </w:tcPr>
          <w:p w14:paraId="02BDD2A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5</w:t>
            </w:r>
          </w:p>
        </w:tc>
        <w:tc>
          <w:tcPr>
            <w:tcW w:w="3727" w:type="pct"/>
            <w:tcBorders>
              <w:tl2br w:val="nil"/>
              <w:tr2bl w:val="nil"/>
            </w:tcBorders>
            <w:shd w:val="clear" w:color="auto" w:fill="auto"/>
            <w:vAlign w:val="center"/>
          </w:tcPr>
          <w:p w14:paraId="1099D4C3">
            <w:pPr>
              <w:keepNext w:val="0"/>
              <w:keepLines w:val="0"/>
              <w:suppressLineNumbers w:val="0"/>
              <w:spacing w:before="0" w:beforeAutospacing="0" w:after="0" w:afterAutospacing="0"/>
              <w:ind w:left="0" w:right="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【主观分】供应商针对本项目拟投入的人员情况，包括同类项目经验、人员履历、资质等（提供资质证明材料，不提供不得分）（评分范围：5,4,3,2,1,0）。</w:t>
            </w:r>
          </w:p>
        </w:tc>
      </w:tr>
      <w:tr w14:paraId="195B725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929" w:type="pct"/>
            <w:tcBorders>
              <w:tl2br w:val="nil"/>
              <w:tr2bl w:val="nil"/>
            </w:tcBorders>
            <w:shd w:val="clear" w:color="auto" w:fill="auto"/>
            <w:vAlign w:val="center"/>
          </w:tcPr>
          <w:p w14:paraId="463F7E1E">
            <w:pPr>
              <w:keepNext w:val="0"/>
              <w:keepLines w:val="0"/>
              <w:suppressLineNumbers w:val="0"/>
              <w:spacing w:before="0" w:beforeAutospacing="0" w:after="0" w:afterAutospacing="0"/>
              <w:ind w:left="0" w:right="0"/>
              <w:jc w:val="center"/>
              <w:rPr>
                <w:rFonts w:hint="default" w:ascii="宋体" w:hAnsi="宋体" w:eastAsia="宋体" w:cs="Times New Roman"/>
                <w:b/>
                <w:bCs/>
                <w:color w:val="auto"/>
                <w:kern w:val="2"/>
                <w:sz w:val="21"/>
                <w:szCs w:val="21"/>
                <w:highlight w:val="none"/>
                <w:lang w:val="en-US" w:eastAsia="zh-CN" w:bidi="ar-SA"/>
              </w:rPr>
            </w:pPr>
            <w:r>
              <w:rPr>
                <w:rFonts w:hint="eastAsia" w:ascii="宋体" w:hAnsi="宋体" w:eastAsia="宋体" w:cs="Times New Roman"/>
                <w:b/>
                <w:bCs/>
                <w:color w:val="auto"/>
                <w:kern w:val="2"/>
                <w:sz w:val="21"/>
                <w:szCs w:val="21"/>
                <w:highlight w:val="none"/>
                <w:lang w:val="en-US" w:eastAsia="zh-CN" w:bidi="ar-SA"/>
              </w:rPr>
              <w:t>服务效率保障方案</w:t>
            </w:r>
          </w:p>
        </w:tc>
        <w:tc>
          <w:tcPr>
            <w:tcW w:w="342" w:type="pct"/>
            <w:tcBorders>
              <w:tl2br w:val="nil"/>
              <w:tr2bl w:val="nil"/>
            </w:tcBorders>
            <w:shd w:val="clear" w:color="auto" w:fill="auto"/>
            <w:vAlign w:val="center"/>
          </w:tcPr>
          <w:p w14:paraId="28EF0E3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5</w:t>
            </w:r>
          </w:p>
        </w:tc>
        <w:tc>
          <w:tcPr>
            <w:tcW w:w="3727" w:type="pct"/>
            <w:tcBorders>
              <w:tl2br w:val="nil"/>
              <w:tr2bl w:val="nil"/>
            </w:tcBorders>
            <w:shd w:val="clear" w:color="auto" w:fill="auto"/>
            <w:vAlign w:val="center"/>
          </w:tcPr>
          <w:p w14:paraId="71D4CC32">
            <w:pPr>
              <w:keepNext w:val="0"/>
              <w:keepLines w:val="0"/>
              <w:suppressLineNumbers w:val="0"/>
              <w:spacing w:before="0" w:beforeAutospacing="0" w:after="0" w:afterAutospacing="0"/>
              <w:ind w:left="0" w:right="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【主观分】供应商针对本项目服务要求提供的服务效率保障方案的可行性、针对性（评分范围：5,4,3,2,1,0）。</w:t>
            </w:r>
          </w:p>
        </w:tc>
      </w:tr>
      <w:tr w14:paraId="081C30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929" w:type="pct"/>
            <w:tcBorders>
              <w:tl2br w:val="nil"/>
              <w:tr2bl w:val="nil"/>
            </w:tcBorders>
            <w:shd w:val="clear" w:color="auto" w:fill="auto"/>
            <w:vAlign w:val="center"/>
          </w:tcPr>
          <w:p w14:paraId="5DDED767">
            <w:pPr>
              <w:keepNext w:val="0"/>
              <w:keepLines w:val="0"/>
              <w:suppressLineNumbers w:val="0"/>
              <w:spacing w:before="0" w:beforeAutospacing="0" w:after="0" w:afterAutospacing="0"/>
              <w:ind w:left="0" w:right="0"/>
              <w:jc w:val="center"/>
              <w:rPr>
                <w:rFonts w:hint="default" w:ascii="宋体" w:hAnsi="宋体" w:eastAsia="宋体" w:cs="Times New Roman"/>
                <w:b/>
                <w:bCs/>
                <w:color w:val="auto"/>
                <w:kern w:val="2"/>
                <w:sz w:val="21"/>
                <w:szCs w:val="21"/>
                <w:highlight w:val="none"/>
                <w:lang w:val="en-US" w:eastAsia="zh-CN" w:bidi="ar-SA"/>
              </w:rPr>
            </w:pPr>
            <w:r>
              <w:rPr>
                <w:rFonts w:hint="eastAsia" w:ascii="宋体" w:hAnsi="宋体" w:eastAsia="宋体" w:cs="Times New Roman"/>
                <w:b/>
                <w:bCs/>
                <w:color w:val="auto"/>
                <w:kern w:val="2"/>
                <w:sz w:val="21"/>
                <w:szCs w:val="21"/>
                <w:highlight w:val="none"/>
                <w:lang w:val="en-US" w:eastAsia="zh-CN" w:bidi="ar-SA"/>
              </w:rPr>
              <w:t>进度计划</w:t>
            </w:r>
          </w:p>
        </w:tc>
        <w:tc>
          <w:tcPr>
            <w:tcW w:w="342" w:type="pct"/>
            <w:tcBorders>
              <w:tl2br w:val="nil"/>
              <w:tr2bl w:val="nil"/>
            </w:tcBorders>
            <w:shd w:val="clear" w:color="auto" w:fill="auto"/>
            <w:vAlign w:val="center"/>
          </w:tcPr>
          <w:p w14:paraId="4B52044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4</w:t>
            </w:r>
          </w:p>
        </w:tc>
        <w:tc>
          <w:tcPr>
            <w:tcW w:w="3727" w:type="pct"/>
            <w:tcBorders>
              <w:tl2br w:val="nil"/>
              <w:tr2bl w:val="nil"/>
            </w:tcBorders>
            <w:shd w:val="clear" w:color="auto" w:fill="auto"/>
            <w:vAlign w:val="center"/>
          </w:tcPr>
          <w:p w14:paraId="3E24CA49">
            <w:pPr>
              <w:keepNext w:val="0"/>
              <w:keepLines w:val="0"/>
              <w:suppressLineNumbers w:val="0"/>
              <w:spacing w:before="0" w:beforeAutospacing="0" w:after="0" w:afterAutospacing="0"/>
              <w:ind w:left="0" w:right="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【主观分】供应商针对本项目服务要求提供的项目进度计划的可行性、针对性（评分范围：4,3,2,1,0）。</w:t>
            </w:r>
          </w:p>
        </w:tc>
      </w:tr>
      <w:tr w14:paraId="1F850A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trPr>
        <w:tc>
          <w:tcPr>
            <w:tcW w:w="929" w:type="pct"/>
            <w:tcBorders>
              <w:tl2br w:val="nil"/>
              <w:tr2bl w:val="nil"/>
            </w:tcBorders>
            <w:shd w:val="clear" w:color="auto" w:fill="auto"/>
            <w:vAlign w:val="center"/>
          </w:tcPr>
          <w:p w14:paraId="4616C9EC">
            <w:pPr>
              <w:keepNext w:val="0"/>
              <w:keepLines w:val="0"/>
              <w:suppressLineNumbers w:val="0"/>
              <w:spacing w:before="0" w:beforeAutospacing="0" w:after="0" w:afterAutospacing="0"/>
              <w:ind w:left="0" w:right="0"/>
              <w:jc w:val="center"/>
              <w:rPr>
                <w:rFonts w:hint="default" w:ascii="宋体" w:hAnsi="宋体" w:eastAsia="宋体" w:cs="Times New Roman"/>
                <w:b/>
                <w:bCs/>
                <w:color w:val="auto"/>
                <w:kern w:val="2"/>
                <w:sz w:val="21"/>
                <w:szCs w:val="21"/>
                <w:highlight w:val="none"/>
                <w:lang w:val="en-US" w:eastAsia="zh-CN" w:bidi="ar-SA"/>
              </w:rPr>
            </w:pPr>
            <w:r>
              <w:rPr>
                <w:rFonts w:hint="eastAsia" w:ascii="宋体" w:hAnsi="宋体" w:eastAsia="宋体" w:cs="Times New Roman"/>
                <w:b/>
                <w:bCs/>
                <w:color w:val="auto"/>
                <w:kern w:val="2"/>
                <w:sz w:val="21"/>
                <w:szCs w:val="21"/>
                <w:highlight w:val="none"/>
                <w:lang w:val="en-US" w:eastAsia="zh-CN" w:bidi="ar-SA"/>
              </w:rPr>
              <w:t>培训方案</w:t>
            </w:r>
          </w:p>
        </w:tc>
        <w:tc>
          <w:tcPr>
            <w:tcW w:w="342" w:type="pct"/>
            <w:tcBorders>
              <w:tl2br w:val="nil"/>
              <w:tr2bl w:val="nil"/>
            </w:tcBorders>
            <w:shd w:val="clear" w:color="auto" w:fill="auto"/>
            <w:vAlign w:val="center"/>
          </w:tcPr>
          <w:p w14:paraId="17D1C82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5</w:t>
            </w:r>
          </w:p>
        </w:tc>
        <w:tc>
          <w:tcPr>
            <w:tcW w:w="3727" w:type="pct"/>
            <w:tcBorders>
              <w:tl2br w:val="nil"/>
              <w:tr2bl w:val="nil"/>
            </w:tcBorders>
            <w:shd w:val="clear" w:color="auto" w:fill="auto"/>
            <w:vAlign w:val="center"/>
          </w:tcPr>
          <w:p w14:paraId="58E9742B">
            <w:pPr>
              <w:keepNext w:val="0"/>
              <w:keepLines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【主观分】供应商针对本项目服务要求提供的培训方案的可行性、针对性（评分范围：5,4,3,2,1,0）。</w:t>
            </w:r>
          </w:p>
        </w:tc>
      </w:tr>
    </w:tbl>
    <w:p w14:paraId="18BBF2B0">
      <w:pPr>
        <w:keepNext w:val="0"/>
        <w:keepLines w:val="0"/>
        <w:widowControl/>
        <w:suppressLineNumbers w:val="0"/>
        <w:spacing w:line="288" w:lineRule="auto"/>
        <w:ind w:left="0" w:firstLine="422"/>
        <w:jc w:val="left"/>
        <w:rPr>
          <w:rFonts w:hint="eastAsia" w:ascii="宋体" w:hAnsi="宋体" w:eastAsia="宋体" w:cs="宋体"/>
          <w:b/>
          <w:bCs/>
          <w:color w:val="auto"/>
          <w:spacing w:val="0"/>
          <w:kern w:val="0"/>
          <w:sz w:val="21"/>
          <w:szCs w:val="21"/>
          <w:highlight w:val="none"/>
          <w:lang w:val="en-US" w:eastAsia="zh-CN" w:bidi="ar"/>
        </w:rPr>
      </w:pPr>
    </w:p>
    <w:p w14:paraId="7FB9779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三、响应无效的情形</w:t>
      </w:r>
    </w:p>
    <w:p w14:paraId="32D5BAD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未响应磋商文件“▲”标记条款要求的，响应无效。</w:t>
      </w:r>
    </w:p>
    <w:p w14:paraId="19CB37B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1.在资格审查时，有下列情形之一的，资格审查不通过，响应无效：</w:t>
      </w:r>
    </w:p>
    <w:p w14:paraId="4BA8FD6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（1）资格证明材料不全的，或者不符合磋商文件要求；</w:t>
      </w:r>
    </w:p>
    <w:p w14:paraId="03D17BD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（2）供应商不具备磋商文件中规定的资格要求；</w:t>
      </w:r>
    </w:p>
    <w:p w14:paraId="348F522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（3）资格文件未按要求签署、盖章。</w:t>
      </w:r>
    </w:p>
    <w:p w14:paraId="0BB0E35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2.在符合性审查时，有下列情形之一的，响应无效：</w:t>
      </w:r>
    </w:p>
    <w:p w14:paraId="53A4A32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（1）商务和技术文件未按要求签署、盖章；</w:t>
      </w:r>
    </w:p>
    <w:p w14:paraId="3899F3C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（2）未提供或未按要求提供响应函、授权委托书；</w:t>
      </w:r>
    </w:p>
    <w:p w14:paraId="62A566C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（3）委托授权代表参加采购活动但未提供符合要求的授权代表社保缴纳证明；</w:t>
      </w:r>
    </w:p>
    <w:p w14:paraId="3BE0B19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（4）未提供或未如实提供响应偏离表；</w:t>
      </w:r>
    </w:p>
    <w:p w14:paraId="49D7D0E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（5）明显不符合磋商文件要求，或负偏离达到规定数目的，视为采购人不能接受的附加条件；</w:t>
      </w:r>
    </w:p>
    <w:p w14:paraId="2319592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（6）响应</w:t>
      </w:r>
      <w:r>
        <w:rPr>
          <w:rFonts w:hint="eastAsia" w:ascii="宋体" w:hAnsi="宋体" w:cs="宋体"/>
          <w:color w:val="auto"/>
          <w:spacing w:val="0"/>
          <w:kern w:val="0"/>
          <w:sz w:val="21"/>
          <w:szCs w:val="21"/>
          <w:highlight w:val="none"/>
          <w:lang w:val="en-US" w:eastAsia="zh-CN" w:bidi="ar"/>
        </w:rPr>
        <w:t>服务</w:t>
      </w:r>
      <w:r>
        <w:rPr>
          <w:rFonts w:hint="eastAsia" w:ascii="宋体" w:hAnsi="宋体" w:eastAsia="宋体" w:cs="宋体"/>
          <w:color w:val="auto"/>
          <w:spacing w:val="0"/>
          <w:kern w:val="0"/>
          <w:sz w:val="21"/>
          <w:szCs w:val="21"/>
          <w:highlight w:val="none"/>
          <w:lang w:val="en-US" w:eastAsia="zh-CN" w:bidi="ar"/>
        </w:rPr>
        <w:t>方案不明确，存在一个或一个以上备选（替代）响应方案</w:t>
      </w:r>
      <w:r>
        <w:rPr>
          <w:rFonts w:hint="eastAsia" w:ascii="宋体" w:hAnsi="宋体" w:eastAsia="宋体" w:cs="宋体"/>
          <w:color w:val="auto"/>
          <w:spacing w:val="-6"/>
          <w:kern w:val="0"/>
          <w:sz w:val="21"/>
          <w:szCs w:val="21"/>
          <w:highlight w:val="none"/>
          <w:lang w:val="en-US" w:eastAsia="zh-CN" w:bidi="ar"/>
        </w:rPr>
        <w:t>，但磋商文件要求提交备选的除外；</w:t>
      </w:r>
    </w:p>
    <w:p w14:paraId="15C8F1F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（7）响应文件含有采购人不能接受的附加条件；</w:t>
      </w:r>
    </w:p>
    <w:p w14:paraId="5DFF662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（8）最后报价超过磋商文件中规定的预算金额或最高限价；</w:t>
      </w:r>
    </w:p>
    <w:p w14:paraId="7A1E993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（9）最后报价具有选择性。</w:t>
      </w:r>
    </w:p>
    <w:p w14:paraId="67DB44C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（10）未按规定提交磋商记录或最后报价的，视为退出磋商，响应无效。</w:t>
      </w:r>
    </w:p>
    <w:p w14:paraId="18D39ECB">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（11）法律、法规和磋商文件规定的其他无效情形。</w:t>
      </w:r>
    </w:p>
    <w:p w14:paraId="4DAC1A9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特别说明：磋商小组认为供应商的最后报价明显低于其他供应商最后报价，有可能影响</w:t>
      </w:r>
      <w:r>
        <w:rPr>
          <w:rFonts w:hint="eastAsia" w:ascii="宋体" w:hAnsi="宋体" w:cs="宋体"/>
          <w:color w:val="auto"/>
          <w:spacing w:val="0"/>
          <w:kern w:val="0"/>
          <w:sz w:val="21"/>
          <w:szCs w:val="21"/>
          <w:highlight w:val="none"/>
          <w:lang w:val="en-US" w:eastAsia="zh-CN" w:bidi="ar"/>
        </w:rPr>
        <w:t>服务</w:t>
      </w:r>
      <w:r>
        <w:rPr>
          <w:rFonts w:hint="eastAsia" w:ascii="宋体" w:hAnsi="宋体" w:eastAsia="宋体" w:cs="宋体"/>
          <w:color w:val="auto"/>
          <w:spacing w:val="0"/>
          <w:kern w:val="0"/>
          <w:sz w:val="21"/>
          <w:szCs w:val="21"/>
          <w:highlight w:val="none"/>
          <w:lang w:val="en-US" w:eastAsia="zh-CN" w:bidi="ar"/>
        </w:rPr>
        <w:t>质量或者不能诚信履约的，应当要求其在评审现场合理的时间内提供书面说明，必要时提交相关证明材料；供应商不能证明其最后报价合理性的，磋商小组应当将其作为无效响应处理。</w:t>
      </w:r>
    </w:p>
    <w:p w14:paraId="336D1BA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3.有下列情形之一的，视为供应商串通，其响应无效：</w:t>
      </w:r>
    </w:p>
    <w:p w14:paraId="0701232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（1）不同供应商的响应文件由同一单位或者个人编制；</w:t>
      </w:r>
    </w:p>
    <w:p w14:paraId="33341EC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（2）不同供应商委托同一单位或者个人办理磋商事宜；</w:t>
      </w:r>
    </w:p>
    <w:p w14:paraId="73B9E32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（3）不同供应商的响应文件载明的项目管理成员或者联系人员为同一人；</w:t>
      </w:r>
    </w:p>
    <w:p w14:paraId="1F740BA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（4）不同供应商的响应文件异常一致或者最后报价呈规律性差异；</w:t>
      </w:r>
    </w:p>
    <w:p w14:paraId="7EF5A9F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（5）不同供应商的响应文件相互混装。</w:t>
      </w:r>
    </w:p>
    <w:p w14:paraId="28C8268F">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4.参与同一个采购包（标项）的供应商存在下列情形之一且无法合理解释的，其响应文件无效：</w:t>
      </w:r>
    </w:p>
    <w:p w14:paraId="242B6F12">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（1）不同供应商的电子响应文件上传计算机的网卡MAC地址或硬盘序列号等硬件信息相同的；</w:t>
      </w:r>
    </w:p>
    <w:p w14:paraId="5C95BC3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（2）上传的电子响应文件若出现使用本项目其他响应供应商的数字证书加密的，或者加盖本项目其他响应供应商的电子印章的；</w:t>
      </w:r>
    </w:p>
    <w:p w14:paraId="6B859B27">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（3）不同供应商的响应文件的内容存在3处（含）以上错误一致的；</w:t>
      </w:r>
    </w:p>
    <w:p w14:paraId="2B0C9BB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（4）不同供应商联系人为同一人或不同联系人的联系电话一致的。</w:t>
      </w:r>
    </w:p>
    <w:p w14:paraId="2E52662A">
      <w:pPr>
        <w:pStyle w:val="3"/>
        <w:keepNext w:val="0"/>
        <w:keepLines w:val="0"/>
        <w:pageBreakBefore w:val="0"/>
        <w:widowControl/>
        <w:suppressLineNumbers w:val="0"/>
        <w:kinsoku/>
        <w:wordWrap/>
        <w:overflowPunct/>
        <w:topLinePunct w:val="0"/>
        <w:autoSpaceDN/>
        <w:bidi w:val="0"/>
        <w:adjustRightInd/>
        <w:snapToGrid/>
        <w:spacing w:beforeAutospacing="0" w:afterAutospacing="0" w:line="288" w:lineRule="auto"/>
        <w:ind w:firstLine="0"/>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pacing w:val="0"/>
          <w:sz w:val="21"/>
          <w:szCs w:val="21"/>
          <w:highlight w:val="none"/>
        </w:rPr>
        <w:br w:type="page"/>
      </w:r>
      <w:r>
        <w:rPr>
          <w:rFonts w:hint="eastAsia" w:ascii="宋体" w:hAnsi="宋体" w:eastAsia="宋体" w:cs="宋体"/>
          <w:b/>
          <w:bCs/>
          <w:color w:val="auto"/>
          <w:sz w:val="28"/>
          <w:szCs w:val="28"/>
          <w:highlight w:val="none"/>
        </w:rPr>
        <w:t>第五章 拟签订的合同文本</w:t>
      </w:r>
    </w:p>
    <w:p w14:paraId="4AEB1728">
      <w:pPr>
        <w:pageBreakBefore w:val="0"/>
        <w:widowControl w:val="0"/>
        <w:kinsoku/>
        <w:wordWrap/>
        <w:overflowPunct/>
        <w:topLinePunct w:val="0"/>
        <w:bidi w:val="0"/>
        <w:spacing w:line="288" w:lineRule="auto"/>
        <w:ind w:firstLine="562" w:firstLineChars="20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b/>
          <w:bCs/>
          <w:color w:val="auto"/>
          <w:kern w:val="0"/>
          <w:sz w:val="28"/>
          <w:szCs w:val="28"/>
          <w:highlight w:val="none"/>
          <w:lang w:val="en-US" w:eastAsia="zh-CN" w:bidi="ar-SA"/>
        </w:rPr>
        <w:t>杭州电子科技大学采购合同（服务类）</w:t>
      </w:r>
    </w:p>
    <w:p w14:paraId="0AA6B5B3">
      <w:pPr>
        <w:pageBreakBefore w:val="0"/>
        <w:widowControl w:val="0"/>
        <w:kinsoku/>
        <w:wordWrap/>
        <w:overflowPunct/>
        <w:topLinePunct w:val="0"/>
        <w:bidi w:val="0"/>
        <w:spacing w:line="288" w:lineRule="auto"/>
        <w:ind w:firstLine="420" w:firstLineChars="200"/>
        <w:jc w:val="right"/>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合同编号_________________</w:t>
      </w:r>
    </w:p>
    <w:p w14:paraId="0CDDBC2D">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确认书号：</w:t>
      </w:r>
    </w:p>
    <w:p w14:paraId="19857DC4">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项目编号：</w:t>
      </w:r>
    </w:p>
    <w:p w14:paraId="21A36DE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甲方（采购人）：杭州电子科技大学</w:t>
      </w:r>
    </w:p>
    <w:p w14:paraId="4A0AEB2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乙方（供应商）：</w:t>
      </w:r>
    </w:p>
    <w:p w14:paraId="0BFA7F5D">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采购代理机构（鉴证方）：</w:t>
      </w:r>
    </w:p>
    <w:p w14:paraId="6094224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为了保护甲乙双方合法权益，根据项目</w:t>
      </w:r>
      <w:r>
        <w:rPr>
          <w:rFonts w:hint="eastAsia" w:ascii="宋体" w:hAnsi="宋体" w:eastAsia="宋体" w:cs="宋体"/>
          <w:color w:val="auto"/>
          <w:kern w:val="0"/>
          <w:sz w:val="21"/>
          <w:szCs w:val="20"/>
          <w:highlight w:val="none"/>
          <w:u w:val="single"/>
          <w:lang w:val="en-US" w:eastAsia="zh-CN" w:bidi="ar-SA"/>
        </w:rPr>
        <w:t xml:space="preserve">   (填项目名称)      </w:t>
      </w:r>
      <w:r>
        <w:rPr>
          <w:rFonts w:hint="eastAsia" w:ascii="宋体" w:hAnsi="宋体" w:eastAsia="宋体" w:cs="宋体"/>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u w:val="single"/>
          <w:lang w:val="en-US" w:eastAsia="zh-CN" w:bidi="ar-SA"/>
        </w:rPr>
        <w:t xml:space="preserve"> （填采购方式）   </w:t>
      </w:r>
      <w:r>
        <w:rPr>
          <w:rFonts w:hint="eastAsia" w:ascii="宋体" w:hAnsi="宋体" w:eastAsia="宋体" w:cs="宋体"/>
          <w:color w:val="auto"/>
          <w:kern w:val="0"/>
          <w:sz w:val="21"/>
          <w:szCs w:val="20"/>
          <w:highlight w:val="none"/>
          <w:lang w:val="en-US" w:eastAsia="zh-CN" w:bidi="ar-SA"/>
        </w:rPr>
        <w:t>的中标（成交）结果，签署本合同，以资共同遵守。</w:t>
      </w:r>
    </w:p>
    <w:p w14:paraId="4A55359F">
      <w:pPr>
        <w:pageBreakBefore w:val="0"/>
        <w:widowControl w:val="0"/>
        <w:numPr>
          <w:ilvl w:val="0"/>
          <w:numId w:val="0"/>
        </w:numPr>
        <w:kinsoku/>
        <w:wordWrap/>
        <w:overflowPunct/>
        <w:topLinePunct w:val="0"/>
        <w:bidi w:val="0"/>
        <w:spacing w:line="288"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一、采购服务内容及合同价格</w:t>
      </w:r>
    </w:p>
    <w:tbl>
      <w:tblPr>
        <w:tblStyle w:val="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269"/>
        <w:gridCol w:w="3542"/>
        <w:gridCol w:w="4030"/>
      </w:tblGrid>
      <w:tr w14:paraId="1FB68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pct"/>
            <w:shd w:val="clear" w:color="auto" w:fill="auto"/>
            <w:vAlign w:val="center"/>
          </w:tcPr>
          <w:p w14:paraId="39AF7F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leftChars="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序号</w:t>
            </w:r>
          </w:p>
        </w:tc>
        <w:tc>
          <w:tcPr>
            <w:tcW w:w="637" w:type="pct"/>
            <w:shd w:val="clear" w:color="auto" w:fill="auto"/>
            <w:vAlign w:val="center"/>
          </w:tcPr>
          <w:p w14:paraId="707EFB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名称</w:t>
            </w:r>
          </w:p>
        </w:tc>
        <w:tc>
          <w:tcPr>
            <w:tcW w:w="1778" w:type="pct"/>
            <w:shd w:val="clear" w:color="auto" w:fill="auto"/>
            <w:vAlign w:val="center"/>
          </w:tcPr>
          <w:p w14:paraId="53B1C4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主要内容</w:t>
            </w:r>
          </w:p>
        </w:tc>
        <w:tc>
          <w:tcPr>
            <w:tcW w:w="2020" w:type="pct"/>
            <w:shd w:val="clear" w:color="auto" w:fill="auto"/>
            <w:vAlign w:val="center"/>
          </w:tcPr>
          <w:p w14:paraId="2C66C2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服务费用</w:t>
            </w:r>
          </w:p>
        </w:tc>
      </w:tr>
      <w:tr w14:paraId="1BB3D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2" w:type="pct"/>
            <w:vAlign w:val="center"/>
          </w:tcPr>
          <w:p w14:paraId="643CC53F">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p>
        </w:tc>
        <w:tc>
          <w:tcPr>
            <w:tcW w:w="637" w:type="pct"/>
            <w:vAlign w:val="center"/>
          </w:tcPr>
          <w:p w14:paraId="5EC6DE6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1778" w:type="pct"/>
            <w:vAlign w:val="center"/>
          </w:tcPr>
          <w:p w14:paraId="502B0729">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2020" w:type="pct"/>
            <w:vAlign w:val="center"/>
          </w:tcPr>
          <w:p w14:paraId="0142D0D7">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r>
      <w:tr w14:paraId="7667E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2" w:type="pct"/>
            <w:vAlign w:val="center"/>
          </w:tcPr>
          <w:p w14:paraId="1F72E085">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637" w:type="pct"/>
            <w:vAlign w:val="center"/>
          </w:tcPr>
          <w:p w14:paraId="65E6CA8E">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1778" w:type="pct"/>
            <w:vAlign w:val="center"/>
          </w:tcPr>
          <w:p w14:paraId="128B6152">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2020" w:type="pct"/>
            <w:vAlign w:val="center"/>
          </w:tcPr>
          <w:p w14:paraId="71D5449A">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r>
      <w:tr w14:paraId="2BC6C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000" w:type="pct"/>
            <w:gridSpan w:val="4"/>
            <w:vAlign w:val="center"/>
          </w:tcPr>
          <w:p w14:paraId="5453446D">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合同总价（元，人民币）：小写￥              ，大写：</w:t>
            </w:r>
          </w:p>
        </w:tc>
      </w:tr>
    </w:tbl>
    <w:p w14:paraId="30E45B3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6065899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二、服务内容与要求</w:t>
      </w:r>
    </w:p>
    <w:p w14:paraId="5B9EEF4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（按采购文件及采购结果填写，</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61135760">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三、服务时间与地点</w:t>
      </w:r>
    </w:p>
    <w:p w14:paraId="60726A8D">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color w:val="auto"/>
          <w:kern w:val="2"/>
          <w:sz w:val="21"/>
          <w:szCs w:val="24"/>
          <w:highlight w:val="none"/>
          <w:u w:val="single"/>
          <w:lang w:val="en-US" w:eastAsia="zh-CN" w:bidi="ar-SA"/>
        </w:rPr>
      </w:pPr>
      <w:r>
        <w:rPr>
          <w:rFonts w:hint="eastAsia" w:ascii="宋体" w:hAnsi="宋体" w:eastAsia="宋体" w:cs="宋体"/>
          <w:color w:val="auto"/>
          <w:kern w:val="2"/>
          <w:sz w:val="21"/>
          <w:szCs w:val="24"/>
          <w:highlight w:val="none"/>
          <w:lang w:val="en-US" w:eastAsia="zh-CN" w:bidi="ar-SA"/>
        </w:rPr>
        <w:t>1</w:t>
      </w:r>
      <w:r>
        <w:rPr>
          <w:rFonts w:hint="eastAsia" w:ascii="宋体" w:hAnsi="宋体" w:eastAsia="宋体" w:cs="宋体"/>
          <w:color w:val="auto"/>
          <w:spacing w:val="-6"/>
          <w:kern w:val="2"/>
          <w:sz w:val="21"/>
          <w:szCs w:val="24"/>
          <w:highlight w:val="none"/>
          <w:lang w:val="en-US" w:eastAsia="zh-CN" w:bidi="ar-SA"/>
        </w:rPr>
        <w:t>.</w:t>
      </w:r>
      <w:r>
        <w:rPr>
          <w:rFonts w:hint="eastAsia" w:ascii="宋体" w:hAnsi="宋体" w:eastAsia="宋体" w:cs="宋体"/>
          <w:color w:val="auto"/>
          <w:kern w:val="2"/>
          <w:sz w:val="21"/>
          <w:szCs w:val="24"/>
          <w:highlight w:val="none"/>
          <w:lang w:val="en-US" w:eastAsia="zh-CN" w:bidi="ar-SA"/>
        </w:rPr>
        <w:t>服务时间：</w:t>
      </w:r>
    </w:p>
    <w:p w14:paraId="1C744C1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u w:val="single"/>
          <w:lang w:val="en-US" w:eastAsia="zh-CN" w:bidi="ar-SA"/>
        </w:rPr>
      </w:pPr>
      <w:r>
        <w:rPr>
          <w:rFonts w:hint="eastAsia" w:ascii="宋体" w:hAnsi="宋体" w:eastAsia="宋体" w:cs="宋体"/>
          <w:color w:val="auto"/>
          <w:kern w:val="0"/>
          <w:sz w:val="21"/>
          <w:szCs w:val="20"/>
          <w:highlight w:val="none"/>
          <w:lang w:val="en-US" w:eastAsia="zh-CN" w:bidi="ar-SA"/>
        </w:rPr>
        <w:t>服务期限：</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月，从</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日至</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日。乙方须在</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日前完成本项目并经甲方验收合格；其他质保及服务时间说明（如有）：</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u w:val="none"/>
          <w:lang w:val="en-US" w:eastAsia="zh-CN" w:bidi="ar-SA"/>
        </w:rPr>
        <w:t xml:space="preserve"> 。</w:t>
      </w:r>
    </w:p>
    <w:p w14:paraId="6835C31E">
      <w:pPr>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2.服务地点：甲方指定地点。</w:t>
      </w:r>
    </w:p>
    <w:p w14:paraId="4896CC7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3.联系人及电话：</w:t>
      </w:r>
      <w:bookmarkStart w:id="0" w:name="_Hlk155181628"/>
      <w:r>
        <w:rPr>
          <w:rFonts w:hint="eastAsia" w:ascii="宋体" w:hAnsi="宋体" w:eastAsia="宋体" w:cs="宋体"/>
          <w:color w:val="auto"/>
          <w:kern w:val="0"/>
          <w:sz w:val="21"/>
          <w:szCs w:val="20"/>
          <w:highlight w:val="none"/>
          <w:lang w:val="en-US" w:eastAsia="zh-CN" w:bidi="ar-SA"/>
        </w:rPr>
        <w:t>甲方 姓名</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，联系电话</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；乙方 姓名</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，联系电话</w:t>
      </w:r>
      <w:r>
        <w:rPr>
          <w:rFonts w:hint="eastAsia" w:ascii="宋体" w:hAnsi="宋体" w:eastAsia="宋体" w:cs="宋体"/>
          <w:color w:val="auto"/>
          <w:kern w:val="0"/>
          <w:sz w:val="21"/>
          <w:szCs w:val="20"/>
          <w:highlight w:val="none"/>
          <w:u w:val="single"/>
          <w:lang w:val="en-US" w:eastAsia="zh-CN" w:bidi="ar-SA"/>
        </w:rPr>
        <w:t xml:space="preserve">              </w:t>
      </w:r>
      <w:bookmarkEnd w:id="0"/>
      <w:r>
        <w:rPr>
          <w:rFonts w:hint="eastAsia" w:ascii="宋体" w:hAnsi="宋体" w:eastAsia="宋体" w:cs="宋体"/>
          <w:color w:val="auto"/>
          <w:kern w:val="0"/>
          <w:sz w:val="21"/>
          <w:szCs w:val="20"/>
          <w:highlight w:val="none"/>
          <w:lang w:val="en-US" w:eastAsia="zh-CN" w:bidi="ar-SA"/>
        </w:rPr>
        <w:t>。</w:t>
      </w:r>
    </w:p>
    <w:p w14:paraId="7B65C237">
      <w:pPr>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四、履约保证金与付款方式</w:t>
      </w:r>
    </w:p>
    <w:p w14:paraId="2295AA8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履约保证金（如有）</w:t>
      </w:r>
      <w:r>
        <w:rPr>
          <w:rFonts w:hint="eastAsia" w:ascii="宋体" w:hAnsi="宋体" w:eastAsia="宋体" w:cs="宋体"/>
          <w:b/>
          <w:bCs/>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合同总金额的</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合同签订后5个工作日内交纳。交付方式:保函/汇票/支票/电汇/转账等。交付完毕后提供保函或联系杭州电子科技大学计划财务处大厅开收据，服务完成验收合格后7个工作日内凭原始收据不计息退还，以保函形式提交的履约保证金无需办理退还手续。收款单位（户名）:杭州电子科技大学。开户银行：工行高新支行。银行账号：1202026209008806216。</w:t>
      </w:r>
    </w:p>
    <w:p w14:paraId="1440483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付款方式：按以下第</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种方式支付乙方合同价款。</w:t>
      </w:r>
    </w:p>
    <w:p w14:paraId="16896FAE">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w:t>
      </w:r>
      <w:r>
        <w:rPr>
          <w:rFonts w:hint="eastAsia" w:ascii="宋体" w:hAnsi="宋体" w:eastAsia="宋体" w:cs="宋体"/>
          <w:color w:val="auto"/>
          <w:spacing w:val="-6"/>
          <w:kern w:val="0"/>
          <w:sz w:val="21"/>
          <w:szCs w:val="20"/>
          <w:highlight w:val="none"/>
          <w:lang w:val="en-US" w:eastAsia="zh-CN" w:bidi="ar-SA"/>
        </w:rPr>
        <w:t>1</w:t>
      </w:r>
      <w:r>
        <w:rPr>
          <w:rFonts w:hint="eastAsia" w:ascii="宋体" w:hAnsi="宋体" w:eastAsia="宋体" w:cs="宋体"/>
          <w:color w:val="auto"/>
          <w:kern w:val="0"/>
          <w:sz w:val="21"/>
          <w:szCs w:val="20"/>
          <w:highlight w:val="none"/>
          <w:lang w:val="en-US" w:eastAsia="zh-CN" w:bidi="ar-SA"/>
        </w:rPr>
        <w:t>）预付款方式：合同生效以及具备实施条件且乙方已向甲方提交银行、保险公司等金融机构出具的预付款保函后，7个工作日内，甲方向乙方支付合同总价的</w:t>
      </w:r>
      <w:r>
        <w:rPr>
          <w:rFonts w:hint="eastAsia" w:ascii="宋体" w:hAnsi="宋体" w:cs="宋体"/>
          <w:color w:val="auto"/>
          <w:kern w:val="0"/>
          <w:sz w:val="21"/>
          <w:szCs w:val="20"/>
          <w:highlight w:val="none"/>
          <w:u w:val="single"/>
          <w:lang w:val="en-US" w:eastAsia="zh-CN" w:bidi="ar-SA"/>
        </w:rPr>
        <w:t>7</w:t>
      </w:r>
      <w:r>
        <w:rPr>
          <w:rFonts w:hint="eastAsia" w:ascii="宋体" w:hAnsi="宋体" w:eastAsia="宋体" w:cs="宋体"/>
          <w:color w:val="auto"/>
          <w:kern w:val="0"/>
          <w:sz w:val="21"/>
          <w:szCs w:val="20"/>
          <w:highlight w:val="none"/>
          <w:u w:val="single"/>
          <w:lang w:val="en-US" w:eastAsia="zh-CN" w:bidi="ar-SA"/>
        </w:rPr>
        <w:t>0</w:t>
      </w:r>
      <w:r>
        <w:rPr>
          <w:rFonts w:hint="eastAsia" w:ascii="宋体" w:hAnsi="宋体" w:eastAsia="宋体" w:cs="宋体"/>
          <w:color w:val="auto"/>
          <w:kern w:val="0"/>
          <w:sz w:val="21"/>
          <w:szCs w:val="20"/>
          <w:highlight w:val="none"/>
          <w:lang w:val="en-US" w:eastAsia="zh-CN" w:bidi="ar-SA"/>
        </w:rPr>
        <w:t>%；服务完成，经甲方验收合格并收到发票后7个工作日内，向乙方支付合同总价的</w:t>
      </w:r>
      <w:r>
        <w:rPr>
          <w:rFonts w:hint="eastAsia" w:ascii="宋体" w:hAnsi="宋体" w:cs="宋体"/>
          <w:color w:val="auto"/>
          <w:kern w:val="0"/>
          <w:sz w:val="21"/>
          <w:szCs w:val="20"/>
          <w:highlight w:val="none"/>
          <w:u w:val="single"/>
          <w:lang w:val="en-US" w:eastAsia="zh-CN" w:bidi="ar-SA"/>
        </w:rPr>
        <w:t>3</w:t>
      </w:r>
      <w:r>
        <w:rPr>
          <w:rFonts w:hint="eastAsia" w:ascii="宋体" w:hAnsi="宋体" w:eastAsia="宋体" w:cs="宋体"/>
          <w:color w:val="auto"/>
          <w:kern w:val="0"/>
          <w:sz w:val="21"/>
          <w:szCs w:val="20"/>
          <w:highlight w:val="none"/>
          <w:u w:val="single"/>
          <w:lang w:val="en-US" w:eastAsia="zh-CN" w:bidi="ar-SA"/>
        </w:rPr>
        <w:t>0</w:t>
      </w:r>
      <w:r>
        <w:rPr>
          <w:rFonts w:hint="eastAsia" w:ascii="宋体" w:hAnsi="宋体" w:eastAsia="宋体" w:cs="宋体"/>
          <w:color w:val="auto"/>
          <w:kern w:val="0"/>
          <w:sz w:val="21"/>
          <w:szCs w:val="20"/>
          <w:highlight w:val="none"/>
          <w:lang w:val="en-US" w:eastAsia="zh-CN" w:bidi="ar-SA"/>
        </w:rPr>
        <w:t>%。若供应商收取预付款，要求预付款保函有效期覆盖项目履约时间；提供了预付款保函则供应商无需再缴纳履约保证金。</w:t>
      </w:r>
    </w:p>
    <w:p w14:paraId="51295CA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（2）以人工投入为主且实行按月定期结算支付款项的项目，按月结算付款。</w:t>
      </w:r>
    </w:p>
    <w:p w14:paraId="234F4BD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（3）签订合同时乙方明确表示无需预付款，可以采用以下付款方式：</w:t>
      </w:r>
    </w:p>
    <w:p w14:paraId="03738D4E">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①</w:t>
      </w:r>
      <w:r>
        <w:rPr>
          <w:rFonts w:hint="eastAsia" w:ascii="宋体" w:hAnsi="宋体" w:eastAsia="宋体" w:cs="宋体"/>
          <w:b/>
          <w:color w:val="auto"/>
          <w:kern w:val="0"/>
          <w:sz w:val="21"/>
          <w:szCs w:val="20"/>
          <w:highlight w:val="none"/>
          <w:lang w:val="en-US" w:eastAsia="zh-CN" w:bidi="ar-SA"/>
        </w:rPr>
        <w:t>一</w:t>
      </w:r>
      <w:r>
        <w:rPr>
          <w:rFonts w:hint="eastAsia" w:ascii="宋体" w:hAnsi="宋体" w:eastAsia="宋体" w:cs="宋体"/>
          <w:bCs/>
          <w:color w:val="auto"/>
          <w:kern w:val="0"/>
          <w:sz w:val="21"/>
          <w:szCs w:val="20"/>
          <w:highlight w:val="none"/>
          <w:lang w:val="en-US" w:eastAsia="zh-CN" w:bidi="ar-SA"/>
        </w:rPr>
        <w:t>次性付款</w:t>
      </w:r>
      <w:r>
        <w:rPr>
          <w:rFonts w:hint="eastAsia" w:ascii="宋体" w:hAnsi="宋体" w:eastAsia="宋体" w:cs="宋体"/>
          <w:b/>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服务</w:t>
      </w:r>
      <w:r>
        <w:rPr>
          <w:rFonts w:hint="eastAsia" w:ascii="宋体" w:hAnsi="宋体" w:eastAsia="宋体" w:cs="宋体"/>
          <w:color w:val="auto"/>
          <w:kern w:val="0"/>
          <w:sz w:val="21"/>
          <w:szCs w:val="21"/>
          <w:highlight w:val="none"/>
          <w:lang w:val="en-US" w:eastAsia="zh-CN" w:bidi="ar-SA"/>
        </w:rPr>
        <w:t>完成</w:t>
      </w:r>
      <w:r>
        <w:rPr>
          <w:rFonts w:hint="eastAsia" w:ascii="宋体" w:hAnsi="宋体" w:eastAsia="宋体" w:cs="宋体"/>
          <w:color w:val="auto"/>
          <w:kern w:val="0"/>
          <w:sz w:val="21"/>
          <w:szCs w:val="20"/>
          <w:highlight w:val="none"/>
          <w:lang w:val="en-US" w:eastAsia="zh-CN" w:bidi="ar-SA"/>
        </w:rPr>
        <w:t>，甲方验收合格并收到发票后10个工作日内，甲方向乙方支付全部合同价款。</w:t>
      </w:r>
    </w:p>
    <w:p w14:paraId="4AA668D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②</w:t>
      </w:r>
      <w:r>
        <w:rPr>
          <w:rFonts w:hint="eastAsia" w:ascii="宋体" w:hAnsi="宋体" w:eastAsia="宋体" w:cs="宋体"/>
          <w:bCs/>
          <w:color w:val="auto"/>
          <w:kern w:val="0"/>
          <w:sz w:val="21"/>
          <w:szCs w:val="20"/>
          <w:highlight w:val="none"/>
          <w:lang w:val="en-US" w:eastAsia="zh-CN" w:bidi="ar-SA"/>
        </w:rPr>
        <w:t>按期结算</w:t>
      </w:r>
      <w:r>
        <w:rPr>
          <w:rFonts w:hint="eastAsia" w:ascii="宋体" w:hAnsi="宋体" w:eastAsia="宋体" w:cs="宋体"/>
          <w:b/>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每</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 xml:space="preserve">末（月\季度\半年\年），合同生效、具备使用条件并经甲方验收合格并收到发票后 10个工作日内，甲方向乙方支付本期款项。 </w:t>
      </w:r>
    </w:p>
    <w:p w14:paraId="14C8D3A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③按进度付款</w:t>
      </w:r>
      <w:r>
        <w:rPr>
          <w:rFonts w:hint="eastAsia" w:ascii="宋体" w:hAnsi="宋体" w:eastAsia="宋体" w:cs="宋体"/>
          <w:b/>
          <w:bCs/>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每个进度节点，</w:t>
      </w:r>
      <w:r>
        <w:rPr>
          <w:rFonts w:hint="eastAsia" w:ascii="宋体" w:hAnsi="宋体" w:eastAsia="宋体" w:cs="宋体"/>
          <w:bCs/>
          <w:color w:val="auto"/>
          <w:kern w:val="0"/>
          <w:sz w:val="21"/>
          <w:szCs w:val="20"/>
          <w:highlight w:val="none"/>
          <w:lang w:val="en-US" w:eastAsia="zh-CN" w:bidi="ar-SA"/>
        </w:rPr>
        <w:t>甲方</w:t>
      </w:r>
      <w:r>
        <w:rPr>
          <w:rFonts w:hint="eastAsia" w:ascii="宋体" w:hAnsi="宋体" w:eastAsia="宋体" w:cs="宋体"/>
          <w:color w:val="auto"/>
          <w:kern w:val="0"/>
          <w:sz w:val="21"/>
          <w:szCs w:val="20"/>
          <w:highlight w:val="none"/>
          <w:lang w:val="en-US" w:eastAsia="zh-CN" w:bidi="ar-SA"/>
        </w:rPr>
        <w:t>验收合格并收到发票后10个工作日内，甲方向乙方支付对应款项，具体结点及付款额度为</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454D63B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④其它支付形式（双方协商一致，需符合采购法规）：</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7F80544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（4）房屋租赁、服务器租用、数据库使用等租用型项目，合同生效、具备使用条件并经甲方验收合格后按期支付费用，按</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（月\季度\半年\年）支付。</w:t>
      </w:r>
    </w:p>
    <w:p w14:paraId="2797210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无论何种结算方式，付款前，乙方须交纳合同约定的履约保证金（如有）并提供甲方财务处开具的履约保证金收据，乙方向甲方开具等额有效的发票。</w:t>
      </w:r>
    </w:p>
    <w:p w14:paraId="086AEFD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开票信息如下：</w:t>
      </w:r>
    </w:p>
    <w:p w14:paraId="720352B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单位名称：杭州电子科技大学。税号：12330000470009026T</w:t>
      </w:r>
    </w:p>
    <w:p w14:paraId="22D23CE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开户银行：工行杭州高新支行。账号：1202026209008806216</w:t>
      </w:r>
    </w:p>
    <w:p w14:paraId="0C42B3D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五、双方权利与义务：</w:t>
      </w:r>
    </w:p>
    <w:p w14:paraId="3582AD5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（按采购文件及采购结果填写，如有）</w:t>
      </w:r>
    </w:p>
    <w:p w14:paraId="1C12509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六、知识产权要求</w:t>
      </w:r>
    </w:p>
    <w:p w14:paraId="3AC8E7B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4D960BD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265E483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七、转包或分包</w:t>
      </w:r>
    </w:p>
    <w:p w14:paraId="0E5946A6">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1</w:t>
      </w:r>
      <w:r>
        <w:rPr>
          <w:rFonts w:hint="eastAsia" w:ascii="宋体" w:hAnsi="宋体" w:eastAsia="宋体" w:cs="宋体"/>
          <w:snapToGrid w:val="0"/>
          <w:color w:val="auto"/>
          <w:spacing w:val="-6"/>
          <w:kern w:val="2"/>
          <w:sz w:val="21"/>
          <w:szCs w:val="21"/>
          <w:highlight w:val="none"/>
          <w:lang w:val="en-US" w:eastAsia="zh-CN" w:bidi="ar-SA"/>
        </w:rPr>
        <w:t>.</w:t>
      </w:r>
      <w:r>
        <w:rPr>
          <w:rFonts w:hint="eastAsia" w:ascii="宋体" w:hAnsi="宋体" w:eastAsia="宋体" w:cs="宋体"/>
          <w:snapToGrid w:val="0"/>
          <w:color w:val="auto"/>
          <w:kern w:val="2"/>
          <w:sz w:val="21"/>
          <w:szCs w:val="21"/>
          <w:highlight w:val="none"/>
          <w:lang w:val="en-US" w:eastAsia="zh-CN" w:bidi="ar-SA"/>
        </w:rPr>
        <w:t>本合同范围的标的，应由乙方直接供应，不得转让他人供应。</w:t>
      </w:r>
    </w:p>
    <w:p w14:paraId="5C5CD5F0">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2</w:t>
      </w:r>
      <w:r>
        <w:rPr>
          <w:rFonts w:hint="eastAsia" w:ascii="宋体" w:hAnsi="宋体" w:eastAsia="宋体" w:cs="宋体"/>
          <w:snapToGrid w:val="0"/>
          <w:color w:val="auto"/>
          <w:spacing w:val="-6"/>
          <w:kern w:val="2"/>
          <w:sz w:val="21"/>
          <w:szCs w:val="21"/>
          <w:highlight w:val="none"/>
          <w:lang w:val="en-US" w:eastAsia="zh-CN" w:bidi="ar-SA"/>
        </w:rPr>
        <w:t>.</w:t>
      </w:r>
      <w:r>
        <w:rPr>
          <w:rFonts w:hint="eastAsia" w:ascii="宋体" w:hAnsi="宋体" w:eastAsia="宋体" w:cs="宋体"/>
          <w:snapToGrid w:val="0"/>
          <w:color w:val="auto"/>
          <w:kern w:val="2"/>
          <w:sz w:val="21"/>
          <w:szCs w:val="21"/>
          <w:highlight w:val="none"/>
          <w:lang w:val="en-US" w:eastAsia="zh-CN" w:bidi="ar-SA"/>
        </w:rPr>
        <w:t>除非得到甲方的书面同意，乙方不得将本合同范围的货物分包给他人供应。</w:t>
      </w:r>
    </w:p>
    <w:p w14:paraId="78EC7E3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如有转让或未经甲方同意的分包行为，甲方有权解除合同，没收履约保证金并要求乙方支付合同总价15%的违约金。</w:t>
      </w:r>
    </w:p>
    <w:p w14:paraId="570A07A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bookmarkStart w:id="1" w:name="_Hlk155173514"/>
      <w:r>
        <w:rPr>
          <w:rFonts w:hint="eastAsia" w:ascii="宋体" w:hAnsi="宋体" w:eastAsia="宋体" w:cs="宋体"/>
          <w:color w:val="auto"/>
          <w:kern w:val="0"/>
          <w:sz w:val="21"/>
          <w:szCs w:val="20"/>
          <w:highlight w:val="none"/>
          <w:lang w:val="en-US" w:eastAsia="zh-CN" w:bidi="ar-SA"/>
        </w:rPr>
        <w:t>八、</w:t>
      </w:r>
      <w:bookmarkEnd w:id="1"/>
      <w:r>
        <w:rPr>
          <w:rFonts w:hint="eastAsia" w:ascii="宋体" w:hAnsi="宋体" w:eastAsia="宋体" w:cs="宋体"/>
          <w:color w:val="auto"/>
          <w:kern w:val="0"/>
          <w:sz w:val="21"/>
          <w:szCs w:val="20"/>
          <w:highlight w:val="none"/>
          <w:lang w:val="en-US" w:eastAsia="zh-CN" w:bidi="ar-SA"/>
        </w:rPr>
        <w:t>验收</w:t>
      </w:r>
    </w:p>
    <w:p w14:paraId="26FA6A9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1.验收前乙方应对所提供服务作出全面检查及对验收文件进行整理，并列出清单，作为甲方验收和使用的技术条件依据，检验的结果应交甲方。</w:t>
      </w:r>
    </w:p>
    <w:p w14:paraId="53600E1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 xml:space="preserve">2.如甲方需要，验收时乙方应在现场，验收完毕后作出验收结果报告。 </w:t>
      </w:r>
    </w:p>
    <w:p w14:paraId="5BF09FC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eastAsia="宋体" w:cs="宋体"/>
          <w:b/>
          <w:bCs/>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个工作日内开始验收。</w:t>
      </w:r>
    </w:p>
    <w:p w14:paraId="313F6C7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strike/>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1EA19BD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九、质量保证与售后服务</w:t>
      </w:r>
    </w:p>
    <w:p w14:paraId="607EB54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26AD35A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33A885D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3.质量保证期内，乙方对本项目所含货物类产品免费提供维护、维修或更换，包括设备维修所需的零配件及不能解决的故障需要返回生产厂家维修时所发生的一切费用。</w:t>
      </w:r>
    </w:p>
    <w:p w14:paraId="2644551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十、保密条款</w:t>
      </w:r>
    </w:p>
    <w:p w14:paraId="13AF48C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0445C60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十一、违约责任</w:t>
      </w:r>
    </w:p>
    <w:p w14:paraId="35173C6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甲方逾期支付款项的，每逾期一日，应按逾期付款总额</w:t>
      </w:r>
      <w:r>
        <w:rPr>
          <w:rFonts w:hint="eastAsia" w:ascii="宋体" w:hAnsi="宋体" w:eastAsia="宋体" w:cs="宋体"/>
          <w:color w:val="auto"/>
          <w:kern w:val="0"/>
          <w:sz w:val="21"/>
          <w:szCs w:val="20"/>
          <w:highlight w:val="none"/>
          <w:u w:val="single"/>
          <w:lang w:val="en-US" w:eastAsia="zh-CN" w:bidi="ar-SA"/>
        </w:rPr>
        <w:t>0.3‰</w:t>
      </w:r>
      <w:r>
        <w:rPr>
          <w:rFonts w:hint="eastAsia" w:ascii="宋体" w:hAnsi="宋体" w:eastAsia="宋体" w:cs="宋体"/>
          <w:color w:val="auto"/>
          <w:kern w:val="0"/>
          <w:sz w:val="21"/>
          <w:szCs w:val="20"/>
          <w:highlight w:val="none"/>
          <w:lang w:val="en-US" w:eastAsia="zh-CN" w:bidi="ar-SA"/>
        </w:rPr>
        <w:t>向乙方支付违约金。</w:t>
      </w:r>
    </w:p>
    <w:p w14:paraId="569DD8D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乙方逾期履行合同的，每逾期一日，应按合同总价</w:t>
      </w:r>
      <w:r>
        <w:rPr>
          <w:rFonts w:hint="eastAsia" w:ascii="宋体" w:hAnsi="宋体" w:eastAsia="宋体" w:cs="宋体"/>
          <w:color w:val="auto"/>
          <w:kern w:val="0"/>
          <w:sz w:val="21"/>
          <w:szCs w:val="20"/>
          <w:highlight w:val="none"/>
          <w:u w:val="single"/>
          <w:lang w:val="en-US" w:eastAsia="zh-CN" w:bidi="ar-SA"/>
        </w:rPr>
        <w:t>0.3‰</w:t>
      </w:r>
      <w:r>
        <w:rPr>
          <w:rFonts w:hint="eastAsia" w:ascii="宋体" w:hAnsi="宋体" w:eastAsia="宋体" w:cs="宋体"/>
          <w:color w:val="auto"/>
          <w:kern w:val="0"/>
          <w:sz w:val="21"/>
          <w:szCs w:val="20"/>
          <w:highlight w:val="none"/>
          <w:lang w:val="en-US" w:eastAsia="zh-CN" w:bidi="ar-SA"/>
        </w:rPr>
        <w:t>向甲方支付违约金。累计逾期超过约定日期</w:t>
      </w:r>
      <w:r>
        <w:rPr>
          <w:rFonts w:hint="eastAsia" w:ascii="宋体" w:hAnsi="宋体" w:eastAsia="宋体" w:cs="宋体"/>
          <w:color w:val="auto"/>
          <w:kern w:val="0"/>
          <w:sz w:val="21"/>
          <w:szCs w:val="20"/>
          <w:highlight w:val="none"/>
          <w:u w:val="single"/>
          <w:lang w:val="en-US" w:eastAsia="zh-CN" w:bidi="ar-SA"/>
        </w:rPr>
        <w:t xml:space="preserve"> 10 </w:t>
      </w:r>
      <w:r>
        <w:rPr>
          <w:rFonts w:hint="eastAsia" w:ascii="宋体" w:hAnsi="宋体" w:eastAsia="宋体" w:cs="宋体"/>
          <w:color w:val="auto"/>
          <w:kern w:val="0"/>
          <w:sz w:val="21"/>
          <w:szCs w:val="20"/>
          <w:highlight w:val="none"/>
          <w:lang w:val="en-US" w:eastAsia="zh-CN" w:bidi="ar-SA"/>
        </w:rPr>
        <w:t>个工作日的，甲方有权解除本合同，乙方应向</w:t>
      </w:r>
      <w:r>
        <w:rPr>
          <w:rFonts w:hint="eastAsia" w:ascii="宋体" w:hAnsi="宋体" w:eastAsia="宋体" w:cs="宋体"/>
          <w:color w:val="auto"/>
          <w:spacing w:val="-6"/>
          <w:kern w:val="0"/>
          <w:sz w:val="21"/>
          <w:szCs w:val="20"/>
          <w:highlight w:val="none"/>
          <w:lang w:val="en-US" w:eastAsia="zh-CN" w:bidi="ar-SA"/>
        </w:rPr>
        <w:t>甲方返还全部已支付价款，并按合同总价的</w:t>
      </w:r>
      <w:r>
        <w:rPr>
          <w:rFonts w:hint="eastAsia" w:ascii="宋体" w:hAnsi="宋体" w:eastAsia="宋体" w:cs="宋体"/>
          <w:color w:val="auto"/>
          <w:kern w:val="0"/>
          <w:sz w:val="21"/>
          <w:szCs w:val="20"/>
          <w:highlight w:val="none"/>
          <w:u w:val="single"/>
          <w:lang w:val="en-US" w:eastAsia="zh-CN" w:bidi="ar-SA"/>
        </w:rPr>
        <w:t>5 %</w:t>
      </w:r>
      <w:r>
        <w:rPr>
          <w:rFonts w:hint="eastAsia" w:ascii="宋体" w:hAnsi="宋体" w:eastAsia="宋体" w:cs="宋体"/>
          <w:color w:val="auto"/>
          <w:spacing w:val="-6"/>
          <w:kern w:val="0"/>
          <w:sz w:val="21"/>
          <w:szCs w:val="20"/>
          <w:highlight w:val="none"/>
          <w:lang w:val="en-US" w:eastAsia="zh-CN" w:bidi="ar-SA"/>
        </w:rPr>
        <w:t>向甲方支付违约金，</w:t>
      </w:r>
      <w:r>
        <w:rPr>
          <w:rFonts w:hint="eastAsia" w:ascii="宋体" w:hAnsi="宋体" w:eastAsia="宋体" w:cs="宋体"/>
          <w:color w:val="auto"/>
          <w:kern w:val="0"/>
          <w:sz w:val="21"/>
          <w:szCs w:val="20"/>
          <w:highlight w:val="none"/>
          <w:lang w:val="en-US" w:eastAsia="zh-CN" w:bidi="ar-SA"/>
        </w:rPr>
        <w:t>违约金不足以弥补甲方损失的，乙方还应向</w:t>
      </w:r>
      <w:r>
        <w:rPr>
          <w:rFonts w:hint="eastAsia" w:ascii="宋体" w:hAnsi="宋体" w:eastAsia="宋体" w:cs="宋体"/>
          <w:color w:val="auto"/>
          <w:spacing w:val="-6"/>
          <w:kern w:val="0"/>
          <w:sz w:val="21"/>
          <w:szCs w:val="20"/>
          <w:highlight w:val="none"/>
          <w:lang w:val="en-US" w:eastAsia="zh-CN" w:bidi="ar-SA"/>
        </w:rPr>
        <w:t>甲方赔偿遭受的全部损失。</w:t>
      </w:r>
      <w:r>
        <w:rPr>
          <w:rFonts w:hint="eastAsia" w:ascii="宋体" w:hAnsi="宋体" w:eastAsia="宋体" w:cs="宋体"/>
          <w:color w:val="auto"/>
          <w:kern w:val="0"/>
          <w:sz w:val="21"/>
          <w:szCs w:val="20"/>
          <w:highlight w:val="none"/>
          <w:lang w:val="en-US" w:eastAsia="zh-CN" w:bidi="ar-SA"/>
        </w:rPr>
        <w:t xml:space="preserve"> </w:t>
      </w:r>
    </w:p>
    <w:p w14:paraId="5D4E318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3.若乙方未能按本合同要求全面提供服务或有其他违约行为，并经甲方书面通知后仍不改正的，甲方有权解除合同，乙方应向甲方返还全部已支付价款，并按合同总价的</w:t>
      </w:r>
      <w:r>
        <w:rPr>
          <w:rFonts w:hint="eastAsia" w:ascii="宋体" w:hAnsi="宋体" w:eastAsia="宋体" w:cs="宋体"/>
          <w:color w:val="auto"/>
          <w:kern w:val="0"/>
          <w:sz w:val="21"/>
          <w:szCs w:val="20"/>
          <w:highlight w:val="none"/>
          <w:u w:val="single"/>
          <w:lang w:val="en-US" w:eastAsia="zh-CN" w:bidi="ar-SA"/>
        </w:rPr>
        <w:t>5 %</w:t>
      </w:r>
      <w:r>
        <w:rPr>
          <w:rFonts w:hint="eastAsia" w:ascii="宋体" w:hAnsi="宋体" w:eastAsia="宋体" w:cs="宋体"/>
          <w:color w:val="auto"/>
          <w:kern w:val="0"/>
          <w:sz w:val="21"/>
          <w:szCs w:val="20"/>
          <w:highlight w:val="none"/>
          <w:lang w:val="en-US" w:eastAsia="zh-CN" w:bidi="ar-SA"/>
        </w:rPr>
        <w:t>向甲方支付违约金，违约金不足以弥补甲方损失的，乙方还应向甲方赔偿遭受的全部损失。</w:t>
      </w:r>
    </w:p>
    <w:p w14:paraId="76545CE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w:t>
      </w:r>
      <w:r>
        <w:rPr>
          <w:rFonts w:hint="eastAsia" w:ascii="宋体" w:hAnsi="宋体" w:eastAsia="宋体" w:cs="宋体"/>
          <w:color w:val="auto"/>
          <w:spacing w:val="-6"/>
          <w:kern w:val="0"/>
          <w:sz w:val="21"/>
          <w:szCs w:val="20"/>
          <w:highlight w:val="none"/>
          <w:lang w:val="en-US" w:eastAsia="zh-CN" w:bidi="ar-SA"/>
        </w:rPr>
        <w:t>服务期内乙方未在约定时间内作出服务响应的，</w:t>
      </w:r>
      <w:r>
        <w:rPr>
          <w:rFonts w:hint="eastAsia" w:ascii="宋体" w:hAnsi="宋体" w:eastAsia="宋体" w:cs="宋体"/>
          <w:color w:val="auto"/>
          <w:kern w:val="0"/>
          <w:sz w:val="21"/>
          <w:szCs w:val="20"/>
          <w:highlight w:val="none"/>
          <w:lang w:val="en-US" w:eastAsia="zh-CN" w:bidi="ar-SA"/>
        </w:rPr>
        <w:t>每发生一次应向甲方支付</w:t>
      </w:r>
      <w:r>
        <w:rPr>
          <w:rFonts w:hint="eastAsia" w:ascii="宋体" w:hAnsi="宋体" w:eastAsia="宋体" w:cs="宋体"/>
          <w:color w:val="auto"/>
          <w:kern w:val="0"/>
          <w:sz w:val="21"/>
          <w:szCs w:val="20"/>
          <w:highlight w:val="none"/>
          <w:u w:val="single"/>
          <w:lang w:val="en-US" w:eastAsia="zh-CN" w:bidi="ar-SA"/>
        </w:rPr>
        <w:t xml:space="preserve"> 2000 </w:t>
      </w:r>
      <w:r>
        <w:rPr>
          <w:rFonts w:hint="eastAsia" w:ascii="宋体" w:hAnsi="宋体" w:eastAsia="宋体" w:cs="宋体"/>
          <w:color w:val="auto"/>
          <w:kern w:val="0"/>
          <w:sz w:val="21"/>
          <w:szCs w:val="20"/>
          <w:highlight w:val="none"/>
          <w:lang w:val="en-US" w:eastAsia="zh-CN" w:bidi="ar-SA"/>
        </w:rPr>
        <w:t>元的违约金，</w:t>
      </w:r>
      <w:r>
        <w:rPr>
          <w:rFonts w:hint="eastAsia" w:ascii="宋体" w:hAnsi="宋体" w:eastAsia="宋体" w:cs="宋体"/>
          <w:color w:val="auto"/>
          <w:spacing w:val="-6"/>
          <w:kern w:val="0"/>
          <w:sz w:val="21"/>
          <w:szCs w:val="20"/>
          <w:highlight w:val="none"/>
          <w:lang w:val="en-US" w:eastAsia="zh-CN" w:bidi="ar-SA"/>
        </w:rPr>
        <w:t>甲方有权委托第三方提供服务，</w:t>
      </w:r>
      <w:r>
        <w:rPr>
          <w:rFonts w:hint="eastAsia" w:ascii="宋体" w:hAnsi="宋体" w:eastAsia="宋体" w:cs="宋体"/>
          <w:color w:val="auto"/>
          <w:kern w:val="0"/>
          <w:sz w:val="21"/>
          <w:szCs w:val="20"/>
          <w:highlight w:val="none"/>
          <w:lang w:val="en-US" w:eastAsia="zh-CN" w:bidi="ar-SA"/>
        </w:rPr>
        <w:t>所产生的费用由乙方承担。</w:t>
      </w:r>
    </w:p>
    <w:p w14:paraId="2FBEF26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219B24F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十二、不可抗力</w:t>
      </w:r>
    </w:p>
    <w:p w14:paraId="38D567B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在合同有效期内，任何一方因不可抗力事件导致不能履行合同，则合同履行期可延长，其延长期与不可抗力影响期相同。</w:t>
      </w:r>
    </w:p>
    <w:p w14:paraId="78383B4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 xml:space="preserve"> 不可抗力事件发生后，受不可抗力事件影响的一方应在事件发生后3日内立即通知对方，并寄送有关权威机构出具的证明。同时应立即尽一切合理努力采取措施，消除影响，减少损失。</w:t>
      </w:r>
    </w:p>
    <w:p w14:paraId="3C983C8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 xml:space="preserve"> 不可抗力事件延续30天以上，双方应通过友好协商，确定是否继续履行合同。</w:t>
      </w:r>
    </w:p>
    <w:p w14:paraId="60D5BAD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 本条所述的“不可抗力”依法律规定。</w:t>
      </w:r>
    </w:p>
    <w:p w14:paraId="496A933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十三、法律适用与争议解决</w:t>
      </w:r>
    </w:p>
    <w:p w14:paraId="05FE217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本合同的订立、解释、履行及争议解决，均适用中华人民共和国法律。</w:t>
      </w:r>
    </w:p>
    <w:p w14:paraId="19FFA02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本合同履行过程中发生争议的，甲乙双方应友好协商；协商不成的，任何一方可向甲方所在地人民法院起诉。</w:t>
      </w:r>
    </w:p>
    <w:p w14:paraId="4750DDB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十四、合同生效及其他</w:t>
      </w:r>
    </w:p>
    <w:p w14:paraId="5E598A7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本合同经甲、乙双方代表签字并加盖单位公章或合同专用章后生效，甲方的单位公章盖采购中心合同专用章。</w:t>
      </w:r>
    </w:p>
    <w:p w14:paraId="391D1DB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bookmarkStart w:id="2" w:name="_Hlk154756484"/>
      <w:r>
        <w:rPr>
          <w:rFonts w:hint="eastAsia" w:ascii="宋体" w:hAnsi="宋体" w:eastAsia="宋体" w:cs="宋体"/>
          <w:color w:val="auto"/>
          <w:kern w:val="0"/>
          <w:sz w:val="21"/>
          <w:szCs w:val="20"/>
          <w:highlight w:val="none"/>
          <w:lang w:val="en-US" w:eastAsia="zh-CN" w:bidi="ar-SA"/>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2"/>
    <w:p w14:paraId="21C5BCC8">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zh-CN" w:eastAsia="zh-CN" w:bidi="ar-SA"/>
        </w:rPr>
      </w:pPr>
      <w:bookmarkStart w:id="3" w:name="_Hlk154756502"/>
      <w:r>
        <w:rPr>
          <w:rFonts w:hint="eastAsia" w:ascii="宋体" w:hAnsi="宋体" w:eastAsia="宋体" w:cs="宋体"/>
          <w:color w:val="auto"/>
          <w:spacing w:val="-6"/>
          <w:kern w:val="0"/>
          <w:sz w:val="21"/>
          <w:szCs w:val="20"/>
          <w:highlight w:val="none"/>
          <w:lang w:val="en-US" w:eastAsia="zh-CN" w:bidi="ar-SA"/>
        </w:rPr>
        <w:t>3.</w:t>
      </w:r>
      <w:bookmarkEnd w:id="3"/>
      <w:r>
        <w:rPr>
          <w:rFonts w:hint="eastAsia" w:ascii="宋体" w:hAnsi="宋体" w:eastAsia="宋体" w:cs="宋体"/>
          <w:color w:val="auto"/>
          <w:kern w:val="0"/>
          <w:sz w:val="21"/>
          <w:szCs w:val="20"/>
          <w:highlight w:val="none"/>
          <w:lang w:val="en-US" w:eastAsia="zh-CN" w:bidi="ar-SA"/>
        </w:rPr>
        <w:t>本次采购过程中形成的招标（非招标）</w:t>
      </w:r>
      <w:r>
        <w:rPr>
          <w:rFonts w:hint="eastAsia" w:ascii="宋体" w:hAnsi="宋体" w:eastAsia="宋体" w:cs="宋体"/>
          <w:color w:val="auto"/>
          <w:kern w:val="0"/>
          <w:sz w:val="21"/>
          <w:szCs w:val="20"/>
          <w:highlight w:val="none"/>
          <w:lang w:val="zh-CN" w:eastAsia="zh-CN" w:bidi="ar-SA"/>
        </w:rPr>
        <w:t>文件</w:t>
      </w:r>
      <w:r>
        <w:rPr>
          <w:rFonts w:hint="eastAsia" w:ascii="宋体" w:hAnsi="宋体" w:eastAsia="宋体" w:cs="宋体"/>
          <w:color w:val="auto"/>
          <w:kern w:val="0"/>
          <w:sz w:val="21"/>
          <w:szCs w:val="20"/>
          <w:highlight w:val="none"/>
          <w:lang w:val="en-US" w:eastAsia="zh-CN" w:bidi="ar-SA"/>
        </w:rPr>
        <w:t>、投标（响应）文件、澄清承诺、补充协议、附件等</w:t>
      </w:r>
      <w:r>
        <w:rPr>
          <w:rFonts w:hint="eastAsia" w:ascii="宋体" w:hAnsi="宋体" w:eastAsia="宋体" w:cs="宋体"/>
          <w:color w:val="auto"/>
          <w:kern w:val="0"/>
          <w:sz w:val="21"/>
          <w:szCs w:val="20"/>
          <w:highlight w:val="none"/>
          <w:lang w:val="zh-CN" w:eastAsia="zh-CN" w:bidi="ar-SA"/>
        </w:rPr>
        <w:t>为本合同的组成部分，并构成一个整体，需综合解释、相互补充。如果</w:t>
      </w:r>
      <w:r>
        <w:rPr>
          <w:rFonts w:hint="eastAsia" w:ascii="宋体" w:hAnsi="宋体" w:eastAsia="宋体" w:cs="宋体"/>
          <w:color w:val="auto"/>
          <w:kern w:val="0"/>
          <w:sz w:val="21"/>
          <w:szCs w:val="20"/>
          <w:highlight w:val="none"/>
          <w:lang w:val="en-US" w:eastAsia="zh-CN" w:bidi="ar-SA"/>
        </w:rPr>
        <w:t>上述</w:t>
      </w:r>
      <w:r>
        <w:rPr>
          <w:rFonts w:hint="eastAsia" w:ascii="宋体" w:hAnsi="宋体" w:eastAsia="宋体" w:cs="宋体"/>
          <w:color w:val="auto"/>
          <w:kern w:val="0"/>
          <w:sz w:val="21"/>
          <w:szCs w:val="20"/>
          <w:highlight w:val="none"/>
          <w:lang w:val="zh-CN" w:eastAsia="zh-CN" w:bidi="ar-SA"/>
        </w:rPr>
        <w:t>文件内容出现不一致的情形，那么在保证按照采购文件确定的事项的前提下，组成本合同的多个文件的优先适用顺序如下：</w:t>
      </w:r>
    </w:p>
    <w:p w14:paraId="674510D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zh-CN" w:eastAsia="zh-CN" w:bidi="ar-SA"/>
        </w:rPr>
        <w:t>（1）本合同及其补充合同、变更协议；</w:t>
      </w:r>
    </w:p>
    <w:p w14:paraId="37072C3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（2）中标（成交）</w:t>
      </w:r>
      <w:r>
        <w:rPr>
          <w:rFonts w:hint="eastAsia" w:ascii="宋体" w:hAnsi="宋体" w:eastAsia="宋体" w:cs="宋体"/>
          <w:color w:val="auto"/>
          <w:kern w:val="0"/>
          <w:sz w:val="21"/>
          <w:szCs w:val="20"/>
          <w:highlight w:val="none"/>
          <w:lang w:val="zh-CN" w:eastAsia="zh-CN" w:bidi="ar-SA"/>
        </w:rPr>
        <w:t>通知书；</w:t>
      </w:r>
    </w:p>
    <w:p w14:paraId="21D2E7B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（3）投标（</w:t>
      </w:r>
      <w:r>
        <w:rPr>
          <w:rFonts w:hint="eastAsia" w:ascii="宋体" w:hAnsi="宋体" w:eastAsia="宋体" w:cs="宋体"/>
          <w:color w:val="auto"/>
          <w:kern w:val="0"/>
          <w:sz w:val="21"/>
          <w:szCs w:val="20"/>
          <w:highlight w:val="none"/>
          <w:lang w:val="zh-CN" w:eastAsia="zh-CN" w:bidi="ar-SA"/>
        </w:rPr>
        <w:t>响应）文件（含澄清或者说明文件）；</w:t>
      </w:r>
    </w:p>
    <w:p w14:paraId="192C0C6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（4）招标（非招标）</w:t>
      </w:r>
      <w:r>
        <w:rPr>
          <w:rFonts w:hint="eastAsia" w:ascii="宋体" w:hAnsi="宋体" w:eastAsia="宋体" w:cs="宋体"/>
          <w:color w:val="auto"/>
          <w:kern w:val="0"/>
          <w:sz w:val="21"/>
          <w:szCs w:val="20"/>
          <w:highlight w:val="none"/>
          <w:lang w:val="zh-CN" w:eastAsia="zh-CN" w:bidi="ar-SA"/>
        </w:rPr>
        <w:t>文件（含澄清或者修改文件）；</w:t>
      </w:r>
    </w:p>
    <w:p w14:paraId="7530F18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（5）</w:t>
      </w:r>
      <w:r>
        <w:rPr>
          <w:rFonts w:hint="eastAsia" w:ascii="宋体" w:hAnsi="宋体" w:eastAsia="宋体" w:cs="宋体"/>
          <w:color w:val="auto"/>
          <w:kern w:val="0"/>
          <w:sz w:val="21"/>
          <w:szCs w:val="20"/>
          <w:highlight w:val="none"/>
          <w:lang w:val="zh-CN" w:eastAsia="zh-CN" w:bidi="ar-SA"/>
        </w:rPr>
        <w:t>其他相关采购文件。</w:t>
      </w:r>
    </w:p>
    <w:p w14:paraId="70C2ABC0">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bookmarkStart w:id="4" w:name="_Hlk154756515"/>
      <w:r>
        <w:rPr>
          <w:rFonts w:hint="eastAsia" w:ascii="宋体" w:hAnsi="宋体" w:eastAsia="宋体" w:cs="宋体"/>
          <w:color w:val="auto"/>
          <w:kern w:val="0"/>
          <w:sz w:val="21"/>
          <w:szCs w:val="20"/>
          <w:highlight w:val="none"/>
          <w:lang w:val="en-US" w:eastAsia="zh-CN" w:bidi="ar-SA"/>
        </w:rPr>
        <w:t>4.本合同未尽事宜，遵照《中华人民共和国民法典》有关条文执行。</w:t>
      </w:r>
    </w:p>
    <w:p w14:paraId="5319B317">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spacing w:val="-6"/>
          <w:kern w:val="0"/>
          <w:sz w:val="21"/>
          <w:szCs w:val="20"/>
          <w:highlight w:val="none"/>
          <w:lang w:val="en-US" w:eastAsia="zh-CN" w:bidi="ar-SA"/>
        </w:rPr>
        <w:t>5.</w:t>
      </w:r>
      <w:r>
        <w:rPr>
          <w:rFonts w:hint="eastAsia" w:ascii="宋体" w:hAnsi="宋体" w:eastAsia="宋体" w:cs="宋体"/>
          <w:color w:val="auto"/>
          <w:kern w:val="0"/>
          <w:sz w:val="21"/>
          <w:szCs w:val="20"/>
          <w:highlight w:val="none"/>
          <w:lang w:val="en-US" w:eastAsia="zh-CN" w:bidi="ar-SA"/>
        </w:rPr>
        <w:t>本合同一式伍份，甲方执三份，乙方和鉴证方各执一份，具有同等法律效力。</w:t>
      </w:r>
    </w:p>
    <w:bookmarkEnd w:id="4"/>
    <w:p w14:paraId="0F985BE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合同附件：（附件名称</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u w:val="none"/>
          <w:lang w:val="en-US" w:eastAsia="zh-CN" w:bidi="ar-SA"/>
        </w:rPr>
        <w:t>）</w:t>
      </w:r>
      <w:r>
        <w:rPr>
          <w:rFonts w:hint="eastAsia" w:ascii="宋体" w:hAnsi="宋体" w:eastAsia="宋体" w:cs="宋体"/>
          <w:color w:val="auto"/>
          <w:kern w:val="0"/>
          <w:sz w:val="21"/>
          <w:szCs w:val="20"/>
          <w:highlight w:val="none"/>
          <w:lang w:val="en-US" w:eastAsia="zh-CN" w:bidi="ar-SA"/>
        </w:rPr>
        <w:t>（如有）</w:t>
      </w:r>
    </w:p>
    <w:tbl>
      <w:tblPr>
        <w:tblStyle w:val="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62"/>
        <w:gridCol w:w="4498"/>
      </w:tblGrid>
      <w:tr w14:paraId="6724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742" w:type="pct"/>
            <w:tcBorders>
              <w:tl2br w:val="nil"/>
              <w:tr2bl w:val="nil"/>
            </w:tcBorders>
            <w:vAlign w:val="center"/>
          </w:tcPr>
          <w:p w14:paraId="74FE1DD3">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甲方：杭州电子科技大学（公章）</w:t>
            </w:r>
          </w:p>
        </w:tc>
        <w:tc>
          <w:tcPr>
            <w:tcW w:w="2257" w:type="pct"/>
            <w:tcBorders>
              <w:tl2br w:val="nil"/>
              <w:tr2bl w:val="nil"/>
            </w:tcBorders>
            <w:vAlign w:val="center"/>
          </w:tcPr>
          <w:p w14:paraId="3B4098A9">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乙方：（公章）</w:t>
            </w:r>
          </w:p>
        </w:tc>
      </w:tr>
      <w:tr w14:paraId="24C19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2742" w:type="pct"/>
            <w:tcBorders>
              <w:tl2br w:val="nil"/>
              <w:tr2bl w:val="nil"/>
            </w:tcBorders>
            <w:vAlign w:val="center"/>
          </w:tcPr>
          <w:p w14:paraId="02B75B9D">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法定（授权）代表人：</w:t>
            </w:r>
          </w:p>
          <w:p w14:paraId="6DF4047C">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tc>
        <w:tc>
          <w:tcPr>
            <w:tcW w:w="2257" w:type="pct"/>
            <w:tcBorders>
              <w:tl2br w:val="nil"/>
              <w:tr2bl w:val="nil"/>
            </w:tcBorders>
            <w:vAlign w:val="center"/>
          </w:tcPr>
          <w:p w14:paraId="63EA094F">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法定（授权）代表人：</w:t>
            </w:r>
          </w:p>
          <w:p w14:paraId="0E1E0C3D">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tc>
      </w:tr>
      <w:tr w14:paraId="3C2BA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74EE359A">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地址：杭州下沙高教园区二号大街1158号</w:t>
            </w:r>
          </w:p>
        </w:tc>
        <w:tc>
          <w:tcPr>
            <w:tcW w:w="2257" w:type="pct"/>
            <w:tcBorders>
              <w:tl2br w:val="nil"/>
              <w:tr2bl w:val="nil"/>
            </w:tcBorders>
            <w:vAlign w:val="center"/>
          </w:tcPr>
          <w:p w14:paraId="08F6DD13">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w:t>
            </w:r>
          </w:p>
        </w:tc>
      </w:tr>
      <w:tr w14:paraId="27582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4656E178">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tc>
        <w:tc>
          <w:tcPr>
            <w:tcW w:w="2257" w:type="pct"/>
            <w:tcBorders>
              <w:tl2br w:val="nil"/>
              <w:tr2bl w:val="nil"/>
            </w:tcBorders>
            <w:vAlign w:val="center"/>
          </w:tcPr>
          <w:p w14:paraId="7A6A0A28">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tc>
      </w:tr>
      <w:tr w14:paraId="5AF61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3DFD28BC">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开户银行：工行高新支行</w:t>
            </w:r>
          </w:p>
        </w:tc>
        <w:tc>
          <w:tcPr>
            <w:tcW w:w="2257" w:type="pct"/>
            <w:tcBorders>
              <w:tl2br w:val="nil"/>
              <w:tr2bl w:val="nil"/>
            </w:tcBorders>
            <w:vAlign w:val="center"/>
          </w:tcPr>
          <w:p w14:paraId="15933EB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开户银行：</w:t>
            </w:r>
          </w:p>
        </w:tc>
      </w:tr>
      <w:tr w14:paraId="4619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0CDB785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帐号：1202026209008806216</w:t>
            </w:r>
          </w:p>
        </w:tc>
        <w:tc>
          <w:tcPr>
            <w:tcW w:w="2257" w:type="pct"/>
            <w:tcBorders>
              <w:tl2br w:val="nil"/>
              <w:tr2bl w:val="nil"/>
            </w:tcBorders>
            <w:vAlign w:val="center"/>
          </w:tcPr>
          <w:p w14:paraId="03DFD34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帐号：</w:t>
            </w:r>
          </w:p>
        </w:tc>
      </w:tr>
      <w:tr w14:paraId="2E2B0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3241E32B">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c>
          <w:tcPr>
            <w:tcW w:w="2257" w:type="pct"/>
            <w:tcBorders>
              <w:tl2br w:val="nil"/>
              <w:tr2bl w:val="nil"/>
            </w:tcBorders>
            <w:vAlign w:val="center"/>
          </w:tcPr>
          <w:p w14:paraId="374F2674">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r>
      <w:tr w14:paraId="16A3C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2"/>
            <w:tcBorders>
              <w:tl2br w:val="nil"/>
              <w:tr2bl w:val="nil"/>
            </w:tcBorders>
          </w:tcPr>
          <w:p w14:paraId="7831CD4A">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合同鉴证方（公章）：</w:t>
            </w:r>
          </w:p>
          <w:p w14:paraId="2C3F08BC">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代表人：</w:t>
            </w:r>
          </w:p>
          <w:p w14:paraId="4D58C453">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p w14:paraId="437E0F81">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w:t>
            </w:r>
          </w:p>
          <w:p w14:paraId="66BC8D12">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p w14:paraId="20DD0D3B">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r>
    </w:tbl>
    <w:p w14:paraId="3C84CF0B">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第六章 响应文件格式</w:t>
      </w:r>
    </w:p>
    <w:p w14:paraId="2F44F01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p>
    <w:p w14:paraId="1E8176CF">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响应文件组成</w:t>
      </w:r>
    </w:p>
    <w:p w14:paraId="0F2FEC49">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A75A911">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评分索引表</w:t>
      </w:r>
    </w:p>
    <w:p w14:paraId="7AB3AB3E">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3B001214">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一、资格文件</w:t>
      </w:r>
      <w:r>
        <w:rPr>
          <w:rFonts w:hint="eastAsia" w:ascii="宋体" w:hAnsi="宋体" w:eastAsia="宋体" w:cs="宋体"/>
          <w:b/>
          <w:bCs/>
          <w:color w:val="auto"/>
          <w:spacing w:val="0"/>
          <w:kern w:val="0"/>
          <w:sz w:val="21"/>
          <w:szCs w:val="21"/>
          <w:highlight w:val="none"/>
          <w:lang w:val="en-US" w:eastAsia="zh-CN" w:bidi="ar"/>
        </w:rPr>
        <w:t>（单独上传）。资格审查要求的资格证明材料（均需加盖公章）</w:t>
      </w:r>
    </w:p>
    <w:p w14:paraId="002B1D7C">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（一）符合参加政府采购活动应当具备的一般条件的承诺函</w:t>
      </w:r>
    </w:p>
    <w:p w14:paraId="2EE7C133">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（二）有效的法人或者其他组织的营业执照等证明文件，自然人的身份证明（扫描件）</w:t>
      </w:r>
    </w:p>
    <w:p w14:paraId="0E93E5F5">
      <w:pPr>
        <w:keepNext w:val="0"/>
        <w:keepLines w:val="0"/>
        <w:widowControl/>
        <w:suppressLineNumbers w:val="0"/>
        <w:spacing w:line="288" w:lineRule="auto"/>
        <w:jc w:val="left"/>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（三）落实政府采购政策需满足的资格要求：</w:t>
      </w:r>
      <w:r>
        <w:rPr>
          <w:rFonts w:hint="eastAsia" w:ascii="宋体" w:hAnsi="宋体" w:cs="宋体"/>
          <w:color w:val="auto"/>
          <w:kern w:val="0"/>
          <w:sz w:val="21"/>
          <w:szCs w:val="21"/>
          <w:highlight w:val="none"/>
          <w:lang w:val="en-US" w:eastAsia="zh-CN" w:bidi="ar"/>
        </w:rPr>
        <w:t>无</w:t>
      </w:r>
    </w:p>
    <w:p w14:paraId="08619C87">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（四）本项目的特定资格要求：根据投标邀请“申请人的资格要求”提供。</w:t>
      </w:r>
    </w:p>
    <w:p w14:paraId="7E68E092">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（如有）联合协议</w:t>
      </w:r>
    </w:p>
    <w:p w14:paraId="2F68D287">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二、商务和技术文件</w:t>
      </w:r>
      <w:r>
        <w:rPr>
          <w:rFonts w:hint="eastAsia" w:ascii="宋体" w:hAnsi="宋体" w:eastAsia="宋体" w:cs="宋体"/>
          <w:b/>
          <w:bCs/>
          <w:color w:val="auto"/>
          <w:spacing w:val="0"/>
          <w:kern w:val="0"/>
          <w:sz w:val="21"/>
          <w:szCs w:val="21"/>
          <w:highlight w:val="none"/>
          <w:lang w:val="en-US" w:eastAsia="zh-CN" w:bidi="ar"/>
        </w:rPr>
        <w:t>（单独上传）</w:t>
      </w:r>
    </w:p>
    <w:p w14:paraId="1DF96C69">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（一）响应函</w:t>
      </w:r>
    </w:p>
    <w:p w14:paraId="567BCA9C">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（如有）分包意向协议</w:t>
      </w:r>
    </w:p>
    <w:p w14:paraId="051937E3">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（二）授权委托书/法定代表人（单位负责人、自然人本人）身份证明</w:t>
      </w:r>
    </w:p>
    <w:p w14:paraId="5CCA8AAD">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（三）响应标的清单</w:t>
      </w:r>
    </w:p>
    <w:p w14:paraId="5CBD8789">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（四）响应偏离表</w:t>
      </w:r>
    </w:p>
    <w:p w14:paraId="53CCFF60">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（五）评审标准相应的商务和技术资料</w:t>
      </w:r>
    </w:p>
    <w:p w14:paraId="2D42B581">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0"/>
          <w:kern w:val="0"/>
          <w:sz w:val="21"/>
          <w:szCs w:val="21"/>
          <w:highlight w:val="none"/>
          <w:lang w:val="en-US" w:eastAsia="zh-CN" w:bidi="ar"/>
        </w:rPr>
        <w:t>（单独上传）</w:t>
      </w:r>
    </w:p>
    <w:p w14:paraId="5365A51F">
      <w:pPr>
        <w:keepNext w:val="0"/>
        <w:keepLines w:val="0"/>
        <w:widowControl/>
        <w:suppressLineNumbers w:val="0"/>
        <w:spacing w:line="288"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（一）初次报价一览表</w:t>
      </w:r>
    </w:p>
    <w:p w14:paraId="4D5AF6A5">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cs="宋体"/>
          <w:color w:val="auto"/>
          <w:kern w:val="0"/>
          <w:sz w:val="21"/>
          <w:szCs w:val="21"/>
          <w:highlight w:val="none"/>
          <w:lang w:val="en-US" w:eastAsia="zh-CN" w:bidi="ar"/>
        </w:rPr>
        <w:t>（二）</w:t>
      </w:r>
      <w:r>
        <w:rPr>
          <w:rFonts w:hint="eastAsia" w:ascii="宋体" w:hAnsi="宋体" w:eastAsia="宋体" w:cs="宋体"/>
          <w:color w:val="auto"/>
          <w:kern w:val="0"/>
          <w:sz w:val="21"/>
          <w:szCs w:val="21"/>
          <w:highlight w:val="none"/>
          <w:lang w:val="en-US" w:eastAsia="zh-CN" w:bidi="ar"/>
        </w:rPr>
        <w:t>《中小企业声明函》</w:t>
      </w:r>
      <w:r>
        <w:rPr>
          <w:rFonts w:hint="eastAsia" w:ascii="宋体" w:hAnsi="宋体" w:cs="宋体"/>
          <w:color w:val="auto"/>
          <w:kern w:val="0"/>
          <w:sz w:val="21"/>
          <w:szCs w:val="21"/>
          <w:highlight w:val="none"/>
          <w:lang w:val="en-US" w:eastAsia="zh-CN" w:bidi="ar"/>
        </w:rPr>
        <w:t>（如有）</w:t>
      </w:r>
    </w:p>
    <w:p w14:paraId="1DBA4E1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响应文件格式</w:t>
      </w:r>
    </w:p>
    <w:p w14:paraId="449749EF">
      <w:pPr>
        <w:pStyle w:val="5"/>
        <w:keepNext w:val="0"/>
        <w:keepLines w:val="0"/>
        <w:widowControl/>
        <w:suppressLineNumbers w:val="0"/>
        <w:spacing w:before="0" w:beforeAutospacing="1" w:after="0" w:afterAutospacing="1" w:line="288" w:lineRule="auto"/>
        <w:ind w:left="0" w:right="0"/>
        <w:rPr>
          <w:rFonts w:hint="eastAsia" w:ascii="宋体" w:hAnsi="宋体" w:eastAsia="宋体" w:cs="宋体"/>
          <w:color w:val="auto"/>
          <w:highlight w:val="none"/>
        </w:rPr>
      </w:pPr>
      <w:r>
        <w:rPr>
          <w:rFonts w:hint="eastAsia" w:ascii="宋体" w:hAnsi="宋体" w:eastAsia="宋体" w:cs="宋体"/>
          <w:color w:val="auto"/>
          <w:highlight w:val="none"/>
        </w:rPr>
        <w:t>响应文件格式</w:t>
      </w:r>
    </w:p>
    <w:p w14:paraId="082F162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414C7A3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编制说明：</w:t>
      </w:r>
    </w:p>
    <w:p w14:paraId="39C5FDE7">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1、供应商应按照采购文件规定</w:t>
      </w:r>
      <w:r>
        <w:rPr>
          <w:rFonts w:hint="eastAsia" w:ascii="宋体" w:hAnsi="宋体" w:eastAsia="宋体" w:cs="宋体"/>
          <w:color w:val="auto"/>
          <w:kern w:val="0"/>
          <w:sz w:val="21"/>
          <w:szCs w:val="21"/>
          <w:highlight w:val="none"/>
          <w:lang w:val="en-US" w:eastAsia="zh-CN" w:bidi="ar"/>
        </w:rPr>
        <w:t>的编制要求编制响应文件；</w:t>
      </w:r>
    </w:p>
    <w:p w14:paraId="255646E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2、响应文件编制应与响应情况、评审标准相对应，提供</w:t>
      </w:r>
      <w:r>
        <w:rPr>
          <w:rFonts w:hint="eastAsia" w:ascii="宋体" w:hAnsi="宋体" w:eastAsia="宋体" w:cs="宋体"/>
          <w:b/>
          <w:bCs/>
          <w:color w:val="auto"/>
          <w:spacing w:val="-6"/>
          <w:kern w:val="0"/>
          <w:sz w:val="21"/>
          <w:szCs w:val="21"/>
          <w:highlight w:val="none"/>
          <w:lang w:val="en-US" w:eastAsia="zh-CN" w:bidi="ar"/>
        </w:rPr>
        <w:t>有效资料信息</w:t>
      </w:r>
      <w:r>
        <w:rPr>
          <w:rFonts w:hint="eastAsia" w:ascii="宋体" w:hAnsi="宋体" w:eastAsia="宋体" w:cs="宋体"/>
          <w:color w:val="auto"/>
          <w:spacing w:val="-6"/>
          <w:kern w:val="0"/>
          <w:sz w:val="21"/>
          <w:szCs w:val="21"/>
          <w:highlight w:val="none"/>
          <w:lang w:val="en-US" w:eastAsia="zh-CN" w:bidi="ar"/>
        </w:rPr>
        <w:t>，</w:t>
      </w:r>
      <w:r>
        <w:rPr>
          <w:rFonts w:hint="eastAsia" w:ascii="宋体" w:hAnsi="宋体" w:eastAsia="宋体" w:cs="宋体"/>
          <w:b/>
          <w:bCs/>
          <w:color w:val="auto"/>
          <w:spacing w:val="-6"/>
          <w:kern w:val="0"/>
          <w:sz w:val="21"/>
          <w:szCs w:val="21"/>
          <w:highlight w:val="none"/>
          <w:lang w:val="en-US" w:eastAsia="zh-CN" w:bidi="ar"/>
        </w:rPr>
        <w:t>控制篇幅（页数）</w:t>
      </w:r>
      <w:r>
        <w:rPr>
          <w:rFonts w:hint="eastAsia" w:ascii="宋体" w:hAnsi="宋体" w:eastAsia="宋体" w:cs="宋体"/>
          <w:color w:val="auto"/>
          <w:spacing w:val="-6"/>
          <w:kern w:val="0"/>
          <w:sz w:val="21"/>
          <w:szCs w:val="21"/>
          <w:highlight w:val="none"/>
          <w:lang w:val="en-US" w:eastAsia="zh-CN" w:bidi="ar"/>
        </w:rPr>
        <w:t>；</w:t>
      </w:r>
    </w:p>
    <w:p w14:paraId="4A04E416">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p>
    <w:p w14:paraId="7A1AEEC2">
      <w:pPr>
        <w:keepNext w:val="0"/>
        <w:keepLines w:val="0"/>
        <w:widowControl/>
        <w:suppressLineNumbers w:val="0"/>
        <w:tabs>
          <w:tab w:val="center" w:pos="4706"/>
        </w:tabs>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评分索引表（标项：  ）</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6"/>
        <w:gridCol w:w="2202"/>
        <w:gridCol w:w="747"/>
        <w:gridCol w:w="984"/>
        <w:gridCol w:w="3402"/>
        <w:gridCol w:w="916"/>
        <w:gridCol w:w="929"/>
      </w:tblGrid>
      <w:tr w14:paraId="0B33D6C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A3AC4C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序号</w:t>
            </w:r>
          </w:p>
        </w:tc>
        <w:tc>
          <w:tcPr>
            <w:tcW w:w="209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389B8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评审因素</w:t>
            </w:r>
          </w:p>
        </w:tc>
        <w:tc>
          <w:tcPr>
            <w:tcW w:w="71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0D48D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分值</w:t>
            </w:r>
          </w:p>
        </w:tc>
        <w:tc>
          <w:tcPr>
            <w:tcW w:w="93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80F891">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主/客观分属性</w:t>
            </w:r>
          </w:p>
        </w:tc>
        <w:tc>
          <w:tcPr>
            <w:tcW w:w="323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2486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评审标准</w:t>
            </w:r>
          </w:p>
        </w:tc>
        <w:tc>
          <w:tcPr>
            <w:tcW w:w="87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1D7FBD">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自评分</w:t>
            </w:r>
          </w:p>
        </w:tc>
        <w:tc>
          <w:tcPr>
            <w:tcW w:w="88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DFF2DC">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页码</w:t>
            </w:r>
          </w:p>
        </w:tc>
      </w:tr>
      <w:tr w14:paraId="1B87CBE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ECF8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48F47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CF190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7E6CE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00C52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46D67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860C1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CCF963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24924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5C60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B09D0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62F77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E98AA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FEE5D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E6F9A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EC249D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B84EA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D3E16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2DF77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141A1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8F793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CDAA3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33B89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7946C82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BB937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D8EC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77F2E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05FC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8D5FC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F786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FA2C6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435EAE9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977B6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6EB0A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45517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C5357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6AE613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B7908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C7C71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22EA89B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1CD1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0D08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B5FD5A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C045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1F2B3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92E6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89455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1AD21EB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AEE4B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17DEC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7DAFA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232F8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FC7D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6F8FC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8BC3E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737F6CB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2A16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E822E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4C397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ED0AF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1BAE3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6C6ED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77755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19A1C22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59521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B28C7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5AC28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2F669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E763B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E76F1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9B8BD1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ACDAE3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46F5A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1DA27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6AA1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FD241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10E3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51EAF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3C3F1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48B5DA4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6233A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86204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57625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A04C6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2898A4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5B612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F61B2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bl>
    <w:p w14:paraId="4F72E07A">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备注：本表仅为方便评审使用，不作为判别响应文件是否有效的依据。</w:t>
      </w:r>
    </w:p>
    <w:p w14:paraId="28691D6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一、资格文件（标项：  ）</w:t>
      </w:r>
    </w:p>
    <w:p w14:paraId="482BCE8E">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1F0596B0">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7FA516C5">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（一）符合参加政府采购活动应当具备的一般条件的承诺函</w:t>
      </w:r>
    </w:p>
    <w:p w14:paraId="6CC8F917">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1B4D447A">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cs="宋体"/>
          <w:i w:val="0"/>
          <w:iCs w:val="0"/>
          <w:color w:val="auto"/>
          <w:spacing w:val="-6"/>
          <w:kern w:val="0"/>
          <w:sz w:val="21"/>
          <w:szCs w:val="21"/>
          <w:highlight w:val="none"/>
          <w:u w:val="single"/>
          <w:lang w:val="en-US" w:eastAsia="zh-CN" w:bidi="ar"/>
        </w:rPr>
        <w:t>杭州电子科技大学</w:t>
      </w: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eastAsia="宋体" w:cs="宋体"/>
          <w:i w:val="0"/>
          <w:iCs w:val="0"/>
          <w:color w:val="auto"/>
          <w:spacing w:val="-6"/>
          <w:kern w:val="0"/>
          <w:sz w:val="21"/>
          <w:szCs w:val="21"/>
          <w:highlight w:val="none"/>
          <w:u w:val="single"/>
          <w:lang w:val="en-US" w:eastAsia="zh-CN" w:bidi="ar"/>
        </w:rPr>
        <w:t>浙江求是招标代理有限公司</w:t>
      </w:r>
      <w:r>
        <w:rPr>
          <w:rFonts w:hint="eastAsia" w:ascii="宋体" w:hAnsi="宋体" w:eastAsia="宋体" w:cs="宋体"/>
          <w:color w:val="auto"/>
          <w:spacing w:val="-6"/>
          <w:kern w:val="0"/>
          <w:sz w:val="21"/>
          <w:szCs w:val="21"/>
          <w:highlight w:val="none"/>
          <w:u w:val="single"/>
          <w:lang w:val="en-US" w:eastAsia="zh-CN" w:bidi="ar"/>
        </w:rPr>
        <w:t>）：</w:t>
      </w:r>
    </w:p>
    <w:p w14:paraId="0BBCFB0C">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我方参与</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芯粒多场耦合模型工程化开发</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330000263030150000532-QSZBB260324ZFCS</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spacing w:val="-6"/>
          <w:kern w:val="0"/>
          <w:sz w:val="21"/>
          <w:szCs w:val="21"/>
          <w:highlight w:val="none"/>
          <w:lang w:val="en-US" w:eastAsia="zh-CN" w:bidi="ar"/>
        </w:rPr>
        <w:t>政府采购活动，郑重承诺：</w:t>
      </w:r>
    </w:p>
    <w:p w14:paraId="10D5078F">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（一）具备《中华人民共和国政府采购法》第二十二条第一款规定的条件：</w:t>
      </w:r>
    </w:p>
    <w:p w14:paraId="3E60A11C">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1、具有独立承担民事责任的能力；</w:t>
      </w:r>
    </w:p>
    <w:p w14:paraId="7B4538C1">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2、具有良好的商业信誉和健全的财务会计制度；</w:t>
      </w:r>
    </w:p>
    <w:p w14:paraId="3A2A589D">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3、具有履行合同所必需的设备和专业技术能力；</w:t>
      </w:r>
    </w:p>
    <w:p w14:paraId="1429675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4、有依法缴纳税收和社会保障资金的良好记录；</w:t>
      </w:r>
    </w:p>
    <w:p w14:paraId="0C1306B6">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5、参加政府采购活动前三年内，在经营活动中没有重大违法记录；</w:t>
      </w:r>
    </w:p>
    <w:p w14:paraId="5EE44533">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6、具有法律、行政法规规定的其他条件。</w:t>
      </w:r>
    </w:p>
    <w:p w14:paraId="621CCA3B">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（二）未被信用中国（www.creditchina.gov.cn)、中国政府采购网（www.ccgp.gov.cn）列入失信被执行人、重大税收违法失信主体名单、政府采购严重违法失信行为记录名单。</w:t>
      </w:r>
    </w:p>
    <w:p w14:paraId="3F212723">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（三）不存在以下情况：</w:t>
      </w:r>
    </w:p>
    <w:p w14:paraId="433BA66E">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1、单位负责人为同一人或者存在直接控股、管理关系的不同供应商参加同一合同项下的政府采购活动的；</w:t>
      </w:r>
    </w:p>
    <w:p w14:paraId="5603658B">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2、为采购项目提供整体设计、规范编制或者项目管理、监理、检测等服务后再参加该采购项目的其他采购活动的；</w:t>
      </w:r>
    </w:p>
    <w:p w14:paraId="03A9754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3、政府购买服务的项目，公益一类事业单位、使用事业编制且由财政拨款保障的群团组织不得作为承接主体。</w:t>
      </w:r>
    </w:p>
    <w:p w14:paraId="563E36CC">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p>
    <w:p w14:paraId="6187E57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供应商名称（电子签名/公章）：      （▲联合体响应的，为联合体成员各方）</w:t>
      </w:r>
    </w:p>
    <w:p w14:paraId="2B6BF07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0D959FE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0B3257D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（二）有效的法人或者其他组织的营业执照等证明文件，自然人的身份证明（扫描件）</w:t>
      </w:r>
    </w:p>
    <w:p w14:paraId="3F5D3F83">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p>
    <w:p w14:paraId="798F258D">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（▲联合体响应的，联合体成员各方均需提供）</w:t>
      </w:r>
    </w:p>
    <w:p w14:paraId="57725C62">
      <w:pPr>
        <w:keepNext w:val="0"/>
        <w:keepLines w:val="0"/>
        <w:widowControl/>
        <w:suppressLineNumbers w:val="0"/>
        <w:autoSpaceDE w:val="0"/>
        <w:autoSpaceDN/>
        <w:spacing w:line="288" w:lineRule="auto"/>
        <w:ind w:left="0" w:firstLine="396"/>
        <w:jc w:val="both"/>
        <w:rPr>
          <w:rFonts w:hint="eastAsia" w:ascii="宋体" w:hAnsi="宋体" w:eastAsia="宋体" w:cs="宋体"/>
          <w:color w:val="auto"/>
          <w:sz w:val="21"/>
          <w:szCs w:val="21"/>
          <w:highlight w:val="none"/>
        </w:rPr>
      </w:pPr>
    </w:p>
    <w:p w14:paraId="309DF44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说明：</w:t>
      </w:r>
    </w:p>
    <w:p w14:paraId="200AC6C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1.如供应商是企业（包括合伙企业），提供在工商部门注册的有效“企业法人营业执照”或“营业执照”；</w:t>
      </w:r>
    </w:p>
    <w:p w14:paraId="523AB2A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2.如供应商是事业单位，提供有效的“事业单位法人证书”；</w:t>
      </w:r>
    </w:p>
    <w:p w14:paraId="0BBFF50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3.如供应商是非企业专业服务机构的，提供执业许可证等证明文件；</w:t>
      </w:r>
    </w:p>
    <w:p w14:paraId="72E9775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4.如供应商是个体工商户，提供有效的“个体工商户营业执照”；</w:t>
      </w:r>
    </w:p>
    <w:p w14:paraId="59B6F0A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5.如供应商是自然人，提供有效的自然人身份证明。</w:t>
      </w:r>
    </w:p>
    <w:p w14:paraId="5998E898">
      <w:pPr>
        <w:keepNext w:val="0"/>
        <w:keepLines w:val="0"/>
        <w:widowControl/>
        <w:suppressLineNumbers w:val="0"/>
        <w:autoSpaceDE w:val="0"/>
        <w:autoSpaceDN/>
        <w:spacing w:line="288" w:lineRule="auto"/>
        <w:ind w:left="0" w:firstLine="0"/>
        <w:jc w:val="left"/>
        <w:rPr>
          <w:rFonts w:hint="eastAsia" w:ascii="宋体" w:hAnsi="宋体" w:eastAsia="宋体" w:cs="宋体"/>
          <w:color w:val="auto"/>
          <w:spacing w:val="0"/>
          <w:sz w:val="21"/>
          <w:szCs w:val="21"/>
          <w:highlight w:val="none"/>
        </w:rPr>
      </w:pPr>
    </w:p>
    <w:p w14:paraId="623D7E19">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（三）落实政府采购政策需满足的资格要求：根据响应邀请“申请人的资格要求”提供。如：《中小企业声明函》（附件1）、《联合协议》（附件4）、《分包意向协议》（附件5）等。</w:t>
      </w:r>
    </w:p>
    <w:p w14:paraId="3E8D895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32C2040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w:t>
      </w:r>
      <w:r>
        <w:rPr>
          <w:rFonts w:hint="eastAsia" w:ascii="宋体" w:hAnsi="宋体" w:eastAsia="宋体" w:cs="宋体"/>
          <w:b/>
          <w:bCs/>
          <w:i w:val="0"/>
          <w:iCs w:val="0"/>
          <w:color w:val="auto"/>
          <w:kern w:val="0"/>
          <w:sz w:val="21"/>
          <w:szCs w:val="21"/>
          <w:highlight w:val="none"/>
          <w:lang w:val="en-US" w:eastAsia="zh-CN" w:bidi="ar"/>
        </w:rPr>
        <w:t>四</w:t>
      </w:r>
      <w:r>
        <w:rPr>
          <w:rFonts w:hint="eastAsia" w:ascii="宋体" w:hAnsi="宋体" w:eastAsia="宋体" w:cs="宋体"/>
          <w:b/>
          <w:bCs/>
          <w:color w:val="auto"/>
          <w:kern w:val="0"/>
          <w:sz w:val="21"/>
          <w:szCs w:val="21"/>
          <w:highlight w:val="none"/>
          <w:lang w:val="en-US" w:eastAsia="zh-CN" w:bidi="ar"/>
        </w:rPr>
        <w:t>）本项目的特定资格要求</w:t>
      </w:r>
    </w:p>
    <w:p w14:paraId="13E327D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根据响应邀请“申请人的资格要求”提供。</w:t>
      </w:r>
    </w:p>
    <w:p w14:paraId="317E46D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43F00D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（如有）联合协议。仅适用于：供应商以“联合体”形式响应的情形。《联合协议》（附件4）</w:t>
      </w:r>
    </w:p>
    <w:p w14:paraId="15E912C7">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二、商务和技术文件（标项：  ）</w:t>
      </w:r>
    </w:p>
    <w:p w14:paraId="175E941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33B18C7F">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（一）响应函</w:t>
      </w:r>
    </w:p>
    <w:p w14:paraId="7CF1780D">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2ADA2D6F">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w:t>
      </w:r>
    </w:p>
    <w:p w14:paraId="36FD707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我方参加</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芯粒多场耦合模型工程化开发</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330000263030150000532-QSZBB260324ZFCS</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采购的有关活动，并对此项目进行响应。为此：</w:t>
      </w:r>
    </w:p>
    <w:p w14:paraId="0B8DF6B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（一）我方的响应文件包括资格文件、商务和技术文件、报价文件。</w:t>
      </w:r>
    </w:p>
    <w:p w14:paraId="1D213BD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（二）我方承诺响应有效期从响应截止日起</w:t>
      </w:r>
      <w:r>
        <w:rPr>
          <w:rFonts w:hint="eastAsia" w:ascii="宋体" w:hAnsi="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天（不少于90天），本响应文件在响应有效期满之前均具有约束力。</w:t>
      </w:r>
    </w:p>
    <w:p w14:paraId="6930506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（三）我方承诺除响应偏离表列出的偏离外，我方响应采购文件的全部要求。对响应文件中材料的真实性、合法性负责。</w:t>
      </w:r>
    </w:p>
    <w:p w14:paraId="16FAF12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（四）如我方成交，我方承诺：</w:t>
      </w:r>
    </w:p>
    <w:p w14:paraId="71AEFBE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1、在收到成交通知书后，在成交通知书规定的期限内与你方签订合同；</w:t>
      </w:r>
    </w:p>
    <w:p w14:paraId="7854067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2、在签订合同时不向你方提出附加条件；</w:t>
      </w:r>
    </w:p>
    <w:p w14:paraId="479149F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3、按照采购文件要求交纳采购代理服务费等应付费用；</w:t>
      </w:r>
    </w:p>
    <w:p w14:paraId="25A4654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4、按照采购文件要求提交履约保证金；</w:t>
      </w:r>
    </w:p>
    <w:p w14:paraId="7FE1276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5、在合同约定的期限内履行合同规定的全部义务。</w:t>
      </w:r>
    </w:p>
    <w:p w14:paraId="6CDE13C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对通过电子交易平台进行的质疑、投诉等活动，我方承诺并接受平台以电子送达的方式送达相关文书。我方认可电子送达与邮寄送达具有同等法律效力，以文书到达电子交易平台平台日期为送达日期，本公司保证电子交易平台账号真实有效。</w:t>
      </w:r>
    </w:p>
    <w:p w14:paraId="1592D67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7、其他补充说明：             。</w:t>
      </w:r>
    </w:p>
    <w:p w14:paraId="0B9DA06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8、联系方式：</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54"/>
        <w:gridCol w:w="8042"/>
      </w:tblGrid>
      <w:tr w14:paraId="2400AF7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E29BF5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项目联系人：</w:t>
            </w:r>
          </w:p>
        </w:tc>
        <w:tc>
          <w:tcPr>
            <w:tcW w:w="72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9D8E06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7A25D1B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CA4B8C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职务：</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8B5744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7C8184D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EDC65A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手机：</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75BAFE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4C30289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B08E62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电子邮箱：</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0433E0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1D4F6B9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082FD66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地址：</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0855936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bl>
    <w:p w14:paraId="0B0D9DA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0132DA9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供应商名称（电子签名/公章）：</w:t>
      </w:r>
    </w:p>
    <w:p w14:paraId="601432DB">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19CDE53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DA512F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注：按本格式和要求提供。</w:t>
      </w:r>
    </w:p>
    <w:p w14:paraId="16B093E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BC83A04">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（如有）分包意向协议。</w:t>
      </w:r>
    </w:p>
    <w:p w14:paraId="53C8CD19">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p>
    <w:p w14:paraId="1CC029ED">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注：</w:t>
      </w:r>
    </w:p>
    <w:p w14:paraId="49751844">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1.仅适用于：成交后以分包方式履行合同的，提供《分包意向协议》（附件5）；</w:t>
      </w:r>
    </w:p>
    <w:p w14:paraId="49E6C06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2.分包内容，应在采购文件规定的“允许分包”范围之内。</w:t>
      </w:r>
    </w:p>
    <w:p w14:paraId="437176FE">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（二）授权委托书/法定代表人（单位负责人、自然人本人）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5222523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27A24D28">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授权委托书</w:t>
      </w:r>
    </w:p>
    <w:p w14:paraId="7F3EB2B3">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i w:val="0"/>
          <w:iCs w:val="0"/>
          <w:color w:val="auto"/>
          <w:kern w:val="0"/>
          <w:sz w:val="21"/>
          <w:szCs w:val="21"/>
          <w:highlight w:val="none"/>
          <w:lang w:val="en-US" w:eastAsia="zh-CN" w:bidi="ar"/>
        </w:rPr>
        <w:t>杭州电子科技大学</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i w:val="0"/>
          <w:iCs w:val="0"/>
          <w:color w:val="auto"/>
          <w:kern w:val="0"/>
          <w:sz w:val="21"/>
          <w:szCs w:val="21"/>
          <w:highlight w:val="none"/>
          <w:lang w:val="en-US" w:eastAsia="zh-CN" w:bidi="ar"/>
        </w:rPr>
        <w:t>浙江求是招标代理有限公司</w:t>
      </w:r>
      <w:r>
        <w:rPr>
          <w:rFonts w:hint="eastAsia" w:ascii="宋体" w:hAnsi="宋体" w:eastAsia="宋体" w:cs="宋体"/>
          <w:color w:val="auto"/>
          <w:kern w:val="0"/>
          <w:sz w:val="21"/>
          <w:szCs w:val="21"/>
          <w:highlight w:val="none"/>
          <w:lang w:val="en-US" w:eastAsia="zh-CN" w:bidi="ar"/>
        </w:rPr>
        <w:t>）：</w:t>
      </w:r>
    </w:p>
    <w:p w14:paraId="0266F8B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现委托</w:t>
      </w:r>
      <w:r>
        <w:rPr>
          <w:rFonts w:hint="eastAsia" w:ascii="宋体" w:hAnsi="宋体" w:eastAsia="宋体" w:cs="宋体"/>
          <w:color w:val="auto"/>
          <w:kern w:val="0"/>
          <w:sz w:val="21"/>
          <w:szCs w:val="21"/>
          <w:highlight w:val="none"/>
          <w:u w:val="single"/>
          <w:lang w:val="en-US" w:eastAsia="zh-CN" w:bidi="ar"/>
        </w:rPr>
        <w:t>（姓名：    ，身份证号码：         ，所在单位：             ，手机：           ）</w:t>
      </w:r>
      <w:r>
        <w:rPr>
          <w:rFonts w:hint="eastAsia" w:ascii="宋体" w:hAnsi="宋体" w:eastAsia="宋体" w:cs="宋体"/>
          <w:color w:val="auto"/>
          <w:kern w:val="0"/>
          <w:sz w:val="21"/>
          <w:szCs w:val="21"/>
          <w:highlight w:val="none"/>
          <w:lang w:val="en-US" w:eastAsia="zh-CN" w:bidi="ar"/>
        </w:rPr>
        <w:t>为我方代理人，以我方名义处理</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芯粒多场耦合模型工程化开发</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330000263030150000532-QSZBB260324ZFCS</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政府采购响应有关的一切事项，其法律后果由我方承担。</w:t>
      </w:r>
    </w:p>
    <w:p w14:paraId="6D8DB74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委托期限：</w:t>
      </w:r>
      <w:r>
        <w:rPr>
          <w:rFonts w:hint="eastAsia" w:ascii="宋体" w:hAnsi="宋体" w:eastAsia="宋体" w:cs="宋体"/>
          <w:color w:val="auto"/>
          <w:kern w:val="0"/>
          <w:sz w:val="21"/>
          <w:szCs w:val="21"/>
          <w:highlight w:val="none"/>
          <w:u w:val="single"/>
          <w:lang w:val="en-US" w:eastAsia="zh-CN" w:bidi="ar"/>
        </w:rPr>
        <w:t>自    年  月  日起至    年  月  日</w:t>
      </w:r>
      <w:r>
        <w:rPr>
          <w:rFonts w:hint="eastAsia" w:ascii="宋体" w:hAnsi="宋体" w:eastAsia="宋体" w:cs="宋体"/>
          <w:color w:val="auto"/>
          <w:kern w:val="0"/>
          <w:sz w:val="21"/>
          <w:szCs w:val="21"/>
          <w:highlight w:val="none"/>
          <w:lang w:val="en-US" w:eastAsia="zh-CN" w:bidi="ar"/>
        </w:rPr>
        <w:t>止。</w:t>
      </w:r>
    </w:p>
    <w:p w14:paraId="2A7A263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特此告知。</w:t>
      </w:r>
    </w:p>
    <w:p w14:paraId="1928BE2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3CBEC81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供应商名称（电子签名/公章）：               </w:t>
      </w:r>
      <w:r>
        <w:rPr>
          <w:rFonts w:hint="eastAsia" w:ascii="宋体" w:hAnsi="宋体" w:eastAsia="宋体" w:cs="宋体"/>
          <w:color w:val="auto"/>
          <w:kern w:val="0"/>
          <w:sz w:val="21"/>
          <w:szCs w:val="21"/>
          <w:highlight w:val="none"/>
          <w:u w:val="single"/>
          <w:lang w:val="en-US" w:eastAsia="zh-CN" w:bidi="ar"/>
        </w:rPr>
        <w:t>（联合体响应的，为联合体成员各方）</w:t>
      </w:r>
    </w:p>
    <w:p w14:paraId="196782F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签发日期：    年  月  日</w:t>
      </w:r>
    </w:p>
    <w:p w14:paraId="696162C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3F759B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0397A0A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1、供应商委派不在本单位缴纳社保的人员作为授权代表的，应当在响应文件中，说明具体原因、授权代表缴纳社保的单位，并附列该授权代表缴纳社保清单。</w:t>
      </w:r>
    </w:p>
    <w:p w14:paraId="26BB0A9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2、供应商是联合体的，联合体各成员均应在“授权委托书”上盖章（电子签名/公章）</w:t>
      </w:r>
    </w:p>
    <w:p w14:paraId="0CA90D4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0ABDC220">
      <w:pPr>
        <w:keepNext w:val="0"/>
        <w:keepLines w:val="0"/>
        <w:widowControl/>
        <w:suppressLineNumbers w:val="0"/>
        <w:autoSpaceDE w:val="0"/>
        <w:autoSpaceDN/>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01B8650C">
      <w:pPr>
        <w:keepNext w:val="0"/>
        <w:keepLines w:val="0"/>
        <w:widowControl/>
        <w:suppressLineNumbers w:val="0"/>
        <w:autoSpaceDE w:val="0"/>
        <w:autoSpaceDN/>
        <w:spacing w:line="288" w:lineRule="auto"/>
        <w:ind w:left="0" w:firstLine="42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（适用于：法定代表人（单位负责人、自然人本人）</w:t>
      </w:r>
      <w:r>
        <w:rPr>
          <w:rFonts w:hint="eastAsia" w:ascii="宋体" w:hAnsi="宋体" w:eastAsia="宋体" w:cs="宋体"/>
          <w:color w:val="auto"/>
          <w:spacing w:val="-6"/>
          <w:kern w:val="0"/>
          <w:sz w:val="21"/>
          <w:szCs w:val="21"/>
          <w:highlight w:val="none"/>
          <w:u w:val="single"/>
          <w:lang w:val="en-US" w:eastAsia="zh-CN" w:bidi="ar"/>
        </w:rPr>
        <w:t>本人参加响应</w:t>
      </w:r>
      <w:r>
        <w:rPr>
          <w:rFonts w:hint="eastAsia" w:ascii="宋体" w:hAnsi="宋体" w:eastAsia="宋体" w:cs="宋体"/>
          <w:color w:val="auto"/>
          <w:kern w:val="0"/>
          <w:sz w:val="21"/>
          <w:szCs w:val="21"/>
          <w:highlight w:val="none"/>
          <w:u w:val="single"/>
          <w:lang w:val="en-US" w:eastAsia="zh-CN" w:bidi="ar"/>
        </w:rPr>
        <w:t>）</w:t>
      </w:r>
    </w:p>
    <w:p w14:paraId="2A0ACC0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身份证件复印件</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852"/>
        <w:gridCol w:w="5044"/>
      </w:tblGrid>
      <w:tr w14:paraId="23841A2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039" w:hRule="atLeast"/>
        </w:trPr>
        <w:tc>
          <w:tcPr>
            <w:tcW w:w="476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D13DF2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正面：</w:t>
            </w:r>
          </w:p>
        </w:tc>
        <w:tc>
          <w:tcPr>
            <w:tcW w:w="495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D1E780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反面：</w:t>
            </w:r>
          </w:p>
        </w:tc>
      </w:tr>
    </w:tbl>
    <w:p w14:paraId="31102E5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0628F7D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附：</w:t>
      </w:r>
    </w:p>
    <w:p w14:paraId="261EC05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1.按照【第三章  响应人须知】要求提供相关身份证明材料；</w:t>
      </w:r>
    </w:p>
    <w:p w14:paraId="1741887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2.相关说明（如有）。</w:t>
      </w:r>
    </w:p>
    <w:p w14:paraId="19CC87ED">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（三）响应标的清单</w:t>
      </w:r>
    </w:p>
    <w:p w14:paraId="014ACBCD">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（不含报价）</w:t>
      </w:r>
    </w:p>
    <w:p w14:paraId="404D79E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芯粒多场耦合模型工程化开发</w:t>
      </w:r>
    </w:p>
    <w:p w14:paraId="17C9C7F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330000263030150000532-QSZBB260324ZFCS</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1"/>
        <w:gridCol w:w="1830"/>
        <w:gridCol w:w="1732"/>
        <w:gridCol w:w="793"/>
        <w:gridCol w:w="1023"/>
        <w:gridCol w:w="1211"/>
        <w:gridCol w:w="1013"/>
        <w:gridCol w:w="1583"/>
      </w:tblGrid>
      <w:tr w14:paraId="54FE811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7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FD46D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6AFB9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15A58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规格型号</w:t>
            </w:r>
          </w:p>
          <w:p w14:paraId="734180C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或具体服务</w:t>
            </w: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39F2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DAF78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品牌</w:t>
            </w: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FEF42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制造商</w:t>
            </w: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99ABA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产地</w:t>
            </w: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357E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备注</w:t>
            </w:r>
          </w:p>
        </w:tc>
      </w:tr>
      <w:tr w14:paraId="4B24176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910A1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B2BB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D33F3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9AE72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173CF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62F9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AE2D7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31953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6AC663C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E1965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A17E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E3390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09CAC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1A7B5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693A4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2F725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0BEAC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C4707F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B7EFF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3F50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48FC0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034A1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28128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23718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96AB0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83D88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C052B8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411" w:type="dxa"/>
            <w:gridSpan w:val="8"/>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65367D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以下（联合体成员）承担的部分：</w:t>
            </w:r>
          </w:p>
        </w:tc>
      </w:tr>
      <w:tr w14:paraId="047F710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5439A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2E9D7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85BE0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7C22C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F1232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2252A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000EC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7EA53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36E25A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411" w:type="dxa"/>
            <w:gridSpan w:val="8"/>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0C2D0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以下（分包单位）承担的部分：</w:t>
            </w:r>
          </w:p>
        </w:tc>
      </w:tr>
      <w:tr w14:paraId="28F0686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3A28E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8E40A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35D0C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560D7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7C038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DE882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8937A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D48CB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r>
    </w:tbl>
    <w:p w14:paraId="0487B82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466D7B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供应商名称（电子签名/公章）：</w:t>
      </w:r>
    </w:p>
    <w:p w14:paraId="1DB981E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日期：    年  月  日</w:t>
      </w:r>
    </w:p>
    <w:p w14:paraId="70F5BBF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9763FD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注：</w:t>
      </w:r>
    </w:p>
    <w:p w14:paraId="2883F19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1.供应商应按照【第二章  采购需求】明确的标的清单填写此表；</w:t>
      </w:r>
    </w:p>
    <w:p w14:paraId="02C1436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2.服务项目不涉及提供货物的，规格型号、品牌、制造商、产地的可不填写；</w:t>
      </w:r>
    </w:p>
    <w:p w14:paraId="6D2417F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3.联合体其他成员承担的部分、分包单位承担的部分，应在表中列明。</w:t>
      </w:r>
    </w:p>
    <w:p w14:paraId="6B33990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4.“制造商”按单个标的整体的生产企业确定，与组成标的部件或材料制造商无关。</w:t>
      </w:r>
    </w:p>
    <w:p w14:paraId="548FCC53">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（四）响应偏离表</w:t>
      </w:r>
    </w:p>
    <w:p w14:paraId="26682E4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芯粒多场耦合模型工程化开发</w:t>
      </w:r>
    </w:p>
    <w:p w14:paraId="2F9EFF7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330000263030150000532-QSZBB260324ZFCS</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69"/>
        <w:gridCol w:w="3444"/>
        <w:gridCol w:w="3574"/>
        <w:gridCol w:w="898"/>
        <w:gridCol w:w="1311"/>
      </w:tblGrid>
      <w:tr w14:paraId="0522A5B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EDBDC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344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5453972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采购文件要求</w:t>
            </w:r>
          </w:p>
        </w:tc>
        <w:tc>
          <w:tcPr>
            <w:tcW w:w="357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581F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响应情况</w:t>
            </w:r>
          </w:p>
        </w:tc>
        <w:tc>
          <w:tcPr>
            <w:tcW w:w="898"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378282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偏离</w:t>
            </w:r>
          </w:p>
          <w:p w14:paraId="6AA2A0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情况</w:t>
            </w:r>
          </w:p>
        </w:tc>
        <w:tc>
          <w:tcPr>
            <w:tcW w:w="1311"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7B3A10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tc>
      </w:tr>
      <w:tr w14:paraId="7B72F33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ADCB8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商务要求</w:t>
            </w:r>
          </w:p>
        </w:tc>
      </w:tr>
      <w:tr w14:paraId="2D53076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947E1D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D992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DC98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2762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AF4D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6D7741A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33467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A317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BF08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3066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1714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246817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ABFB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D422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C46C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EC8D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15BE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6F23439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57DBD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cs="宋体"/>
                <w:b/>
                <w:bCs/>
                <w:color w:val="auto"/>
                <w:kern w:val="0"/>
                <w:sz w:val="21"/>
                <w:szCs w:val="21"/>
                <w:highlight w:val="none"/>
                <w:lang w:val="en-US" w:eastAsia="zh-CN" w:bidi="ar"/>
              </w:rPr>
              <w:t>服务</w:t>
            </w:r>
            <w:r>
              <w:rPr>
                <w:rFonts w:hint="eastAsia" w:ascii="宋体" w:hAnsi="宋体" w:eastAsia="宋体" w:cs="宋体"/>
                <w:b/>
                <w:bCs/>
                <w:color w:val="auto"/>
                <w:kern w:val="0"/>
                <w:sz w:val="21"/>
                <w:szCs w:val="21"/>
                <w:highlight w:val="none"/>
                <w:lang w:val="en-US" w:eastAsia="zh-CN" w:bidi="ar"/>
              </w:rPr>
              <w:t>要求</w:t>
            </w:r>
          </w:p>
        </w:tc>
      </w:tr>
      <w:tr w14:paraId="184EE72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E0B8A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00D0C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E588E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6368D2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516D4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4A85354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56EF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FED8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A4B2E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68EBE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86866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5418FB5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F91CF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6228A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C27A6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A091B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D6572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bl>
    <w:p w14:paraId="373C028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FC73AA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7B2A483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338AEDF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2004E7F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说明：</w:t>
      </w:r>
    </w:p>
    <w:p w14:paraId="7560EC8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1.供应商对采购文件要求有不同的响应的，应在响应偏离表中列明；</w:t>
      </w:r>
    </w:p>
    <w:p w14:paraId="727FB47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2.偏离情况系指：正偏离（高于</w:t>
      </w:r>
      <w:r>
        <w:rPr>
          <w:rFonts w:hint="eastAsia" w:ascii="宋体" w:hAnsi="宋体" w:eastAsia="宋体" w:cs="宋体"/>
          <w:color w:val="auto"/>
          <w:kern w:val="0"/>
          <w:sz w:val="21"/>
          <w:szCs w:val="21"/>
          <w:highlight w:val="none"/>
          <w:lang w:val="en-US" w:eastAsia="zh-CN" w:bidi="ar"/>
        </w:rPr>
        <w:t>采购文件要求</w:t>
      </w:r>
      <w:r>
        <w:rPr>
          <w:rFonts w:hint="eastAsia" w:ascii="宋体" w:hAnsi="宋体" w:eastAsia="宋体" w:cs="宋体"/>
          <w:color w:val="auto"/>
          <w:spacing w:val="-6"/>
          <w:kern w:val="0"/>
          <w:sz w:val="21"/>
          <w:szCs w:val="21"/>
          <w:highlight w:val="none"/>
          <w:lang w:val="en-US" w:eastAsia="zh-CN" w:bidi="ar"/>
        </w:rPr>
        <w:t>）、负偏离（低于</w:t>
      </w:r>
      <w:r>
        <w:rPr>
          <w:rFonts w:hint="eastAsia" w:ascii="宋体" w:hAnsi="宋体" w:eastAsia="宋体" w:cs="宋体"/>
          <w:color w:val="auto"/>
          <w:kern w:val="0"/>
          <w:sz w:val="21"/>
          <w:szCs w:val="21"/>
          <w:highlight w:val="none"/>
          <w:lang w:val="en-US" w:eastAsia="zh-CN" w:bidi="ar"/>
        </w:rPr>
        <w:t>采购文件要求</w:t>
      </w:r>
      <w:r>
        <w:rPr>
          <w:rFonts w:hint="eastAsia" w:ascii="宋体" w:hAnsi="宋体" w:eastAsia="宋体" w:cs="宋体"/>
          <w:color w:val="auto"/>
          <w:spacing w:val="-6"/>
          <w:kern w:val="0"/>
          <w:sz w:val="21"/>
          <w:szCs w:val="21"/>
          <w:highlight w:val="none"/>
          <w:lang w:val="en-US" w:eastAsia="zh-CN" w:bidi="ar"/>
        </w:rPr>
        <w:t>）、无偏离（符合</w:t>
      </w:r>
      <w:r>
        <w:rPr>
          <w:rFonts w:hint="eastAsia" w:ascii="宋体" w:hAnsi="宋体" w:eastAsia="宋体" w:cs="宋体"/>
          <w:color w:val="auto"/>
          <w:kern w:val="0"/>
          <w:sz w:val="21"/>
          <w:szCs w:val="21"/>
          <w:highlight w:val="none"/>
          <w:lang w:val="en-US" w:eastAsia="zh-CN" w:bidi="ar"/>
        </w:rPr>
        <w:t>采购文件要求</w:t>
      </w:r>
      <w:r>
        <w:rPr>
          <w:rFonts w:hint="eastAsia" w:ascii="宋体" w:hAnsi="宋体" w:eastAsia="宋体" w:cs="宋体"/>
          <w:color w:val="auto"/>
          <w:spacing w:val="-6"/>
          <w:kern w:val="0"/>
          <w:sz w:val="21"/>
          <w:szCs w:val="21"/>
          <w:highlight w:val="none"/>
          <w:lang w:val="en-US" w:eastAsia="zh-CN" w:bidi="ar"/>
        </w:rPr>
        <w:t>或与其一致）。说明是指对采购文件要求存在不同之处的解释说明。</w:t>
      </w:r>
    </w:p>
    <w:p w14:paraId="58E774F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3.如供应商提供的“响应偏离表”响应情况与产品技术支持材料、响应样品（如有）不一致，且无法合理解释的，视为与事实不符。</w:t>
      </w:r>
    </w:p>
    <w:p w14:paraId="181AB17F">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（五）评审标准相应的商务和技术资料</w:t>
      </w:r>
    </w:p>
    <w:p w14:paraId="040D90AB">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4A8FB61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4EE8313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按采购文件【第四章  评审方法和评审标准】及评审因素相应的内容，逐项提供商务和技术资料。</w:t>
      </w:r>
    </w:p>
    <w:p w14:paraId="463299A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2、评审</w:t>
      </w:r>
      <w:r>
        <w:rPr>
          <w:rFonts w:hint="eastAsia" w:ascii="宋体" w:hAnsi="宋体" w:cs="宋体"/>
          <w:color w:val="auto"/>
          <w:kern w:val="0"/>
          <w:sz w:val="21"/>
          <w:szCs w:val="21"/>
          <w:highlight w:val="none"/>
          <w:lang w:val="en-US" w:eastAsia="zh-CN" w:bidi="ar"/>
        </w:rPr>
        <w:t>小组</w:t>
      </w:r>
      <w:r>
        <w:rPr>
          <w:rFonts w:hint="eastAsia" w:ascii="宋体" w:hAnsi="宋体" w:eastAsia="宋体" w:cs="宋体"/>
          <w:color w:val="auto"/>
          <w:kern w:val="0"/>
          <w:sz w:val="21"/>
          <w:szCs w:val="21"/>
          <w:highlight w:val="none"/>
          <w:lang w:val="en-US" w:eastAsia="zh-CN" w:bidi="ar"/>
        </w:rPr>
        <w:t>依据供应商在响应文件中提供的商务和技术资料进行商务和技术评分。</w:t>
      </w:r>
    </w:p>
    <w:p w14:paraId="206C989E">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6"/>
          <w:kern w:val="0"/>
          <w:sz w:val="21"/>
          <w:szCs w:val="21"/>
          <w:highlight w:val="none"/>
          <w:lang w:val="en-US" w:eastAsia="zh-CN" w:bidi="ar"/>
        </w:rPr>
        <w:t>（标项：  ）</w:t>
      </w:r>
    </w:p>
    <w:p w14:paraId="5672F6E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3305633B">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w:t>
      </w:r>
      <w:r>
        <w:rPr>
          <w:rFonts w:hint="eastAsia" w:ascii="宋体" w:hAnsi="宋体" w:cs="宋体"/>
          <w:b/>
          <w:bCs/>
          <w:color w:val="auto"/>
          <w:kern w:val="0"/>
          <w:sz w:val="21"/>
          <w:szCs w:val="21"/>
          <w:highlight w:val="none"/>
          <w:lang w:val="en-US" w:eastAsia="zh-CN" w:bidi="ar"/>
        </w:rPr>
        <w:t>初次报价</w:t>
      </w:r>
      <w:r>
        <w:rPr>
          <w:rFonts w:hint="eastAsia" w:ascii="宋体" w:hAnsi="宋体" w:eastAsia="宋体" w:cs="宋体"/>
          <w:b/>
          <w:bCs/>
          <w:color w:val="auto"/>
          <w:kern w:val="0"/>
          <w:sz w:val="21"/>
          <w:szCs w:val="21"/>
          <w:highlight w:val="none"/>
          <w:lang w:val="en-US" w:eastAsia="zh-CN" w:bidi="ar"/>
        </w:rPr>
        <w:t>一览表</w:t>
      </w:r>
    </w:p>
    <w:p w14:paraId="6096A8A6">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（报价表）</w:t>
      </w:r>
    </w:p>
    <w:p w14:paraId="5CC8C41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芯粒多场耦合模型工程化开发</w:t>
      </w:r>
    </w:p>
    <w:p w14:paraId="3383DAC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330000263030150000532-QSZBB260324ZFCS</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34"/>
        <w:gridCol w:w="2398"/>
        <w:gridCol w:w="2475"/>
        <w:gridCol w:w="812"/>
        <w:gridCol w:w="1697"/>
        <w:gridCol w:w="1780"/>
      </w:tblGrid>
      <w:tr w14:paraId="316F493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4C7E3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22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C4698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23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6AF9D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规格型号</w:t>
            </w:r>
          </w:p>
          <w:p w14:paraId="7C3DBD1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（或具体服务）</w:t>
            </w:r>
          </w:p>
        </w:tc>
        <w:tc>
          <w:tcPr>
            <w:tcW w:w="77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C3D1B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16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C37F1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单价（元）</w:t>
            </w:r>
          </w:p>
        </w:tc>
        <w:tc>
          <w:tcPr>
            <w:tcW w:w="16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E807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合计（元）</w:t>
            </w:r>
          </w:p>
        </w:tc>
      </w:tr>
      <w:tr w14:paraId="52AFE9D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26129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2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A99A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3B5DF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7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D1BF7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39F6D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A02C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D3FDA3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1C2CA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2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95557C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FEB22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7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3A553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2E36E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58E78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6FFC4AA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87DF7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2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D8BA3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8ACD0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7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BF6D6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4015F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7E0C8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1B08D3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411"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4240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以下（联合体成员）承担的部分：</w:t>
            </w:r>
          </w:p>
        </w:tc>
      </w:tr>
      <w:tr w14:paraId="4299D66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9B5F2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2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C7271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EA6CD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7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7977F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4513F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B6031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44F37DB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411"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1B1BD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以下（分包单位）承担的部分：</w:t>
            </w:r>
          </w:p>
        </w:tc>
      </w:tr>
      <w:tr w14:paraId="1F5CC15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15B6D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2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04BE5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B2F27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7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90CEE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3372A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B8BE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C04E9E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411"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5E038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响应报价</w:t>
            </w:r>
            <w:r>
              <w:rPr>
                <w:rFonts w:hint="eastAsia" w:ascii="宋体" w:hAnsi="宋体" w:eastAsia="宋体" w:cs="宋体"/>
                <w:i w:val="0"/>
                <w:iCs w:val="0"/>
                <w:color w:val="auto"/>
                <w:kern w:val="0"/>
                <w:sz w:val="21"/>
                <w:szCs w:val="21"/>
                <w:highlight w:val="none"/>
                <w:lang w:val="en-US" w:eastAsia="zh-CN" w:bidi="ar"/>
              </w:rPr>
              <w:t>（计价单位：人民币元）</w:t>
            </w:r>
          </w:p>
          <w:p w14:paraId="27309B4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总价（小写）：</w:t>
            </w:r>
            <w:r>
              <w:rPr>
                <w:rFonts w:hint="eastAsia" w:ascii="宋体" w:hAnsi="宋体" w:eastAsia="宋体" w:cs="宋体"/>
                <w:b/>
                <w:bCs/>
                <w:i w:val="0"/>
                <w:iCs w:val="0"/>
                <w:color w:val="auto"/>
                <w:kern w:val="0"/>
                <w:sz w:val="21"/>
                <w:szCs w:val="21"/>
                <w:highlight w:val="none"/>
                <w:u w:val="none"/>
                <w:lang w:val="en-US" w:eastAsia="zh-CN" w:bidi="ar"/>
              </w:rPr>
              <w:t>________________</w:t>
            </w:r>
          </w:p>
          <w:p w14:paraId="7CFF5DD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总价（大写）：</w:t>
            </w:r>
            <w:r>
              <w:rPr>
                <w:rFonts w:hint="eastAsia" w:ascii="宋体" w:hAnsi="宋体" w:eastAsia="宋体" w:cs="宋体"/>
                <w:b/>
                <w:bCs/>
                <w:i w:val="0"/>
                <w:iCs w:val="0"/>
                <w:color w:val="auto"/>
                <w:kern w:val="0"/>
                <w:sz w:val="21"/>
                <w:szCs w:val="21"/>
                <w:highlight w:val="none"/>
                <w:u w:val="none"/>
                <w:lang w:val="en-US" w:eastAsia="zh-CN" w:bidi="ar"/>
              </w:rPr>
              <w:t>________________</w:t>
            </w:r>
          </w:p>
        </w:tc>
      </w:tr>
    </w:tbl>
    <w:p w14:paraId="5E3D847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0B0668D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704258F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5A3C4FAB">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76C583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注：</w:t>
      </w:r>
    </w:p>
    <w:p w14:paraId="73B5D35B">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1.供应商应按采购文件规定的要求填写；</w:t>
      </w:r>
    </w:p>
    <w:p w14:paraId="00A4C4A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2.联合体其他成员承担的部分、分包单位承担的部分，应在表中列明。</w:t>
      </w:r>
    </w:p>
    <w:p w14:paraId="01DF224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3.“制造商”按单个标的整体的生产企业确定，与组成标的部件或材料制造商无关。</w:t>
      </w:r>
    </w:p>
    <w:p w14:paraId="5E1779FC">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pacing w:val="-2"/>
          <w:sz w:val="21"/>
          <w:szCs w:val="21"/>
          <w:highlight w:val="none"/>
        </w:rPr>
        <w:br w:type="page"/>
      </w:r>
      <w:r>
        <w:rPr>
          <w:rFonts w:hint="eastAsia" w:ascii="宋体" w:hAnsi="宋体" w:eastAsia="宋体" w:cs="宋体"/>
          <w:color w:val="auto"/>
          <w:sz w:val="28"/>
          <w:szCs w:val="28"/>
          <w:highlight w:val="none"/>
        </w:rPr>
        <w:t>附件1：中小企业声明函</w:t>
      </w:r>
    </w:p>
    <w:p w14:paraId="7138B07C">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中小企业声明函（</w:t>
      </w:r>
      <w:r>
        <w:rPr>
          <w:rFonts w:hint="eastAsia" w:ascii="宋体" w:hAnsi="宋体" w:eastAsia="宋体" w:cs="宋体"/>
          <w:b/>
          <w:bCs/>
          <w:i w:val="0"/>
          <w:iCs w:val="0"/>
          <w:color w:val="auto"/>
          <w:spacing w:val="-6"/>
          <w:kern w:val="0"/>
          <w:sz w:val="21"/>
          <w:szCs w:val="21"/>
          <w:highlight w:val="none"/>
          <w:lang w:val="en-US" w:eastAsia="zh-CN" w:bidi="ar"/>
        </w:rPr>
        <w:t>服务</w:t>
      </w:r>
      <w:r>
        <w:rPr>
          <w:rFonts w:hint="eastAsia" w:ascii="宋体" w:hAnsi="宋体" w:eastAsia="宋体" w:cs="宋体"/>
          <w:b/>
          <w:bCs/>
          <w:color w:val="auto"/>
          <w:spacing w:val="-6"/>
          <w:kern w:val="0"/>
          <w:sz w:val="21"/>
          <w:szCs w:val="21"/>
          <w:highlight w:val="none"/>
          <w:lang w:val="en-US" w:eastAsia="zh-CN" w:bidi="ar"/>
        </w:rPr>
        <w:t>）</w:t>
      </w:r>
    </w:p>
    <w:p w14:paraId="5387D5C2">
      <w:pPr>
        <w:keepNext w:val="0"/>
        <w:keepLines w:val="0"/>
        <w:widowControl/>
        <w:suppressLineNumbers w:val="0"/>
        <w:spacing w:line="288" w:lineRule="auto"/>
        <w:jc w:val="center"/>
        <w:rPr>
          <w:rFonts w:hint="eastAsia" w:ascii="宋体" w:hAnsi="宋体" w:eastAsia="宋体" w:cs="宋体"/>
          <w:b/>
          <w:bCs/>
          <w:color w:val="auto"/>
          <w:spacing w:val="-6"/>
          <w:sz w:val="21"/>
          <w:szCs w:val="21"/>
          <w:highlight w:val="none"/>
          <w:lang w:val="en-US" w:eastAsia="zh-CN"/>
        </w:rPr>
      </w:pPr>
    </w:p>
    <w:p w14:paraId="327CC936">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本公司（联合体）郑重声明，根据《政府采购促进中小企业发展管理办法》（财库﹝2020﹞46号）的规定，本公司（联合体）参加</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w:t>
      </w:r>
      <w:r>
        <w:rPr>
          <w:rFonts w:hint="eastAsia" w:ascii="宋体" w:hAnsi="宋体" w:eastAsia="宋体" w:cs="宋体"/>
          <w:color w:val="auto"/>
          <w:kern w:val="0"/>
          <w:sz w:val="21"/>
          <w:szCs w:val="21"/>
          <w:highlight w:val="none"/>
          <w:u w:val="single"/>
          <w:lang w:val="en-US" w:eastAsia="zh-CN" w:bidi="ar"/>
        </w:rPr>
        <w:t>）的（项目名称：</w:t>
      </w:r>
      <w:r>
        <w:rPr>
          <w:rFonts w:hint="eastAsia" w:ascii="宋体" w:hAnsi="宋体" w:cs="宋体"/>
          <w:i w:val="0"/>
          <w:iCs w:val="0"/>
          <w:color w:val="auto"/>
          <w:kern w:val="0"/>
          <w:sz w:val="21"/>
          <w:szCs w:val="21"/>
          <w:highlight w:val="none"/>
          <w:u w:val="single"/>
          <w:lang w:val="en-US" w:eastAsia="zh-CN" w:bidi="ar"/>
        </w:rPr>
        <w:t>芯粒多场耦合模型工程化开发</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采购活动，</w:t>
      </w:r>
      <w:r>
        <w:rPr>
          <w:rFonts w:hint="eastAsia" w:ascii="宋体" w:hAnsi="宋体" w:eastAsia="宋体" w:cs="宋体"/>
          <w:i w:val="0"/>
          <w:iCs w:val="0"/>
          <w:color w:val="auto"/>
          <w:kern w:val="0"/>
          <w:sz w:val="21"/>
          <w:szCs w:val="21"/>
          <w:highlight w:val="none"/>
          <w:lang w:val="en-US" w:eastAsia="zh-CN" w:bidi="ar"/>
        </w:rPr>
        <w:t>服务全部由符合政策要求的中小企业承接。</w:t>
      </w:r>
    </w:p>
    <w:p w14:paraId="103BE66C">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相关企业（含联合体中的中小企业、签订分包意向协议的中小企业）的具体情况如下：</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512"/>
        <w:gridCol w:w="1402"/>
        <w:gridCol w:w="1240"/>
        <w:gridCol w:w="2101"/>
        <w:gridCol w:w="1171"/>
        <w:gridCol w:w="1160"/>
        <w:gridCol w:w="1160"/>
        <w:gridCol w:w="1150"/>
      </w:tblGrid>
      <w:tr w14:paraId="2464C19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1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1E1F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序号</w:t>
            </w:r>
          </w:p>
        </w:tc>
        <w:tc>
          <w:tcPr>
            <w:tcW w:w="140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44D6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标的名称</w:t>
            </w:r>
          </w:p>
        </w:tc>
        <w:tc>
          <w:tcPr>
            <w:tcW w:w="12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463B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10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F7AD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承接企业</w:t>
            </w:r>
          </w:p>
        </w:tc>
        <w:tc>
          <w:tcPr>
            <w:tcW w:w="117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072C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w:t>
            </w:r>
          </w:p>
          <w:p w14:paraId="3EC479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（人）</w:t>
            </w:r>
          </w:p>
        </w:tc>
        <w:tc>
          <w:tcPr>
            <w:tcW w:w="116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DA00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w:t>
            </w:r>
          </w:p>
          <w:p w14:paraId="6F2814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（万元）</w:t>
            </w:r>
          </w:p>
        </w:tc>
        <w:tc>
          <w:tcPr>
            <w:tcW w:w="116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3284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w:t>
            </w:r>
          </w:p>
          <w:p w14:paraId="4B22E4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（万元）</w:t>
            </w:r>
          </w:p>
        </w:tc>
        <w:tc>
          <w:tcPr>
            <w:tcW w:w="115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637D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企业类型</w:t>
            </w:r>
          </w:p>
        </w:tc>
      </w:tr>
      <w:tr w14:paraId="1E2CEAE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1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C63A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14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4CDE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lang w:eastAsia="zh-CN"/>
              </w:rPr>
            </w:pPr>
          </w:p>
        </w:tc>
        <w:tc>
          <w:tcPr>
            <w:tcW w:w="12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DD2E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宋体" w:hAnsi="宋体" w:eastAsia="宋体" w:cs="宋体"/>
                <w:color w:val="auto"/>
                <w:sz w:val="21"/>
                <w:szCs w:val="21"/>
                <w:highlight w:val="none"/>
                <w:lang w:val="en-US" w:eastAsia="zh-CN"/>
              </w:rPr>
            </w:pPr>
          </w:p>
        </w:tc>
        <w:tc>
          <w:tcPr>
            <w:tcW w:w="21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B37A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p>
        </w:tc>
        <w:tc>
          <w:tcPr>
            <w:tcW w:w="11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7AD4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p>
        </w:tc>
        <w:tc>
          <w:tcPr>
            <w:tcW w:w="116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2038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p>
        </w:tc>
        <w:tc>
          <w:tcPr>
            <w:tcW w:w="116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1490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p>
        </w:tc>
        <w:tc>
          <w:tcPr>
            <w:tcW w:w="115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DFFD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p>
        </w:tc>
      </w:tr>
    </w:tbl>
    <w:p w14:paraId="38CD8FE6">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以上企业，不属于大企业的分支机构，不存在控股股东为大企业的情形，也不存在与大企业的负责人为同一人的情形。</w:t>
      </w:r>
    </w:p>
    <w:p w14:paraId="0B40B43D">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本企业对上述声明内容的真实性负责。如有虚假，将依法承担相应责任。</w:t>
      </w:r>
    </w:p>
    <w:p w14:paraId="53101D2D">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p>
    <w:p w14:paraId="144B9F54">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1D0155F5">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6258A47">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p>
    <w:p w14:paraId="085600F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说明：</w:t>
      </w:r>
    </w:p>
    <w:p w14:paraId="2768AC43">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1.标的名称，按照【采购需求】中明确的标的填写；</w:t>
      </w:r>
    </w:p>
    <w:p w14:paraId="6F5FF19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2.所属行业，按照【采购需求】中明确的标的“所属行业”填写；</w:t>
      </w:r>
    </w:p>
    <w:p w14:paraId="5F12D213">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3.承接企业：服务由中小企业承接，即提供服务的人员为中小企业依照《中华人民共和国劳动合同法》订立劳动合同的从业人员；</w:t>
      </w:r>
    </w:p>
    <w:p w14:paraId="44C745D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4.从业人员、营业收入、资产总额填报上一年度数据，无上一年度数据的新成立企业可不填报。</w:t>
      </w:r>
    </w:p>
    <w:p w14:paraId="0BF5257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5.企业类型（包括新成立企业），按照《中小企业划型标准规定》（工信部联企业〔2011〕300号）规定和【采购需求】中明确的标的“所属行业”，选择“中型、小型</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微型”其中之一。</w:t>
      </w:r>
    </w:p>
    <w:p w14:paraId="11B1E954">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kern w:val="0"/>
          <w:sz w:val="21"/>
          <w:szCs w:val="21"/>
          <w:highlight w:val="none"/>
          <w:lang w:val="en-US" w:eastAsia="zh-CN" w:bidi="ar"/>
        </w:rPr>
        <w:br w:type="page"/>
      </w:r>
      <w:r>
        <w:rPr>
          <w:rFonts w:hint="eastAsia" w:ascii="宋体" w:hAnsi="宋体" w:eastAsia="宋体" w:cs="宋体"/>
          <w:color w:val="auto"/>
          <w:sz w:val="28"/>
          <w:szCs w:val="28"/>
          <w:highlight w:val="none"/>
        </w:rPr>
        <w:t>附件2：属于监狱企业的证明文件</w:t>
      </w:r>
    </w:p>
    <w:p w14:paraId="10F96D91">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（仅适用于：供应商属于监狱企业）</w:t>
      </w:r>
    </w:p>
    <w:p w14:paraId="65E2819F">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left"/>
        <w:textAlignment w:val="auto"/>
        <w:rPr>
          <w:rFonts w:hint="eastAsia" w:ascii="宋体" w:hAnsi="宋体" w:eastAsia="宋体" w:cs="宋体"/>
          <w:color w:val="auto"/>
          <w:sz w:val="21"/>
          <w:szCs w:val="21"/>
          <w:highlight w:val="none"/>
        </w:rPr>
      </w:pPr>
    </w:p>
    <w:p w14:paraId="08B7CF8C">
      <w:pPr>
        <w:keepNext w:val="0"/>
        <w:keepLines w:val="0"/>
        <w:widowControl/>
        <w:suppressLineNumbers w:val="0"/>
        <w:spacing w:line="288" w:lineRule="auto"/>
        <w:ind w:left="0" w:firstLine="373"/>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监狱企业参加政府采购活动时，应当提供由省级以上监狱管理局、戒毒管理局（含新疆生产建设兵团）出具的属于监狱企业的证明文件。</w:t>
      </w:r>
    </w:p>
    <w:p w14:paraId="7BB18BB5">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5569B769">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p w14:paraId="69DE56AE">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6073F98">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二、在政府采购活动中，监狱企业视同小型、微型企业，享受预留份额、评审中价格扣除等政府采购促进中小企业发展的政府采购政策。</w:t>
      </w:r>
    </w:p>
    <w:p w14:paraId="558C442E">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附件3：残疾人福利性单位声明函</w:t>
      </w:r>
    </w:p>
    <w:p w14:paraId="6F70E264">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（仅适用于：供应商属于残疾人福利性单位）</w:t>
      </w:r>
    </w:p>
    <w:p w14:paraId="711FE1B5">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left"/>
        <w:textAlignment w:val="auto"/>
        <w:rPr>
          <w:rFonts w:hint="eastAsia" w:ascii="宋体" w:hAnsi="宋体" w:eastAsia="宋体" w:cs="宋体"/>
          <w:color w:val="auto"/>
          <w:sz w:val="21"/>
          <w:szCs w:val="21"/>
          <w:highlight w:val="none"/>
        </w:rPr>
      </w:pPr>
    </w:p>
    <w:p w14:paraId="2DA42C87">
      <w:pPr>
        <w:keepNext w:val="0"/>
        <w:keepLines w:val="0"/>
        <w:widowControl/>
        <w:suppressLineNumbers w:val="0"/>
        <w:spacing w:line="288" w:lineRule="auto"/>
        <w:ind w:left="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本单位郑重声明，根据《财政部民政部中国残疾人联合会关于促进残疾人就业政府采购政策的通知》（财库</w:t>
      </w:r>
      <w:r>
        <w:rPr>
          <w:rFonts w:hint="eastAsia" w:ascii="宋体" w:hAnsi="宋体" w:eastAsia="宋体" w:cs="宋体"/>
          <w:color w:val="auto"/>
          <w:kern w:val="0"/>
          <w:sz w:val="21"/>
          <w:szCs w:val="21"/>
          <w:highlight w:val="none"/>
          <w:lang w:val="en-US" w:eastAsia="zh-CN" w:bidi="ar"/>
        </w:rPr>
        <w:t>〔2017〕141</w:t>
      </w:r>
      <w:r>
        <w:rPr>
          <w:rFonts w:hint="eastAsia" w:ascii="宋体" w:hAnsi="宋体" w:eastAsia="宋体" w:cs="宋体"/>
          <w:color w:val="auto"/>
          <w:spacing w:val="6"/>
          <w:kern w:val="0"/>
          <w:sz w:val="21"/>
          <w:szCs w:val="21"/>
          <w:highlight w:val="none"/>
          <w:lang w:val="en-US" w:eastAsia="zh-CN" w:bidi="ar"/>
        </w:rPr>
        <w:t>号）的规定，</w:t>
      </w:r>
      <w:r>
        <w:rPr>
          <w:rFonts w:hint="eastAsia" w:ascii="宋体" w:hAnsi="宋体" w:eastAsia="宋体" w:cs="宋体"/>
          <w:b/>
          <w:bCs/>
          <w:color w:val="auto"/>
          <w:spacing w:val="6"/>
          <w:kern w:val="0"/>
          <w:sz w:val="21"/>
          <w:szCs w:val="21"/>
          <w:highlight w:val="none"/>
          <w:lang w:val="en-US" w:eastAsia="zh-CN" w:bidi="ar"/>
        </w:rPr>
        <w:t>本单位为符合条件的残疾人福利性单位</w:t>
      </w:r>
      <w:r>
        <w:rPr>
          <w:rFonts w:hint="eastAsia" w:ascii="宋体" w:hAnsi="宋体" w:eastAsia="宋体" w:cs="宋体"/>
          <w:color w:val="auto"/>
          <w:spacing w:val="6"/>
          <w:kern w:val="0"/>
          <w:sz w:val="21"/>
          <w:szCs w:val="21"/>
          <w:highlight w:val="none"/>
          <w:lang w:val="en-US" w:eastAsia="zh-CN" w:bidi="ar"/>
        </w:rPr>
        <w:t>，且本单位参加（采购人）单位的（项目名称）项目采购活动提供本单位服务。</w:t>
      </w:r>
    </w:p>
    <w:p w14:paraId="2F20B8DD">
      <w:pPr>
        <w:keepNext w:val="0"/>
        <w:keepLines w:val="0"/>
        <w:widowControl/>
        <w:suppressLineNumbers w:val="0"/>
        <w:spacing w:line="288" w:lineRule="auto"/>
        <w:ind w:left="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本单位对上述声明的真实性负责。如有虚假，将依法承担相应责任。</w:t>
      </w:r>
    </w:p>
    <w:p w14:paraId="0D1D3BBD">
      <w:pPr>
        <w:keepNext w:val="0"/>
        <w:keepLines w:val="0"/>
        <w:widowControl/>
        <w:suppressLineNumbers w:val="0"/>
        <w:spacing w:line="288" w:lineRule="auto"/>
        <w:ind w:left="0" w:right="156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单位名称（盖章）：</w:t>
      </w:r>
    </w:p>
    <w:p w14:paraId="20F07D0C">
      <w:pPr>
        <w:keepNext w:val="0"/>
        <w:keepLines w:val="0"/>
        <w:widowControl/>
        <w:suppressLineNumbers w:val="0"/>
        <w:spacing w:line="288" w:lineRule="auto"/>
        <w:ind w:left="0" w:right="156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日期：</w:t>
      </w:r>
    </w:p>
    <w:p w14:paraId="235029B6">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F41A5D4">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p w14:paraId="514C2B67">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一、享受政府采购支持政策的残疾人福利性单位应当同时满足以下条件：</w:t>
      </w:r>
    </w:p>
    <w:p w14:paraId="3A13294E">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（一）安置的残疾人占本单位在职职工人数的比例不低于25%（含25%），并且安置的残疾人人数不少于10人（含10人）；</w:t>
      </w:r>
    </w:p>
    <w:p w14:paraId="2B082552">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（二）依法与安置的每位残疾人签订了一年以上（含一年）的劳动合同或服务协议；</w:t>
      </w:r>
    </w:p>
    <w:p w14:paraId="326899AB">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（三）为安置的每位残疾人按月足额缴纳了基本养老保险、基本医疗保险、失业保险、工伤保险和生育保险等社会保险费；</w:t>
      </w:r>
    </w:p>
    <w:p w14:paraId="6C17B16C">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（四）通过银行等金融机构向安置的每位残疾人，按月支付了不低于单位所在区县适用的经省级人民政府批准的月最低工资标准的工资；</w:t>
      </w:r>
    </w:p>
    <w:p w14:paraId="0164B841">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（五）提供本单位制造的货物、承担的工程或者服务（以下简称产品），或者提供其他残疾人福利性单位制造的货物（不包括使用非残疾人福利性单位注册商标的货物）。</w:t>
      </w:r>
    </w:p>
    <w:p w14:paraId="69091592">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7D896E8">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二、符合条件的残疾人福利性单位在参加政府采购活动时，应当提供财库[2017]141号文件规定的《残疾人福利性单位声明函》，并对声明的真实性负责。</w:t>
      </w:r>
    </w:p>
    <w:p w14:paraId="507FF8D3">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三、在政府采购活动中，残疾人福利性单位视同小型、微型企业，享受预留份额、评审中价格扣除等促进中小企业发展的政府采购政策。</w:t>
      </w:r>
    </w:p>
    <w:p w14:paraId="473D44C8">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残疾人福利性单位属于小型、微型企业的，不重复享受政策。</w:t>
      </w:r>
    </w:p>
    <w:p w14:paraId="7FA4471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附件4：联合协议</w:t>
      </w:r>
    </w:p>
    <w:p w14:paraId="1B2242D8">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联合协议</w:t>
      </w:r>
    </w:p>
    <w:p w14:paraId="77E68419">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left"/>
        <w:textAlignment w:val="auto"/>
        <w:rPr>
          <w:rFonts w:hint="eastAsia" w:ascii="宋体" w:hAnsi="宋体" w:eastAsia="宋体" w:cs="宋体"/>
          <w:color w:val="auto"/>
          <w:sz w:val="21"/>
          <w:szCs w:val="21"/>
          <w:highlight w:val="none"/>
        </w:rPr>
      </w:pPr>
    </w:p>
    <w:p w14:paraId="7CF5D0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（联合体所有成员名称）</w:t>
      </w:r>
      <w:r>
        <w:rPr>
          <w:rFonts w:hint="eastAsia" w:ascii="宋体" w:hAnsi="宋体" w:eastAsia="宋体" w:cs="宋体"/>
          <w:color w:val="auto"/>
          <w:kern w:val="0"/>
          <w:sz w:val="21"/>
          <w:szCs w:val="21"/>
          <w:highlight w:val="none"/>
          <w:lang w:val="en-US" w:eastAsia="zh-CN" w:bidi="ar"/>
        </w:rPr>
        <w:t>自愿组成一个联合体，以一个供应商的身份参加</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芯粒多场耦合模型工程化开发</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330000263030150000532-QSZBB260324ZFCS</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响应。</w:t>
      </w:r>
    </w:p>
    <w:p w14:paraId="18A8BE9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一、各方一致决定，</w:t>
      </w:r>
      <w:r>
        <w:rPr>
          <w:rFonts w:hint="eastAsia" w:ascii="宋体" w:hAnsi="宋体" w:eastAsia="宋体" w:cs="宋体"/>
          <w:color w:val="auto"/>
          <w:kern w:val="0"/>
          <w:sz w:val="21"/>
          <w:szCs w:val="21"/>
          <w:highlight w:val="none"/>
          <w:u w:val="single"/>
          <w:lang w:val="en-US" w:eastAsia="zh-CN" w:bidi="ar"/>
        </w:rPr>
        <w:t>（某联合体成员名称）</w:t>
      </w:r>
      <w:r>
        <w:rPr>
          <w:rFonts w:hint="eastAsia" w:ascii="宋体" w:hAnsi="宋体" w:eastAsia="宋体" w:cs="宋体"/>
          <w:color w:val="auto"/>
          <w:kern w:val="0"/>
          <w:sz w:val="21"/>
          <w:szCs w:val="21"/>
          <w:highlight w:val="none"/>
          <w:lang w:val="en-US" w:eastAsia="zh-CN" w:bidi="ar"/>
        </w:rPr>
        <w:t>为联合体牵头人，代表所有联合体成员负责响应和合同实施阶段的主办、协调工作。</w:t>
      </w:r>
    </w:p>
    <w:p w14:paraId="715FAC4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二、所有联合体成员各方签署授权书，授权书载明的授权代表根据采购文件规定及响应内容而对采购人、采购代理机构所作的任何合法承诺，包括书面澄清及相应等均对联合响应各方产生约束力。</w:t>
      </w:r>
    </w:p>
    <w:p w14:paraId="4559DC5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三、本次联合响应中，分工如下：</w:t>
      </w:r>
    </w:p>
    <w:p w14:paraId="5FC3DE3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（联合体成员1）</w:t>
      </w:r>
      <w:r>
        <w:rPr>
          <w:rFonts w:hint="eastAsia" w:ascii="宋体" w:hAnsi="宋体" w:eastAsia="宋体" w:cs="宋体"/>
          <w:color w:val="auto"/>
          <w:kern w:val="0"/>
          <w:sz w:val="21"/>
          <w:szCs w:val="21"/>
          <w:highlight w:val="none"/>
          <w:lang w:val="en-US" w:eastAsia="zh-CN" w:bidi="ar"/>
        </w:rPr>
        <w:t>承担的工作和义务为：         ；</w:t>
      </w:r>
    </w:p>
    <w:p w14:paraId="6F62474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（联合体成员2）</w:t>
      </w:r>
      <w:r>
        <w:rPr>
          <w:rFonts w:hint="eastAsia" w:ascii="宋体" w:hAnsi="宋体" w:eastAsia="宋体" w:cs="宋体"/>
          <w:color w:val="auto"/>
          <w:kern w:val="0"/>
          <w:sz w:val="21"/>
          <w:szCs w:val="21"/>
          <w:highlight w:val="none"/>
          <w:lang w:val="en-US" w:eastAsia="zh-CN" w:bidi="ar"/>
        </w:rPr>
        <w:t>承担的工作和义务为：         ；</w:t>
      </w:r>
    </w:p>
    <w:p w14:paraId="7063760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3FE7D9F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四、联合体成员中小企业合同份额。</w:t>
      </w:r>
    </w:p>
    <w:p w14:paraId="3112882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中小企业合同金额达到【    %】，其中小微企业合同金额达到【    %】，其中：</w:t>
      </w:r>
    </w:p>
    <w:p w14:paraId="6FEAD46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（联合体成员X，……）</w:t>
      </w:r>
      <w:r>
        <w:rPr>
          <w:rFonts w:hint="eastAsia" w:ascii="宋体" w:hAnsi="宋体" w:eastAsia="宋体" w:cs="宋体"/>
          <w:color w:val="auto"/>
          <w:kern w:val="0"/>
          <w:sz w:val="21"/>
          <w:szCs w:val="21"/>
          <w:highlight w:val="none"/>
          <w:lang w:val="en-US" w:eastAsia="zh-CN" w:bidi="ar"/>
        </w:rPr>
        <w:t>提供的服务全部由小微企业承接，其合同份额占到合同总金额【    %】以上；</w:t>
      </w:r>
    </w:p>
    <w:p w14:paraId="3774FFB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12043B8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五、如果成交，联合体各成员方共同与采购人签订合同，并就采购合同约定的事项对采购人承担连带责任。</w:t>
      </w:r>
    </w:p>
    <w:p w14:paraId="27AB783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六、有关本次联合响应的其他事宜：</w:t>
      </w:r>
    </w:p>
    <w:p w14:paraId="1BCD2F9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1、联合体各方不再单独参加或者与其他供应商另外组成联合体参加同一合同项下的政府采购活动。</w:t>
      </w:r>
    </w:p>
    <w:p w14:paraId="6097A01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2、联合体中有同类资质的各方按照联合体分工承担相同工作的，按照资质等级较低的供应商确定资质等级。</w:t>
      </w:r>
    </w:p>
    <w:p w14:paraId="00AEC4C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3、本协议提交采购人、采购代理机构后，联合体各方不得以任何形式对上述内容进行修改或撤销。</w:t>
      </w:r>
    </w:p>
    <w:p w14:paraId="3351EC8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42520F2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联合体成员（各方）名称(电子签名/公章)：</w:t>
      </w:r>
    </w:p>
    <w:p w14:paraId="31933A2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5EC9FA0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r>
        <w:rPr>
          <w:rFonts w:hint="eastAsia" w:ascii="宋体" w:hAnsi="宋体" w:cs="宋体"/>
          <w:b/>
          <w:bCs/>
          <w:color w:val="auto"/>
          <w:kern w:val="0"/>
          <w:sz w:val="21"/>
          <w:szCs w:val="21"/>
          <w:highlight w:val="none"/>
          <w:lang w:val="en-US" w:eastAsia="zh-CN" w:bidi="ar"/>
        </w:rPr>
        <w:t xml:space="preserve">    </w:t>
      </w:r>
      <w:r>
        <w:rPr>
          <w:rFonts w:hint="eastAsia" w:ascii="宋体" w:hAnsi="宋体" w:eastAsia="宋体" w:cs="宋体"/>
          <w:b/>
          <w:bCs/>
          <w:color w:val="auto"/>
          <w:kern w:val="0"/>
          <w:sz w:val="21"/>
          <w:szCs w:val="21"/>
          <w:highlight w:val="none"/>
          <w:lang w:val="en-US" w:eastAsia="zh-CN" w:bidi="ar"/>
        </w:rPr>
        <w:t>年</w:t>
      </w:r>
      <w:r>
        <w:rPr>
          <w:rFonts w:hint="eastAsia" w:ascii="宋体" w:hAnsi="宋体" w:cs="宋体"/>
          <w:b/>
          <w:bCs/>
          <w:color w:val="auto"/>
          <w:kern w:val="0"/>
          <w:sz w:val="21"/>
          <w:szCs w:val="21"/>
          <w:highlight w:val="none"/>
          <w:lang w:val="en-US" w:eastAsia="zh-CN" w:bidi="ar"/>
        </w:rPr>
        <w:t xml:space="preserve">  </w:t>
      </w:r>
      <w:r>
        <w:rPr>
          <w:rFonts w:hint="eastAsia" w:ascii="宋体" w:hAnsi="宋体" w:eastAsia="宋体" w:cs="宋体"/>
          <w:b/>
          <w:bCs/>
          <w:color w:val="auto"/>
          <w:kern w:val="0"/>
          <w:sz w:val="21"/>
          <w:szCs w:val="21"/>
          <w:highlight w:val="none"/>
          <w:lang w:val="en-US" w:eastAsia="zh-CN" w:bidi="ar"/>
        </w:rPr>
        <w:t>月</w:t>
      </w:r>
      <w:r>
        <w:rPr>
          <w:rFonts w:hint="eastAsia" w:ascii="宋体" w:hAnsi="宋体" w:cs="宋体"/>
          <w:b/>
          <w:bCs/>
          <w:color w:val="auto"/>
          <w:kern w:val="0"/>
          <w:sz w:val="21"/>
          <w:szCs w:val="21"/>
          <w:highlight w:val="none"/>
          <w:lang w:val="en-US" w:eastAsia="zh-CN" w:bidi="ar"/>
        </w:rPr>
        <w:t xml:space="preserve">  </w:t>
      </w:r>
      <w:r>
        <w:rPr>
          <w:rFonts w:hint="eastAsia" w:ascii="宋体" w:hAnsi="宋体" w:eastAsia="宋体" w:cs="宋体"/>
          <w:b/>
          <w:bCs/>
          <w:color w:val="auto"/>
          <w:kern w:val="0"/>
          <w:sz w:val="21"/>
          <w:szCs w:val="21"/>
          <w:highlight w:val="none"/>
          <w:lang w:val="en-US" w:eastAsia="zh-CN" w:bidi="ar"/>
        </w:rPr>
        <w:t>日</w:t>
      </w:r>
    </w:p>
    <w:p w14:paraId="346C4CD2">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p>
    <w:p w14:paraId="780D53EB">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691D496F">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1、按本格式和要求提供。</w:t>
      </w:r>
    </w:p>
    <w:p w14:paraId="31FDC87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2、以联合体形式响应的，提供联合协议；本项目不接受联合体响应或者供应商不以联合体形式响应的，则不需要提供。</w:t>
      </w:r>
    </w:p>
    <w:p w14:paraId="59F3AFED">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3、要求以联合体形式参加的项目或采购包，供应商按采购公告“申请人的资格要求”中规定的联合协议中中小企业、小微企业合同金额应当达到的比例要求填写。</w:t>
      </w:r>
    </w:p>
    <w:p w14:paraId="4B017847">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未预留份额专门面向中小企业采购的采购项目，以及预留份额中的非预留部分采购包，接受联合体响应的，联合协议约定小微企业的合同份额占到合同总金额30%以上的，对联合体报价按采购文件确定的比例给予扣除。供应商拟享受以上价格扣除政策的，填写有关内容。</w:t>
      </w:r>
    </w:p>
    <w:p w14:paraId="61E78B59">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附件5：分包意向协议</w:t>
      </w:r>
    </w:p>
    <w:p w14:paraId="4C2B3983">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分包意向协议</w:t>
      </w:r>
    </w:p>
    <w:p w14:paraId="1E8BD0C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0089A10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我方若成为</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芯粒多场耦合模型工程化开发</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330000263030150000532-QSZBB260324ZFCS</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的成交供应商，将依法采取分包方式履行合同。</w:t>
      </w:r>
      <w:r>
        <w:rPr>
          <w:rFonts w:hint="eastAsia" w:ascii="宋体" w:hAnsi="宋体" w:eastAsia="宋体" w:cs="宋体"/>
          <w:color w:val="auto"/>
          <w:kern w:val="0"/>
          <w:sz w:val="21"/>
          <w:szCs w:val="21"/>
          <w:highlight w:val="none"/>
          <w:u w:val="single"/>
          <w:lang w:val="en-US" w:eastAsia="zh-CN" w:bidi="ar"/>
        </w:rPr>
        <w:t>（供应商名称）</w:t>
      </w:r>
      <w:r>
        <w:rPr>
          <w:rFonts w:hint="eastAsia" w:ascii="宋体" w:hAnsi="宋体" w:eastAsia="宋体" w:cs="宋体"/>
          <w:color w:val="auto"/>
          <w:kern w:val="0"/>
          <w:sz w:val="21"/>
          <w:szCs w:val="21"/>
          <w:highlight w:val="none"/>
          <w:lang w:val="en-US" w:eastAsia="zh-CN" w:bidi="ar"/>
        </w:rPr>
        <w:t>与</w:t>
      </w:r>
      <w:r>
        <w:rPr>
          <w:rFonts w:hint="eastAsia" w:ascii="宋体" w:hAnsi="宋体" w:eastAsia="宋体" w:cs="宋体"/>
          <w:color w:val="auto"/>
          <w:kern w:val="0"/>
          <w:sz w:val="21"/>
          <w:szCs w:val="21"/>
          <w:highlight w:val="none"/>
          <w:u w:val="single"/>
          <w:lang w:val="en-US" w:eastAsia="zh-CN" w:bidi="ar"/>
        </w:rPr>
        <w:t>（所有分包供应商名称）</w:t>
      </w:r>
      <w:r>
        <w:rPr>
          <w:rFonts w:hint="eastAsia" w:ascii="宋体" w:hAnsi="宋体" w:eastAsia="宋体" w:cs="宋体"/>
          <w:color w:val="auto"/>
          <w:kern w:val="0"/>
          <w:sz w:val="21"/>
          <w:szCs w:val="21"/>
          <w:highlight w:val="none"/>
          <w:lang w:val="en-US" w:eastAsia="zh-CN" w:bidi="ar"/>
        </w:rPr>
        <w:t>达成分包意向协议。</w:t>
      </w:r>
    </w:p>
    <w:p w14:paraId="7623897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一、分包的标的及数量</w:t>
      </w:r>
    </w:p>
    <w:p w14:paraId="5281332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我方将</w:t>
      </w:r>
      <w:r>
        <w:rPr>
          <w:rFonts w:hint="eastAsia" w:ascii="宋体" w:hAnsi="宋体" w:eastAsia="宋体" w:cs="宋体"/>
          <w:color w:val="auto"/>
          <w:kern w:val="0"/>
          <w:sz w:val="21"/>
          <w:szCs w:val="21"/>
          <w:highlight w:val="none"/>
          <w:u w:val="single"/>
          <w:lang w:val="en-US" w:eastAsia="zh-CN" w:bidi="ar"/>
        </w:rPr>
        <w:t>（XX工作内容）</w:t>
      </w:r>
      <w:r>
        <w:rPr>
          <w:rFonts w:hint="eastAsia" w:ascii="宋体" w:hAnsi="宋体" w:eastAsia="宋体" w:cs="宋体"/>
          <w:color w:val="auto"/>
          <w:kern w:val="0"/>
          <w:sz w:val="21"/>
          <w:szCs w:val="21"/>
          <w:highlight w:val="none"/>
          <w:lang w:val="en-US" w:eastAsia="zh-CN" w:bidi="ar"/>
        </w:rPr>
        <w:t>分包给</w:t>
      </w:r>
      <w:r>
        <w:rPr>
          <w:rFonts w:hint="eastAsia" w:ascii="宋体" w:hAnsi="宋体" w:eastAsia="宋体" w:cs="宋体"/>
          <w:color w:val="auto"/>
          <w:kern w:val="0"/>
          <w:sz w:val="21"/>
          <w:szCs w:val="21"/>
          <w:highlight w:val="none"/>
          <w:u w:val="single"/>
          <w:lang w:val="en-US" w:eastAsia="zh-CN" w:bidi="ar"/>
        </w:rPr>
        <w:t>（分包供应商1名称）</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u w:val="single"/>
          <w:lang w:val="en-US" w:eastAsia="zh-CN" w:bidi="ar"/>
        </w:rPr>
        <w:t>（分包供应商1名称），</w:t>
      </w:r>
      <w:r>
        <w:rPr>
          <w:rFonts w:hint="eastAsia" w:ascii="宋体" w:hAnsi="宋体" w:eastAsia="宋体" w:cs="宋体"/>
          <w:color w:val="auto"/>
          <w:kern w:val="0"/>
          <w:sz w:val="21"/>
          <w:szCs w:val="21"/>
          <w:highlight w:val="none"/>
          <w:lang w:val="en-US" w:eastAsia="zh-CN" w:bidi="ar"/>
        </w:rPr>
        <w:t>具备承担分包内容相应资质条件且不得再次分包；</w:t>
      </w:r>
    </w:p>
    <w:p w14:paraId="64DDF1A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117932B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二、分包供应商中小企业合同份额</w:t>
      </w:r>
    </w:p>
    <w:p w14:paraId="0E2F4AE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中小企业合同金额达到【    %】，其中小微企业合同金额达到【    %】，其中：</w:t>
      </w:r>
    </w:p>
    <w:p w14:paraId="01B151D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（分包供应商X，……）</w:t>
      </w:r>
      <w:r>
        <w:rPr>
          <w:rFonts w:hint="eastAsia" w:ascii="宋体" w:hAnsi="宋体" w:eastAsia="宋体" w:cs="宋体"/>
          <w:color w:val="auto"/>
          <w:kern w:val="0"/>
          <w:sz w:val="21"/>
          <w:szCs w:val="21"/>
          <w:highlight w:val="none"/>
          <w:lang w:val="en-US" w:eastAsia="zh-CN" w:bidi="ar"/>
        </w:rPr>
        <w:t>提供的服务全部由小微企业承接，其合同份额占到合同总金额【    %】以上。</w:t>
      </w:r>
    </w:p>
    <w:p w14:paraId="049BB44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41CA496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三、分包工作履行期限、地点、方式</w:t>
      </w:r>
    </w:p>
    <w:p w14:paraId="32D673E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200F8C4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四、质量</w:t>
      </w:r>
    </w:p>
    <w:p w14:paraId="400EF26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19AE2FE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五、价款或者报酬</w:t>
      </w:r>
    </w:p>
    <w:p w14:paraId="6587990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6E18BC8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六、违约责任</w:t>
      </w:r>
    </w:p>
    <w:p w14:paraId="4443E3E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3A36EB1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七、争议解决的办法</w:t>
      </w:r>
    </w:p>
    <w:p w14:paraId="570D1F0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2F14276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7AB2351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358BBE4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分包供应商名称（电子签名/公章）：</w:t>
      </w:r>
    </w:p>
    <w:p w14:paraId="13260DE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7CAF83D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r>
        <w:rPr>
          <w:rFonts w:hint="eastAsia" w:ascii="宋体" w:hAnsi="宋体" w:cs="宋体"/>
          <w:b/>
          <w:bCs/>
          <w:color w:val="auto"/>
          <w:kern w:val="0"/>
          <w:sz w:val="21"/>
          <w:szCs w:val="21"/>
          <w:highlight w:val="none"/>
          <w:lang w:val="en-US" w:eastAsia="zh-CN" w:bidi="ar"/>
        </w:rPr>
        <w:t xml:space="preserve">    </w:t>
      </w:r>
      <w:r>
        <w:rPr>
          <w:rFonts w:hint="eastAsia" w:ascii="宋体" w:hAnsi="宋体" w:eastAsia="宋体" w:cs="宋体"/>
          <w:b/>
          <w:bCs/>
          <w:color w:val="auto"/>
          <w:kern w:val="0"/>
          <w:sz w:val="21"/>
          <w:szCs w:val="21"/>
          <w:highlight w:val="none"/>
          <w:lang w:val="en-US" w:eastAsia="zh-CN" w:bidi="ar"/>
        </w:rPr>
        <w:t>年</w:t>
      </w:r>
      <w:r>
        <w:rPr>
          <w:rFonts w:hint="eastAsia" w:ascii="宋体" w:hAnsi="宋体" w:cs="宋体"/>
          <w:b/>
          <w:bCs/>
          <w:color w:val="auto"/>
          <w:kern w:val="0"/>
          <w:sz w:val="21"/>
          <w:szCs w:val="21"/>
          <w:highlight w:val="none"/>
          <w:lang w:val="en-US" w:eastAsia="zh-CN" w:bidi="ar"/>
        </w:rPr>
        <w:t xml:space="preserve">  </w:t>
      </w:r>
      <w:r>
        <w:rPr>
          <w:rFonts w:hint="eastAsia" w:ascii="宋体" w:hAnsi="宋体" w:eastAsia="宋体" w:cs="宋体"/>
          <w:b/>
          <w:bCs/>
          <w:color w:val="auto"/>
          <w:kern w:val="0"/>
          <w:sz w:val="21"/>
          <w:szCs w:val="21"/>
          <w:highlight w:val="none"/>
          <w:lang w:val="en-US" w:eastAsia="zh-CN" w:bidi="ar"/>
        </w:rPr>
        <w:t>月</w:t>
      </w:r>
      <w:r>
        <w:rPr>
          <w:rFonts w:hint="eastAsia" w:ascii="宋体" w:hAnsi="宋体" w:cs="宋体"/>
          <w:b/>
          <w:bCs/>
          <w:color w:val="auto"/>
          <w:kern w:val="0"/>
          <w:sz w:val="21"/>
          <w:szCs w:val="21"/>
          <w:highlight w:val="none"/>
          <w:lang w:val="en-US" w:eastAsia="zh-CN" w:bidi="ar"/>
        </w:rPr>
        <w:t xml:space="preserve">  </w:t>
      </w:r>
      <w:r>
        <w:rPr>
          <w:rFonts w:hint="eastAsia" w:ascii="宋体" w:hAnsi="宋体" w:eastAsia="宋体" w:cs="宋体"/>
          <w:b/>
          <w:bCs/>
          <w:color w:val="auto"/>
          <w:kern w:val="0"/>
          <w:sz w:val="21"/>
          <w:szCs w:val="21"/>
          <w:highlight w:val="none"/>
          <w:lang w:val="en-US" w:eastAsia="zh-CN" w:bidi="ar"/>
        </w:rPr>
        <w:t>日</w:t>
      </w:r>
    </w:p>
    <w:p w14:paraId="6C522B4B">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p>
    <w:p w14:paraId="6C592839">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6895EC73">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1、按本格式和要求提供。</w:t>
      </w:r>
    </w:p>
    <w:p w14:paraId="77744B92">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2、成交后以分包方式履行合同的，提供分包意向协议；采购人不同意分包或者供应商成交后不以分包方式履行合同的，则不需要提供。</w:t>
      </w:r>
    </w:p>
    <w:p w14:paraId="0ACC0294">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3、要求合同分包形式参加的项目或采购包，供应商按采购公告“申请人的资格要求”中规定的分包意向协议中中小企业、小微企业合同金额应当达到的比例要求填写。</w:t>
      </w:r>
    </w:p>
    <w:p w14:paraId="6A05CE7F">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未预留份额专门面向中小企业采购的采购项目，以及预留份额中的非预留部分采购包，允许分包的，分包意向协议约定小微企业的合同份额占到合同总金额30%以上的，对大中型企业的报价按采购文件确定的比例给予扣除。供应商拟享受以上价格扣除政策的，填写有关内容。</w:t>
      </w:r>
    </w:p>
    <w:p w14:paraId="54CA821C">
      <w:pPr>
        <w:pStyle w:val="4"/>
        <w:keepNext w:val="0"/>
        <w:keepLines w:val="0"/>
        <w:pageBreakBefore w:val="0"/>
        <w:widowControl/>
        <w:suppressLineNumbers w:val="0"/>
        <w:kinsoku/>
        <w:wordWrap/>
        <w:overflowPunct/>
        <w:topLinePunct w:val="0"/>
        <w:autoSpaceDE/>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附件6：业务专用章使用说明函</w:t>
      </w:r>
    </w:p>
    <w:p w14:paraId="55F5ADED">
      <w:pPr>
        <w:keepNext w:val="0"/>
        <w:keepLines w:val="0"/>
        <w:pageBreakBefore w:val="0"/>
        <w:widowControl/>
        <w:suppressLineNumbers w:val="0"/>
        <w:kinsoku/>
        <w:wordWrap/>
        <w:overflowPunct/>
        <w:topLinePunct w:val="0"/>
        <w:autoSpaceDE/>
        <w:autoSpaceDN w:val="0"/>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业务专用章使用说明函</w:t>
      </w:r>
    </w:p>
    <w:p w14:paraId="2534C4C9">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7A22E48B">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p>
    <w:p w14:paraId="188F5427">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我方是中华人民共和国依法登记注册的合法企业，在参加你方组织的</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芯粒多场耦合模型工程化开发</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330000263030150000532-QSZBB260324ZFCS</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采购活动中作如下说明：我方所使用的</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与法定名称章具有同等的法律效力，对使用</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的行为予以完全承认，并愿意承担相应责任。</w:t>
      </w:r>
    </w:p>
    <w:p w14:paraId="4F15A273">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特此说明。</w:t>
      </w:r>
    </w:p>
    <w:p w14:paraId="382F6BF1">
      <w:pPr>
        <w:keepNext w:val="0"/>
        <w:keepLines w:val="0"/>
        <w:widowControl/>
        <w:suppressLineNumbers w:val="0"/>
        <w:autoSpaceDE/>
        <w:autoSpaceDN w:val="0"/>
        <w:spacing w:line="288" w:lineRule="auto"/>
        <w:ind w:left="0" w:right="480" w:firstLine="424"/>
        <w:jc w:val="left"/>
        <w:rPr>
          <w:rFonts w:hint="eastAsia" w:ascii="宋体" w:hAnsi="宋体" w:eastAsia="宋体" w:cs="宋体"/>
          <w:color w:val="auto"/>
          <w:sz w:val="21"/>
          <w:szCs w:val="21"/>
          <w:highlight w:val="none"/>
        </w:rPr>
      </w:pPr>
    </w:p>
    <w:p w14:paraId="015BD646">
      <w:pPr>
        <w:keepNext w:val="0"/>
        <w:keepLines w:val="0"/>
        <w:widowControl/>
        <w:suppressLineNumbers w:val="0"/>
        <w:autoSpaceDE/>
        <w:autoSpaceDN w:val="0"/>
        <w:spacing w:line="288" w:lineRule="auto"/>
        <w:ind w:left="0" w:right="48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供应商（法定名称章）：</w:t>
      </w:r>
    </w:p>
    <w:p w14:paraId="3C79975A">
      <w:pPr>
        <w:keepNext w:val="0"/>
        <w:keepLines w:val="0"/>
        <w:widowControl/>
        <w:suppressLineNumbers w:val="0"/>
        <w:autoSpaceDE/>
        <w:autoSpaceDN w:val="0"/>
        <w:spacing w:line="288" w:lineRule="auto"/>
        <w:ind w:left="0" w:right="144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8820E82">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09EE3255">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附：</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48"/>
        <w:gridCol w:w="4948"/>
      </w:tblGrid>
      <w:tr w14:paraId="725FEAD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PrEx>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0ED4200C">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供应商法定名称章（印模）</w:t>
            </w:r>
          </w:p>
        </w:tc>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57FE74E">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供应商“XX专用章”（印模）</w:t>
            </w:r>
          </w:p>
        </w:tc>
      </w:tr>
      <w:tr w14:paraId="40D53FC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2950" w:hRule="atLeast"/>
        </w:trPr>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885DFA4">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left"/>
              <w:rPr>
                <w:rFonts w:hint="eastAsia" w:ascii="宋体" w:hAnsi="宋体" w:eastAsia="宋体" w:cs="宋体"/>
                <w:color w:val="auto"/>
                <w:sz w:val="21"/>
                <w:szCs w:val="21"/>
                <w:highlight w:val="none"/>
              </w:rPr>
            </w:pPr>
          </w:p>
        </w:tc>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6386298">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left"/>
              <w:rPr>
                <w:rFonts w:hint="eastAsia" w:ascii="宋体" w:hAnsi="宋体" w:eastAsia="宋体" w:cs="宋体"/>
                <w:color w:val="auto"/>
                <w:sz w:val="21"/>
                <w:szCs w:val="21"/>
                <w:highlight w:val="none"/>
              </w:rPr>
            </w:pPr>
          </w:p>
        </w:tc>
      </w:tr>
    </w:tbl>
    <w:p w14:paraId="1D25B139">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59C358FC">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附件7：质疑函范本及制作说明</w:t>
      </w:r>
    </w:p>
    <w:p w14:paraId="3327F73A">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质疑函</w:t>
      </w:r>
    </w:p>
    <w:p w14:paraId="56794293">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一、质疑供应商基本信息</w:t>
      </w:r>
    </w:p>
    <w:p w14:paraId="525BF18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质疑供应商：</w:t>
      </w:r>
    </w:p>
    <w:p w14:paraId="26ED7F4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0E5F822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4850B03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授权代表：</w:t>
      </w:r>
    </w:p>
    <w:p w14:paraId="14EAA5A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联系电话：</w:t>
      </w:r>
    </w:p>
    <w:p w14:paraId="2E570F7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4DA29772">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二、质疑项目基本情况</w:t>
      </w:r>
    </w:p>
    <w:p w14:paraId="290DC64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质疑项目的名称：</w:t>
      </w:r>
    </w:p>
    <w:p w14:paraId="17C996B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质疑项目的编号：包号：</w:t>
      </w:r>
    </w:p>
    <w:p w14:paraId="523ABBD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采购人名称：</w:t>
      </w:r>
    </w:p>
    <w:p w14:paraId="6B0623A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采购文件获取日期：</w:t>
      </w:r>
    </w:p>
    <w:p w14:paraId="09BD71B7">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三、质疑事项具体内容</w:t>
      </w:r>
    </w:p>
    <w:p w14:paraId="19AD91A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质疑事项1：</w:t>
      </w:r>
    </w:p>
    <w:p w14:paraId="381B4A5E">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事实依据：</w:t>
      </w:r>
    </w:p>
    <w:p w14:paraId="77A9FF6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613AD97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法律依据：</w:t>
      </w:r>
    </w:p>
    <w:p w14:paraId="6BFD571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4EC1E81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质疑事项2：</w:t>
      </w:r>
    </w:p>
    <w:p w14:paraId="62D9442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0D1A3137">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四、与质疑事项相关的质疑请求</w:t>
      </w:r>
    </w:p>
    <w:p w14:paraId="06A202C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请求：</w:t>
      </w:r>
    </w:p>
    <w:p w14:paraId="39515978">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5A02429D">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签字(签章)：公章：</w:t>
      </w:r>
    </w:p>
    <w:p w14:paraId="2D7254A8">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p>
    <w:p w14:paraId="6D03FD7F">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20A8FF2">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质疑函制作说明：</w:t>
      </w:r>
    </w:p>
    <w:p w14:paraId="3591E5D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1.供应商提出质疑时，应提交质疑函和必要的证明材料。</w:t>
      </w:r>
    </w:p>
    <w:p w14:paraId="20E680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B9758E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3.质疑供应商若对项目的某一分包进行质疑，质疑函中应列明具体分包号。</w:t>
      </w:r>
    </w:p>
    <w:p w14:paraId="6CBFF2C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4.质疑函的质疑事项应具体、明确，并有必要的事实依据和法律依据。</w:t>
      </w:r>
    </w:p>
    <w:p w14:paraId="328AB0F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5.质疑函的质疑请求应与质疑事项相关。</w:t>
      </w:r>
    </w:p>
    <w:p w14:paraId="24EE60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6.质疑供应商为自然人的，质疑函应由本人签字；质疑供应商为法人或者其他组织的，质疑函应由法定代表人、主要负责人，或者其授权代表签字或者盖章，并加盖公章。</w:t>
      </w:r>
    </w:p>
    <w:p w14:paraId="5ADEF50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7.在浙江省政府采购云平台提起质疑的，按照平台相关规定执行。</w:t>
      </w:r>
    </w:p>
    <w:p w14:paraId="42C3CB09">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附件8：投诉书范本及制作说明</w:t>
      </w:r>
    </w:p>
    <w:p w14:paraId="3FD6FF4B">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投诉书</w:t>
      </w:r>
    </w:p>
    <w:p w14:paraId="780ACAED">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一、投诉相关主体基本情况</w:t>
      </w:r>
    </w:p>
    <w:p w14:paraId="459949B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投诉人：</w:t>
      </w:r>
    </w:p>
    <w:p w14:paraId="7E8B1AD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47E24DF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法定代表人/主要负责人：</w:t>
      </w:r>
    </w:p>
    <w:p w14:paraId="5A4F736E">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联系电话：</w:t>
      </w:r>
    </w:p>
    <w:p w14:paraId="018B245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授权代表：联系电话：</w:t>
      </w:r>
    </w:p>
    <w:p w14:paraId="3F1A9A5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4721C5D8">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被投诉人1：</w:t>
      </w:r>
    </w:p>
    <w:p w14:paraId="1C72D3A8">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5008392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2DF5754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被投诉人2：</w:t>
      </w:r>
    </w:p>
    <w:p w14:paraId="26D3B5B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22F96FAE">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相关供应商：</w:t>
      </w:r>
    </w:p>
    <w:p w14:paraId="40DBB6E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379D417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310C069A">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p>
    <w:p w14:paraId="7EFBD560">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二、投诉项目基本情况</w:t>
      </w:r>
    </w:p>
    <w:p w14:paraId="53A2C0F9">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采购项目名称：</w:t>
      </w:r>
    </w:p>
    <w:p w14:paraId="36089A2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采购项目编号：包号：</w:t>
      </w:r>
    </w:p>
    <w:p w14:paraId="6B3CDFF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采购人名称：</w:t>
      </w:r>
    </w:p>
    <w:p w14:paraId="11D34D7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代理机构名称：</w:t>
      </w:r>
    </w:p>
    <w:p w14:paraId="3F5D1C5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采购文件公告:是/否公告期限：</w:t>
      </w:r>
    </w:p>
    <w:p w14:paraId="657B809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采购结果公告:是/否公告期限：</w:t>
      </w:r>
    </w:p>
    <w:p w14:paraId="69C223AE">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p>
    <w:p w14:paraId="55C93F5A">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三、质疑基本情况</w:t>
      </w:r>
    </w:p>
    <w:p w14:paraId="77571D0A">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投诉人于年月日,向提出质疑，质疑事项为：</w:t>
      </w:r>
    </w:p>
    <w:p w14:paraId="2DCB1C8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5601296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采购人/代理机构于年月日,就质疑事项作出了答复/没有在法定期限内作出答复。</w:t>
      </w:r>
    </w:p>
    <w:p w14:paraId="0EBF4F63">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p>
    <w:p w14:paraId="0A1CDDB2">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四、投诉事项具体内容</w:t>
      </w:r>
    </w:p>
    <w:p w14:paraId="7B16D509">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投诉事项1：</w:t>
      </w:r>
    </w:p>
    <w:p w14:paraId="0FFB666A">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事实依据：</w:t>
      </w:r>
    </w:p>
    <w:p w14:paraId="4FCBFE8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法律依据：</w:t>
      </w:r>
    </w:p>
    <w:p w14:paraId="35466C1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投诉事项2：</w:t>
      </w:r>
    </w:p>
    <w:p w14:paraId="2F9E73D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0600F58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五、与投诉事项相关的投诉请求</w:t>
      </w:r>
    </w:p>
    <w:p w14:paraId="6AC75969">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请求：</w:t>
      </w:r>
    </w:p>
    <w:p w14:paraId="19C4E87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17208804">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签字(签章)：公章：</w:t>
      </w:r>
    </w:p>
    <w:p w14:paraId="0030E184">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p>
    <w:p w14:paraId="3534EBDA">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33D984DA">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投诉书制作说明：</w:t>
      </w:r>
    </w:p>
    <w:p w14:paraId="4F9958A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1.投诉人提起投诉时，应当提交投诉书和必要的证明材料，并按照被投诉人和与投诉事项有关的供应商数量提供投诉书副本。</w:t>
      </w:r>
    </w:p>
    <w:p w14:paraId="175D0BD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2DD4450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3.投诉人若对项目的某一分包进行投诉，投诉书应列明具体分包号。</w:t>
      </w:r>
    </w:p>
    <w:p w14:paraId="105314D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4.投诉书应简要列明质疑事项，质疑函、质疑答复等作为附件材料提供。</w:t>
      </w:r>
    </w:p>
    <w:p w14:paraId="3150C30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5.投诉书的投诉事项应具体、明确，并有必要的事实依据和法律依据。</w:t>
      </w:r>
    </w:p>
    <w:p w14:paraId="27DB905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6.投诉书的投诉请求应与投诉事项相关。</w:t>
      </w:r>
    </w:p>
    <w:p w14:paraId="2EF6F80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7.投诉人为自然人的，投诉书应当由本人签字；投诉人为法人或者其他组织的，投诉书应当由法定代表人、主要负责人，或者其授权代表签字或者盖章，并加盖公章。</w:t>
      </w:r>
    </w:p>
    <w:p w14:paraId="25D4398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8.在浙江省政府采购云平台提起投诉的，按照平台相关规定执行。</w:t>
      </w:r>
    </w:p>
    <w:p w14:paraId="74A8CC8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snapToGrid/>
        <w:spacing w:before="0" w:beforeAutospacing="0" w:after="0" w:afterAutospacing="0" w:line="288" w:lineRule="auto"/>
        <w:ind w:right="0"/>
        <w:jc w:val="center"/>
        <w:textAlignment w:val="baseline"/>
        <w:outlineLvl w:val="2"/>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kern w:val="0"/>
          <w:sz w:val="28"/>
          <w:szCs w:val="28"/>
          <w:highlight w:val="none"/>
          <w:lang w:val="en-US" w:eastAsia="zh-CN" w:bidi="ar"/>
        </w:rPr>
        <w:t>中小企业划型标准规定</w:t>
      </w:r>
    </w:p>
    <w:p w14:paraId="3474F0D5">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中小企业划型标准（参考数据表）</w:t>
      </w:r>
    </w:p>
    <w:p w14:paraId="1BDC2C8A">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92"/>
        <w:gridCol w:w="2078"/>
        <w:gridCol w:w="2022"/>
        <w:gridCol w:w="2015"/>
        <w:gridCol w:w="1889"/>
      </w:tblGrid>
      <w:tr w14:paraId="57FA1B2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93D7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7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8341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2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9A44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1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A2A7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8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31E3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49DD22C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DE0B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农、林、牧、渔业</w:t>
            </w: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1D303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7F14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≥20000</w:t>
            </w:r>
          </w:p>
        </w:tc>
        <w:tc>
          <w:tcPr>
            <w:tcW w:w="2015"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FF49F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8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CC3E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4093A2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AF59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6793D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0636C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≥500</w:t>
            </w:r>
          </w:p>
        </w:tc>
        <w:tc>
          <w:tcPr>
            <w:tcW w:w="2015"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425D1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8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F431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572693A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99DA7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C8660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31475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015"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F132A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8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0514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1D97B9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26722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5CE83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8CB63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015"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064D2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8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7B81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3E0C715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27A023E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0C33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7314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1A012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7D62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ABE9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4ADD556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A477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工业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A460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8225D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且≥40000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5B24D1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46FBA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2E77BF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49C01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89A0F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5883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62ED2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A72E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5133E29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69F64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2B048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DB237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32570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C0C9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24BCE92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45C42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64F2C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87C5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B7138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A79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3AC27AD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42DA190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6D03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FA47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EF91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2297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2D4D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5C8E618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53ED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建筑业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5F1CB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5F69E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F072C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且≥80000</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235F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EB7EA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54F0A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6897C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221B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9715B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98B6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42AF42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B38A5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8304E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11471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30640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5C94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5E11123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C75B3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41A0B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B1FBB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CBEB3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或＜300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0C72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5882B70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3B5DE48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2ACB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6EA4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57C7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4732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BBB5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0F636B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467E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批发业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3C0E4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04116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且≥40000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468557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869B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1F4903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F86CE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29011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63B88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B2EB9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2B74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06DD51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17D6B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F44DA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B99A7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9DEB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A1DE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6E47F1E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B703A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52729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6E182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16A0B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36B2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A661D73">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6CA938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ECBD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10AB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E0D6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CBF8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3932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B57DDD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265" w:hRule="atLeast"/>
        </w:trPr>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69FE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零售业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C42B9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5A40D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7D890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9FB8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4E688C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07B39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EFE9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15386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8A2C4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9783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7556736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89572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E745C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BC8D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DA44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E306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AF12FF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FFC79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25BF5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58CE7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1F1E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8D49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02A7C02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7B49BEC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7AE3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1F48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77C8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0C9A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1589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0BA6E63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DDAD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交通运输业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E1A61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10EFD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3CFFE9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881F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C09CFB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B8595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81199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9ABAE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87EE7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4207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27144F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9CB82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9111A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4CC5F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0377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ABCE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79EBB38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6A71D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3906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8AEA9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或＜200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9CB80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BFF6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4951756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（七）</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7C495F9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FD0B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F17B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FEC0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2153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97A9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73C4D6E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9E4B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仓储业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AB5E5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ADC5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2569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3C76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D5AE86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06A1C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A20A1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E8DB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0F5AD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5CA3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91319B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0579B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BDE7C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2BF7A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A244E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CD35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2E4F8D0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FBAA3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5E9C1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AE0E3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3285D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8B199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5F9F127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（八）</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59CD106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E663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B863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7D7D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29E5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A7A8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F40941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91C9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邮政业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A791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8CAA3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552262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F483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F6A416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43903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FE62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2CC81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D424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0540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34A5E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3CFB2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4827E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D35E9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809DC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F231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131743C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24717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823A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A4AD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1EA3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9E93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64BC19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（九）</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05293E3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5530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7E21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4AFE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00AF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453B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5C6A98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50A6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住宿业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E16F7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E7D47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7C3A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BAD1C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111EBF8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4610B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EE52C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5675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1EAB6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579D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68527D9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4A5A9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69C9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EA8C5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DA02B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8046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5E208D7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C64EF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503C8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9EBA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D16D6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7DB6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3D06C0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767A6E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FEC8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B38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AAABF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0F7C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A9B2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2DF42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8E89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餐饮业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F022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42BB0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8C1E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5B16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15C55E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2F821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6B8A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FF974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6E37E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FB15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363483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18FD0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3D490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B0486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6E4BF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1994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63188A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01A88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55769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9097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4A83D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12E3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A2B6B8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（十一）</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0D767C3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209B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7202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CACC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026E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7466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1F56ABF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D127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信息传输业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D13A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8A44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57B0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414F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0301471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665D1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FFCBD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3C467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D0AC2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405D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184BEB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C1B3C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35123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76DC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6C1AB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7970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5A281B6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AEF04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C4BE0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B466D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E18F4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C2F3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07A4449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（十二）</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08EDA19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8E0E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E612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54B6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C979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E629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3E1DAD1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E96F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软件和信息技术服务业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37441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F027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31AE00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F053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6A9E88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4F9E1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28157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570C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3C659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F1AA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3C1B2AF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4F19A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657FF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4682D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BE92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9A2E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4A4281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2BFF1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4E66A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2059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或＜50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68F3B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7687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413B7373">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（十三）</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66EF043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DC11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0391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B58F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264C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E09D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3B799E0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2270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房地产开发经营</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6A1D9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D390C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438EA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BB39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376E72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4E8F1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755CA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B153D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2375F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95C8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877BFB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69918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2FE2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0B215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D2C0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8E4D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3F639C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51526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47211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2DAC9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30091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或＜2000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25DE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640ACA32">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（十四）</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3FAB34D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A142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2D0B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F2899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3D4B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604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289A04A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7CAA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物业管理</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E1CFA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C238D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C5E7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3CAD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1A22B7F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DCEE8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8C8D0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2C7EC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AE4A3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DC3C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FEE0E8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0BC23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94455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E253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A2B3D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9BB1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2E45D5F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CF7B2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35011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CFD4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或＜500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7C7A8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A667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072B104B">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（十五）</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22482DA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7D91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D287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AEE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6EEB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89CF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42ED4D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DE4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租赁和商务服务业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14597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FF642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1C11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且≥120000</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FD46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DE548C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2CC5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DC9F3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BFD6E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CBDC6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且≥8000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199A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070301E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C5F8C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C46C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2F19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16521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3DAE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33C02E6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6ED0C2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74C9E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AFEE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D82B9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B24D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5628852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（十六）</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19FA86E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CCC7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F4C4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B3B0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9F49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B0E7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27DD016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ED5C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其他未列明行业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92FF7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0FC7F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27462C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D223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645FA0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ABAF6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99B9C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3B2BC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1BDCF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38C6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EFE1C1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73D89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265A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C261D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F762B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B5E1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43BB3CE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1B9E9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DDEF9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38791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80C10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3F81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3FE43F70">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B56F880">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中小企业划型标准规定</w:t>
      </w:r>
    </w:p>
    <w:p w14:paraId="548E04BE">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EEC1B9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一、根据《中华人民共和国中小企业促进法》和《国务院关于进一步促进中小企业发展的若干意见》(国发〔2009〕36号)，制定本规定。</w:t>
      </w:r>
    </w:p>
    <w:p w14:paraId="05960AA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二、中小企业划分为中型、小型、微型三种类型，具体标准根据企业从业人员、营业收入、资产总额等指标，结合行业特点制定。</w:t>
      </w:r>
    </w:p>
    <w:p w14:paraId="30A7DEF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6A80B9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四、各行业划型标准为：</w:t>
      </w:r>
    </w:p>
    <w:p w14:paraId="5573C52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（一）农、林、牧、渔业。营业收入20000万元以下的为中小微型企业。其中，营业收入500万元及以上的为中型企业，营业收入50万元及以上的为小型企业，营业收入50万元以下的为微型企业。</w:t>
      </w:r>
    </w:p>
    <w:p w14:paraId="30E9213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05916E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E54DF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A91276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D71875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9ED18B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F2A519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8195BB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0E7C6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5308A1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C69EB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6B3B53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53712D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7391F4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8F7EDC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（十六）其他未列明行业。从业人员300人以下的为中小微型企业。其中，从业人员100人及以上的为中型企业；从业人员10人及以上的为小型企业；从业人员10人以下的为微型企业。</w:t>
      </w:r>
    </w:p>
    <w:p w14:paraId="569A41A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五、企业类型的划分以统计部门的统计数据为依据。</w:t>
      </w:r>
    </w:p>
    <w:p w14:paraId="0B51059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六、本规定适用于在中华人民共和国境内依法设立的各类所有制和各种组织形式的企业。个体工商户和本规定以外的行业，参照本规定进行划型。</w:t>
      </w:r>
    </w:p>
    <w:p w14:paraId="644B862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七、本规定的中型企业标准上限即为大型企业标准的下限，国家统计部门据此制定大中小微型企业的统计分类。国务院有关部门据此进行相关数据分析，不得制定与本规定不一致的企业划型标准。</w:t>
      </w:r>
    </w:p>
    <w:p w14:paraId="6A108B7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八、本规定由工业和信息化部、国家统计局会同有关部门根据《国民经济行业分类》修订情况和企业发展变化情况适时修订。</w:t>
      </w:r>
    </w:p>
    <w:p w14:paraId="2B4944B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九、本规定由工业和信息化部、国家统计局会同有关部门负责解释。</w:t>
      </w:r>
    </w:p>
    <w:p w14:paraId="2B8AF74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十、本规定自发布之日起执行，原国家经贸委、原国家计委、财政部和国家统计局2003年颁布的《中小企业标准暂行规定》同时废止。</w:t>
      </w:r>
    </w:p>
    <w:sectPr>
      <w:footerReference r:id="rId4" w:type="default"/>
      <w:pgSz w:w="12240" w:h="15840"/>
      <w:pgMar w:top="1247" w:right="1247" w:bottom="1247" w:left="1247" w:header="0" w:footer="692" w:gutter="0"/>
      <w:pgBorders>
        <w:top w:val="none" w:sz="0" w:space="0"/>
        <w:left w:val="none" w:sz="0" w:space="0"/>
        <w:bottom w:val="none" w:sz="0" w:space="0"/>
        <w:right w:val="none" w:sz="0" w:space="0"/>
      </w:pgBorders>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ì.">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2BBFF">
    <w:pPr>
      <w:pStyle w:val="7"/>
    </w:pPr>
    <w:r>
      <w:rPr>
        <w:sz w:val="18"/>
      </w:rP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068539E7">
                <w:pPr>
                  <w:pStyle w:val="7"/>
                </w:pPr>
                <w:r>
                  <w:fldChar w:fldCharType="begin"/>
                </w:r>
                <w:r>
                  <w:instrText xml:space="preserve"> PAGE  \* MERGEFORMAT </w:instrText>
                </w:r>
                <w:r>
                  <w:fldChar w:fldCharType="separate"/>
                </w:r>
                <w:r>
                  <w:t>3</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3EEBC">
    <w:pPr>
      <w:pStyle w:val="8"/>
    </w:pPr>
    <w:r>
      <w:rPr>
        <w:rFonts w:hint="eastAsia" w:eastAsia="宋体"/>
        <w:lang w:eastAsia="zh-CN"/>
      </w:rPr>
      <w:drawing>
        <wp:inline distT="0" distB="0" distL="114300" distR="114300">
          <wp:extent cx="619252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619252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isplayHorizontalDrawingGridEvery w:val="0"/>
  <w:displayVerticalDrawingGridEvery w:val="2"/>
  <w:hdrShapeDefaults>
    <o:shapelayout v:ext="edit">
      <o:idmap v:ext="edit" data="2"/>
    </o:shapelayout>
  </w:hdrShapeDefaults>
  <w:compat>
    <w:balanceSingleByteDoubleByteWidth/>
    <w:doNotExpandShiftReturn/>
    <w:adjustLineHeightInTable/>
    <w:doNotWrapTextWithPunct/>
    <w:doNotUseEastAsianBreakRules/>
    <w:useFELayout/>
    <w:splitPgBreakAndParaMark/>
    <w:compatSetting w:name="compatibilityMode" w:uri="http://schemas.microsoft.com/office/word" w:val="12"/>
  </w:compat>
  <w:rsids>
    <w:rsidRoot w:val="00000000"/>
    <w:rsid w:val="005E3C2A"/>
    <w:rsid w:val="02DA543C"/>
    <w:rsid w:val="040C25C7"/>
    <w:rsid w:val="09B116A0"/>
    <w:rsid w:val="0A5C2B6D"/>
    <w:rsid w:val="0D7B1FF8"/>
    <w:rsid w:val="0F1068C1"/>
    <w:rsid w:val="10AA73F0"/>
    <w:rsid w:val="11494E5B"/>
    <w:rsid w:val="119169D7"/>
    <w:rsid w:val="11941BEF"/>
    <w:rsid w:val="122B3C9E"/>
    <w:rsid w:val="13397D40"/>
    <w:rsid w:val="13700E48"/>
    <w:rsid w:val="14385933"/>
    <w:rsid w:val="1450316D"/>
    <w:rsid w:val="19567FA1"/>
    <w:rsid w:val="1998697F"/>
    <w:rsid w:val="1AD928E7"/>
    <w:rsid w:val="1DFA116D"/>
    <w:rsid w:val="1F1C3BAF"/>
    <w:rsid w:val="20825C93"/>
    <w:rsid w:val="23A21C5C"/>
    <w:rsid w:val="243F0B22"/>
    <w:rsid w:val="250C5C83"/>
    <w:rsid w:val="25731FA3"/>
    <w:rsid w:val="26613362"/>
    <w:rsid w:val="283D6944"/>
    <w:rsid w:val="29A84506"/>
    <w:rsid w:val="2A0A17FE"/>
    <w:rsid w:val="2BC05DEB"/>
    <w:rsid w:val="2BE97E07"/>
    <w:rsid w:val="2BFA7812"/>
    <w:rsid w:val="2D3E70F9"/>
    <w:rsid w:val="2D4859C2"/>
    <w:rsid w:val="2D5B0533"/>
    <w:rsid w:val="2D954F24"/>
    <w:rsid w:val="2DC376C0"/>
    <w:rsid w:val="2DE30AE0"/>
    <w:rsid w:val="2FC418D8"/>
    <w:rsid w:val="32393545"/>
    <w:rsid w:val="33B469DA"/>
    <w:rsid w:val="370D6478"/>
    <w:rsid w:val="3BF23FF6"/>
    <w:rsid w:val="3CB23658"/>
    <w:rsid w:val="3DDF199F"/>
    <w:rsid w:val="3EFF1FC4"/>
    <w:rsid w:val="3F732F1F"/>
    <w:rsid w:val="41183448"/>
    <w:rsid w:val="47085DC8"/>
    <w:rsid w:val="4A4B797E"/>
    <w:rsid w:val="4B8D757E"/>
    <w:rsid w:val="4E1A4970"/>
    <w:rsid w:val="51AB7EC4"/>
    <w:rsid w:val="51C0416F"/>
    <w:rsid w:val="52112418"/>
    <w:rsid w:val="52480D77"/>
    <w:rsid w:val="535968C7"/>
    <w:rsid w:val="56DC2169"/>
    <w:rsid w:val="5A0D6EAD"/>
    <w:rsid w:val="5AC745E9"/>
    <w:rsid w:val="5AC9200B"/>
    <w:rsid w:val="5EDE1386"/>
    <w:rsid w:val="601F1FA6"/>
    <w:rsid w:val="60657DF7"/>
    <w:rsid w:val="62DB3733"/>
    <w:rsid w:val="68C63C76"/>
    <w:rsid w:val="6AB24F1B"/>
    <w:rsid w:val="6B2955B2"/>
    <w:rsid w:val="6BB46B2B"/>
    <w:rsid w:val="6C5315FF"/>
    <w:rsid w:val="6DCE1692"/>
    <w:rsid w:val="714918A0"/>
    <w:rsid w:val="726868A6"/>
    <w:rsid w:val="730A01DC"/>
    <w:rsid w:val="73794D5C"/>
    <w:rsid w:val="75B14E4A"/>
    <w:rsid w:val="771B608D"/>
    <w:rsid w:val="774950F4"/>
    <w:rsid w:val="78C71F36"/>
    <w:rsid w:val="7A3C18A9"/>
    <w:rsid w:val="7AA7568D"/>
    <w:rsid w:val="7C003085"/>
    <w:rsid w:val="7E2E33C0"/>
    <w:rsid w:val="7E60679E"/>
    <w:rsid w:val="7F1A2EF4"/>
    <w:rsid w:val="7FE2502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rPr>
  </w:style>
  <w:style w:type="paragraph" w:styleId="2">
    <w:name w:val="heading 1"/>
    <w:next w:val="1"/>
    <w:qFormat/>
    <w:uiPriority w:val="9"/>
    <w:pPr>
      <w:keepNext/>
      <w:keepLines/>
      <w:widowControl w:val="0"/>
      <w:tabs>
        <w:tab w:val="left" w:pos="432"/>
      </w:tabs>
      <w:spacing w:before="340" w:after="330" w:line="578" w:lineRule="auto"/>
      <w:ind w:left="432" w:hanging="432"/>
      <w:jc w:val="both"/>
      <w:outlineLvl w:val="0"/>
    </w:pPr>
    <w:rPr>
      <w:rFonts w:ascii="Calibri" w:hAnsi="Calibri" w:eastAsia="宋体" w:cs="Times New Roman"/>
      <w:b/>
      <w:bCs/>
      <w:kern w:val="44"/>
      <w:sz w:val="44"/>
      <w:szCs w:val="44"/>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11">
    <w:name w:val="Default Paragraph Font"/>
    <w:semiHidden/>
    <w:qFormat/>
    <w:uiPriority w:val="0"/>
  </w:style>
  <w:style w:type="table" w:default="1" w:styleId="9">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6">
    <w:name w:val="annotation text"/>
    <w:qFormat/>
    <w:uiPriority w:val="0"/>
    <w:pPr>
      <w:widowControl w:val="0"/>
      <w:jc w:val="left"/>
    </w:pPr>
    <w:rPr>
      <w:rFonts w:ascii="Calibri" w:hAnsi="Calibri" w:eastAsia="宋体" w:cs="Times New Roman"/>
      <w:kern w:val="2"/>
      <w:sz w:val="21"/>
      <w:szCs w:val="24"/>
      <w:lang w:val="en-US" w:eastAsia="zh-CN" w:bidi="ar-SA"/>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0">
    <w:name w:val="Table Grid"/>
    <w:basedOn w:val="9"/>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Default"/>
    <w:next w:val="13"/>
    <w:qFormat/>
    <w:uiPriority w:val="0"/>
    <w:pPr>
      <w:widowControl w:val="0"/>
      <w:autoSpaceDE w:val="0"/>
      <w:autoSpaceDN w:val="0"/>
      <w:adjustRightInd w:val="0"/>
    </w:pPr>
    <w:rPr>
      <w:rFonts w:ascii="..ì." w:hAnsi="Times New Roman" w:eastAsia="..ì." w:cs="..ì."/>
      <w:color w:val="000000"/>
      <w:sz w:val="24"/>
      <w:szCs w:val="24"/>
      <w:lang w:val="en-US" w:eastAsia="zh-CN" w:bidi="ar-SA"/>
    </w:rPr>
  </w:style>
  <w:style w:type="paragraph" w:customStyle="1" w:styleId="1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14">
    <w:name w:val="表格正文"/>
    <w:qFormat/>
    <w:uiPriority w:val="1"/>
    <w:pPr>
      <w:widowControl w:val="0"/>
      <w:spacing w:before="62" w:beforeLines="20" w:after="62" w:afterLines="20"/>
      <w:jc w:val="center"/>
    </w:pPr>
    <w:rPr>
      <w:rFonts w:ascii="Times New Roman" w:hAnsi="Times New Roman" w:eastAsia="宋体" w:cs="Times New Roman"/>
      <w:kern w:val="2"/>
      <w:sz w:val="24"/>
      <w:szCs w:val="24"/>
      <w:lang w:val="zh-TW" w:eastAsia="zh-TW" w:bidi="zh-TW"/>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51</Pages>
  <Words>4162</Words>
  <Characters>4720</Characters>
  <Lines>1</Lines>
  <Paragraphs>1</Paragraphs>
  <TotalTime>5</TotalTime>
  <ScaleCrop>false</ScaleCrop>
  <LinksUpToDate>false</LinksUpToDate>
  <CharactersWithSpaces>4743</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2026-01-28T04:55:00Z</dcterms:created>
  <dc:creator>yubin</dc:creator>
  <cp:lastModifiedBy>俞炳</cp:lastModifiedBy>
  <dcterms:modified xsi:type="dcterms:W3CDTF">2026-08-07T02:49:15Z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eyJoZGlkIjoiNGQ3OTc3NWQ4MzM2M2IxMTBiNmQyNTg1OGZmMjFmM2QiLCJ1c2VySWQiOiIxNjEzNTQ4OTc4In0=</vt:lpwstr>
  </property>
  <property fmtid="{D5CDD505-2E9C-101B-9397-08002B2CF9AE}" pid="3" name="KSOProductBuildVer">
    <vt:lpwstr>2052-12.1.0.28043</vt:lpwstr>
  </property>
  <property fmtid="{D5CDD505-2E9C-101B-9397-08002B2CF9AE}" pid="4" name="ICV">
    <vt:lpwstr>4CA229BE2A8645BAAAFC417ABB878C34_12</vt:lpwstr>
  </property>
</Properties>
</file>