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能源电催化工作站</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能源电催化工作站</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QSZBB250257ZHGK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[2025]63718号、[2025]63719号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能源电催化工作站</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2025年10月22日</w:t>
      </w:r>
      <w:r>
        <w:rPr>
          <w:rFonts w:hint="eastAsia" w:ascii="宋体" w:hAnsi="宋体" w:eastAsia="宋体" w:cs="Times New Roman"/>
          <w:b/>
          <w:color w:val="auto"/>
          <w:szCs w:val="21"/>
          <w:highlight w:val="none"/>
          <w:u w:val="single"/>
        </w:rPr>
        <w:t>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621"/>
      <w:bookmarkStart w:id="1" w:name="_Toc28359002"/>
      <w:bookmarkStart w:id="2" w:name="_Toc35393790"/>
      <w:bookmarkStart w:id="3" w:name="_Toc28359079"/>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QSZBB250257ZHGK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能源电催化工作站</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500000元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.最高限价：5</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0000元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自合同签订之日起90个工作日内交付。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能源电催化工作站</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80"/>
      <w:bookmarkStart w:id="6" w:name="_Toc28359003"/>
      <w:bookmarkStart w:id="7" w:name="_Toc35393791"/>
      <w:bookmarkStart w:id="8" w:name="_Toc35393622"/>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9</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29</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2025年10月22日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2025年10月22日</w:t>
      </w:r>
      <w:r>
        <w:rPr>
          <w:rFonts w:hint="eastAsia" w:ascii="宋体" w:hAnsi="宋体" w:eastAsia="宋体" w:cs="Times New Roman"/>
          <w:bCs/>
          <w:color w:val="auto"/>
          <w:szCs w:val="21"/>
          <w:highlight w:val="none"/>
        </w:rPr>
        <w:t>9:00:00（北京时间）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2025年10月22日</w:t>
      </w:r>
      <w:r>
        <w:rPr>
          <w:rFonts w:hint="eastAsia" w:ascii="宋体" w:hAnsi="宋体" w:eastAsia="宋体" w:cs="Times New Roman"/>
          <w:bCs/>
          <w:color w:val="auto"/>
          <w:szCs w:val="21"/>
          <w:highlight w:val="none"/>
        </w:rPr>
        <w:t>9:00:00（北京时间）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val="en-US" w:eastAsia="zh-CN"/>
        </w:rPr>
        <w:t>21</w:t>
      </w:r>
      <w:r>
        <w:rPr>
          <w:rFonts w:hint="eastAsia" w:ascii="宋体" w:hAnsi="宋体" w:eastAsia="宋体" w:cs="Times New Roman"/>
          <w:color w:val="auto"/>
          <w:szCs w:val="21"/>
          <w:highlight w:val="none"/>
        </w:rPr>
        <w:t>楼（求是招标会议室</w:t>
      </w:r>
      <w:r>
        <w:rPr>
          <w:rFonts w:hint="eastAsia" w:ascii="宋体" w:hAnsi="宋体" w:eastAsia="宋体" w:cs="Times New Roman"/>
          <w:color w:val="auto"/>
          <w:szCs w:val="21"/>
          <w:highlight w:val="none"/>
          <w:lang w:val="en-US" w:eastAsia="zh-CN"/>
        </w:rPr>
        <w:t>1</w:t>
      </w:r>
      <w:bookmarkStart w:id="76" w:name="_GoBack"/>
      <w:bookmarkEnd w:id="76"/>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35393625"/>
      <w:bookmarkStart w:id="20" w:name="_Toc28359084"/>
      <w:bookmarkStart w:id="21" w:name="_Toc35393794"/>
      <w:bookmarkStart w:id="22" w:name="_Toc28359007"/>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627"/>
      <w:bookmarkStart w:id="30" w:name="_Toc35393796"/>
      <w:bookmarkStart w:id="31" w:name="_Toc28359008"/>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5206E2BD">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项目联系人（询问）：温</w:t>
      </w:r>
      <w:r>
        <w:rPr>
          <w:rFonts w:hint="eastAsia" w:ascii="宋体" w:hAnsi="宋体" w:eastAsia="宋体" w:cs="Times New Roman"/>
          <w:color w:val="auto"/>
          <w:szCs w:val="21"/>
          <w:highlight w:val="none"/>
          <w:lang w:val="en-US" w:eastAsia="zh-CN"/>
        </w:rPr>
        <w:t>老师</w:t>
      </w:r>
    </w:p>
    <w:p w14:paraId="32E80010">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项目联系方式（询问）：0571-86878543</w:t>
      </w:r>
    </w:p>
    <w:p w14:paraId="209040C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599CCC13">
            <w:pPr>
              <w:adjustRightInd w:val="0"/>
              <w:snapToGrid w:val="0"/>
              <w:spacing w:line="288" w:lineRule="auto"/>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1.合同生效以及具备实施条件后7个工作日内，且中标人已向采购人提交银行、保险公司等金融机构出具的预付款保函的，采购人向中标人支付合同总价的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0%；货物在中标人安装调试完毕并经采购人验收合格后，采购人在收到发票后7个工作日内，向中标人支付合同总价的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val="en-US" w:eastAsia="zh-CN"/>
              </w:rPr>
              <w:t>2</w:t>
            </w:r>
            <w:r>
              <w:rPr>
                <w:rFonts w:hint="eastAsia" w:ascii="宋体" w:hAnsi="宋体" w:eastAsia="宋体" w:cs="宋体"/>
                <w:color w:val="auto"/>
                <w:spacing w:val="-6"/>
                <w:kern w:val="0"/>
                <w:szCs w:val="21"/>
                <w:highlight w:val="none"/>
              </w:rPr>
              <w:t>.在签订合同时，中标人明确表示无需预付款或者主动要求降低预付款比例的，可降低预付款比例（预付款保函同步调整）。</w:t>
            </w:r>
          </w:p>
          <w:p w14:paraId="20D6963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3.若供应商收取预付款，要求预付款保函有效期覆盖项目验收合格时间；提供了预付款保函则供应商无需再缴纳履约保证金。</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自合同签订之日起90个工作日内交付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远程技术支持：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应具有稳定的技术支持队伍和完善的服务支持网络，提供7×24小时技术支持服务，及时响应</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的技术服务支持需求，提出有效的解决方案，解决</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在货物使用过程中遇到的实际问题。</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44AF96C">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72小时内派遣相关人员赶赴现场，72小时内维修完毕；发生紧急抢修事故的，供应商应在接到采购人通知后48小时内到达现场抢修，并于到达现场24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highlight w:val="none"/>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none"/>
                <w:lang w:val="en-US" w:eastAsia="zh-CN"/>
              </w:rPr>
              <w:t>供应商应提供详细的</w:t>
            </w:r>
            <w:r>
              <w:rPr>
                <w:rFonts w:hint="eastAsia" w:ascii="宋体" w:hAnsi="宋体" w:eastAsia="宋体" w:cs="宋体"/>
                <w:color w:val="auto"/>
                <w:szCs w:val="21"/>
                <w:highlight w:val="none"/>
              </w:rPr>
              <w:t>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48874C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.技术支持：</w:t>
            </w:r>
          </w:p>
          <w:p w14:paraId="4560E7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.供应商应提供质保期满后主要零部件报价单、质保期满后维护费、软件升级及其相关服务内容；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2.培训</w:t>
            </w:r>
            <w:r>
              <w:rPr>
                <w:rFonts w:hint="eastAsia" w:ascii="宋体" w:hAnsi="宋体" w:eastAsia="宋体" w:cs="宋体"/>
                <w:color w:val="auto"/>
                <w:szCs w:val="21"/>
                <w:highlight w:val="none"/>
              </w:rPr>
              <w:t>实现方式、时间、地点、人数应在投标文件中详细说明</w:t>
            </w:r>
            <w:r>
              <w:rPr>
                <w:rFonts w:hint="eastAsia" w:ascii="宋体" w:hAnsi="宋体" w:eastAsia="宋体" w:cs="宋体"/>
                <w:color w:val="auto"/>
                <w:szCs w:val="21"/>
                <w:highlight w:val="none"/>
                <w:lang w:eastAsia="zh-CN"/>
              </w:rPr>
              <w:t>；</w:t>
            </w:r>
          </w:p>
          <w:p w14:paraId="3D36B1A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供应商应提供相应的培训计划、培训范围，实施方案</w:t>
            </w:r>
            <w:r>
              <w:rPr>
                <w:rFonts w:hint="eastAsia" w:ascii="宋体" w:hAnsi="宋体" w:eastAsia="宋体" w:cs="宋体"/>
                <w:color w:val="auto"/>
                <w:szCs w:val="21"/>
                <w:highlight w:val="none"/>
                <w:lang w:val="en-US" w:eastAsia="zh-CN"/>
              </w:rPr>
              <w:t>。</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190978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119E3A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2A04049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1EBC289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3C959A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46C6C0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3C65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1DFD823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32DEFB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14:paraId="7F978AE1">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满足能源电催化工作站的使用需求。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color w:val="auto"/>
                <w:szCs w:val="21"/>
                <w:highlight w:val="none"/>
                <w:lang w:eastAsia="zh-CN"/>
              </w:rPr>
            </w:pPr>
            <w:r>
              <w:rPr>
                <w:rFonts w:hint="eastAsia" w:ascii="宋体" w:hAnsi="宋体" w:eastAsia="宋体" w:cs="Times New Roman"/>
                <w:b/>
                <w:bCs/>
                <w:color w:val="auto"/>
                <w:szCs w:val="21"/>
                <w:highlight w:val="none"/>
                <w:lang w:eastAsia="zh-CN"/>
              </w:rPr>
              <w:t>能源电催化工作站</w:t>
            </w:r>
          </w:p>
        </w:tc>
        <w:tc>
          <w:tcPr>
            <w:tcW w:w="661" w:type="dxa"/>
            <w:vAlign w:val="center"/>
          </w:tcPr>
          <w:p w14:paraId="77DC8DC0">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14:paraId="66A5AD68">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14:paraId="757B685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端子数量：5（WE，CE，RE，S，S2）；</w:t>
            </w:r>
          </w:p>
          <w:p w14:paraId="760DEAF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支持同时测量阴阳极的阻抗；</w:t>
            </w:r>
          </w:p>
          <w:p w14:paraId="2F96E13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最大响应电压：±50V；</w:t>
            </w:r>
          </w:p>
          <w:p w14:paraId="157B2E8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最大施加电流：±6A；</w:t>
            </w:r>
          </w:p>
          <w:p w14:paraId="05FB61A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最大测量电位（S-RE）：±10V；</w:t>
            </w:r>
          </w:p>
          <w:p w14:paraId="42C236C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最大测量电位（S2-RE）：±50V；</w:t>
            </w:r>
          </w:p>
          <w:p w14:paraId="5CDE61A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测量施加电压精度：±0.2%；</w:t>
            </w:r>
          </w:p>
          <w:p w14:paraId="3DD83B8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★8.最优电压分辨率：12nV；</w:t>
            </w:r>
          </w:p>
          <w:p w14:paraId="36AD116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最小电流档：1nA，0.1nA测量；</w:t>
            </w:r>
          </w:p>
          <w:p w14:paraId="1DEE9A0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最优电流分辨率（AC信号, 1nA电流档）：2.3aA；</w:t>
            </w:r>
          </w:p>
          <w:p w14:paraId="40B83E1C">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上升时间（典型值）：200ns；</w:t>
            </w:r>
          </w:p>
          <w:p w14:paraId="61A7AB7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交流阻抗测试频率范围：10µHz-10MHz；</w:t>
            </w:r>
          </w:p>
          <w:p w14:paraId="777825F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阻抗精度 (%)：25GΩ(＞99.75%),4mΩ(</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99.75%)：</w:t>
            </w:r>
          </w:p>
          <w:p w14:paraId="592FF9FC">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时钟分辨率：10ns；</w:t>
            </w:r>
          </w:p>
          <w:p w14:paraId="565A913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板载内存最大储存数量：1千万数据点；</w:t>
            </w:r>
          </w:p>
          <w:p w14:paraId="215A918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浮地模式：3种模式可选（工作电极接地,对电极接地或电解池接地）；</w:t>
            </w:r>
          </w:p>
          <w:p w14:paraId="11321820">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模拟式线性扫描速率范围：50 µV/s - 100V/s；</w:t>
            </w:r>
          </w:p>
          <w:p w14:paraId="3CCCBE5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18</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最低采样间隔：1us；</w:t>
            </w:r>
          </w:p>
          <w:p w14:paraId="5D112B8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19</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软件测试方法：计时方法、阶梯式扫描循环伏安、模拟式扫描循环伏安、恒电位交流阻抗和恒电流交流阻抗等。除标准方法外，软件提供各种图形化测试命令，客户可通过拖拽这些命令创建自己的测试方法；</w:t>
            </w:r>
          </w:p>
          <w:p w14:paraId="7B12EAF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数据安全：实时存储测量数据，即使因断电导致测试中断，中断之前数据仍会自动保存；</w:t>
            </w:r>
          </w:p>
          <w:p w14:paraId="4EBB32A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支持热插拔：实验运行期间，移除计算机用于其他任务，测试完成后重新连接电脑进行数据收集；</w:t>
            </w:r>
          </w:p>
          <w:p w14:paraId="1172F75C">
            <w:pPr>
              <w:adjustRightInd w:val="0"/>
              <w:snapToGrid w:val="0"/>
              <w:spacing w:line="288" w:lineRule="auto"/>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22.配备微量注射泵：单通道,流量精度 0.1ml/h,阻塞压力40-70kPa，高清晰远距离数码管45℃界面显示，注射器安装方式</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水平卧式，尺寸</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25*15*15</w:t>
            </w:r>
            <w:r>
              <w:rPr>
                <w:rFonts w:hint="eastAsia" w:ascii="宋体" w:hAnsi="宋体" w:eastAsia="宋体" w:cs="宋体"/>
                <w:color w:val="auto"/>
                <w:szCs w:val="21"/>
                <w:highlight w:val="none"/>
                <w:lang w:val="en-US" w:eastAsia="zh-CN"/>
              </w:rPr>
              <w:t>cm</w:t>
            </w:r>
            <w:r>
              <w:rPr>
                <w:rFonts w:hint="default" w:ascii="宋体" w:hAnsi="宋体" w:eastAsia="宋体" w:cs="宋体"/>
                <w:color w:val="auto"/>
                <w:szCs w:val="21"/>
                <w:highlight w:val="none"/>
                <w:lang w:val="en-US" w:eastAsia="zh-CN"/>
              </w:rPr>
              <w:t>，重量≤2kg，流量范围：0.1~199.9ml/h(10ml),0.1~299.9ml/h(20ml)，0.1~399.9ml/h(30ml),0.1~599.9ml/h(50m)；</w:t>
            </w:r>
          </w:p>
          <w:p w14:paraId="34BFC2EB">
            <w:pPr>
              <w:adjustRightInd w:val="0"/>
              <w:snapToGrid w:val="0"/>
              <w:spacing w:line="288" w:lineRule="auto"/>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★23.配备专用软件脚本接口：支持电化学采集工作站数据根据不同模拟模型的要求自动输出给电催化模拟工作站，自动完成超高量模拟运算；</w:t>
            </w:r>
          </w:p>
          <w:p w14:paraId="5F5546EB">
            <w:pPr>
              <w:adjustRightInd w:val="0"/>
              <w:snapToGrid w:val="0"/>
              <w:spacing w:line="288" w:lineRule="auto"/>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24.模拟计算脚本具有AI自学习功能，自动进行催化剂筛选；</w:t>
            </w:r>
          </w:p>
          <w:p w14:paraId="57A0AFF0">
            <w:pPr>
              <w:adjustRightInd w:val="0"/>
              <w:snapToGrid w:val="0"/>
              <w:spacing w:line="288" w:lineRule="auto"/>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★25.模拟工作站1：CPU不低于2颗AMD 9654正式版 2.4GHz96核心；主板不低于PCIE5.0；内存不低于384G  DDR5 4800RECC；存储固态硬盘不低于1TB，同时配备不低于8TB企业级机械硬盘；不低于六热管散热器；不低于工作站1250W电源；不低于4U机架式机箱；</w:t>
            </w:r>
          </w:p>
          <w:p w14:paraId="6B88378E">
            <w:pPr>
              <w:adjustRightInd w:val="0"/>
              <w:snapToGrid w:val="0"/>
              <w:spacing w:line="288" w:lineRule="auto"/>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★26.模拟工作站2：CPU不低于2颗intel 8473C 正式版2.1G52核；主板不低于PCIE5.0；内存不低于512G 4800 DDR5 RECC；存储固态不低于2TB，机械不低于16TB；显卡不低于5090 64G；电源不低于2400W冗余+出线板1+1；不低于六热管散热器；不低于4U 11槽位机架式机箱；</w:t>
            </w:r>
          </w:p>
          <w:p w14:paraId="08E28934">
            <w:pPr>
              <w:adjustRightInd w:val="0"/>
              <w:snapToGrid w:val="0"/>
              <w:spacing w:line="288" w:lineRule="auto"/>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27.总配置不低于能源电催化模拟工作站2套，电化学采集工作站1套。</w:t>
            </w:r>
          </w:p>
        </w:tc>
      </w:tr>
    </w:tbl>
    <w:p w14:paraId="2C639540">
      <w:pPr>
        <w:adjustRightInd w:val="0"/>
        <w:snapToGrid w:val="0"/>
        <w:spacing w:line="288" w:lineRule="auto"/>
        <w:rPr>
          <w:rFonts w:ascii="宋体" w:hAnsi="宋体" w:eastAsia="宋体" w:cs="Times New Roman"/>
          <w:b/>
          <w:bCs/>
          <w:color w:val="auto"/>
          <w:szCs w:val="21"/>
          <w:highlight w:val="none"/>
        </w:rPr>
      </w:pP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杭州电子科技大学能源电催化工作站</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ascii="宋体" w:hAnsi="宋体" w:eastAsia="宋体"/>
                <w:color w:val="auto"/>
                <w:szCs w:val="21"/>
                <w:highlight w:val="none"/>
              </w:rPr>
              <w:t>，须提供</w:t>
            </w:r>
            <w:r>
              <w:rPr>
                <w:rFonts w:ascii="宋体" w:hAnsi="宋体" w:eastAsia="宋体"/>
                <w:bCs/>
                <w:color w:val="auto"/>
                <w:szCs w:val="21"/>
                <w:highlight w:val="none"/>
              </w:rPr>
              <w:t>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2025年1月（含）</w:t>
            </w:r>
            <w:r>
              <w:rPr>
                <w:rFonts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1073C959">
            <w:pPr>
              <w:adjustRightInd w:val="0"/>
              <w:snapToGrid w:val="0"/>
              <w:spacing w:line="288" w:lineRule="auto"/>
              <w:rPr>
                <w:rFonts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63817493">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ascii="宋体" w:hAnsi="宋体" w:eastAsia="宋体"/>
                <w:color w:val="auto"/>
                <w:szCs w:val="21"/>
                <w:highlight w:val="none"/>
              </w:rPr>
              <w:t>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adjustRightInd w:val="0"/>
              <w:snapToGrid w:val="0"/>
              <w:spacing w:line="288" w:lineRule="auto"/>
              <w:rPr>
                <w:rFonts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adjustRightInd w:val="0"/>
              <w:snapToGrid w:val="0"/>
              <w:spacing w:line="288"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adjustRightInd w:val="0"/>
              <w:snapToGrid w:val="0"/>
              <w:spacing w:before="0" w:beforeLines="0" w:after="0" w:afterLines="0" w:line="288" w:lineRule="auto"/>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14:paraId="75D18B7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杭州电子科技大学能源电催化工作站</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5D9D45A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75E2E1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标注“★”的</w:t>
            </w:r>
            <w:r>
              <w:rPr>
                <w:rFonts w:hint="eastAsia" w:ascii="宋体" w:hAnsi="宋体" w:eastAsia="宋体" w:cs="宋体"/>
                <w:color w:val="auto"/>
                <w:szCs w:val="21"/>
                <w:highlight w:val="none"/>
              </w:rPr>
              <w:t>每项扣3分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未标注“★”的每项扣2分</w:t>
            </w:r>
            <w:r>
              <w:rPr>
                <w:rFonts w:hint="eastAsia" w:ascii="宋体" w:hAnsi="宋体" w:eastAsia="宋体" w:cs="宋体"/>
                <w:color w:val="auto"/>
                <w:szCs w:val="21"/>
                <w:highlight w:val="none"/>
              </w:rPr>
              <w:t>；</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扣分30分</w:t>
            </w:r>
            <w:r>
              <w:rPr>
                <w:rFonts w:hint="eastAsia" w:ascii="宋体" w:hAnsi="宋体" w:eastAsia="宋体" w:cs="宋体"/>
                <w:color w:val="auto"/>
                <w:szCs w:val="21"/>
                <w:highlight w:val="none"/>
              </w:rPr>
              <w:t>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spacing w:line="288" w:lineRule="auto"/>
        <w:ind w:firstLine="562" w:firstLineChars="20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4A715020">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w:t>
      </w:r>
    </w:p>
    <w:p w14:paraId="35211B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1"/>
          <w:highlight w:val="none"/>
        </w:rPr>
        <w:t xml:space="preserve">             </w:t>
      </w:r>
    </w:p>
    <w:p w14:paraId="5868DAB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为了保护甲乙双方合法权益，根据项目</w:t>
      </w:r>
      <w:r>
        <w:rPr>
          <w:rFonts w:hint="eastAsia" w:ascii="宋体" w:hAnsi="宋体" w:eastAsia="宋体" w:cs="宋体"/>
          <w:color w:val="auto"/>
          <w:kern w:val="0"/>
          <w:szCs w:val="21"/>
          <w:highlight w:val="none"/>
          <w:u w:val="single"/>
          <w:lang w:eastAsia="zh-CN"/>
        </w:rPr>
        <w:t>能源电催化工作站</w:t>
      </w:r>
      <w:r>
        <w:rPr>
          <w:rFonts w:hint="eastAsia" w:ascii="宋体" w:hAnsi="宋体" w:eastAsia="宋体" w:cs="宋体"/>
          <w:color w:val="auto"/>
          <w:kern w:val="0"/>
          <w:szCs w:val="21"/>
          <w:highlight w:val="none"/>
        </w:rPr>
        <w:t>（项目编号</w:t>
      </w:r>
      <w:r>
        <w:rPr>
          <w:rFonts w:hint="eastAsia" w:ascii="宋体" w:hAnsi="宋体" w:eastAsia="宋体" w:cs="宋体"/>
          <w:color w:val="auto"/>
          <w:kern w:val="0"/>
          <w:szCs w:val="21"/>
          <w:highlight w:val="none"/>
          <w:u w:val="single"/>
          <w:lang w:val="en-US" w:eastAsia="zh-CN"/>
        </w:rPr>
        <w:t>QSZBB250257ZHGK</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公开招标</w:t>
      </w:r>
      <w:r>
        <w:rPr>
          <w:rFonts w:hint="eastAsia" w:ascii="宋体" w:hAnsi="宋体" w:eastAsia="宋体" w:cs="宋体"/>
          <w:color w:val="auto"/>
          <w:kern w:val="0"/>
          <w:szCs w:val="21"/>
          <w:highlight w:val="none"/>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二、供货范围</w:t>
      </w:r>
    </w:p>
    <w:p w14:paraId="190FD9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质保期：自验收合格之日起，整机质保期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年，其中</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（配件名称）质保</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2.履约保证金（如无则删除本条款）</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合同总金额的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rPr>
        <w:t>1</w:t>
      </w:r>
      <w:r>
        <w:rPr>
          <w:rFonts w:hint="eastAsia" w:ascii="宋体" w:hAnsi="宋体" w:eastAsia="宋体" w:cs="宋体"/>
          <w:color w:val="auto"/>
          <w:kern w:val="0"/>
          <w:szCs w:val="21"/>
          <w:highlight w:val="none"/>
        </w:rPr>
        <w:t>）预付款方式：</w:t>
      </w:r>
    </w:p>
    <w:p w14:paraId="079E370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bookmarkStart w:id="55" w:name="OLE_LINK9"/>
      <w:bookmarkStart w:id="56" w:name="OLE_LINK10"/>
      <w:bookmarkStart w:id="57" w:name="OLE_LINK7"/>
      <w:bookmarkStart w:id="58" w:name="OLE_LINK8"/>
      <w:r>
        <w:rPr>
          <w:rFonts w:hint="eastAsia" w:ascii="宋体" w:hAnsi="宋体" w:eastAsia="宋体" w:cs="宋体"/>
          <w:color w:val="auto"/>
          <w:szCs w:val="21"/>
          <w:highlight w:val="none"/>
        </w:rPr>
        <w:t>根据</w:t>
      </w:r>
      <w:bookmarkStart w:id="59" w:name="OLE_LINK5"/>
      <w:bookmarkStart w:id="60" w:name="OLE_LINK6"/>
      <w:r>
        <w:rPr>
          <w:rFonts w:hint="eastAsia" w:ascii="宋体" w:hAnsi="宋体" w:eastAsia="宋体" w:cs="宋体"/>
          <w:color w:val="auto"/>
          <w:szCs w:val="21"/>
          <w:highlight w:val="none"/>
        </w:rPr>
        <w:t>《浙江省财政厅关于进一步发挥政府采购政策功能全力推动经济稳进提质的通知》</w:t>
      </w:r>
      <w:bookmarkEnd w:id="59"/>
      <w:bookmarkEnd w:id="60"/>
      <w:r>
        <w:rPr>
          <w:rFonts w:hint="eastAsia" w:ascii="宋体" w:hAnsi="宋体" w:eastAsia="宋体" w:cs="宋体"/>
          <w:color w:val="auto"/>
          <w:szCs w:val="21"/>
          <w:highlight w:val="none"/>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p>
    <w:p w14:paraId="3BC99930">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②在签订合同时，乙方明确表示主动要求降低预付款比例的，可降低预付款比例（预付款保函同步调整）。</w:t>
      </w:r>
    </w:p>
    <w:p w14:paraId="2AB838C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③若乙方收取预付款，要求预付款保函有效期覆盖项目验收合格时间；提供了预付款保函则乙方无需再缴纳履约保证金。</w:t>
      </w:r>
    </w:p>
    <w:p w14:paraId="1AB041C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bCs/>
          <w:color w:val="auto"/>
          <w:kern w:val="0"/>
          <w:szCs w:val="21"/>
          <w:highlight w:val="none"/>
        </w:rPr>
        <w:t>货到分期付款：</w:t>
      </w:r>
      <w:r>
        <w:rPr>
          <w:rFonts w:hint="eastAsia" w:ascii="宋体" w:hAnsi="宋体" w:eastAsia="宋体" w:cs="宋体"/>
          <w:color w:val="auto"/>
          <w:kern w:val="0"/>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②货到一次性支付：</w:t>
      </w:r>
    </w:p>
    <w:p w14:paraId="3858389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③其它支付形式：                 </w:t>
      </w:r>
    </w:p>
    <w:p w14:paraId="785FA7C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单位名称：杭州电子科技大学。税号：12330000470009026T</w:t>
      </w:r>
    </w:p>
    <w:p w14:paraId="61288A8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五、转包或分包</w:t>
      </w:r>
    </w:p>
    <w:p w14:paraId="03EEB8D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六、货物交付</w:t>
      </w:r>
    </w:p>
    <w:p w14:paraId="61891480">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交货期：自合同签订之日起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日内。</w:t>
      </w:r>
    </w:p>
    <w:p w14:paraId="19CFAF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交货方式：</w:t>
      </w:r>
      <w:bookmarkStart w:id="62" w:name="_Hlk155602651"/>
      <w:r>
        <w:rPr>
          <w:rFonts w:hint="eastAsia" w:ascii="宋体" w:hAnsi="宋体" w:eastAsia="宋体" w:cs="宋体"/>
          <w:color w:val="auto"/>
          <w:kern w:val="0"/>
          <w:szCs w:val="21"/>
          <w:highlight w:val="none"/>
        </w:rPr>
        <w:t>　　　送货上门　　</w:t>
      </w:r>
      <w:bookmarkStart w:id="63" w:name="_Hlk155602451"/>
      <w:r>
        <w:rPr>
          <w:rFonts w:hint="eastAsia" w:ascii="宋体" w:hAnsi="宋体" w:eastAsia="宋体" w:cs="宋体"/>
          <w:color w:val="auto"/>
          <w:kern w:val="0"/>
          <w:szCs w:val="21"/>
          <w:highlight w:val="none"/>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交货地点：</w:t>
      </w:r>
      <w:bookmarkStart w:id="64" w:name="_Hlk155602663"/>
      <w:r>
        <w:rPr>
          <w:rFonts w:hint="eastAsia" w:ascii="宋体" w:hAnsi="宋体" w:eastAsia="宋体" w:cs="宋体"/>
          <w:color w:val="auto"/>
          <w:kern w:val="0"/>
          <w:szCs w:val="21"/>
          <w:highlight w:val="none"/>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联系人及电话：</w:t>
      </w:r>
      <w:bookmarkStart w:id="65" w:name="_Hlk155181628"/>
      <w:r>
        <w:rPr>
          <w:rFonts w:hint="eastAsia" w:ascii="宋体" w:hAnsi="宋体" w:eastAsia="宋体" w:cs="宋体"/>
          <w:color w:val="auto"/>
          <w:kern w:val="0"/>
          <w:szCs w:val="21"/>
          <w:highlight w:val="none"/>
        </w:rPr>
        <w:t>甲方 姓名_________联系电话</w:t>
      </w:r>
      <w:r>
        <w:rPr>
          <w:rFonts w:hint="eastAsia" w:ascii="宋体" w:hAnsi="宋体" w:eastAsia="宋体" w:cs="宋体"/>
          <w:color w:val="auto"/>
          <w:kern w:val="0"/>
          <w:szCs w:val="21"/>
          <w:highlight w:val="none"/>
          <w:u w:val="single"/>
        </w:rPr>
        <w:t xml:space="preserve">（办公电话及手机号） </w:t>
      </w:r>
      <w:r>
        <w:rPr>
          <w:rFonts w:hint="eastAsia" w:ascii="宋体" w:hAnsi="宋体" w:eastAsia="宋体" w:cs="宋体"/>
          <w:color w:val="auto"/>
          <w:kern w:val="0"/>
          <w:szCs w:val="21"/>
          <w:highlight w:val="none"/>
        </w:rPr>
        <w:t>；乙方 姓名 __________联系电话</w:t>
      </w:r>
      <w:r>
        <w:rPr>
          <w:rFonts w:hint="eastAsia" w:ascii="宋体" w:hAnsi="宋体" w:eastAsia="宋体" w:cs="宋体"/>
          <w:color w:val="auto"/>
          <w:kern w:val="0"/>
          <w:szCs w:val="21"/>
          <w:highlight w:val="none"/>
          <w:u w:val="single"/>
        </w:rPr>
        <w:t xml:space="preserve">（办公电话及手机号） </w:t>
      </w:r>
      <w:bookmarkEnd w:id="65"/>
      <w:r>
        <w:rPr>
          <w:rFonts w:hint="eastAsia" w:ascii="宋体" w:hAnsi="宋体" w:eastAsia="宋体" w:cs="宋体"/>
          <w:color w:val="auto"/>
          <w:kern w:val="0"/>
          <w:szCs w:val="21"/>
          <w:highlight w:val="none"/>
        </w:rPr>
        <w:t>。</w:t>
      </w:r>
    </w:p>
    <w:p w14:paraId="3652BA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七、安装与验收</w:t>
      </w:r>
    </w:p>
    <w:p w14:paraId="5FA2C7D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最终验收：货物经安装调试完成且符合技术要求后，甲方负责在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八、质量保证与售后服务</w:t>
      </w:r>
    </w:p>
    <w:p w14:paraId="4B1F2B8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w:t>
      </w:r>
      <w:bookmarkStart w:id="67" w:name="_Hlk154577956"/>
      <w:r>
        <w:rPr>
          <w:rFonts w:hint="eastAsia" w:ascii="宋体" w:hAnsi="宋体" w:eastAsia="宋体" w:cs="宋体"/>
          <w:color w:val="auto"/>
          <w:kern w:val="0"/>
          <w:szCs w:val="21"/>
          <w:highlight w:val="none"/>
        </w:rPr>
        <w:t>应按采购文件规定的货物性能、技术要求、质量标准向甲方提供</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售后服务</w:t>
      </w:r>
    </w:p>
    <w:p w14:paraId="5A5C516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2.1远程技术支持：乙方应具有稳定的技术支持队伍和完善的服务支持网络，提供</w:t>
      </w:r>
      <w:r>
        <w:rPr>
          <w:rFonts w:hint="eastAsia" w:ascii="宋体" w:hAnsi="宋体" w:eastAsia="宋体" w:cs="宋体"/>
          <w:color w:val="auto"/>
          <w:kern w:val="0"/>
          <w:szCs w:val="21"/>
          <w:highlight w:val="none"/>
          <w:u w:val="single"/>
        </w:rPr>
        <w:t xml:space="preserve"> 7×24小时 </w:t>
      </w:r>
      <w:r>
        <w:rPr>
          <w:rFonts w:hint="eastAsia" w:ascii="宋体" w:hAnsi="宋体" w:eastAsia="宋体" w:cs="宋体"/>
          <w:color w:val="auto"/>
          <w:kern w:val="0"/>
          <w:szCs w:val="21"/>
          <w:highlight w:val="none"/>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2.2现场技术支持：对于通过电话、邮件等远程技术支持不能解决的问题，乙方应在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小时内派遣相关人员赶赴现场，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小时内维修完毕；发生紧急抢修事故的，乙方应在接到甲方通知后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小时内到达现场抢修，并于到达现场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小时之内排除故障。乙方未在约定时间内修复的或同一货物经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九、保密条款</w:t>
      </w:r>
    </w:p>
    <w:p w14:paraId="3809072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十、违约责任</w:t>
      </w:r>
    </w:p>
    <w:p w14:paraId="04F9E46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甲方无故逾期验收和办理货款支付手续的，每逾期一日，应按逾期付款总额</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向乙方支付违约金。</w:t>
      </w:r>
    </w:p>
    <w:p w14:paraId="460FC2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乙方逾期交货完工的，每逾期一日，应按合同总价</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向甲方支付违约金。逾期超过约定日期</w:t>
      </w:r>
      <w:r>
        <w:rPr>
          <w:rFonts w:hint="eastAsia" w:ascii="宋体" w:hAnsi="宋体" w:eastAsia="宋体" w:cs="宋体"/>
          <w:color w:val="auto"/>
          <w:kern w:val="0"/>
          <w:szCs w:val="21"/>
          <w:highlight w:val="none"/>
          <w:u w:val="single"/>
        </w:rPr>
        <w:t xml:space="preserve"> 10 </w:t>
      </w:r>
      <w:r>
        <w:rPr>
          <w:rFonts w:hint="eastAsia" w:ascii="宋体" w:hAnsi="宋体" w:eastAsia="宋体" w:cs="宋体"/>
          <w:color w:val="auto"/>
          <w:kern w:val="0"/>
          <w:szCs w:val="21"/>
          <w:highlight w:val="none"/>
        </w:rPr>
        <w:t>个工作日不能交货完工的，甲方有权解除本合同，并要求乙方支付合同总价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乙方未能按约定要求履行保修义务的，</w:t>
      </w:r>
      <w:bookmarkStart w:id="68" w:name="_Hlk154755811"/>
      <w:r>
        <w:rPr>
          <w:rFonts w:hint="eastAsia" w:ascii="宋体" w:hAnsi="宋体" w:eastAsia="宋体" w:cs="宋体"/>
          <w:color w:val="auto"/>
          <w:kern w:val="0"/>
          <w:szCs w:val="21"/>
          <w:highlight w:val="none"/>
        </w:rPr>
        <w:t>每发生一次应向甲方支付</w:t>
      </w:r>
      <w:r>
        <w:rPr>
          <w:rFonts w:hint="eastAsia" w:ascii="宋体" w:hAnsi="宋体" w:eastAsia="宋体" w:cs="宋体"/>
          <w:color w:val="auto"/>
          <w:kern w:val="0"/>
          <w:szCs w:val="21"/>
          <w:highlight w:val="none"/>
          <w:u w:val="single"/>
          <w:lang w:val="en-US" w:eastAsia="zh-CN"/>
        </w:rPr>
        <w:t>500</w:t>
      </w:r>
      <w:r>
        <w:rPr>
          <w:rFonts w:hint="eastAsia" w:ascii="宋体" w:hAnsi="宋体" w:eastAsia="宋体" w:cs="宋体"/>
          <w:color w:val="auto"/>
          <w:kern w:val="0"/>
          <w:szCs w:val="21"/>
          <w:highlight w:val="none"/>
        </w:rPr>
        <w:t>元的违约金，同时，甲方有权委托第三方进行保修，所产生的费用由乙方承担。</w:t>
      </w:r>
      <w:bookmarkEnd w:id="68"/>
      <w:r>
        <w:rPr>
          <w:rFonts w:hint="eastAsia" w:ascii="宋体" w:hAnsi="宋体" w:eastAsia="宋体" w:cs="宋体"/>
          <w:color w:val="auto"/>
          <w:kern w:val="0"/>
          <w:szCs w:val="21"/>
          <w:highlight w:val="none"/>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因乙方其他违约行为导致甲方解除合同的，乙方应向甲方支付合同总价 </w:t>
      </w:r>
      <w:r>
        <w:rPr>
          <w:rFonts w:hint="eastAsia" w:ascii="宋体" w:hAnsi="宋体" w:eastAsia="宋体" w:cs="宋体"/>
          <w:color w:val="auto"/>
          <w:kern w:val="0"/>
          <w:szCs w:val="21"/>
          <w:highlight w:val="none"/>
          <w:u w:val="single"/>
        </w:rPr>
        <w:t>5 %</w:t>
      </w:r>
      <w:r>
        <w:rPr>
          <w:rFonts w:hint="eastAsia" w:ascii="宋体" w:hAnsi="宋体" w:eastAsia="宋体" w:cs="宋体"/>
          <w:color w:val="auto"/>
          <w:kern w:val="0"/>
          <w:szCs w:val="21"/>
          <w:highlight w:val="none"/>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十一、不可抗力</w:t>
      </w:r>
    </w:p>
    <w:p w14:paraId="1DED66C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十三、合同生效及其他</w:t>
      </w:r>
    </w:p>
    <w:p w14:paraId="5CAF751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本次采购过程中形成的招标（非招标）文件、投标（响应）文件、澄清承诺、补充协议、附件等</w:t>
      </w:r>
      <w:r>
        <w:rPr>
          <w:rFonts w:hint="eastAsia" w:ascii="宋体" w:hAnsi="宋体" w:eastAsia="宋体" w:cs="宋体"/>
          <w:color w:val="auto"/>
          <w:kern w:val="0"/>
          <w:szCs w:val="21"/>
          <w:highlight w:val="none"/>
          <w:lang w:val="zh-CN"/>
        </w:rPr>
        <w:t>为本合同的组成部分，并构成一个整体，需综合解释、相互补充。如果</w:t>
      </w:r>
      <w:r>
        <w:rPr>
          <w:rFonts w:hint="eastAsia" w:ascii="宋体" w:hAnsi="宋体" w:eastAsia="宋体" w:cs="宋体"/>
          <w:color w:val="auto"/>
          <w:kern w:val="0"/>
          <w:szCs w:val="21"/>
          <w:highlight w:val="none"/>
        </w:rPr>
        <w:t>上述</w:t>
      </w:r>
      <w:r>
        <w:rPr>
          <w:rFonts w:hint="eastAsia" w:ascii="宋体" w:hAnsi="宋体" w:eastAsia="宋体" w:cs="宋体"/>
          <w:color w:val="auto"/>
          <w:kern w:val="0"/>
          <w:szCs w:val="21"/>
          <w:highlight w:val="none"/>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（2）中标（成交）通知书；</w:t>
      </w:r>
    </w:p>
    <w:p w14:paraId="191C4F83">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（3）投标（</w:t>
      </w:r>
      <w:r>
        <w:rPr>
          <w:rFonts w:hint="eastAsia" w:ascii="宋体" w:hAnsi="宋体" w:eastAsia="宋体" w:cs="宋体"/>
          <w:color w:val="auto"/>
          <w:kern w:val="0"/>
          <w:szCs w:val="21"/>
          <w:highlight w:val="none"/>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（4）招标（非招标）</w:t>
      </w:r>
      <w:r>
        <w:rPr>
          <w:rFonts w:hint="eastAsia" w:ascii="宋体" w:hAnsi="宋体" w:eastAsia="宋体" w:cs="宋体"/>
          <w:color w:val="auto"/>
          <w:kern w:val="0"/>
          <w:szCs w:val="21"/>
          <w:highlight w:val="none"/>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（5）</w:t>
      </w:r>
      <w:r>
        <w:rPr>
          <w:rFonts w:hint="eastAsia" w:ascii="宋体" w:hAnsi="宋体" w:eastAsia="宋体" w:cs="宋体"/>
          <w:snapToGrid w:val="0"/>
          <w:color w:val="auto"/>
          <w:szCs w:val="21"/>
          <w:highlight w:val="none"/>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5.</w:t>
      </w:r>
      <w:r>
        <w:rPr>
          <w:rFonts w:hint="eastAsia" w:ascii="宋体" w:hAnsi="宋体" w:eastAsia="宋体" w:cs="宋体"/>
          <w:color w:val="auto"/>
          <w:kern w:val="0"/>
          <w:szCs w:val="21"/>
          <w:highlight w:val="none"/>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highlight w:val="none"/>
        </w:rPr>
      </w:pPr>
    </w:p>
    <w:p w14:paraId="77A0E00A">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委托代理人</w:t>
            </w:r>
            <w:r>
              <w:rPr>
                <w:rFonts w:hint="eastAsia" w:ascii="宋体" w:hAnsi="宋体" w:eastAsia="宋体" w:cs="宋体"/>
                <w:color w:val="auto"/>
                <w:kern w:val="0"/>
                <w:szCs w:val="21"/>
                <w:highlight w:val="none"/>
              </w:rPr>
              <w:t>：</w:t>
            </w:r>
          </w:p>
          <w:p w14:paraId="53AA975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或委托代理人</w:t>
            </w:r>
            <w:r>
              <w:rPr>
                <w:rFonts w:hint="eastAsia" w:ascii="宋体" w:hAnsi="宋体" w:eastAsia="宋体" w:cs="宋体"/>
                <w:color w:val="auto"/>
                <w:kern w:val="0"/>
                <w:szCs w:val="21"/>
                <w:highlight w:val="none"/>
              </w:rPr>
              <w:t>：</w:t>
            </w:r>
          </w:p>
          <w:p w14:paraId="00DD47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69" w:name="_Hlk81815656"/>
      <w:r>
        <w:rPr>
          <w:rFonts w:hint="eastAsia" w:ascii="宋体" w:hAnsi="宋体" w:eastAsia="宋体" w:cs="Times New Roman"/>
          <w:color w:val="auto"/>
          <w:spacing w:val="-6"/>
          <w:szCs w:val="21"/>
          <w:highlight w:val="none"/>
        </w:rPr>
        <w:t>（若属于中小企业）</w:t>
      </w:r>
      <w:bookmarkEnd w:id="69"/>
    </w:p>
    <w:p w14:paraId="2B8774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70" w:name="_Hlk81815359"/>
      <w:r>
        <w:rPr>
          <w:rFonts w:hint="eastAsia" w:ascii="宋体" w:hAnsi="宋体" w:eastAsia="宋体" w:cs="Times New Roman"/>
          <w:color w:val="auto"/>
          <w:spacing w:val="-6"/>
          <w:szCs w:val="21"/>
          <w:highlight w:val="none"/>
        </w:rPr>
        <w:t>（若属于监狱企业）</w:t>
      </w:r>
      <w:bookmarkEnd w:id="70"/>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71" w:name="OLE_LINK13"/>
      <w:bookmarkStart w:id="72" w:name="OLE_LINK14"/>
      <w:r>
        <w:rPr>
          <w:rFonts w:hint="eastAsia" w:ascii="宋体" w:hAnsi="宋体" w:eastAsia="宋体" w:cs="Times New Roman"/>
          <w:color w:val="auto"/>
          <w:spacing w:val="-6"/>
          <w:szCs w:val="21"/>
          <w:highlight w:val="none"/>
        </w:rPr>
        <w:t>残疾人福利性单位声明函</w:t>
      </w:r>
      <w:bookmarkEnd w:id="71"/>
      <w:bookmarkEnd w:id="72"/>
      <w:bookmarkStart w:id="73" w:name="_Hlk81815372"/>
      <w:r>
        <w:rPr>
          <w:rFonts w:hint="eastAsia" w:ascii="宋体" w:hAnsi="宋体" w:eastAsia="宋体" w:cs="Times New Roman"/>
          <w:color w:val="auto"/>
          <w:spacing w:val="-6"/>
          <w:szCs w:val="21"/>
          <w:highlight w:val="none"/>
        </w:rPr>
        <w:t>（若属于残疾人福利性单位）</w:t>
      </w:r>
      <w:bookmarkEnd w:id="73"/>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highlight w:val="none"/>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highlight w:val="none"/>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highlight w:val="none"/>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highlight w:val="none"/>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highlight w:val="none"/>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highlight w:val="none"/>
              </w:rPr>
            </w:pPr>
          </w:p>
        </w:tc>
        <w:tc>
          <w:tcPr>
            <w:tcW w:w="882" w:type="dxa"/>
          </w:tcPr>
          <w:p w14:paraId="6FF943A5">
            <w:pPr>
              <w:adjustRightInd w:val="0"/>
              <w:snapToGrid w:val="0"/>
              <w:spacing w:line="288" w:lineRule="auto"/>
              <w:jc w:val="center"/>
              <w:rPr>
                <w:rFonts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杭州电子科技大学能源电催化工作站</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QSZBB250257ZHGK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杭州电子科技大学能源电催化工作站</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QSZBB250257ZHGK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2025年1月（含）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2025年1月（含）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能源电催化工作站</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QSZBB250257ZHGK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adjustRightInd w:val="0"/>
              <w:snapToGrid w:val="0"/>
              <w:spacing w:line="288" w:lineRule="auto"/>
              <w:rPr>
                <w:rFonts w:ascii="宋体" w:hAnsi="宋体" w:eastAsia="宋体" w:cs="宋体"/>
                <w:color w:val="auto"/>
                <w:szCs w:val="21"/>
                <w:highlight w:val="none"/>
              </w:rPr>
            </w:pPr>
          </w:p>
        </w:tc>
        <w:tc>
          <w:tcPr>
            <w:tcW w:w="2574" w:type="dxa"/>
            <w:vAlign w:val="center"/>
          </w:tcPr>
          <w:p w14:paraId="702CD0E8">
            <w:pPr>
              <w:adjustRightInd w:val="0"/>
              <w:snapToGrid w:val="0"/>
              <w:spacing w:line="288" w:lineRule="auto"/>
              <w:rPr>
                <w:rFonts w:ascii="宋体" w:hAnsi="宋体" w:eastAsia="宋体" w:cs="宋体"/>
                <w:color w:val="auto"/>
                <w:szCs w:val="21"/>
                <w:highlight w:val="none"/>
              </w:rPr>
            </w:pPr>
          </w:p>
        </w:tc>
        <w:tc>
          <w:tcPr>
            <w:tcW w:w="2124" w:type="dxa"/>
            <w:vAlign w:val="center"/>
          </w:tcPr>
          <w:p w14:paraId="602EFA5A">
            <w:pPr>
              <w:adjustRightInd w:val="0"/>
              <w:snapToGrid w:val="0"/>
              <w:spacing w:line="288" w:lineRule="auto"/>
              <w:rPr>
                <w:rFonts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adjustRightInd w:val="0"/>
              <w:snapToGrid w:val="0"/>
              <w:spacing w:line="288" w:lineRule="auto"/>
              <w:rPr>
                <w:rFonts w:ascii="宋体" w:hAnsi="宋体" w:eastAsia="宋体" w:cs="宋体"/>
                <w:color w:val="auto"/>
                <w:szCs w:val="21"/>
                <w:highlight w:val="none"/>
              </w:rPr>
            </w:pPr>
          </w:p>
        </w:tc>
        <w:tc>
          <w:tcPr>
            <w:tcW w:w="2574" w:type="dxa"/>
            <w:vAlign w:val="center"/>
          </w:tcPr>
          <w:p w14:paraId="3887E5E7">
            <w:pPr>
              <w:adjustRightInd w:val="0"/>
              <w:snapToGrid w:val="0"/>
              <w:spacing w:line="288" w:lineRule="auto"/>
              <w:rPr>
                <w:rFonts w:ascii="宋体" w:hAnsi="宋体" w:eastAsia="宋体" w:cs="宋体"/>
                <w:color w:val="auto"/>
                <w:szCs w:val="21"/>
                <w:highlight w:val="none"/>
              </w:rPr>
            </w:pPr>
          </w:p>
        </w:tc>
        <w:tc>
          <w:tcPr>
            <w:tcW w:w="2124" w:type="dxa"/>
            <w:vAlign w:val="center"/>
          </w:tcPr>
          <w:p w14:paraId="376258A4">
            <w:pPr>
              <w:adjustRightInd w:val="0"/>
              <w:snapToGrid w:val="0"/>
              <w:spacing w:line="288" w:lineRule="auto"/>
              <w:rPr>
                <w:rFonts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adjustRightInd w:val="0"/>
              <w:snapToGrid w:val="0"/>
              <w:spacing w:line="288" w:lineRule="auto"/>
              <w:rPr>
                <w:rFonts w:ascii="宋体" w:hAnsi="宋体" w:eastAsia="宋体" w:cs="宋体"/>
                <w:color w:val="auto"/>
                <w:szCs w:val="21"/>
                <w:highlight w:val="none"/>
              </w:rPr>
            </w:pPr>
          </w:p>
        </w:tc>
        <w:tc>
          <w:tcPr>
            <w:tcW w:w="2574" w:type="dxa"/>
            <w:vAlign w:val="center"/>
          </w:tcPr>
          <w:p w14:paraId="2E789987">
            <w:pPr>
              <w:adjustRightInd w:val="0"/>
              <w:snapToGrid w:val="0"/>
              <w:spacing w:line="288" w:lineRule="auto"/>
              <w:rPr>
                <w:rFonts w:ascii="宋体" w:hAnsi="宋体" w:eastAsia="宋体" w:cs="宋体"/>
                <w:color w:val="auto"/>
                <w:szCs w:val="21"/>
                <w:highlight w:val="none"/>
              </w:rPr>
            </w:pPr>
          </w:p>
        </w:tc>
        <w:tc>
          <w:tcPr>
            <w:tcW w:w="2124" w:type="dxa"/>
            <w:vAlign w:val="center"/>
          </w:tcPr>
          <w:p w14:paraId="2374EA9A">
            <w:pPr>
              <w:adjustRightInd w:val="0"/>
              <w:snapToGrid w:val="0"/>
              <w:spacing w:line="288" w:lineRule="auto"/>
              <w:rPr>
                <w:rFonts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adjustRightInd w:val="0"/>
              <w:snapToGrid w:val="0"/>
              <w:spacing w:line="288" w:lineRule="auto"/>
              <w:rPr>
                <w:rFonts w:ascii="宋体" w:hAnsi="宋体" w:eastAsia="宋体" w:cs="宋体"/>
                <w:color w:val="auto"/>
                <w:szCs w:val="21"/>
                <w:highlight w:val="none"/>
              </w:rPr>
            </w:pPr>
          </w:p>
        </w:tc>
        <w:tc>
          <w:tcPr>
            <w:tcW w:w="2574" w:type="dxa"/>
            <w:vAlign w:val="center"/>
          </w:tcPr>
          <w:p w14:paraId="58B8E02A">
            <w:pPr>
              <w:adjustRightInd w:val="0"/>
              <w:snapToGrid w:val="0"/>
              <w:spacing w:line="288" w:lineRule="auto"/>
              <w:rPr>
                <w:rFonts w:ascii="宋体" w:hAnsi="宋体" w:eastAsia="宋体" w:cs="宋体"/>
                <w:color w:val="auto"/>
                <w:szCs w:val="21"/>
                <w:highlight w:val="none"/>
              </w:rPr>
            </w:pPr>
          </w:p>
        </w:tc>
        <w:tc>
          <w:tcPr>
            <w:tcW w:w="2124" w:type="dxa"/>
            <w:vAlign w:val="center"/>
          </w:tcPr>
          <w:p w14:paraId="4091EEC4">
            <w:pPr>
              <w:adjustRightInd w:val="0"/>
              <w:snapToGrid w:val="0"/>
              <w:spacing w:line="288" w:lineRule="auto"/>
              <w:rPr>
                <w:rFonts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adjustRightInd w:val="0"/>
              <w:snapToGrid w:val="0"/>
              <w:spacing w:line="288" w:lineRule="auto"/>
              <w:rPr>
                <w:rFonts w:ascii="宋体" w:hAnsi="宋体" w:eastAsia="宋体" w:cs="宋体"/>
                <w:color w:val="auto"/>
                <w:szCs w:val="21"/>
                <w:highlight w:val="none"/>
              </w:rPr>
            </w:pPr>
          </w:p>
        </w:tc>
        <w:tc>
          <w:tcPr>
            <w:tcW w:w="2574" w:type="dxa"/>
            <w:vAlign w:val="center"/>
          </w:tcPr>
          <w:p w14:paraId="486C04ED">
            <w:pPr>
              <w:adjustRightInd w:val="0"/>
              <w:snapToGrid w:val="0"/>
              <w:spacing w:line="288" w:lineRule="auto"/>
              <w:rPr>
                <w:rFonts w:ascii="宋体" w:hAnsi="宋体" w:eastAsia="宋体" w:cs="宋体"/>
                <w:color w:val="auto"/>
                <w:szCs w:val="21"/>
                <w:highlight w:val="none"/>
              </w:rPr>
            </w:pPr>
          </w:p>
        </w:tc>
        <w:tc>
          <w:tcPr>
            <w:tcW w:w="2124" w:type="dxa"/>
            <w:vAlign w:val="center"/>
          </w:tcPr>
          <w:p w14:paraId="558791D1">
            <w:pPr>
              <w:adjustRightInd w:val="0"/>
              <w:snapToGrid w:val="0"/>
              <w:spacing w:line="288" w:lineRule="auto"/>
              <w:rPr>
                <w:rFonts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adjustRightInd w:val="0"/>
              <w:snapToGrid w:val="0"/>
              <w:spacing w:line="288" w:lineRule="auto"/>
              <w:rPr>
                <w:rFonts w:ascii="宋体" w:hAnsi="宋体" w:eastAsia="宋体" w:cs="宋体"/>
                <w:color w:val="auto"/>
                <w:szCs w:val="21"/>
                <w:highlight w:val="none"/>
              </w:rPr>
            </w:pPr>
          </w:p>
        </w:tc>
        <w:tc>
          <w:tcPr>
            <w:tcW w:w="2574" w:type="dxa"/>
            <w:vAlign w:val="center"/>
          </w:tcPr>
          <w:p w14:paraId="1C372D07">
            <w:pPr>
              <w:adjustRightInd w:val="0"/>
              <w:snapToGrid w:val="0"/>
              <w:spacing w:line="288" w:lineRule="auto"/>
              <w:rPr>
                <w:rFonts w:ascii="宋体" w:hAnsi="宋体" w:eastAsia="宋体" w:cs="宋体"/>
                <w:color w:val="auto"/>
                <w:szCs w:val="21"/>
                <w:highlight w:val="none"/>
              </w:rPr>
            </w:pPr>
          </w:p>
        </w:tc>
        <w:tc>
          <w:tcPr>
            <w:tcW w:w="2124" w:type="dxa"/>
            <w:vAlign w:val="center"/>
          </w:tcPr>
          <w:p w14:paraId="0680D771">
            <w:pPr>
              <w:adjustRightInd w:val="0"/>
              <w:snapToGrid w:val="0"/>
              <w:spacing w:line="288" w:lineRule="auto"/>
              <w:rPr>
                <w:rFonts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能源电催化工作站</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QSZBB250257ZHGK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4" w:name="_Hlk177717733"/>
            <w:r>
              <w:rPr>
                <w:rFonts w:hint="eastAsia" w:ascii="宋体" w:hAnsi="宋体" w:eastAsia="宋体" w:cs="宋体"/>
                <w:b/>
                <w:bCs/>
                <w:color w:val="auto"/>
                <w:sz w:val="21"/>
                <w:szCs w:val="21"/>
                <w:highlight w:val="none"/>
              </w:rPr>
              <w:t>规格型号</w:t>
            </w:r>
          </w:p>
          <w:p w14:paraId="6654D31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adjustRightInd w:val="0"/>
              <w:snapToGrid w:val="0"/>
              <w:spacing w:line="288" w:lineRule="auto"/>
              <w:rPr>
                <w:rFonts w:ascii="宋体" w:hAnsi="宋体" w:eastAsia="宋体" w:cs="宋体"/>
                <w:b/>
                <w:bCs/>
                <w:color w:val="auto"/>
                <w:szCs w:val="21"/>
                <w:highlight w:val="none"/>
              </w:rPr>
            </w:pPr>
          </w:p>
          <w:p w14:paraId="0C631DF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adjustRightInd w:val="0"/>
              <w:snapToGrid w:val="0"/>
              <w:spacing w:line="288" w:lineRule="auto"/>
              <w:rPr>
                <w:rFonts w:ascii="宋体" w:hAnsi="宋体" w:eastAsia="宋体" w:cs="宋体"/>
                <w:b/>
                <w:bCs/>
                <w:color w:val="auto"/>
                <w:szCs w:val="21"/>
                <w:highlight w:val="none"/>
              </w:rPr>
            </w:pPr>
          </w:p>
          <w:p w14:paraId="5FEFE13F">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adjustRightInd w:val="0"/>
              <w:snapToGrid w:val="0"/>
              <w:spacing w:line="288" w:lineRule="auto"/>
              <w:rPr>
                <w:rFonts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ascii="宋体" w:hAnsi="宋体" w:eastAsia="宋体" w:cs="Times New Roman"/>
          <w:i/>
          <w:color w:val="auto"/>
          <w:szCs w:val="21"/>
          <w:highlight w:val="none"/>
          <w:u w:val="single"/>
        </w:rPr>
        <w:t>（单位名称）</w:t>
      </w:r>
      <w:r>
        <w:rPr>
          <w:rFonts w:ascii="宋体" w:hAnsi="宋体" w:eastAsia="宋体" w:cs="Times New Roman"/>
          <w:color w:val="auto"/>
          <w:szCs w:val="21"/>
          <w:highlight w:val="none"/>
        </w:rPr>
        <w:t>的</w:t>
      </w:r>
      <w:r>
        <w:rPr>
          <w:rFonts w:ascii="宋体" w:hAnsi="宋体" w:eastAsia="宋体" w:cs="Times New Roman"/>
          <w:i/>
          <w:color w:val="auto"/>
          <w:szCs w:val="21"/>
          <w:highlight w:val="none"/>
          <w:u w:val="single"/>
        </w:rPr>
        <w:t>（</w:t>
      </w:r>
      <w:bookmarkStart w:id="75" w:name="_Hlk118098443"/>
      <w:r>
        <w:rPr>
          <w:rFonts w:ascii="宋体" w:hAnsi="宋体" w:eastAsia="宋体" w:cs="Times New Roman"/>
          <w:i/>
          <w:color w:val="auto"/>
          <w:szCs w:val="21"/>
          <w:highlight w:val="none"/>
          <w:u w:val="single"/>
        </w:rPr>
        <w:t>项目名称</w:t>
      </w:r>
      <w:bookmarkEnd w:id="75"/>
      <w:r>
        <w:rPr>
          <w:rFonts w:ascii="宋体" w:hAnsi="宋体" w:eastAsia="宋体" w:cs="Times New Roman"/>
          <w:i/>
          <w:color w:val="auto"/>
          <w:szCs w:val="21"/>
          <w:highlight w:val="none"/>
          <w:u w:val="single"/>
        </w:rPr>
        <w:t>）</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14:paraId="674F562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62EE8991">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00631E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2" w:hRule="atLeast"/>
        </w:trPr>
        <w:tc>
          <w:tcPr>
            <w:tcW w:w="4814" w:type="dxa"/>
            <w:vAlign w:val="top"/>
          </w:tcPr>
          <w:p w14:paraId="31FDF98D">
            <w:pPr>
              <w:snapToGrid w:val="0"/>
              <w:spacing w:line="288" w:lineRule="auto"/>
              <w:rPr>
                <w:rFonts w:hint="eastAsia" w:ascii="宋体" w:hAnsi="宋体" w:eastAsia="宋体" w:cs="宋体"/>
                <w:color w:val="auto"/>
                <w:spacing w:val="0"/>
                <w:kern w:val="2"/>
                <w:szCs w:val="21"/>
                <w:highlight w:val="none"/>
                <w:vertAlign w:val="baseline"/>
              </w:rPr>
            </w:pPr>
          </w:p>
        </w:tc>
        <w:tc>
          <w:tcPr>
            <w:tcW w:w="4814" w:type="dxa"/>
          </w:tcPr>
          <w:p w14:paraId="6E2B4F3D">
            <w:pPr>
              <w:snapToGrid w:val="0"/>
              <w:spacing w:line="288" w:lineRule="auto"/>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B4A1776"/>
    <w:rsid w:val="0BD50265"/>
    <w:rsid w:val="0BEC010D"/>
    <w:rsid w:val="0C786503"/>
    <w:rsid w:val="0D1A04C9"/>
    <w:rsid w:val="0DA43FD6"/>
    <w:rsid w:val="0DCB77B4"/>
    <w:rsid w:val="0FF539C8"/>
    <w:rsid w:val="100A1485"/>
    <w:rsid w:val="10757130"/>
    <w:rsid w:val="112B34AD"/>
    <w:rsid w:val="11FF5827"/>
    <w:rsid w:val="1384042C"/>
    <w:rsid w:val="18090C43"/>
    <w:rsid w:val="18FB5F15"/>
    <w:rsid w:val="1B321622"/>
    <w:rsid w:val="1E452027"/>
    <w:rsid w:val="1EEB1A56"/>
    <w:rsid w:val="1F9C38D3"/>
    <w:rsid w:val="20767551"/>
    <w:rsid w:val="212705BE"/>
    <w:rsid w:val="21AC2FA2"/>
    <w:rsid w:val="21DB64E2"/>
    <w:rsid w:val="221C4C30"/>
    <w:rsid w:val="22A70B6C"/>
    <w:rsid w:val="22AD65CC"/>
    <w:rsid w:val="23C14303"/>
    <w:rsid w:val="23FF4622"/>
    <w:rsid w:val="24FF7EBF"/>
    <w:rsid w:val="25A217AC"/>
    <w:rsid w:val="27432BC1"/>
    <w:rsid w:val="27F0275A"/>
    <w:rsid w:val="28580092"/>
    <w:rsid w:val="28BC23D4"/>
    <w:rsid w:val="2AA10ED5"/>
    <w:rsid w:val="2ADA0518"/>
    <w:rsid w:val="2C921974"/>
    <w:rsid w:val="2DBE14C9"/>
    <w:rsid w:val="2E2B31E3"/>
    <w:rsid w:val="2ED77388"/>
    <w:rsid w:val="2F380CDF"/>
    <w:rsid w:val="2F6A64D8"/>
    <w:rsid w:val="30616EA9"/>
    <w:rsid w:val="31A44D82"/>
    <w:rsid w:val="320C1026"/>
    <w:rsid w:val="32BE120D"/>
    <w:rsid w:val="330C0EF9"/>
    <w:rsid w:val="33506DE6"/>
    <w:rsid w:val="33B73EB0"/>
    <w:rsid w:val="34004E73"/>
    <w:rsid w:val="34973C0D"/>
    <w:rsid w:val="349B054D"/>
    <w:rsid w:val="35194EAC"/>
    <w:rsid w:val="35A54CED"/>
    <w:rsid w:val="35A60122"/>
    <w:rsid w:val="37534CA7"/>
    <w:rsid w:val="37C157A9"/>
    <w:rsid w:val="37D824F1"/>
    <w:rsid w:val="39B918B5"/>
    <w:rsid w:val="3B0C4DFA"/>
    <w:rsid w:val="3C4D26C6"/>
    <w:rsid w:val="3D044EFC"/>
    <w:rsid w:val="3E6946AD"/>
    <w:rsid w:val="3EB60CB3"/>
    <w:rsid w:val="3EC436F9"/>
    <w:rsid w:val="3F740895"/>
    <w:rsid w:val="3FB75525"/>
    <w:rsid w:val="3FB93DC6"/>
    <w:rsid w:val="402A691C"/>
    <w:rsid w:val="422E66F3"/>
    <w:rsid w:val="4275164D"/>
    <w:rsid w:val="430A3262"/>
    <w:rsid w:val="43205CB8"/>
    <w:rsid w:val="44265D88"/>
    <w:rsid w:val="46A824B9"/>
    <w:rsid w:val="46BB170B"/>
    <w:rsid w:val="46D52748"/>
    <w:rsid w:val="47510906"/>
    <w:rsid w:val="477A2512"/>
    <w:rsid w:val="495D70F7"/>
    <w:rsid w:val="497349FC"/>
    <w:rsid w:val="498C1364"/>
    <w:rsid w:val="4B6974A4"/>
    <w:rsid w:val="4B7D5F80"/>
    <w:rsid w:val="4B895879"/>
    <w:rsid w:val="4BF40741"/>
    <w:rsid w:val="4C5E019B"/>
    <w:rsid w:val="4F64249F"/>
    <w:rsid w:val="4F6E1200"/>
    <w:rsid w:val="4FEE189E"/>
    <w:rsid w:val="500B7C38"/>
    <w:rsid w:val="5345653C"/>
    <w:rsid w:val="53F038EA"/>
    <w:rsid w:val="549F2962"/>
    <w:rsid w:val="54E01333"/>
    <w:rsid w:val="54EC7E91"/>
    <w:rsid w:val="5668599A"/>
    <w:rsid w:val="59BA69E3"/>
    <w:rsid w:val="5A661DF4"/>
    <w:rsid w:val="5ACF0178"/>
    <w:rsid w:val="5B9E3DE4"/>
    <w:rsid w:val="5BE42A4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4784BBC"/>
    <w:rsid w:val="668E2F31"/>
    <w:rsid w:val="67060D39"/>
    <w:rsid w:val="67FF1998"/>
    <w:rsid w:val="680D1D99"/>
    <w:rsid w:val="69431270"/>
    <w:rsid w:val="6A147DD2"/>
    <w:rsid w:val="6A7F4F75"/>
    <w:rsid w:val="6ACA16F9"/>
    <w:rsid w:val="6B16774A"/>
    <w:rsid w:val="6C467142"/>
    <w:rsid w:val="6CB03B45"/>
    <w:rsid w:val="6ECE2681"/>
    <w:rsid w:val="6ED12033"/>
    <w:rsid w:val="72340F9C"/>
    <w:rsid w:val="763243C9"/>
    <w:rsid w:val="774152C9"/>
    <w:rsid w:val="775D6EE2"/>
    <w:rsid w:val="793070F8"/>
    <w:rsid w:val="79D825C1"/>
    <w:rsid w:val="7A3543E6"/>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51</Pages>
  <Words>27863</Words>
  <Characters>29712</Characters>
  <Lines>220</Lines>
  <Paragraphs>62</Paragraphs>
  <TotalTime>9</TotalTime>
  <ScaleCrop>false</ScaleCrop>
  <LinksUpToDate>false</LinksUpToDate>
  <CharactersWithSpaces>30112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2025-09-29T03:07:17Z</dcterms:modified>
  <cp:revision>1036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